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13/07/2026 à 11:40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BNBC  (score 84/100)</w:t>
      </w:r>
    </w:p>
    <w:p>
      <w:pPr>
        <w:spacing w:before="20" w:after="20"/>
        <w:ind w:left="360" w:right="360"/>
        <w:shd w:val="clear" w:color="auto" w:fill="EBF5FB"/>
      </w:pPr>
      <w:r>
        <w:rPr>
          <w:b/>
          <w:sz w:val="19"/>
        </w:rPr>
        <w:t xml:space="preserve">Secteur surperformant :  </w:t>
      </w:r>
      <w:r>
        <w:rPr>
          <w:color w:val="008000"/>
          <w:sz w:val="19"/>
        </w:rPr>
        <w:t>SERVICES PUBLICS  (+93.5%)</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14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474.92 points </w:t>
      </w:r>
      <w:r>
        <w:rPr>
          <w:color w:val="008000"/>
        </w:rPr>
        <w:t>(+0.95%)</w:t>
      </w:r>
      <w:r>
        <w:t xml:space="preserve"> sur la séance. </w:t>
      </w:r>
      <w:r>
        <w:t>La capitalisation globale du marché atteint 18 295,340 milliards FCFA.</w:t>
      </w:r>
    </w:p>
    <w:p/>
    <w:p>
      <w:pPr>
        <w:pStyle w:val="Heading3"/>
      </w:pPr>
      <w:r>
        <w:t>📊 Évolution de l'indice BRVM Composite (100 derniers jours)</w:t>
      </w:r>
    </w:p>
    <w:p>
      <w:r>
        <w:rPr>
          <w:b/>
        </w:rPr>
        <w:t xml:space="preserve">BRVM Composite — </w:t>
      </w:r>
      <w:r>
        <w:t xml:space="preserve">Sur les 98 derniers jours de cotation (2026-02-23 au 2026-07-10), l'indice BRVM Composite a évolué de </w:t>
      </w:r>
      <w:r>
        <w:rPr>
          <w:b/>
          <w:color w:val="008000"/>
        </w:rPr>
        <w:t>+17.31%</w:t>
      </w:r>
      <w:r>
        <w:t>, passant de 404.84 pts à 474.92 pts. Le plus haut atteint est 474.92 pts et le plus bas 387.73 pts. Sur l'ensemble de la période, la moyenne de l'indice s'établit à 419.33 pts, la médiane à 412.33 pts et le mode à 402.38 pts</w:t>
      </w:r>
      <w:r>
        <w:t xml:space="preserve"> — l'écart entre moyenne et médiane (7.00 pts) révèle une distribution asymétrique (asymétrie positive — plus de jours sous la moyenne). </w:t>
      </w:r>
      <w:r>
        <w:t xml:space="preserve">L'écart-type de 20.44 pts (CV=4.9%) traduit une faible dispersion des cotations. Le kurtosis de -0.05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+17.21%</w:t>
      </w:r>
      <w:r>
        <w:t xml:space="preserve"> sur la période, passant de 15 608,856 Mds FCFA à 18 295,340 Mds FCFA. Le pic de capitalisation observé est de 18 295,340 Mds FCFA et le plancher de 14 949,311 Mds FCFA. La moyenne de la capitalisation sur la période s'établit à 16 162,771 Mds FCFA, la médiane à 15 895,801 Mds FCFA et le mode à 14 949,311 Mds FCFA</w:t>
      </w:r>
      <w:r>
        <w:t xml:space="preserve"> — l'écart moyenne/médiane (266,969 Mds) signale une distribution asymétrie positive. </w:t>
      </w:r>
      <w:r>
        <w:t>L'écart-type de 783,231 Mds FCFA (CV=4.8%) reflète une faible variabilité de la valorisation du marché. Le kurtosis de -0.04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BICC - BICI CI - Banque internationale pour le commerce et l'industrie de la Côte d'Ivoire</w:t>
      </w:r>
      <w:r>
        <w:t xml:space="preserve"> | Prix: 28800 FCFA | </w:t>
      </w:r>
      <w:r>
        <w:rPr>
          <w:b/>
          <w:color w:val="008000"/>
        </w:rPr>
        <w:t>ACHAT FORT</w:t>
      </w:r>
      <w:r>
        <w:t xml:space="preserve"> | Confiance: Élevée | Risque: Moyen</w:t>
      </w:r>
    </w:p>
    <w:p>
      <w:pPr>
        <w:pStyle w:val="ListNumber"/>
      </w:pPr>
      <w:r>
        <w:rPr>
          <w:b/>
        </w:rPr>
        <w:t>CABC - CABC - SICABLE COTE D'IVOIRE</w:t>
      </w:r>
      <w:r>
        <w:t xml:space="preserve"> | Prix: 3955 FCFA | </w:t>
      </w:r>
      <w:r>
        <w:rPr>
          <w:b/>
          <w:color w:val="008000"/>
        </w:rPr>
        <w:t>ACHAT FORT</w:t>
      </w:r>
      <w:r>
        <w:t xml:space="preserve"> | Confiance: Élevée | Risque: Faible</w:t>
      </w:r>
    </w:p>
    <w:p>
      <w:pPr>
        <w:pStyle w:val="ListNumber"/>
      </w:pPr>
      <w:r>
        <w:rPr>
          <w:b/>
        </w:rPr>
        <w:t>FTSC - FTSC - FILTISAC COTE D'IVOIRE</w:t>
      </w:r>
      <w:r>
        <w:t xml:space="preserve"> | Prix: 1975 FCFA | </w:t>
      </w:r>
      <w:r>
        <w:rPr>
          <w:b/>
          <w:color w:val="008000"/>
        </w:rPr>
        <w:t>ACHAT FORT</w:t>
      </w:r>
      <w:r>
        <w:t xml:space="preserve"> | Confiance: Élevée | Risque: Faible</w:t>
      </w:r>
    </w:p>
    <w:p>
      <w:pPr>
        <w:pStyle w:val="ListNumber"/>
      </w:pPr>
      <w:r>
        <w:rPr>
          <w:b/>
        </w:rPr>
        <w:t>SICC - SICC - SICOR COTE D'IVOIRE</w:t>
      </w:r>
      <w:r>
        <w:t xml:space="preserve"> | Prix: 5195 FCFA | </w:t>
      </w:r>
      <w:r>
        <w:rPr>
          <w:b/>
          <w:color w:val="008000"/>
        </w:rPr>
        <w:t>ACHAT FORT</w:t>
      </w:r>
      <w:r>
        <w:t xml:space="preserve"> | Confiance: Élevée | Risque: Moyen</w:t>
      </w:r>
    </w:p>
    <w:p>
      <w:pPr>
        <w:pStyle w:val="ListNumber"/>
      </w:pPr>
      <w:r>
        <w:rPr>
          <w:b/>
        </w:rPr>
        <w:t>SLBC - SLBC - SOLIBRA COTE D'IVOIRE</w:t>
      </w:r>
      <w:r>
        <w:t xml:space="preserve"> | Prix: 39910 FCFA | </w:t>
      </w:r>
      <w:r>
        <w:rPr>
          <w:b/>
          <w:color w:val="008000"/>
        </w:rPr>
        <w:t>ACHAT FORT</w:t>
      </w:r>
      <w:r>
        <w:t xml:space="preserve"> | Confiance: Élevée | Risque: Moyen</w:t>
      </w:r>
    </w:p>
    <w:p>
      <w:pPr>
        <w:pStyle w:val="ListNumber"/>
      </w:pPr>
      <w:r>
        <w:rPr>
          <w:b/>
        </w:rPr>
        <w:t>SNTS - SNTS - SONATEL SN</w:t>
      </w:r>
      <w:r>
        <w:t xml:space="preserve"> | Prix: 30900 FCFA | </w:t>
      </w:r>
      <w:r>
        <w:rPr>
          <w:b/>
          <w:color w:val="008000"/>
        </w:rPr>
        <w:t>ACHAT FORT</w:t>
      </w:r>
      <w:r>
        <w:t xml:space="preserve"> | Confiance: Élevée | Risque: Faible</w:t>
      </w:r>
    </w:p>
    <w:p>
      <w:pPr>
        <w:pStyle w:val="ListNumber"/>
      </w:pPr>
      <w:r>
        <w:rPr>
          <w:b/>
        </w:rPr>
        <w:t>SPHC - SPHC - Société Africaine de Plantation d'Hévéas de Côte d'Ivoire</w:t>
      </w:r>
      <w:r>
        <w:t xml:space="preserve"> | Prix: 7550 FCFA | </w:t>
      </w:r>
      <w:r>
        <w:rPr>
          <w:b/>
          <w:color w:val="008000"/>
        </w:rPr>
        <w:t>ACHAT FORT</w:t>
      </w:r>
      <w:r>
        <w:t xml:space="preserve"> | Confiance: Élevée | Risque: Moyen</w:t>
      </w:r>
    </w:p>
    <w:p>
      <w:pPr>
        <w:pStyle w:val="ListNumber"/>
      </w:pPr>
      <w:r>
        <w:rPr>
          <w:b/>
        </w:rPr>
        <w:t>ABJC - ABJC - SERVAIR ABIDJAN CI</w:t>
      </w:r>
      <w:r>
        <w:t xml:space="preserve"> | Prix: 3150 FCFA | </w:t>
      </w:r>
      <w:r>
        <w:rPr>
          <w:b/>
          <w:color w:val="008000"/>
        </w:rPr>
        <w:t>ACHAT</w:t>
      </w:r>
      <w:r>
        <w:t xml:space="preserve"> | Confiance: Élevée | Risque: Moyen</w:t>
      </w:r>
    </w:p>
    <w:p>
      <w:pPr>
        <w:pStyle w:val="ListNumber"/>
      </w:pPr>
      <w:r>
        <w:rPr>
          <w:b/>
        </w:rPr>
        <w:t>BICB - BIIC BN - Banque internationale pour le commerce du benin</w:t>
      </w:r>
      <w:r>
        <w:t xml:space="preserve"> | Prix: 6350 FCFA | </w:t>
      </w:r>
      <w:r>
        <w:rPr>
          <w:b/>
          <w:color w:val="008000"/>
        </w:rPr>
        <w:t>ACHAT</w:t>
      </w:r>
      <w:r>
        <w:t xml:space="preserve"> | Confiance: Moyen | Risque: Faible</w:t>
      </w:r>
    </w:p>
    <w:p>
      <w:pPr>
        <w:pStyle w:val="ListNumber"/>
      </w:pPr>
      <w:r>
        <w:rPr>
          <w:b/>
        </w:rPr>
        <w:t>BNBC - BNBC - BERNABE CI</w:t>
      </w:r>
      <w:r>
        <w:t xml:space="preserve"> | Prix: 1755 FCFA | </w:t>
      </w:r>
      <w:r>
        <w:rPr>
          <w:b/>
          <w:color w:val="008000"/>
        </w:rPr>
        <w:t>ACHAT</w:t>
      </w:r>
      <w:r>
        <w:t xml:space="preserve"> | Confiance: Élevée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93.54%</w:t>
      </w:r>
      <w:r>
        <w:t xml:space="preserve">  |  </w:t>
      </w:r>
      <w:r>
        <w:rPr>
          <w:b/>
        </w:rPr>
        <w:t xml:space="preserve">vs BRVM Composite: </w:t>
      </w:r>
      <w:r>
        <w:rPr>
          <w:b/>
          <w:color w:val="008000"/>
        </w:rPr>
        <w:t>+76.23%  🟢 Surperformance</w:t>
      </w:r>
      <w:r>
        <w:br/>
      </w:r>
      <w:r>
        <w:rPr>
          <w:b/>
        </w:rPr>
        <w:t xml:space="preserve">Sentiment général: </w:t>
      </w:r>
      <w:r>
        <w:t xml:space="preserve">ACHAT  |  </w:t>
      </w:r>
      <w:r>
        <w:rPr>
          <w:b/>
        </w:rPr>
        <w:t xml:space="preserve">Risque moyen: </w:t>
      </w:r>
      <w:r>
        <w:t xml:space="preserve">Moyen  |  </w:t>
      </w:r>
      <w:r>
        <w:rPr>
          <w:b/>
        </w:rPr>
        <w:t xml:space="preserve">Prix moyen: </w:t>
      </w:r>
      <w:r>
        <w:t>8728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43.92%</w:t>
      </w:r>
      <w:r>
        <w:t xml:space="preserve">  |  </w:t>
      </w:r>
      <w:r>
        <w:rPr>
          <w:b/>
        </w:rPr>
        <w:t xml:space="preserve">vs BRVM Composite: </w:t>
      </w:r>
      <w:r>
        <w:rPr>
          <w:b/>
          <w:color w:val="008000"/>
        </w:rPr>
        <w:t>+26.61%  🟢 Surperformance</w:t>
      </w:r>
      <w:r>
        <w:br/>
      </w:r>
      <w:r>
        <w:rPr>
          <w:b/>
        </w:rPr>
        <w:t xml:space="preserve">Sentiment général: </w:t>
      </w:r>
      <w:r>
        <w:t xml:space="preserve">ACHAT  |  </w:t>
      </w:r>
      <w:r>
        <w:rPr>
          <w:b/>
        </w:rPr>
        <w:t xml:space="preserve">Risque moyen: </w:t>
      </w:r>
      <w:r>
        <w:t xml:space="preserve">Faible  |  </w:t>
      </w:r>
      <w:r>
        <w:rPr>
          <w:b/>
        </w:rPr>
        <w:t xml:space="preserve">Prix moyen: </w:t>
      </w:r>
      <w:r>
        <w:t>12502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35.41%</w:t>
      </w:r>
      <w:r>
        <w:t xml:space="preserve">  |  </w:t>
      </w:r>
      <w:r>
        <w:rPr>
          <w:b/>
        </w:rPr>
        <w:t xml:space="preserve">vs BRVM Composite: </w:t>
      </w:r>
      <w:r>
        <w:rPr>
          <w:b/>
          <w:color w:val="008000"/>
        </w:rPr>
        <w:t>+18.10%  🟢 Surperformance</w:t>
      </w:r>
      <w:r>
        <w:br/>
      </w:r>
      <w:r>
        <w:rPr>
          <w:b/>
        </w:rPr>
        <w:t xml:space="preserve">Sentiment général: </w:t>
      </w:r>
      <w:r>
        <w:t xml:space="preserve">ACHAT  |  </w:t>
      </w:r>
      <w:r>
        <w:rPr>
          <w:b/>
        </w:rPr>
        <w:t xml:space="preserve">Risque moyen: </w:t>
      </w:r>
      <w:r>
        <w:t xml:space="preserve">Faible  |  </w:t>
      </w:r>
      <w:r>
        <w:rPr>
          <w:b/>
        </w:rPr>
        <w:t xml:space="preserve">Prix moyen: </w:t>
      </w:r>
      <w:r>
        <w:t>6640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28.04%</w:t>
      </w:r>
      <w:r>
        <w:t xml:space="preserve">  |  </w:t>
      </w:r>
      <w:r>
        <w:rPr>
          <w:b/>
        </w:rPr>
        <w:t xml:space="preserve">vs BRVM Composite: </w:t>
      </w:r>
      <w:r>
        <w:rPr>
          <w:b/>
          <w:color w:val="008000"/>
        </w:rPr>
        <w:t>+10.73%  🟢 Surperformance</w:t>
      </w:r>
      <w:r>
        <w:br/>
      </w:r>
      <w:r>
        <w:rPr>
          <w:b/>
        </w:rPr>
        <w:t xml:space="preserve">Sentiment général: </w:t>
      </w:r>
      <w:r>
        <w:t xml:space="preserve">ACHAT  |  </w:t>
      </w:r>
      <w:r>
        <w:rPr>
          <w:b/>
        </w:rPr>
        <w:t xml:space="preserve">Risque moyen: </w:t>
      </w:r>
      <w:r>
        <w:t xml:space="preserve">Moyen  |  </w:t>
      </w:r>
      <w:r>
        <w:rPr>
          <w:b/>
        </w:rPr>
        <w:t xml:space="preserve">Prix moyen: </w:t>
      </w:r>
      <w:r>
        <w:t>18243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8.48%</w:t>
      </w:r>
      <w:r>
        <w:t xml:space="preserve">  |  </w:t>
      </w:r>
      <w:r>
        <w:rPr>
          <w:b/>
        </w:rPr>
        <w:t xml:space="preserve">vs BRVM Composite: </w:t>
      </w:r>
      <w:r>
        <w:rPr>
          <w:b/>
          <w:color w:val="C00000"/>
        </w:rPr>
        <w:t>-8.83%  🔴 Sous-performance</w:t>
      </w:r>
      <w:r>
        <w:br/>
      </w:r>
      <w:r>
        <w:rPr>
          <w:b/>
        </w:rPr>
        <w:t xml:space="preserve">Sentiment général: </w:t>
      </w:r>
      <w:r>
        <w:t xml:space="preserve">ACHAT  |  </w:t>
      </w:r>
      <w:r>
        <w:rPr>
          <w:b/>
        </w:rPr>
        <w:t xml:space="preserve">Risque moyen: </w:t>
      </w:r>
      <w:r>
        <w:t xml:space="preserve">Faible  |  </w:t>
      </w:r>
      <w:r>
        <w:rPr>
          <w:b/>
        </w:rPr>
        <w:t xml:space="preserve">Prix moyen: </w:t>
      </w:r>
      <w:r>
        <w:t>16732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3.50%</w:t>
      </w:r>
      <w:r>
        <w:t xml:space="preserve">  |  </w:t>
      </w:r>
      <w:r>
        <w:rPr>
          <w:b/>
        </w:rPr>
        <w:t xml:space="preserve">vs BRVM Composite: </w:t>
      </w:r>
      <w:r>
        <w:rPr>
          <w:b/>
          <w:color w:val="C00000"/>
        </w:rPr>
        <w:t>-13.81%  🔴 Sous-performance</w:t>
      </w:r>
      <w:r>
        <w:br/>
      </w:r>
      <w:r>
        <w:rPr>
          <w:b/>
        </w:rPr>
        <w:t xml:space="preserve">Sentiment général: </w:t>
      </w:r>
      <w:r>
        <w:t xml:space="preserve">ACHAT  |  </w:t>
      </w:r>
      <w:r>
        <w:rPr>
          <w:b/>
        </w:rPr>
        <w:t xml:space="preserve">Risque moyen: </w:t>
      </w:r>
      <w:r>
        <w:t xml:space="preserve">Moyen  |  </w:t>
      </w:r>
      <w:r>
        <w:rPr>
          <w:b/>
        </w:rPr>
        <w:t xml:space="preserve">Prix moyen: </w:t>
      </w:r>
      <w:r>
        <w:t>2645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3.17%</w:t>
      </w:r>
      <w:r>
        <w:t xml:space="preserve">  |  </w:t>
      </w:r>
      <w:r>
        <w:rPr>
          <w:b/>
        </w:rPr>
        <w:t xml:space="preserve">vs BRVM Composite: </w:t>
      </w:r>
      <w:r>
        <w:rPr>
          <w:b/>
          <w:color w:val="C00000"/>
        </w:rPr>
        <w:t>-14.14%  🔴 Sous-performance</w:t>
      </w:r>
      <w:r>
        <w:br/>
      </w:r>
      <w:r>
        <w:rPr>
          <w:b/>
        </w:rPr>
        <w:t xml:space="preserve">Sentiment général: </w:t>
      </w:r>
      <w:r>
        <w:t xml:space="preserve">ACHAT  |  </w:t>
      </w:r>
      <w:r>
        <w:rPr>
          <w:b/>
        </w:rPr>
        <w:t xml:space="preserve">Risque moyen: </w:t>
      </w:r>
      <w:r>
        <w:t xml:space="preserve">Moyen  |  </w:t>
      </w:r>
      <w:r>
        <w:rPr>
          <w:b/>
        </w:rPr>
        <w:t xml:space="preserve">Prix moyen: </w:t>
      </w:r>
      <w:r>
        <w:t>2476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BNBC, BOAC, CABC, CFAC, FTSC, NEIC, PRSC, SDSC, SLBC, SPHC,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BICC, BOABF, BOAM, ECOC, NSBC, NTLC, ORAC, ORGT, SAFC, SCRC, SHEC, SIBC, SICC, SMBC, SNTS, SOGC, STAC, STBC,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BOAB, BOAN, BOAS, CBIBF, CIEC, ETIT, LNBB, ONTBF, PALC, SDCC, SEMC, SGBC, SIVC,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1948823</w:t>
            </w:r>
          </w:p>
        </w:tc>
        <w:tc>
          <w:tcPr>
            <w:tcW w:type="dxa" w:w="1728"/>
          </w:tcPr>
          <w:p>
            <w:r>
              <w:t>89554325 FCFA</w:t>
            </w:r>
          </w:p>
        </w:tc>
        <w:tc>
          <w:tcPr>
            <w:tcW w:type="dxa" w:w="1728"/>
          </w:tcPr>
          <w:p>
            <w:r>
              <w:t>146.15%</w:t>
            </w:r>
          </w:p>
        </w:tc>
        <w:tc>
          <w:tcPr>
            <w:tcW w:type="dxa" w:w="1728"/>
          </w:tcPr>
          <w:p>
            <w:r>
              <w:t>ACHAT</w:t>
            </w:r>
          </w:p>
        </w:tc>
      </w:tr>
      <w:tr>
        <w:tc>
          <w:tcPr>
            <w:tcW w:type="dxa" w:w="1728"/>
          </w:tcPr>
          <w:p>
            <w:r>
              <w:t>SDSC (SDSC - AFRICA GLOBAL LOGISTICS CI)</w:t>
            </w:r>
          </w:p>
        </w:tc>
        <w:tc>
          <w:tcPr>
            <w:tcW w:type="dxa" w:w="1728"/>
          </w:tcPr>
          <w:p>
            <w:r>
              <w:t>23292</w:t>
            </w:r>
          </w:p>
        </w:tc>
        <w:tc>
          <w:tcPr>
            <w:tcW w:type="dxa" w:w="1728"/>
          </w:tcPr>
          <w:p>
            <w:r>
              <w:t>55364232 FCFA</w:t>
            </w:r>
          </w:p>
        </w:tc>
        <w:tc>
          <w:tcPr>
            <w:tcW w:type="dxa" w:w="1728"/>
          </w:tcPr>
          <w:p>
            <w:r>
              <w:t>29.62%</w:t>
            </w:r>
          </w:p>
        </w:tc>
        <w:tc>
          <w:tcPr>
            <w:tcW w:type="dxa" w:w="1728"/>
          </w:tcPr>
          <w:p>
            <w:r>
              <w:t>ACHAT</w:t>
            </w:r>
          </w:p>
        </w:tc>
      </w:tr>
      <w:tr>
        <w:tc>
          <w:tcPr>
            <w:tcW w:type="dxa" w:w="1728"/>
          </w:tcPr>
          <w:p>
            <w:r>
              <w:t>UNXC (UNXC - UNIWAX COTE D'IVOIRE)</w:t>
            </w:r>
          </w:p>
        </w:tc>
        <w:tc>
          <w:tcPr>
            <w:tcW w:type="dxa" w:w="1728"/>
          </w:tcPr>
          <w:p>
            <w:r>
              <w:t>20261</w:t>
            </w:r>
          </w:p>
        </w:tc>
        <w:tc>
          <w:tcPr>
            <w:tcW w:type="dxa" w:w="1728"/>
          </w:tcPr>
          <w:p>
            <w:r>
              <w:t>31189674 FCFA</w:t>
            </w:r>
          </w:p>
        </w:tc>
        <w:tc>
          <w:tcPr>
            <w:tcW w:type="dxa" w:w="1728"/>
          </w:tcPr>
          <w:p>
            <w:r>
              <w:t>-41.23%</w:t>
            </w:r>
          </w:p>
        </w:tc>
        <w:tc>
          <w:tcPr>
            <w:tcW w:type="dxa" w:w="1728"/>
          </w:tcPr>
          <w:p>
            <w:r>
              <w:t>ACHAT</w:t>
            </w:r>
          </w:p>
        </w:tc>
      </w:tr>
      <w:tr>
        <w:tc>
          <w:tcPr>
            <w:tcW w:type="dxa" w:w="1728"/>
          </w:tcPr>
          <w:p>
            <w:r>
              <w:t>BOAC (BANK OF AFRICA COTE D'IVOIRE)</w:t>
            </w:r>
          </w:p>
        </w:tc>
        <w:tc>
          <w:tcPr>
            <w:tcW w:type="dxa" w:w="1728"/>
          </w:tcPr>
          <w:p>
            <w:r>
              <w:t>14196</w:t>
            </w:r>
          </w:p>
        </w:tc>
        <w:tc>
          <w:tcPr>
            <w:tcW w:type="dxa" w:w="1728"/>
          </w:tcPr>
          <w:p>
            <w:r>
              <w:t>130598312 FCFA</w:t>
            </w:r>
          </w:p>
        </w:tc>
        <w:tc>
          <w:tcPr>
            <w:tcW w:type="dxa" w:w="1728"/>
          </w:tcPr>
          <w:p>
            <w:r>
              <w:t>26.67%</w:t>
            </w:r>
          </w:p>
        </w:tc>
        <w:tc>
          <w:tcPr>
            <w:tcW w:type="dxa" w:w="1728"/>
          </w:tcPr>
          <w:p>
            <w:r>
              <w:t>ACHAT</w:t>
            </w:r>
          </w:p>
        </w:tc>
      </w:tr>
      <w:tr>
        <w:tc>
          <w:tcPr>
            <w:tcW w:type="dxa" w:w="1728"/>
          </w:tcPr>
          <w:p>
            <w:r>
              <w:t>BICB (BIIC BN - Banque internationale pour le commerce du benin)</w:t>
            </w:r>
          </w:p>
        </w:tc>
        <w:tc>
          <w:tcPr>
            <w:tcW w:type="dxa" w:w="1728"/>
          </w:tcPr>
          <w:p>
            <w:r>
              <w:t>14088</w:t>
            </w:r>
          </w:p>
        </w:tc>
        <w:tc>
          <w:tcPr>
            <w:tcW w:type="dxa" w:w="1728"/>
          </w:tcPr>
          <w:p>
            <w:r>
              <w:t>83578420 FCFA</w:t>
            </w:r>
          </w:p>
        </w:tc>
        <w:tc>
          <w:tcPr>
            <w:tcW w:type="dxa" w:w="1728"/>
          </w:tcPr>
          <w:p>
            <w:r>
              <w:t>28.15%</w:t>
            </w:r>
          </w:p>
        </w:tc>
        <w:tc>
          <w:tcPr>
            <w:tcW w:type="dxa" w:w="1728"/>
          </w:tcPr>
          <w:p>
            <w:r>
              <w:t>ACHAT</w:t>
            </w:r>
          </w:p>
        </w:tc>
      </w:tr>
      <w:tr>
        <w:tc>
          <w:tcPr>
            <w:tcW w:type="dxa" w:w="1728"/>
          </w:tcPr>
          <w:p>
            <w:r>
              <w:t>BOAN (BANK OF AFRICA NIGER)</w:t>
            </w:r>
          </w:p>
        </w:tc>
        <w:tc>
          <w:tcPr>
            <w:tcW w:type="dxa" w:w="1728"/>
          </w:tcPr>
          <w:p>
            <w:r>
              <w:t>11997</w:t>
            </w:r>
          </w:p>
        </w:tc>
        <w:tc>
          <w:tcPr>
            <w:tcW w:type="dxa" w:w="1728"/>
          </w:tcPr>
          <w:p>
            <w:r>
              <w:t>48583986 FCFA</w:t>
            </w:r>
          </w:p>
        </w:tc>
        <w:tc>
          <w:tcPr>
            <w:tcW w:type="dxa" w:w="1728"/>
          </w:tcPr>
          <w:p>
            <w:r>
              <w:t>84.23%</w:t>
            </w:r>
          </w:p>
        </w:tc>
        <w:tc>
          <w:tcPr>
            <w:tcW w:type="dxa" w:w="1728"/>
          </w:tcPr>
          <w:p>
            <w:r>
              <w:t>ACHAT</w:t>
            </w:r>
          </w:p>
        </w:tc>
      </w:tr>
      <w:tr>
        <w:tc>
          <w:tcPr>
            <w:tcW w:type="dxa" w:w="1728"/>
          </w:tcPr>
          <w:p>
            <w:r>
              <w:t>SCRC (SCRC - SUCRIVOIRE)</w:t>
            </w:r>
          </w:p>
        </w:tc>
        <w:tc>
          <w:tcPr>
            <w:tcW w:type="dxa" w:w="1728"/>
          </w:tcPr>
          <w:p>
            <w:r>
              <w:t>10823</w:t>
            </w:r>
          </w:p>
        </w:tc>
        <w:tc>
          <w:tcPr>
            <w:tcW w:type="dxa" w:w="1728"/>
          </w:tcPr>
          <w:p>
            <w:r>
              <w:t>34942104 FCFA</w:t>
            </w:r>
          </w:p>
        </w:tc>
        <w:tc>
          <w:tcPr>
            <w:tcW w:type="dxa" w:w="1728"/>
          </w:tcPr>
          <w:p>
            <w:r>
              <w:t>156.04%</w:t>
            </w:r>
          </w:p>
        </w:tc>
        <w:tc>
          <w:tcPr>
            <w:tcW w:type="dxa" w:w="1728"/>
          </w:tcPr>
          <w:p>
            <w:r>
              <w:t>ACHAT</w:t>
            </w:r>
          </w:p>
        </w:tc>
      </w:tr>
      <w:tr>
        <w:tc>
          <w:tcPr>
            <w:tcW w:type="dxa" w:w="1728"/>
          </w:tcPr>
          <w:p>
            <w:r>
              <w:t>SIBC (SIBC - SOCIETE IVOIRIENNE DE BANQUE)</w:t>
            </w:r>
          </w:p>
        </w:tc>
        <w:tc>
          <w:tcPr>
            <w:tcW w:type="dxa" w:w="1728"/>
          </w:tcPr>
          <w:p>
            <w:r>
              <w:t>10765</w:t>
            </w:r>
          </w:p>
        </w:tc>
        <w:tc>
          <w:tcPr>
            <w:tcW w:type="dxa" w:w="1728"/>
          </w:tcPr>
          <w:p>
            <w:r>
              <w:t>95141725 FCFA</w:t>
            </w:r>
          </w:p>
        </w:tc>
        <w:tc>
          <w:tcPr>
            <w:tcW w:type="dxa" w:w="1728"/>
          </w:tcPr>
          <w:p>
            <w:r>
              <w:t>30.66%</w:t>
            </w:r>
          </w:p>
        </w:tc>
        <w:tc>
          <w:tcPr>
            <w:tcW w:type="dxa" w:w="1728"/>
          </w:tcPr>
          <w:p>
            <w:r>
              <w:t>ACHAT</w:t>
            </w:r>
          </w:p>
        </w:tc>
      </w:tr>
      <w:tr>
        <w:tc>
          <w:tcPr>
            <w:tcW w:type="dxa" w:w="1728"/>
          </w:tcPr>
          <w:p>
            <w:r>
              <w:t>BOAS (BANK OF AFRICA SENEGAL)</w:t>
            </w:r>
          </w:p>
        </w:tc>
        <w:tc>
          <w:tcPr>
            <w:tcW w:type="dxa" w:w="1728"/>
          </w:tcPr>
          <w:p>
            <w:r>
              <w:t>10275</w:t>
            </w:r>
          </w:p>
        </w:tc>
        <w:tc>
          <w:tcPr>
            <w:tcW w:type="dxa" w:w="1728"/>
          </w:tcPr>
          <w:p>
            <w:r>
              <w:t>75352483 FCFA</w:t>
            </w:r>
          </w:p>
        </w:tc>
        <w:tc>
          <w:tcPr>
            <w:tcW w:type="dxa" w:w="1728"/>
          </w:tcPr>
          <w:p>
            <w:r>
              <w:t>23.73%</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SGBC (SGBC - SOCIETE GENERALE COTE D'IVOIRE)</w:t>
            </w:r>
          </w:p>
        </w:tc>
        <w:tc>
          <w:tcPr>
            <w:tcW w:type="dxa" w:w="1728"/>
          </w:tcPr>
          <w:p>
            <w:r>
              <w:t>3359</w:t>
            </w:r>
          </w:p>
        </w:tc>
        <w:tc>
          <w:tcPr>
            <w:tcW w:type="dxa" w:w="1728"/>
          </w:tcPr>
          <w:p>
            <w:r>
              <w:t>130570649 FCFA</w:t>
            </w:r>
          </w:p>
        </w:tc>
        <w:tc>
          <w:tcPr>
            <w:tcW w:type="dxa" w:w="1728"/>
          </w:tcPr>
          <w:p>
            <w:r>
              <w:t>25.81%</w:t>
            </w:r>
          </w:p>
        </w:tc>
        <w:tc>
          <w:tcPr>
            <w:tcW w:type="dxa" w:w="1728"/>
          </w:tcPr>
          <w:p>
            <w:r>
              <w:t>ACHAT</w:t>
            </w:r>
          </w:p>
        </w:tc>
      </w:tr>
      <w:tr>
        <w:tc>
          <w:tcPr>
            <w:tcW w:type="dxa" w:w="1728"/>
          </w:tcPr>
          <w:p>
            <w:r>
              <w:t>TTLS (TTLS - TOTAL ENERGIES MARKETING SENEGAL)</w:t>
            </w:r>
          </w:p>
        </w:tc>
        <w:tc>
          <w:tcPr>
            <w:tcW w:type="dxa" w:w="1728"/>
          </w:tcPr>
          <w:p>
            <w:r>
              <w:t>3217</w:t>
            </w:r>
          </w:p>
        </w:tc>
        <w:tc>
          <w:tcPr>
            <w:tcW w:type="dxa" w:w="1728"/>
          </w:tcPr>
          <w:p>
            <w:r>
              <w:t>12471076 FCFA</w:t>
            </w:r>
          </w:p>
        </w:tc>
        <w:tc>
          <w:tcPr>
            <w:tcW w:type="dxa" w:w="1728"/>
          </w:tcPr>
          <w:p>
            <w:r>
              <w:t>56.62%</w:t>
            </w:r>
          </w:p>
        </w:tc>
        <w:tc>
          <w:tcPr>
            <w:tcW w:type="dxa" w:w="1728"/>
          </w:tcPr>
          <w:p>
            <w:r>
              <w:t>ACHAT</w:t>
            </w:r>
          </w:p>
        </w:tc>
      </w:tr>
      <w:tr>
        <w:tc>
          <w:tcPr>
            <w:tcW w:type="dxa" w:w="1728"/>
          </w:tcPr>
          <w:p>
            <w:r>
              <w:t>BNBC (BNBC - BERNABE CI)</w:t>
            </w:r>
          </w:p>
        </w:tc>
        <w:tc>
          <w:tcPr>
            <w:tcW w:type="dxa" w:w="1728"/>
          </w:tcPr>
          <w:p>
            <w:r>
              <w:t>3201</w:t>
            </w:r>
          </w:p>
        </w:tc>
        <w:tc>
          <w:tcPr>
            <w:tcW w:type="dxa" w:w="1728"/>
          </w:tcPr>
          <w:p>
            <w:r>
              <w:t>6326206 FCFA</w:t>
            </w:r>
          </w:p>
        </w:tc>
        <w:tc>
          <w:tcPr>
            <w:tcW w:type="dxa" w:w="1728"/>
          </w:tcPr>
          <w:p>
            <w:r>
              <w:t>6.36%</w:t>
            </w:r>
          </w:p>
        </w:tc>
        <w:tc>
          <w:tcPr>
            <w:tcW w:type="dxa" w:w="1728"/>
          </w:tcPr>
          <w:p>
            <w:r>
              <w:t>ACHAT</w:t>
            </w:r>
          </w:p>
        </w:tc>
      </w:tr>
      <w:tr>
        <w:tc>
          <w:tcPr>
            <w:tcW w:type="dxa" w:w="1728"/>
          </w:tcPr>
          <w:p>
            <w:r>
              <w:t>SOGC (SOGC - Société des caoutchoucs de Grand-Béréby)</w:t>
            </w:r>
          </w:p>
        </w:tc>
        <w:tc>
          <w:tcPr>
            <w:tcW w:type="dxa" w:w="1728"/>
          </w:tcPr>
          <w:p>
            <w:r>
              <w:t>2829</w:t>
            </w:r>
          </w:p>
        </w:tc>
        <w:tc>
          <w:tcPr>
            <w:tcW w:type="dxa" w:w="1728"/>
          </w:tcPr>
          <w:p>
            <w:r>
              <w:t>23469194 FCFA</w:t>
            </w:r>
          </w:p>
        </w:tc>
        <w:tc>
          <w:tcPr>
            <w:tcW w:type="dxa" w:w="1728"/>
          </w:tcPr>
          <w:p>
            <w:r>
              <w:t>1.33%</w:t>
            </w:r>
          </w:p>
        </w:tc>
        <w:tc>
          <w:tcPr>
            <w:tcW w:type="dxa" w:w="1728"/>
          </w:tcPr>
          <w:p>
            <w:r>
              <w:t>ACHAT</w:t>
            </w:r>
          </w:p>
        </w:tc>
      </w:tr>
      <w:tr>
        <w:tc>
          <w:tcPr>
            <w:tcW w:type="dxa" w:w="1728"/>
          </w:tcPr>
          <w:p>
            <w:r>
              <w:t>ORAC (ORAC - ORANGE COTE D'IVOIRE)</w:t>
            </w:r>
          </w:p>
        </w:tc>
        <w:tc>
          <w:tcPr>
            <w:tcW w:type="dxa" w:w="1728"/>
          </w:tcPr>
          <w:p>
            <w:r>
              <w:t>2727</w:t>
            </w:r>
          </w:p>
        </w:tc>
        <w:tc>
          <w:tcPr>
            <w:tcW w:type="dxa" w:w="1728"/>
          </w:tcPr>
          <w:p>
            <w:r>
              <w:t>44397572 FCFA</w:t>
            </w:r>
          </w:p>
        </w:tc>
        <w:tc>
          <w:tcPr>
            <w:tcW w:type="dxa" w:w="1728"/>
          </w:tcPr>
          <w:p>
            <w:r>
              <w:t>8.52%</w:t>
            </w:r>
          </w:p>
        </w:tc>
        <w:tc>
          <w:tcPr>
            <w:tcW w:type="dxa" w:w="1728"/>
          </w:tcPr>
          <w:p>
            <w:r>
              <w:t>ACHAT</w:t>
            </w:r>
          </w:p>
        </w:tc>
      </w:tr>
      <w:tr>
        <w:tc>
          <w:tcPr>
            <w:tcW w:type="dxa" w:w="1728"/>
          </w:tcPr>
          <w:p>
            <w:r>
              <w:t>ABJC (ABJC - SERVAIR ABIDJAN CI)</w:t>
            </w:r>
          </w:p>
        </w:tc>
        <w:tc>
          <w:tcPr>
            <w:tcW w:type="dxa" w:w="1728"/>
          </w:tcPr>
          <w:p>
            <w:r>
              <w:t>2308</w:t>
            </w:r>
          </w:p>
        </w:tc>
        <w:tc>
          <w:tcPr>
            <w:tcW w:type="dxa" w:w="1728"/>
          </w:tcPr>
          <w:p>
            <w:r>
              <w:t>7702008 FCFA</w:t>
            </w:r>
          </w:p>
        </w:tc>
        <w:tc>
          <w:tcPr>
            <w:tcW w:type="dxa" w:w="1728"/>
          </w:tcPr>
          <w:p>
            <w:r>
              <w:t>1.61%</w:t>
            </w:r>
          </w:p>
        </w:tc>
        <w:tc>
          <w:tcPr>
            <w:tcW w:type="dxa" w:w="1728"/>
          </w:tcPr>
          <w:p>
            <w:r>
              <w:t>ACHAT</w:t>
            </w:r>
          </w:p>
        </w:tc>
      </w:tr>
      <w:tr>
        <w:tc>
          <w:tcPr>
            <w:tcW w:type="dxa" w:w="1728"/>
          </w:tcPr>
          <w:p>
            <w:r>
              <w:t>NEIC (NEIC - NEI-CEDA CI)</w:t>
            </w:r>
          </w:p>
        </w:tc>
        <w:tc>
          <w:tcPr>
            <w:tcW w:type="dxa" w:w="1728"/>
          </w:tcPr>
          <w:p>
            <w:r>
              <w:t>2290</w:t>
            </w:r>
          </w:p>
        </w:tc>
        <w:tc>
          <w:tcPr>
            <w:tcW w:type="dxa" w:w="1728"/>
          </w:tcPr>
          <w:p>
            <w:r>
              <w:t>5130978 FCFA</w:t>
            </w:r>
          </w:p>
        </w:tc>
        <w:tc>
          <w:tcPr>
            <w:tcW w:type="dxa" w:w="1728"/>
          </w:tcPr>
          <w:p>
            <w:r>
              <w:t>49.81%</w:t>
            </w:r>
          </w:p>
        </w:tc>
        <w:tc>
          <w:tcPr>
            <w:tcW w:type="dxa" w:w="1728"/>
          </w:tcPr>
          <w:p>
            <w:r>
              <w:t>ACHAT</w:t>
            </w:r>
          </w:p>
        </w:tc>
      </w:tr>
      <w:tr>
        <w:tc>
          <w:tcPr>
            <w:tcW w:type="dxa" w:w="1728"/>
          </w:tcPr>
          <w:p>
            <w:r>
              <w:t>SPHC (SPHC - Société Africaine de Plantation d'Hévéas de Côte d'Ivoire)</w:t>
            </w:r>
          </w:p>
        </w:tc>
        <w:tc>
          <w:tcPr>
            <w:tcW w:type="dxa" w:w="1728"/>
          </w:tcPr>
          <w:p>
            <w:r>
              <w:t>1960</w:t>
            </w:r>
          </w:p>
        </w:tc>
        <w:tc>
          <w:tcPr>
            <w:tcW w:type="dxa" w:w="1728"/>
          </w:tcPr>
          <w:p>
            <w:r>
              <w:t>14903747 FCFA</w:t>
            </w:r>
          </w:p>
        </w:tc>
        <w:tc>
          <w:tcPr>
            <w:tcW w:type="dxa" w:w="1728"/>
          </w:tcPr>
          <w:p>
            <w:r>
              <w:t>-3.08%</w:t>
            </w:r>
          </w:p>
        </w:tc>
        <w:tc>
          <w:tcPr>
            <w:tcW w:type="dxa" w:w="1728"/>
          </w:tcPr>
          <w:p>
            <w:r>
              <w:t>ACHAT FORT</w:t>
            </w:r>
          </w:p>
        </w:tc>
      </w:tr>
      <w:tr>
        <w:tc>
          <w:tcPr>
            <w:tcW w:type="dxa" w:w="1728"/>
          </w:tcPr>
          <w:p>
            <w:r>
              <w:t>SLBC (SLBC - SOLIBRA COTE D'IVOIRE)</w:t>
            </w:r>
          </w:p>
        </w:tc>
        <w:tc>
          <w:tcPr>
            <w:tcW w:type="dxa" w:w="1728"/>
          </w:tcPr>
          <w:p>
            <w:r>
              <w:t>1831</w:t>
            </w:r>
          </w:p>
        </w:tc>
        <w:tc>
          <w:tcPr>
            <w:tcW w:type="dxa" w:w="1728"/>
          </w:tcPr>
          <w:p>
            <w:r>
              <w:t>72451402 FCFA</w:t>
            </w:r>
          </w:p>
        </w:tc>
        <w:tc>
          <w:tcPr>
            <w:tcW w:type="dxa" w:w="1728"/>
          </w:tcPr>
          <w:p>
            <w:r>
              <w:t>33.03%</w:t>
            </w:r>
          </w:p>
        </w:tc>
        <w:tc>
          <w:tcPr>
            <w:tcW w:type="dxa" w:w="1728"/>
          </w:tcPr>
          <w:p>
            <w:r>
              <w:t>ACHAT FORT</w:t>
            </w:r>
          </w:p>
        </w:tc>
      </w:tr>
      <w:tr>
        <w:tc>
          <w:tcPr>
            <w:tcW w:type="dxa" w:w="1728"/>
          </w:tcPr>
          <w:p>
            <w:r>
              <w:t>CABC (CABC - SICABLE COTE D'IVOIRE)</w:t>
            </w:r>
          </w:p>
        </w:tc>
        <w:tc>
          <w:tcPr>
            <w:tcW w:type="dxa" w:w="1728"/>
          </w:tcPr>
          <w:p>
            <w:r>
              <w:t>1790</w:t>
            </w:r>
          </w:p>
        </w:tc>
        <w:tc>
          <w:tcPr>
            <w:tcW w:type="dxa" w:w="1728"/>
          </w:tcPr>
          <w:p>
            <w:r>
              <w:t>7340231 FCFA</w:t>
            </w:r>
          </w:p>
        </w:tc>
        <w:tc>
          <w:tcPr>
            <w:tcW w:type="dxa" w:w="1728"/>
          </w:tcPr>
          <w:p>
            <w:r>
              <w:t>-1.12%</w:t>
            </w:r>
          </w:p>
        </w:tc>
        <w:tc>
          <w:tcPr>
            <w:tcW w:type="dxa" w:w="1728"/>
          </w:tcPr>
          <w:p>
            <w:r>
              <w:t>ACHAT FORT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BOAS - BANK OF AFRICA SENEGAL</w:t>
      </w:r>
    </w:p>
    <w:p>
      <w:r>
        <w:rPr>
          <w:b/>
        </w:rPr>
        <w:t xml:space="preserve">Score de divergence: </w:t>
      </w:r>
      <w:r>
        <w:t>5/8</w:t>
        <w:br/>
      </w:r>
      <w:r>
        <w:rPr>
          <w:b/>
        </w:rPr>
        <w:t xml:space="preserve">Description: </w:t>
      </w:r>
      <w:r>
        <w:t>Signaux de vente: MM, MACD | Recommandation finale: ACHAT</w:t>
        <w:br/>
      </w:r>
    </w:p>
    <w:p/>
    <w:p>
      <w:pPr>
        <w:pStyle w:val="Heading3"/>
      </w:pPr>
      <w:r>
        <w:t>2. SEMC - SEMC - EVIOSYS PACKAGING SIEM CI</w:t>
      </w:r>
    </w:p>
    <w:p>
      <w:r>
        <w:rPr>
          <w:b/>
        </w:rPr>
        <w:t xml:space="preserve">Score de divergence: </w:t>
      </w:r>
      <w:r>
        <w:t>5/8</w:t>
        <w:br/>
      </w:r>
      <w:r>
        <w:rPr>
          <w:b/>
        </w:rPr>
        <w:t xml:space="preserve">Description: </w:t>
      </w:r>
      <w:r>
        <w:t>Signaux de vente: MM, MACD | Recommandation finale: ACHAT</w:t>
        <w:br/>
      </w:r>
    </w:p>
    <w:p/>
    <w:p>
      <w:pPr>
        <w:pStyle w:val="Heading3"/>
      </w:pPr>
      <w:r>
        <w:t>3. BOAB - BANK OF AFRICA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4. BOAN - BANK OF AFRICA NIGER</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CBIBF - CBIBF - CORIS BANK INTERNATIONAL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CIEC - CIEC - Compagnie Ivoirienne d'Electricité</w:t>
      </w:r>
    </w:p>
    <w:p>
      <w:r>
        <w:rPr>
          <w:b/>
        </w:rPr>
        <w:t xml:space="preserve">Score de divergence: </w:t>
      </w:r>
      <w:r>
        <w:t>4/8</w:t>
        <w:br/>
      </w:r>
      <w:r>
        <w:rPr>
          <w:b/>
        </w:rPr>
        <w:t xml:space="preserve">Description: </w:t>
      </w:r>
      <w:r>
        <w:t>Signaux d'achat: MM | Signaux de vente: MACD, RSI | Recommandation finale: ACHAT</w:t>
        <w:br/>
      </w:r>
    </w:p>
    <w:p/>
    <w:p>
      <w:pPr>
        <w:pStyle w:val="Heading3"/>
      </w:pPr>
      <w:r>
        <w:t>7. ETIT - ETIT - Ecobank Transnational Incorporated Togo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LNBB - LNBB - LOTERIE NATIONALE DU BENIN</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ONTBF - ONTBF - ONATEL BURKINA FASO</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PALC - PALC - PALM COTE D'IVOIRE</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PRSC (PRSC - TRACTAFRIC MOTORS CI)</w:t>
      </w:r>
    </w:p>
    <w:p>
      <w:pPr>
        <w:pStyle w:val="ListBullet"/>
      </w:pPr>
      <w:r>
        <w:t>• SDSC (SDSC - AFRICA GLOBAL LOGISTICS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SEMC (SEMC - EVIOSYS PACKAGING SIEM CI)</w:t>
      </w:r>
    </w:p>
    <w:p>
      <w:pPr>
        <w:pStyle w:val="ListBullet"/>
      </w:pPr>
      <w:r>
        <w:t>• SICC (SICC - SICOR COTE D'IVOIRE)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Absolument. Voici le rapport d'analyse macro complet, rédigé en français, basé strictement sur les actualités fournies.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**Hausse des prix du pétrole** : L'augmentation des coûts de l'énergie et du transport impacte négativement les industries agro-alimentaires, comme la production de sucre.</w:t>
      </w:r>
    </w:p>
    <w:p>
      <w:pPr>
        <w:pStyle w:val="ListBullet"/>
        <w:spacing w:before="20" w:after="20"/>
        <w:ind w:left="360"/>
      </w:pPr>
      <w:r>
        <w:rPr>
          <w:sz w:val="18"/>
        </w:rPr>
        <w:t>**Politique monétaire de la Fed** : La Réserve fédérale américaine ajuste ses perspectives de taux en fonction de l'inflation, créant une incertitude sur les marchés globaux.</w:t>
      </w:r>
    </w:p>
    <w:p>
      <w:pPr>
        <w:pStyle w:val="ListBullet"/>
        <w:spacing w:before="20" w:after="20"/>
        <w:ind w:left="360"/>
      </w:pPr>
      <w:r>
        <w:rPr>
          <w:sz w:val="18"/>
        </w:rPr>
        <w:t>**Tensions géopolitiques (États-Unis/Iran)** : Le conflit au Moyen-Orient pousse la BCE à envisager une politique de lutte contre l'inflation, ce qui pourrait resserrer les conditions financières mondiales.</w:t>
      </w:r>
    </w:p>
    <w:p>
      <w:pPr>
        <w:pStyle w:val="Heading3"/>
      </w:pPr>
      <w:r>
        <w:rPr>
          <w:color w:val="500050"/>
        </w:rPr>
        <w:t>⚡ Impact estimé sur la BRVM</w:t>
      </w:r>
    </w:p>
    <w:p>
      <w:pPr>
        <w:spacing w:before="20" w:after="40"/>
        <w:ind w:left="280"/>
      </w:pPr>
      <w:r>
        <w:rPr>
          <w:i/>
          <w:sz w:val="18"/>
        </w:rPr>
        <w:t>La hausse des prix du pétrole pèse directement sur les coûts des sociétés cotées, notamment dans les secteurs **ÉNERGIE (TTLC)** et **INDUSTRIELS (FTSC, SDSC, CABC)**. L'incertitude sur les taux d'intérêt mondiaux pourrait réduire l'appétit pour le risque des investisseurs étrangers, limitant les flux de capitaux vers la BRVM.</w:t>
      </w:r>
    </w:p>
    <w:p>
      <w:pPr>
        <w:pStyle w:val="Heading2"/>
      </w:pPr>
      <w:r>
        <w:rPr>
          <w:color w:val="006E32"/>
        </w:rPr>
        <w:t>🌍 Plan Africain</w:t>
      </w:r>
    </w:p>
    <w:p>
      <w:pPr>
        <w:pStyle w:val="ListBullet"/>
        <w:spacing w:before="20" w:after="20"/>
        <w:ind w:left="360"/>
      </w:pPr>
      <w:r>
        <w:rPr>
          <w:sz w:val="18"/>
        </w:rPr>
        <w:t>**Lancement de la Kinshasa Stock Exchange (RDC)** : Une initiative positive qui marque le développement des marchés financiers en Afrique centrale.</w:t>
      </w:r>
    </w:p>
    <w:p>
      <w:pPr>
        <w:pStyle w:val="ListBullet"/>
        <w:spacing w:before="20" w:after="20"/>
        <w:ind w:left="360"/>
      </w:pPr>
      <w:r>
        <w:rPr>
          <w:sz w:val="18"/>
        </w:rPr>
        <w:t>**Ecobank cote la première obligation "Nature" à Londres** : Une innovation financière majeure pour le continent, renforçant l'image d'Ecobank comme acteur panafricain durable.</w:t>
      </w:r>
    </w:p>
    <w:p>
      <w:pPr>
        <w:pStyle w:val="ListBullet"/>
        <w:spacing w:before="20" w:after="20"/>
        <w:ind w:left="360"/>
      </w:pPr>
      <w:r>
        <w:rPr>
          <w:sz w:val="18"/>
        </w:rPr>
        <w:t>**Financement de la raffinerie kényane de Dangote** : Le conglomérat nigérian cherche des financements pour son expansion, signalant une dynamique d'investissement dans le raffinage en Afrique de l'Est.</w:t>
      </w:r>
    </w:p>
    <w:p>
      <w:pPr>
        <w:pStyle w:val="Heading3"/>
      </w:pPr>
      <w:r>
        <w:rPr>
          <w:color w:val="500050"/>
        </w:rPr>
        <w:t>⚡ Impact estimé sur la BRVM</w:t>
      </w:r>
    </w:p>
    <w:p>
      <w:pPr>
        <w:spacing w:before="20" w:after="40"/>
        <w:ind w:left="280"/>
      </w:pPr>
      <w:r>
        <w:rPr>
          <w:i/>
          <w:sz w:val="18"/>
        </w:rPr>
        <w:t>L'innovation d'**Ecobank** (non cotée directement, mais via ses filiales) est un signal positif pour le secteur **SERVICES FINANCIERS (BOAC, BOAM, BOAN)**. Le lancement de la bourse de Kinshasa pourrait, à long terme, créer une concurrence pour attirer les capitaux, mais à court terme, il n'a pas d'impact direct sur la BRVM.</w:t>
      </w:r>
    </w:p>
    <w:p>
      <w:pPr>
        <w:pStyle w:val="Heading2"/>
      </w:pPr>
      <w:r>
        <w:rPr>
          <w:color w:val="145A28"/>
        </w:rPr>
        <w:t>🌍 Plan Afrique de l'Ouest</w:t>
      </w:r>
    </w:p>
    <w:p>
      <w:pPr>
        <w:pStyle w:val="ListBullet"/>
        <w:spacing w:before="20" w:after="20"/>
        <w:ind w:left="360"/>
      </w:pPr>
      <w:r>
        <w:rPr>
          <w:sz w:val="18"/>
        </w:rPr>
        <w:t>**Industrialisation : Sénégal et Côte d'Ivoire en tête** : Ces deux pays distancent le Mali et la moyenne de la CEDEAO, ce qui est un signal négatif pour l'intégration régionale.</w:t>
      </w:r>
    </w:p>
    <w:p>
      <w:pPr>
        <w:pStyle w:val="ListBullet"/>
        <w:spacing w:before="20" w:after="20"/>
        <w:ind w:left="360"/>
      </w:pPr>
      <w:r>
        <w:rPr>
          <w:sz w:val="18"/>
        </w:rPr>
        <w:t>**Création d'institutions financières par l'AES** : Le Mali, le Burkina Faso et le Niger créent leurs propres institutions pour réduire l'influence française, ce qui fragmente le paysage financier ouest-africain.</w:t>
      </w:r>
    </w:p>
    <w:p>
      <w:pPr>
        <w:pStyle w:val="Heading3"/>
      </w:pPr>
      <w:r>
        <w:rPr>
          <w:color w:val="500050"/>
        </w:rPr>
        <w:t>⚡ Impact estimé sur la BRVM</w:t>
      </w:r>
    </w:p>
    <w:p>
      <w:pPr>
        <w:spacing w:before="20" w:after="40"/>
        <w:ind w:left="280"/>
      </w:pPr>
      <w:r>
        <w:rPr>
          <w:i/>
          <w:sz w:val="18"/>
        </w:rPr>
        <w:t>La fragmentation de la zone (AES vs CEDEAO) est un risque pour les sociétés cotées ayant des opérations dans les pays de l'AES. Les banques comme **BOAC, BOAM, BOAN, BICB** et les industriels comme **CABC** pourraient faire face à des complexités réglementaires et opérationnelles accrues dans ces pays.</w:t>
      </w:r>
    </w:p>
    <w:p>
      <w:pPr>
        <w:pStyle w:val="Heading2"/>
      </w:pPr>
      <w:r>
        <w:rPr>
          <w:color w:val="8C4600"/>
        </w:rPr>
        <w:t>🏦 Plan UEMOA / Zone Franc</w:t>
      </w:r>
    </w:p>
    <w:p>
      <w:pPr>
        <w:pStyle w:val="ListBullet"/>
        <w:spacing w:before="20" w:after="20"/>
        <w:ind w:left="360"/>
      </w:pPr>
      <w:r>
        <w:rPr>
          <w:sz w:val="18"/>
        </w:rPr>
        <w:t>**Nouvelle offensive jihadiste au Mali** : L'actualité sécuritaire au Mali reste préoccupante, affectant la stabilité régionale.</w:t>
      </w:r>
    </w:p>
    <w:p>
      <w:pPr>
        <w:pStyle w:val="ListBullet"/>
        <w:spacing w:before="20" w:after="20"/>
        <w:ind w:left="360"/>
      </w:pPr>
      <w:r>
        <w:rPr>
          <w:sz w:val="18"/>
        </w:rPr>
        <w:t>**Reprise en main des mines au Sénégal** : L'article de Jeune Afrique évoque une reprise en main du secteur minier, ce qui peut créer de l'incertitude pour les investisseurs.</w:t>
      </w:r>
    </w:p>
    <w:p>
      <w:pPr>
        <w:pStyle w:val="Heading3"/>
      </w:pPr>
      <w:r>
        <w:rPr>
          <w:color w:val="500050"/>
        </w:rPr>
        <w:t>⚡ Impact estimé sur la BRVM</w:t>
      </w:r>
    </w:p>
    <w:p>
      <w:pPr>
        <w:spacing w:before="20" w:after="40"/>
        <w:ind w:left="280"/>
      </w:pPr>
      <w:r>
        <w:rPr>
          <w:i/>
          <w:sz w:val="18"/>
        </w:rPr>
        <w:t>L'insécurité au Mali et les tensions politiques dans la région pèsent sur la confiance des investisseurs. Les sociétés du secteur **CONSOMMATION DISCRETIONNAIRE (BNBC, NEIC, PRSC, ABJC)** et **INDUSTRIELS (SDSC)** exposées à ces marchés pourraient voir leur activité perturbée.</w:t>
      </w:r>
    </w:p>
    <w:p>
      <w:pPr>
        <w:pStyle w:val="Heading2"/>
      </w:pPr>
      <w:r>
        <w:rPr>
          <w:color w:val="003366"/>
        </w:rPr>
        <w:t>📈 Plan BRVM</w:t>
      </w:r>
    </w:p>
    <w:p>
      <w:pPr>
        <w:pStyle w:val="ListBullet"/>
        <w:spacing w:before="20" w:after="20"/>
        <w:ind w:left="360"/>
      </w:pPr>
      <w:r>
        <w:rPr>
          <w:sz w:val="18"/>
        </w:rPr>
        <w:t>**Résultats encourageants des sociétés cotées ivoiriennes** : Un article de La Tribune (daté du 9 juin) souligne la bonne santé des entreprises ivoiriennes, moteur de la BRVM.</w:t>
      </w:r>
    </w:p>
    <w:p>
      <w:pPr>
        <w:pStyle w:val="Heading3"/>
      </w:pPr>
      <w:r>
        <w:rPr>
          <w:color w:val="500050"/>
        </w:rPr>
        <w:t>⚡ Impact estimé sur la BRVM</w:t>
      </w:r>
    </w:p>
    <w:p>
      <w:pPr>
        <w:spacing w:before="20" w:after="40"/>
        <w:ind w:left="280"/>
      </w:pPr>
      <w:r>
        <w:rPr>
          <w:i/>
          <w:sz w:val="18"/>
        </w:rPr>
        <w:t>Cette nouvelle est un signal positif pour l'ensemble du marché. Elle renforce l'attractivité des valeurs ivoiriennes, notamment dans les secteurs de la **CONSOMMATION DISCRETIONNAIRE (BNBC, NEIC, PRSC, ABJC, UNXC)** et des **SERVICES FINANCIERS (BOAC, BOAM, BOAN, BICB)**.</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**Conflit États-Unis/Iran** : Ce conflit est une source majeure d'instabilité géopolitique mondiale, avec des conséquences sur les prix de l'énergie et les chaînes d'approvisionnement.</w:t>
      </w:r>
    </w:p>
    <w:p>
      <w:pPr>
        <w:pStyle w:val="Heading3"/>
      </w:pPr>
      <w:r>
        <w:rPr>
          <w:color w:val="500050"/>
        </w:rPr>
        <w:t>⚡ Impact estimé sur la BRVM</w:t>
      </w:r>
    </w:p>
    <w:p>
      <w:pPr>
        <w:spacing w:before="20" w:after="40"/>
        <w:ind w:left="280"/>
      </w:pPr>
      <w:r>
        <w:rPr>
          <w:i/>
          <w:sz w:val="18"/>
        </w:rPr>
        <w:t>L'instabilité géopolitique mondiale pousse les investisseurs vers des valeurs refuges. La BRVM, en tant que marché émergent, pourrait subir une baisse de l'appétit pour le risque et des sorties de capitaux, affectant négativement les cours.</w:t>
      </w:r>
    </w:p>
    <w:p>
      <w:pPr>
        <w:pStyle w:val="Heading2"/>
      </w:pPr>
      <w:r>
        <w:rPr>
          <w:color w:val="006E32"/>
        </w:rPr>
        <w:t>🌍 Plan Africain</w:t>
      </w:r>
    </w:p>
    <w:p>
      <w:pPr>
        <w:pStyle w:val="ListBullet"/>
        <w:spacing w:before="20" w:after="20"/>
        <w:ind w:left="360"/>
      </w:pPr>
      <w:r>
        <w:rPr>
          <w:sz w:val="18"/>
        </w:rPr>
        <w:t>**Lancement de la bourse de Kinshasa (RDC)** : Initiative positive pour le développement du continent.</w:t>
      </w:r>
    </w:p>
    <w:p>
      <w:pPr>
        <w:pStyle w:val="ListBullet"/>
        <w:spacing w:before="20" w:after="20"/>
        <w:ind w:left="360"/>
      </w:pPr>
      <w:r>
        <w:rPr>
          <w:sz w:val="18"/>
        </w:rPr>
        <w:t>**Industrialisation en Afrique de l'Ouest** : Le retard du Mali et de la CEDEAO par rapport à la Côte d'Ivoire et au Sénégal crée des disparités.</w:t>
      </w:r>
    </w:p>
    <w:p>
      <w:pPr>
        <w:pStyle w:val="Heading3"/>
      </w:pPr>
      <w:r>
        <w:rPr>
          <w:color w:val="500050"/>
        </w:rPr>
        <w:t>⚡ Impact estimé sur la BRVM</w:t>
      </w:r>
    </w:p>
    <w:p>
      <w:pPr>
        <w:spacing w:before="20" w:after="40"/>
        <w:ind w:left="280"/>
      </w:pPr>
      <w:r>
        <w:rPr>
          <w:i/>
          <w:sz w:val="18"/>
        </w:rPr>
        <w:t>Les disparités de développement en Afrique de l'Ouest renforcent la position de la Côte d'Ivoire comme hub économique régional, ce qui est favorable aux sociétés cotées ivoiriennes. Cependant, l'instabilité dans d'autres pays de la région reste un frein.</w:t>
      </w:r>
    </w:p>
    <w:p>
      <w:pPr>
        <w:pStyle w:val="Heading2"/>
      </w:pPr>
      <w:r>
        <w:rPr>
          <w:color w:val="145A28"/>
        </w:rPr>
        <w:t>🌍 Plan Afrique de l'Ouest</w:t>
      </w:r>
    </w:p>
    <w:p>
      <w:pPr>
        <w:pStyle w:val="ListBullet"/>
        <w:spacing w:before="20" w:after="20"/>
        <w:ind w:left="360"/>
      </w:pPr>
      <w:r>
        <w:rPr>
          <w:sz w:val="18"/>
        </w:rPr>
        <w:t>**Création d'institutions financières par l'AES** : Cette décision vise à briser l'influence française et marque une rupture avec les institutions de la zone franc.</w:t>
      </w:r>
    </w:p>
    <w:p>
      <w:pPr>
        <w:pStyle w:val="ListBullet"/>
        <w:spacing w:before="20" w:after="20"/>
        <w:ind w:left="360"/>
      </w:pPr>
      <w:r>
        <w:rPr>
          <w:sz w:val="18"/>
        </w:rPr>
        <w:t>**Proposition d'un "nouveau cadre" avec la CEDEAO** : Le président Traoré propose une reconfiguration des relations, laissant la porte ouverte à des négociations.</w:t>
      </w:r>
    </w:p>
    <w:p>
      <w:pPr>
        <w:pStyle w:val="Heading3"/>
      </w:pPr>
      <w:r>
        <w:rPr>
          <w:color w:val="500050"/>
        </w:rPr>
        <w:t>⚡ Impact estimé sur la BRVM</w:t>
      </w:r>
    </w:p>
    <w:p>
      <w:pPr>
        <w:spacing w:before="20" w:after="40"/>
        <w:ind w:left="280"/>
      </w:pPr>
      <w:r>
        <w:rPr>
          <w:i/>
          <w:sz w:val="18"/>
        </w:rPr>
        <w:t>La création d'institutions parallèles par l'AES est un risque majeur pour la BRVM. Elle pourrait conduire à une fragmentation monétaire et financière, compliquant les opérations des banques et entreprises cotées dans la région. Les titres comme **BOAC, BOAM, BOAN, BICB** sont directement exposés.</w:t>
      </w:r>
    </w:p>
    <w:p>
      <w:pPr>
        <w:pStyle w:val="Heading2"/>
      </w:pPr>
      <w:r>
        <w:rPr>
          <w:color w:val="8C4600"/>
        </w:rPr>
        <w:t>🏦 Plan UEMOA / Zone Franc</w:t>
      </w:r>
    </w:p>
    <w:p>
      <w:pPr>
        <w:pStyle w:val="ListBullet"/>
        <w:spacing w:before="20" w:after="20"/>
        <w:ind w:left="360"/>
      </w:pPr>
      <w:r>
        <w:rPr>
          <w:sz w:val="18"/>
        </w:rPr>
        <w:t>**Nouvelle offensive jihadiste au Mali** : L'insécurité persiste.</w:t>
      </w:r>
    </w:p>
    <w:p>
      <w:pPr>
        <w:pStyle w:val="ListBullet"/>
        <w:spacing w:before="20" w:after="20"/>
        <w:ind w:left="360"/>
      </w:pPr>
      <w:r>
        <w:rPr>
          <w:sz w:val="18"/>
        </w:rPr>
        <w:t>**Reprise en main des mines au Sénégal** : Signal d'une intervention étatique accrue.</w:t>
      </w:r>
    </w:p>
    <w:p>
      <w:pPr>
        <w:pStyle w:val="Heading3"/>
      </w:pPr>
      <w:r>
        <w:rPr>
          <w:color w:val="500050"/>
        </w:rPr>
        <w:t>⚡ Impact estimé sur la BRVM</w:t>
      </w:r>
    </w:p>
    <w:p>
      <w:pPr>
        <w:spacing w:before="20" w:after="40"/>
        <w:ind w:left="280"/>
      </w:pPr>
      <w:r>
        <w:rPr>
          <w:i/>
          <w:sz w:val="18"/>
        </w:rPr>
        <w:t>Les risques sécuritaires et politiques dans la zone UEMOA (Mali, Burkina) augmentent la prime de risque exigée par les investisseurs. Cela peut peser sur la valorisation des sociétés cotées, notamment celles ayant des actifs dans ces zones.</w:t>
      </w:r>
    </w:p>
    <w:p>
      <w:pPr>
        <w:pStyle w:val="Heading2"/>
      </w:pPr>
      <w:r>
        <w:rPr>
          <w:color w:val="003366"/>
        </w:rPr>
        <w:t>📈 Plan BRVM</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**Ajustement des taux par la Fed** : L'inflation guide la politique monétaire américaine, créant de l'incertitude sur les marchés.</w:t>
      </w:r>
    </w:p>
    <w:p>
      <w:pPr>
        <w:pStyle w:val="ListBullet"/>
        <w:spacing w:before="20" w:after="20"/>
        <w:ind w:left="360"/>
      </w:pPr>
      <w:r>
        <w:rPr>
          <w:sz w:val="18"/>
        </w:rPr>
        <w:t>**BCE et inflation** : La BCE pourrait durcir sa politique en raison du conflit Iran/États-Unis.</w:t>
      </w:r>
    </w:p>
    <w:p>
      <w:pPr>
        <w:pStyle w:val="Heading3"/>
      </w:pPr>
      <w:r>
        <w:rPr>
          <w:color w:val="500050"/>
        </w:rPr>
        <w:t>⚡ Impact estimé sur la BRVM</w:t>
      </w:r>
    </w:p>
    <w:p>
      <w:pPr>
        <w:spacing w:before="20" w:after="40"/>
        <w:ind w:left="280"/>
      </w:pPr>
      <w:r>
        <w:rPr>
          <w:i/>
          <w:sz w:val="18"/>
        </w:rPr>
        <w:t>Un resserrement monétaire global (Fed, BCE) rend les actifs des marchés émergents moins attractifs. Les investisseurs pourraient arbitrer leurs portefeuilles en faveur des obligations d'État américaines ou européennes, au détriment des actions BRVM.</w:t>
      </w:r>
    </w:p>
    <w:p>
      <w:pPr>
        <w:pStyle w:val="Heading2"/>
      </w:pPr>
      <w:r>
        <w:rPr>
          <w:color w:val="006E32"/>
        </w:rPr>
        <w:t>🌍 Plan Africain</w:t>
      </w:r>
    </w:p>
    <w:p>
      <w:pPr>
        <w:pStyle w:val="ListBullet"/>
        <w:spacing w:before="20" w:after="20"/>
        <w:ind w:left="360"/>
      </w:pPr>
      <w:r>
        <w:rPr>
          <w:sz w:val="18"/>
        </w:rPr>
        <w:t>**Ecobank cote une obligation "Nature" à Londres** : Cela démontre la capacité des banques africaines à innover sur les marchés internationaux.</w:t>
      </w:r>
    </w:p>
    <w:p>
      <w:pPr>
        <w:pStyle w:val="ListBullet"/>
        <w:spacing w:before="20" w:after="20"/>
        <w:ind w:left="360"/>
      </w:pPr>
      <w:r>
        <w:rPr>
          <w:sz w:val="18"/>
        </w:rPr>
        <w:t>**Lancement de la KSE en RDC** : Un nouveau concurrent pour attirer les capitaux.</w:t>
      </w:r>
    </w:p>
    <w:p>
      <w:pPr>
        <w:pStyle w:val="Heading3"/>
      </w:pPr>
      <w:r>
        <w:rPr>
          <w:color w:val="500050"/>
        </w:rPr>
        <w:t>⚡ Impact estimé sur la BRVM</w:t>
      </w:r>
    </w:p>
    <w:p>
      <w:pPr>
        <w:spacing w:before="20" w:after="40"/>
        <w:ind w:left="280"/>
      </w:pPr>
      <w:r>
        <w:rPr>
          <w:i/>
          <w:sz w:val="18"/>
        </w:rPr>
        <w:t>L'innovation d'Ecobank est un signal positif pour le secteur bancaire de la BRVM. Cependant, le lancement de nouvelles bourses en Afrique (RDC) pourrait, à long terme, détourner une partie des flux d'investissement dédiés au continent.</w:t>
      </w:r>
    </w:p>
    <w:p>
      <w:pPr>
        <w:pStyle w:val="Heading2"/>
      </w:pPr>
      <w:r>
        <w:rPr>
          <w:color w:val="145A28"/>
        </w:rPr>
        <w:t>🌍 Plan Afrique de l'Ouest</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pStyle w:val="ListBullet"/>
        <w:spacing w:before="20" w:after="20"/>
        <w:ind w:left="360"/>
      </w:pPr>
      <w:r>
        <w:rPr>
          <w:sz w:val="18"/>
        </w:rPr>
        <w:t>**Indice BRVM Composite à 474.92** : Point de départ pour l'analyse.</w:t>
      </w:r>
    </w:p>
    <w:p>
      <w:pPr>
        <w:pStyle w:val="ListBullet"/>
        <w:spacing w:before="20" w:after="20"/>
        <w:ind w:left="360"/>
      </w:pPr>
      <w:r>
        <w:rPr>
          <w:sz w:val="18"/>
        </w:rPr>
        <w:t>**Résultats encourageants des sociétés ivoiriennes** : Fondamentaux solides pour les valeurs motrices.</w:t>
      </w:r>
    </w:p>
    <w:p>
      <w:pPr>
        <w:pStyle w:val="Heading3"/>
      </w:pPr>
      <w:r>
        <w:rPr>
          <w:color w:val="500050"/>
        </w:rPr>
        <w:t>⚡ Impact estimé sur la BRVM</w:t>
      </w:r>
    </w:p>
    <w:p>
      <w:pPr>
        <w:spacing w:before="20" w:after="40"/>
        <w:ind w:left="280"/>
      </w:pPr>
      <w:r>
        <w:rPr>
          <w:i/>
          <w:sz w:val="18"/>
        </w:rPr>
        <w:t>Les fondamentaux des sociétés ivoiriennes sont positifs, mais le contexte macroéconomique et géopolitique global (inflation, taux, tensions) est défavorable. Les secteurs défensifs comme la **CONSOMMATION DE BASE (SPHC)** pourraient mieux résister. Les valeurs exposées à l'énergie (**TTLC**) et aux risques politiques (**BOAC, BOAM, BOAN**) sont sous pression.</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est mitigé. Les fondamentaux des sociétés cotées ivoiriennes sont encourageants, mais ils sont contrebalancés par un environnement macroéconomique mondial incertain (inflation, hausse des taux, tensions géopolitiques) et des risques politiques régionaux croissants (fragmentation de l'AES, insécurité). La prudence est de mise. **Recommandation** : Privilégiez une approche défensive en vous concentrant sur les valeurs de la **CONSOMMATION DE BASE (SPHC)** et les sociétés ivoiriennes les plus solides (**BNBC, PRSC**). Surveillez de près l'évolution de la situation politique dans la zone UEMOA et l'impact de la hausse des prix du pétrole sur les coûts des entreprises.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2026-07-10</w:t>
            </w:r>
          </w:p>
        </w:tc>
        <w:tc>
          <w:tcPr>
            <w:tcW w:type="dxa" w:w="1728"/>
          </w:tcPr>
          <w:p>
            <w:r>
              <w:rPr>
                <w:sz w:val="14"/>
              </w:rPr>
              <w:t>Le gouverneur de la banque centrale grecque : « Le conflit entre les É</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2026-07-02</w:t>
            </w:r>
          </w:p>
        </w:tc>
        <w:tc>
          <w:tcPr>
            <w:tcW w:type="dxa" w:w="1728"/>
          </w:tcPr>
          <w:p>
            <w:r>
              <w:rPr>
                <w:sz w:val="14"/>
              </w:rPr>
              <w:t>Wall Street fermé, ce sera le week-end avant l'heure sur les places eu</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2026-07-07</w:t>
            </w:r>
          </w:p>
        </w:tc>
        <w:tc>
          <w:tcPr>
            <w:tcW w:type="dxa" w:w="1728"/>
          </w:tcPr>
          <w:p>
            <w:r>
              <w:rPr>
                <w:sz w:val="14"/>
              </w:rPr>
              <w:t>Samsung déçoit malgré des résultats record portés par l'IA et plombe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2026-07-07</w:t>
            </w:r>
          </w:p>
        </w:tc>
        <w:tc>
          <w:tcPr>
            <w:tcW w:type="dxa" w:w="1728"/>
          </w:tcPr>
          <w:p>
            <w:r>
              <w:rPr>
                <w:sz w:val="14"/>
              </w:rPr>
              <w:t xml:space="preserve">La hausse des taux directeurs par la Banque centrale européenne : une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2026-07-10</w:t>
            </w:r>
          </w:p>
        </w:tc>
        <w:tc>
          <w:tcPr>
            <w:tcW w:type="dxa" w:w="1728"/>
          </w:tcPr>
          <w:p>
            <w:r>
              <w:rPr>
                <w:sz w:val="14"/>
              </w:rPr>
              <w:t>Ecobank cote la première obligation Nature bancaire à Londres - Africt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2026-07-08</w:t>
            </w:r>
          </w:p>
        </w:tc>
        <w:tc>
          <w:tcPr>
            <w:tcW w:type="dxa" w:w="1728"/>
          </w:tcPr>
          <w:p>
            <w:r>
              <w:rPr>
                <w:sz w:val="14"/>
              </w:rPr>
              <w:t>Comment Dangote compte financer sa raffinerie kényane - AGENCE ECOFIN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2026-07-07</w:t>
            </w:r>
          </w:p>
        </w:tc>
        <w:tc>
          <w:tcPr>
            <w:tcW w:type="dxa" w:w="1728"/>
          </w:tcPr>
          <w:p>
            <w:r>
              <w:rPr>
                <w:sz w:val="14"/>
              </w:rPr>
              <w:t xml:space="preserve">La Tanzanie entre appels à manifester contre les violences politiques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Afrique politiqu</w:t>
            </w:r>
          </w:p>
        </w:tc>
      </w:tr>
      <w:tr>
        <w:tc>
          <w:tcPr>
            <w:tcW w:type="dxa" w:w="1728"/>
          </w:tcPr>
          <w:p>
            <w:r>
              <w:rPr>
                <w:sz w:val="14"/>
              </w:rPr>
              <w:t>2026-06-28</w:t>
            </w:r>
          </w:p>
        </w:tc>
        <w:tc>
          <w:tcPr>
            <w:tcW w:type="dxa" w:w="1728"/>
          </w:tcPr>
          <w:p>
            <w:r>
              <w:rPr>
                <w:sz w:val="14"/>
              </w:rPr>
              <w:t>L’investissement, vecteur essentiel de la croissance économique - MSN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2026-06-27</w:t>
            </w:r>
          </w:p>
        </w:tc>
        <w:tc>
          <w:tcPr>
            <w:tcW w:type="dxa" w:w="1728"/>
          </w:tcPr>
          <w:p>
            <w:r>
              <w:rPr>
                <w:sz w:val="14"/>
              </w:rPr>
              <w:t>Davina SIMEN / Marchés de capitaux et souveraineté africaine : de la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2026-07-10</w:t>
            </w:r>
          </w:p>
        </w:tc>
        <w:tc>
          <w:tcPr>
            <w:tcW w:type="dxa" w:w="1728"/>
          </w:tcPr>
          <w:p>
            <w:r>
              <w:rPr>
                <w:sz w:val="14"/>
              </w:rPr>
              <w:t>AES : Mali, Burkina et Niger créent leurs propres institutions financi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2026-07-08</w:t>
            </w:r>
          </w:p>
        </w:tc>
        <w:tc>
          <w:tcPr>
            <w:tcW w:type="dxa" w:w="1728"/>
          </w:tcPr>
          <w:p>
            <w:r>
              <w:rPr>
                <w:sz w:val="14"/>
              </w:rPr>
              <w:t>Au 2e anniversaire de l’AES, Ibrahim Traoré propose un « nouveau cadre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2026-07-09</w:t>
            </w:r>
          </w:p>
        </w:tc>
        <w:tc>
          <w:tcPr>
            <w:tcW w:type="dxa" w:w="1728"/>
          </w:tcPr>
          <w:p>
            <w:r>
              <w:rPr>
                <w:sz w:val="14"/>
              </w:rPr>
              <w:t>Industrialisation Afrique de l’Ouest : Sénégal et Côte d’Ivoire domine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2026-07-09</w:t>
            </w:r>
          </w:p>
        </w:tc>
        <w:tc>
          <w:tcPr>
            <w:tcW w:type="dxa" w:w="1728"/>
          </w:tcPr>
          <w:p>
            <w:r>
              <w:rPr>
                <w:sz w:val="14"/>
              </w:rPr>
              <w:t xml:space="preserve">Le Sénégal a enregistré la plus forte croissance économique d’Afrique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2026-07-09</w:t>
            </w:r>
          </w:p>
        </w:tc>
        <w:tc>
          <w:tcPr>
            <w:tcW w:type="dxa" w:w="1728"/>
          </w:tcPr>
          <w:p>
            <w:r>
              <w:rPr>
                <w:sz w:val="14"/>
              </w:rPr>
              <w:t>Croissance, mais pauvreté persistante : le paradoxe ouest-africain inq</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2026-07-12</w:t>
            </w:r>
          </w:p>
        </w:tc>
        <w:tc>
          <w:tcPr>
            <w:tcW w:type="dxa" w:w="1728"/>
          </w:tcPr>
          <w:p>
            <w:r>
              <w:rPr>
                <w:sz w:val="14"/>
              </w:rPr>
              <w:t>Ivry-sur-Seine : une subvention de 46 000 euros pour le Mali adoptée 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Le Burkina Faso au Forum politique de haut niveau sur le développement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2026-07-11</w:t>
            </w:r>
          </w:p>
        </w:tc>
        <w:tc>
          <w:tcPr>
            <w:tcW w:type="dxa" w:w="1728"/>
          </w:tcPr>
          <w:p>
            <w:r>
              <w:rPr>
                <w:sz w:val="14"/>
              </w:rPr>
              <w:t xml:space="preserve">Sénégal : victoire politique pour Diomaye Faye avec l'invalidation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Sénégal : Al Aminou Lo recadre publiquement Ousmane Sonko - Africteleg</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Le Burkina Faso au Forum politique de haut niveau sur le développement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2026-07-07</w:t>
            </w:r>
          </w:p>
        </w:tc>
        <w:tc>
          <w:tcPr>
            <w:tcW w:type="dxa" w:w="1728"/>
          </w:tcPr>
          <w:p>
            <w:r>
              <w:rPr>
                <w:sz w:val="14"/>
              </w:rPr>
              <w:t>Federal Reserve: Trimmed inflation guides rate outlook – Rabobank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2026-07-12</w:t>
            </w:r>
          </w:p>
        </w:tc>
        <w:tc>
          <w:tcPr>
            <w:tcW w:type="dxa" w:w="1728"/>
          </w:tcPr>
          <w:p>
            <w:r>
              <w:rPr>
                <w:sz w:val="14"/>
              </w:rPr>
              <w:t>Ivry-sur-Seine : une subvention de 46 000 euros pour le Mali adoptée 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2026-07-13</w:t>
            </w:r>
          </w:p>
        </w:tc>
        <w:tc>
          <w:tcPr>
            <w:tcW w:type="dxa" w:w="1728"/>
          </w:tcPr>
          <w:p>
            <w:r>
              <w:rPr>
                <w:sz w:val="14"/>
              </w:rPr>
              <w:t>Industrialisation en Afrique de l’Ouest : le Sénégal et la Côte d’Ivoi</w:t>
            </w:r>
          </w:p>
        </w:tc>
        <w:tc>
          <w:tcPr>
            <w:tcW w:type="dxa" w:w="1728"/>
          </w:tcPr>
          <w:p>
            <w:r>
              <w:rPr>
                <w:color w:val="C00000"/>
                <w:sz w:val="14"/>
              </w:rPr>
              <w:t>Negatif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2026-07-11</w:t>
            </w:r>
          </w:p>
        </w:tc>
        <w:tc>
          <w:tcPr>
            <w:tcW w:type="dxa" w:w="1728"/>
          </w:tcPr>
          <w:p>
            <w:r>
              <w:rPr>
                <w:sz w:val="14"/>
              </w:rPr>
              <w:t>Secrets sécuritaires au Togo, nouvelle offensive jihadiste au Mali, 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2026-07-07</w:t>
            </w:r>
          </w:p>
        </w:tc>
        <w:tc>
          <w:tcPr>
            <w:tcW w:type="dxa" w:w="1728"/>
          </w:tcPr>
          <w:p>
            <w:r>
              <w:rPr>
                <w:sz w:val="14"/>
              </w:rPr>
              <w:t xml:space="preserve">La hausse des prix du pétrole plombe la production de sucre - Portail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2026-07-13</w:t>
            </w:r>
          </w:p>
        </w:tc>
        <w:tc>
          <w:tcPr>
            <w:tcW w:type="dxa" w:w="1728"/>
          </w:tcPr>
          <w:p>
            <w:r>
              <w:rPr>
                <w:sz w:val="14"/>
              </w:rPr>
              <w:t>​La révolution populaire au Burkina Faso : réalité ou illusion ?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2026-07-12</w:t>
            </w:r>
          </w:p>
        </w:tc>
        <w:tc>
          <w:tcPr>
            <w:tcW w:type="dxa" w:w="1728"/>
          </w:tcPr>
          <w:p>
            <w:r>
              <w:rPr>
                <w:sz w:val="14"/>
              </w:rPr>
              <w:t>Ivry-sur-Seine : une subvention de 46 000 euros pour le Mali adoptée 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2026-07-10</w:t>
            </w:r>
          </w:p>
        </w:tc>
        <w:tc>
          <w:tcPr>
            <w:tcW w:type="dxa" w:w="1728"/>
          </w:tcPr>
          <w:p>
            <w:r>
              <w:rPr>
                <w:sz w:val="14"/>
              </w:rPr>
              <w:t>Le gouverneur de la banque centrale grecque : « Le conflit entre les É</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(8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r>
        <w:tc>
          <w:tcPr>
            <w:tcW w:type="dxa" w:w="1728"/>
          </w:tcPr>
          <w:p>
            <w:r>
              <w:rPr>
                <w:sz w:val="15"/>
              </w:rPr>
              <w:t>25/03/2026</w:t>
            </w:r>
          </w:p>
        </w:tc>
        <w:tc>
          <w:tcPr>
            <w:tcW w:type="dxa" w:w="1728"/>
          </w:tcPr>
          <w:p>
            <w:r>
              <w:rPr>
                <w:sz w:val="15"/>
              </w:rPr>
              <w:t>PALMCI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PALMCI convoque son Assemblée Générale Ordinaire le 14 avril 2026 à Abidjan pour approuver les comptes 2025. L'entrepris</w:t>
            </w:r>
          </w:p>
        </w:tc>
      </w:tr>
      <w:tr>
        <w:tc>
          <w:tcPr>
            <w:tcW w:type="dxa" w:w="8640"/>
            <w:gridSpan w:val="5"/>
          </w:tcPr>
          <w:p>
            <w:r>
              <w:rPr>
                <w:color w:val="505050"/>
                <w:sz w:val="14"/>
              </w:rPr>
              <w:t xml:space="preserve">  → Assemblée Générale Ordinaire prévue le 14 avril 2026 en présentiel et visioconférence | Résultat net bénéficiaire de 15 508 654 739 FCFA selon SYSCOHADA pour l'exercice 2025 | Proposition de dividendes de 7 754 327 370 FCFA soit 502 FCFA brut par action</w:t>
            </w:r>
          </w:p>
        </w:tc>
      </w:tr>
      <w:tr>
        <w:tc>
          <w:tcPr>
            <w:tcW w:type="dxa" w:w="1728"/>
          </w:tcPr>
          <w:p>
            <w:r>
              <w:rPr>
                <w:sz w:val="15"/>
              </w:rPr>
              <w:t>25/03/2026</w:t>
            </w:r>
          </w:p>
        </w:tc>
        <w:tc>
          <w:tcPr>
            <w:tcW w:type="dxa" w:w="1728"/>
          </w:tcPr>
          <w:p>
            <w:r>
              <w:rPr>
                <w:sz w:val="15"/>
              </w:rPr>
              <w:t>SOCIÉTÉ AFRI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SAPH convoque ses actionnaires en Assemblée Générale Ordinaire le 09 avril 2026 pour approuver les comptes 2025 et délib</w:t>
            </w:r>
          </w:p>
        </w:tc>
      </w:tr>
      <w:tr>
        <w:tc>
          <w:tcPr>
            <w:tcW w:type="dxa" w:w="8640"/>
            <w:gridSpan w:val="5"/>
          </w:tcPr>
          <w:p>
            <w:r>
              <w:rPr>
                <w:color w:val="505050"/>
                <w:sz w:val="14"/>
              </w:rPr>
              <w:t xml:space="preserve">  → Assemblée Générale Ordinaire convoquée le 09 avril 2026 à 09h00 GMT | Bénéfice net 2025 de 24,97 milliards FCFA selon SYSCOHADA et 27,34 milliards selon IFRS | Distribution de dividende proposée de 489 FCFA brut par action (12,50 milliards FCFA total)</w:t>
            </w:r>
          </w:p>
        </w:tc>
      </w:tr>
      <w:tr>
        <w:tc>
          <w:tcPr>
            <w:tcW w:type="dxa" w:w="1728"/>
          </w:tcPr>
          <w:p>
            <w:r>
              <w:rPr>
                <w:sz w:val="15"/>
              </w:rPr>
              <w:t>24/05/2026</w:t>
            </w:r>
          </w:p>
        </w:tc>
        <w:tc>
          <w:tcPr>
            <w:tcW w:type="dxa" w:w="1728"/>
          </w:tcPr>
          <w:p>
            <w:r>
              <w:rPr>
                <w:sz w:val="15"/>
              </w:rPr>
              <w:t xml:space="preserve">NESTLÉ CÔTE </w:t>
            </w:r>
          </w:p>
        </w:tc>
        <w:tc>
          <w:tcPr>
            <w:tcW w:type="dxa" w:w="1728"/>
          </w:tcPr>
          <w:p>
            <w:r>
              <w:rPr>
                <w:sz w:val="15"/>
              </w:rPr>
              <w:t>20260522   avis de convocation   assemblee general</w:t>
            </w:r>
          </w:p>
        </w:tc>
        <w:tc>
          <w:tcPr>
            <w:tcW w:type="dxa" w:w="1728"/>
          </w:tcPr>
          <w:p>
            <w:r>
              <w:rPr>
                <w:b/>
                <w:sz w:val="15"/>
              </w:rPr>
              <w:t>⚪ =</w:t>
            </w:r>
          </w:p>
        </w:tc>
        <w:tc>
          <w:tcPr>
            <w:tcW w:type="dxa" w:w="1728"/>
          </w:tcPr>
          <w:p>
            <w:r>
              <w:rPr>
                <w:sz w:val="15"/>
              </w:rPr>
              <w:t>Nestlé Côte d'Ivoire convoque ses actionnaires à une Assemblée Générale Ordinaire le 11 juin 2026 à 10h00 à l'Espace Lat</w:t>
            </w:r>
          </w:p>
        </w:tc>
      </w:tr>
      <w:tr>
        <w:tc>
          <w:tcPr>
            <w:tcW w:type="dxa" w:w="8640"/>
            <w:gridSpan w:val="5"/>
          </w:tcPr>
          <w:p>
            <w:r>
              <w:rPr>
                <w:color w:val="505050"/>
                <w:sz w:val="14"/>
              </w:rPr>
              <w:t xml:space="preserve">  → Assemblée Générale Ordinaire programmée le 11 juin 2026 à 10h00 à Abidjan | Examen des états financiers SYSCOHADA et IFRS arrêtés au 31 décembre 2025 | Proposition d'affectation du résultat de l'exercice 2025</w:t>
            </w:r>
          </w:p>
        </w:tc>
      </w:tr>
      <w:tr>
        <w:tc>
          <w:tcPr>
            <w:tcW w:type="dxa" w:w="1728"/>
          </w:tcPr>
          <w:p>
            <w:r>
              <w:rPr>
                <w:sz w:val="15"/>
              </w:rPr>
              <w:t>24/04/2026</w:t>
            </w:r>
          </w:p>
        </w:tc>
        <w:tc>
          <w:tcPr>
            <w:tcW w:type="dxa" w:w="1728"/>
          </w:tcPr>
          <w:p>
            <w:r>
              <w:rPr>
                <w:sz w:val="15"/>
              </w:rPr>
              <w:t>Société Ivoi</w:t>
            </w:r>
          </w:p>
        </w:tc>
        <w:tc>
          <w:tcPr>
            <w:tcW w:type="dxa" w:w="1728"/>
          </w:tcPr>
          <w:p>
            <w:r>
              <w:rPr>
                <w:sz w:val="15"/>
              </w:rPr>
              <w:t>20260423   avis de convocation   assemblee general</w:t>
            </w:r>
          </w:p>
        </w:tc>
        <w:tc>
          <w:tcPr>
            <w:tcW w:type="dxa" w:w="1728"/>
          </w:tcPr>
          <w:p>
            <w:r>
              <w:rPr>
                <w:b/>
                <w:sz w:val="15"/>
              </w:rPr>
              <w:t>⚪ =</w:t>
            </w:r>
          </w:p>
        </w:tc>
        <w:tc>
          <w:tcPr>
            <w:tcW w:type="dxa" w:w="1728"/>
          </w:tcPr>
          <w:p>
            <w:r>
              <w:rPr>
                <w:sz w:val="15"/>
              </w:rPr>
              <w:t xml:space="preserve">La Société Ivoirienne de Banque convoque ses actionnaires en Assemblée Générale Ordinaire Annuelle le mardi 12 mai 2026 </w:t>
            </w:r>
          </w:p>
        </w:tc>
      </w:tr>
      <w:tr>
        <w:tc>
          <w:tcPr>
            <w:tcW w:type="dxa" w:w="8640"/>
            <w:gridSpan w:val="5"/>
          </w:tcPr>
          <w:p>
            <w:r>
              <w:rPr>
                <w:color w:val="505050"/>
                <w:sz w:val="14"/>
              </w:rPr>
              <w:t xml:space="preserve">  → Assemblée Générale Ordinaire Annuelle prévue le mardi 12 mai 2026 à 10 heures | Présentation et approbation des rapports de gestion et des comptes de l'exercice social clos au 31 décembre 2025 | Évaluation du Conseil d'Administration, des Comités Spécialisés et des Administrateurs</w:t>
            </w:r>
          </w:p>
        </w:tc>
      </w:tr>
    </w:tbl>
    <w:p/>
    <w:p>
      <w:pPr>
        <w:pStyle w:val="Heading3"/>
      </w:pPr>
      <w:r>
        <w:t>📌 Autre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r>
        <w:tc>
          <w:tcPr>
            <w:tcW w:type="dxa" w:w="1728"/>
          </w:tcPr>
          <w:p>
            <w:r>
              <w:rPr>
                <w:sz w:val="15"/>
              </w:rPr>
              <w:t>23/04/2026</w:t>
            </w:r>
          </w:p>
        </w:tc>
        <w:tc>
          <w:tcPr>
            <w:tcW w:type="dxa" w:w="1728"/>
          </w:tcPr>
          <w:p>
            <w:r>
              <w:rPr>
                <w:sz w:val="15"/>
              </w:rPr>
              <w:t>SENELEC</w:t>
            </w:r>
          </w:p>
        </w:tc>
        <w:tc>
          <w:tcPr>
            <w:tcW w:type="dxa" w:w="1728"/>
          </w:tcPr>
          <w:p>
            <w:r>
              <w:rPr>
                <w:sz w:val="15"/>
              </w:rPr>
              <w:t>20260422   avis ndeg105 brvmdg   premiere cotation</w:t>
            </w:r>
          </w:p>
        </w:tc>
        <w:tc>
          <w:tcPr>
            <w:tcW w:type="dxa" w:w="1728"/>
          </w:tcPr>
          <w:p>
            <w:r>
              <w:rPr>
                <w:b/>
                <w:color w:val="008000"/>
                <w:sz w:val="15"/>
              </w:rPr>
              <w:t>🟢 +</w:t>
            </w:r>
          </w:p>
        </w:tc>
        <w:tc>
          <w:tcPr>
            <w:tcW w:type="dxa" w:w="1728"/>
          </w:tcPr>
          <w:p>
            <w:r>
              <w:rPr>
                <w:sz w:val="15"/>
              </w:rPr>
              <w:t>La BRVM annonce la première cotation des obligations FCTC SENELEC SENIOR 8,15% 2025-2030 et FCTC SENELEC MEZZANINE 10,00</w:t>
            </w:r>
          </w:p>
        </w:tc>
      </w:tr>
      <w:tr>
        <w:tc>
          <w:tcPr>
            <w:tcW w:type="dxa" w:w="8640"/>
            <w:gridSpan w:val="5"/>
          </w:tcPr>
          <w:p>
            <w:r>
              <w:rPr>
                <w:color w:val="505050"/>
                <w:sz w:val="14"/>
              </w:rPr>
              <w:t xml:space="preserve">  → Première cotation de deux emprunts obligataires FCTC SENELEC prévue le 06 mai 2026 | Émission de 8,3 millions d'obligations senior à 8,15% et 2,5 millions d'obligations mezzanine à 10% | Montant total de l'opération : 108 milliards FCFA sur le Marché Financier Régional de l'UEMOA</w:t>
            </w:r>
          </w:p>
        </w:tc>
      </w:tr>
    </w:tbl>
    <w:p/>
    <w:p>
      <w:pPr>
        <w:pStyle w:val="Heading3"/>
      </w:pPr>
      <w:r>
        <w:t>ℹ️ Avis &amp; informations (10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23/04/2026</w:t>
            </w:r>
          </w:p>
        </w:tc>
        <w:tc>
          <w:tcPr>
            <w:tcW w:type="dxa" w:w="1728"/>
          </w:tcPr>
          <w:p>
            <w:r>
              <w:rPr>
                <w:sz w:val="15"/>
              </w:rPr>
              <w:t>ETAT DU MALI</w:t>
            </w:r>
          </w:p>
        </w:tc>
        <w:tc>
          <w:tcPr>
            <w:tcW w:type="dxa" w:w="1728"/>
          </w:tcPr>
          <w:p>
            <w:r>
              <w:rPr>
                <w:sz w:val="15"/>
              </w:rPr>
              <w:t>20260422   avis ndeg104 brvmdg   premiere cotation</w:t>
            </w:r>
          </w:p>
        </w:tc>
        <w:tc>
          <w:tcPr>
            <w:tcW w:type="dxa" w:w="1728"/>
          </w:tcPr>
          <w:p>
            <w:r>
              <w:rPr>
                <w:b/>
                <w:color w:val="008000"/>
                <w:sz w:val="15"/>
              </w:rPr>
              <w:t>🟢 +</w:t>
            </w:r>
          </w:p>
        </w:tc>
        <w:tc>
          <w:tcPr>
            <w:tcW w:type="dxa" w:w="1728"/>
          </w:tcPr>
          <w:p>
            <w:r>
              <w:rPr>
                <w:sz w:val="15"/>
              </w:rPr>
              <w:t>La BRVM annonce la première cotation de deux emprunts obligataires de l'État du Mali : 6,55% 2026-2036 et 6,35% 2026-203</w:t>
            </w:r>
          </w:p>
        </w:tc>
      </w:tr>
      <w:tr>
        <w:tc>
          <w:tcPr>
            <w:tcW w:type="dxa" w:w="8640"/>
            <w:gridSpan w:val="5"/>
          </w:tcPr>
          <w:p>
            <w:r>
              <w:rPr>
                <w:color w:val="505050"/>
                <w:sz w:val="14"/>
              </w:rPr>
              <w:t xml:space="preserve">  → Émission de deux emprunts obligataires : État du Mali 6,55% 2026-2036 et État du Mali 6,35% 2026-2033 | Montant total de l'opération : 107,7 milliards FCFA | Date de jouissance des obligations : 6 mars 2026</w:t>
            </w:r>
          </w:p>
        </w:tc>
      </w:tr>
      <w:tr>
        <w:tc>
          <w:tcPr>
            <w:tcW w:type="dxa" w:w="1728"/>
          </w:tcPr>
          <w:p>
            <w:r>
              <w:rPr>
                <w:sz w:val="15"/>
              </w:rPr>
              <w:t>22/11/2025</w:t>
            </w:r>
          </w:p>
        </w:tc>
        <w:tc>
          <w:tcPr>
            <w:tcW w:type="dxa" w:w="1728"/>
          </w:tcPr>
          <w:p>
            <w:r>
              <w:rPr>
                <w:sz w:val="15"/>
              </w:rPr>
              <w:t xml:space="preserve">AIR LIQUIDE </w:t>
            </w:r>
          </w:p>
        </w:tc>
        <w:tc>
          <w:tcPr>
            <w:tcW w:type="dxa" w:w="1728"/>
          </w:tcPr>
          <w:p>
            <w:r>
              <w:rPr>
                <w:sz w:val="15"/>
              </w:rPr>
              <w:t>20251121   communique   franchissement de seuil pa</w:t>
            </w:r>
          </w:p>
        </w:tc>
        <w:tc>
          <w:tcPr>
            <w:tcW w:type="dxa" w:w="1728"/>
          </w:tcPr>
          <w:p>
            <w:r>
              <w:rPr>
                <w:b/>
                <w:sz w:val="15"/>
              </w:rPr>
              <w:t>⚪ =</w:t>
            </w:r>
          </w:p>
        </w:tc>
        <w:tc>
          <w:tcPr>
            <w:tcW w:type="dxa" w:w="1728"/>
          </w:tcPr>
          <w:p>
            <w:r>
              <w:rPr>
                <w:sz w:val="15"/>
              </w:rPr>
              <w:t>Air Liquide International déclare un franchissement de seuil à la baisse dans le capital d'Air Liquide Côte d'Ivoire, pa</w:t>
            </w:r>
          </w:p>
        </w:tc>
      </w:tr>
      <w:tr>
        <w:tc>
          <w:tcPr>
            <w:tcW w:type="dxa" w:w="8640"/>
            <w:gridSpan w:val="5"/>
          </w:tcPr>
          <w:p>
            <w:r>
              <w:rPr>
                <w:color w:val="505050"/>
                <w:sz w:val="14"/>
              </w:rPr>
              <w:t xml:space="preserve">  → Franchissement de seuil à la baisse de 66,66% par Air Liquide International | Cession complète de la participation : de 72,08% (6 295 350 actions) à 0% | Acheteur identifié : ERIUM LTD au cours de 230 FCFA par action</w:t>
            </w:r>
          </w:p>
        </w:tc>
      </w:tr>
      <w:tr>
        <w:tc>
          <w:tcPr>
            <w:tcW w:type="dxa" w:w="1728"/>
          </w:tcPr>
          <w:p>
            <w:r>
              <w:rPr>
                <w:sz w:val="15"/>
              </w:rPr>
              <w:t>21/05/2026</w:t>
            </w:r>
          </w:p>
        </w:tc>
        <w:tc>
          <w:tcPr>
            <w:tcW w:type="dxa" w:w="1728"/>
          </w:tcPr>
          <w:p>
            <w:r>
              <w:rPr>
                <w:sz w:val="15"/>
              </w:rPr>
              <w:t>BRVM</w:t>
            </w:r>
          </w:p>
        </w:tc>
        <w:tc>
          <w:tcPr>
            <w:tcW w:type="dxa" w:w="1728"/>
          </w:tcPr>
          <w:p>
            <w:r>
              <w:rPr>
                <w:sz w:val="15"/>
              </w:rPr>
              <w:t>20260520   avis ndeg140 brvmdg   horaires de cotat</w:t>
            </w:r>
          </w:p>
        </w:tc>
        <w:tc>
          <w:tcPr>
            <w:tcW w:type="dxa" w:w="1728"/>
          </w:tcPr>
          <w:p>
            <w:r>
              <w:rPr>
                <w:b/>
                <w:sz w:val="15"/>
              </w:rPr>
              <w:t>⚪ =</w:t>
            </w:r>
          </w:p>
        </w:tc>
        <w:tc>
          <w:tcPr>
            <w:tcW w:type="dxa" w:w="1728"/>
          </w:tcPr>
          <w:p>
            <w:r>
              <w:rPr>
                <w:sz w:val="15"/>
              </w:rPr>
              <w:t>La BRVM informe du changement des horaires de cotation du mardi 26 mai 2026 en raison de l'Aïd-el-Kébir. Les horaires so</w:t>
            </w:r>
          </w:p>
        </w:tc>
      </w:tr>
      <w:tr>
        <w:tc>
          <w:tcPr>
            <w:tcW w:type="dxa" w:w="8640"/>
            <w:gridSpan w:val="5"/>
          </w:tcPr>
          <w:p>
            <w:r>
              <w:rPr>
                <w:color w:val="505050"/>
                <w:sz w:val="14"/>
              </w:rPr>
              <w:t xml:space="preserve">  → Modification des horaires de cotation du 26 mai 2026 | Raison : célébration de l'Aïd-el-Kébir (Tabaski) | Pré-ouverture de 9h00 à 9h30 (UTC)</w:t>
            </w:r>
          </w:p>
        </w:tc>
      </w:tr>
    </w:tbl>
    <w:p/>
    <w:p>
      <w:pPr>
        <w:pStyle w:val="Heading3"/>
      </w:pPr>
      <w:r>
        <w:t>📢 Communiqués de presse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r>
        <w:tc>
          <w:tcPr>
            <w:tcW w:type="dxa" w:w="1728"/>
          </w:tcPr>
          <w:p>
            <w:r>
              <w:rPr>
                <w:sz w:val="15"/>
              </w:rPr>
              <w:t>22/02/2026</w:t>
            </w:r>
          </w:p>
        </w:tc>
        <w:tc>
          <w:tcPr>
            <w:tcW w:type="dxa" w:w="1728"/>
          </w:tcPr>
          <w:p>
            <w:r>
              <w:rPr>
                <w:sz w:val="15"/>
              </w:rPr>
              <w:t>Fidelis Fina</w:t>
            </w:r>
          </w:p>
        </w:tc>
        <w:tc>
          <w:tcPr>
            <w:tcW w:type="dxa" w:w="1728"/>
          </w:tcPr>
          <w:p>
            <w:r>
              <w:rPr>
                <w:sz w:val="15"/>
              </w:rPr>
              <w:t>20260220   communique   fidelis finance</w:t>
            </w:r>
          </w:p>
        </w:tc>
        <w:tc>
          <w:tcPr>
            <w:tcW w:type="dxa" w:w="1728"/>
          </w:tcPr>
          <w:p>
            <w:r>
              <w:rPr>
                <w:b/>
                <w:sz w:val="15"/>
              </w:rPr>
              <w:t>⚪ =</w:t>
            </w:r>
          </w:p>
        </w:tc>
        <w:tc>
          <w:tcPr>
            <w:tcW w:type="dxa" w:w="1728"/>
          </w:tcPr>
          <w:p>
            <w:r>
              <w:rPr>
                <w:sz w:val="15"/>
              </w:rPr>
              <w:t>Fidelis Finance informe le marché qu'une procédure judiciaire est en cours devant les juridictions ivoiriennes suite à u</w:t>
            </w:r>
          </w:p>
        </w:tc>
      </w:tr>
      <w:tr>
        <w:tc>
          <w:tcPr>
            <w:tcW w:type="dxa" w:w="8640"/>
            <w:gridSpan w:val="5"/>
          </w:tcPr>
          <w:p>
            <w:r>
              <w:rPr>
                <w:color w:val="505050"/>
                <w:sz w:val="14"/>
              </w:rPr>
              <w:t xml:space="preserve">  → Procédure judiciaire en cours devant les juridictions ivoiriennes suite à un différend commercial | Ordonnance de renvoi partiel rendue le 15 janvier 2026 par le Tribunal correctionnel d'Abidjan | Aucune condamnation, sanction financière ou mesure conservatoire prononcée à ce stade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23/12/2025</w:t>
            </w:r>
          </w:p>
        </w:tc>
        <w:tc>
          <w:tcPr>
            <w:tcW w:type="dxa" w:w="1728"/>
          </w:tcPr>
          <w:p>
            <w:r>
              <w:rPr>
                <w:sz w:val="15"/>
              </w:rPr>
              <w:t>BANK OF AFRI</w:t>
            </w:r>
          </w:p>
        </w:tc>
        <w:tc>
          <w:tcPr>
            <w:tcW w:type="dxa" w:w="1728"/>
          </w:tcPr>
          <w:p>
            <w:r>
              <w:rPr>
                <w:sz w:val="15"/>
              </w:rPr>
              <w:t>20251223   communique   alerte sur resultats   boa</w:t>
            </w:r>
          </w:p>
        </w:tc>
        <w:tc>
          <w:tcPr>
            <w:tcW w:type="dxa" w:w="1728"/>
          </w:tcPr>
          <w:p>
            <w:r>
              <w:rPr>
                <w:b/>
                <w:sz w:val="15"/>
              </w:rPr>
              <w:t>⚪ =</w:t>
            </w:r>
          </w:p>
        </w:tc>
        <w:tc>
          <w:tcPr>
            <w:tcW w:type="dxa" w:w="1728"/>
          </w:tcPr>
          <w:p>
            <w:r>
              <w:rPr>
                <w:sz w:val="15"/>
              </w:rPr>
              <w:t>Bank of Africa-Niger annonce une baisse significative de plus de 50% de son résultat net pour l'exercice 2025. Cette chu</w:t>
            </w:r>
          </w:p>
        </w:tc>
      </w:tr>
      <w:tr>
        <w:tc>
          <w:tcPr>
            <w:tcW w:type="dxa" w:w="8640"/>
            <w:gridSpan w:val="5"/>
          </w:tcPr>
          <w:p>
            <w:r>
              <w:rPr>
                <w:color w:val="505050"/>
                <w:sz w:val="14"/>
              </w:rPr>
              <w:t xml:space="preserve">  → Baisse du résultat net supérieure à 50% par rapport à l'exercice précédent | Recul de 20% des encours de crédits dû à la conjoncture économique difficile | Important effort de provisionnement impactant la capacité bénéficiaire</w:t>
            </w:r>
          </w:p>
        </w:tc>
      </w:tr>
    </w:tbl>
    <w:p/>
    <w:p/>
    <w:p>
      <w:pPr>
        <w:pStyle w:val="Heading2"/>
      </w:pPr>
      <w:r>
        <w:t>🔔 B — Alertes Google &amp; actualités financières</w:t>
      </w:r>
    </w:p>
    <w:p>
      <w:pPr>
        <w:spacing w:before="120" w:after="40"/>
      </w:pPr>
      <w:r>
        <w:rPr>
          <w:b/>
          <w:color w:val="00467F"/>
          <w:sz w:val="20"/>
        </w:rPr>
        <w:t>🔑 politique  (15 alerte(s))</w:t>
      </w:r>
    </w:p>
    <w:p>
      <w:pPr>
        <w:spacing w:before="40" w:after="40"/>
        <w:ind w:left="360"/>
      </w:pPr>
      <w:r>
        <w:rPr>
          <w:color w:val="646464"/>
          <w:sz w:val="17"/>
        </w:rPr>
        <w:t xml:space="preserve">[13/07/2026] ⚪  </w:t>
      </w:r>
      <w:r>
        <w:rPr>
          <w:b/>
          <w:color w:val="505050"/>
          <w:sz w:val="18"/>
        </w:rPr>
        <w:t>Le Burkina Faso au Forum politique de haut niveau sur le développement - allAfrica.fr</w:t>
      </w:r>
      <w:r>
        <w:rPr>
          <w:color w:val="787878"/>
          <w:sz w:val="15"/>
        </w:rPr>
        <w:t xml:space="preserve">  [politique]</w:t>
      </w:r>
      <w:r>
        <w:rPr>
          <w:color w:val="B47800"/>
          <w:sz w:val="16"/>
        </w:rPr>
        <w:t xml:space="preserve">  ★ 50/10</w:t>
      </w:r>
    </w:p>
    <w:p>
      <w:pPr>
        <w:spacing w:before="0" w:after="20"/>
        <w:ind w:left="600"/>
      </w:pPr>
      <w:r>
        <w:rPr>
          <w:color w:val="323232"/>
          <w:sz w:val="17"/>
        </w:rPr>
        <w:t>Le Burkina Faso participe au Forum politique de haut niveau sur le développement, un événement international clé pour discuter des Objectifs de développement durable. Cette participation souligne l'engagement du pays dans les enjeux de développement malgré un contexte sécuritaire difficile. L'article, relayé par allAfrica.fr, met en avant la diplom</w:t>
      </w:r>
    </w:p>
    <w:p>
      <w:pPr>
        <w:spacing w:before="0" w:after="40"/>
        <w:ind w:left="600"/>
      </w:pPr>
      <w:r>
        <w:rPr>
          <w:color w:val="00643C"/>
          <w:sz w:val="16"/>
        </w:rPr>
        <w:t>Points clés : Participation du Burkina Faso au Forum politique de haut niveau  •  Discussion sur les Objectifs de développement durable</w:t>
      </w:r>
    </w:p>
    <w:p>
      <w:pPr>
        <w:spacing w:before="0" w:after="60"/>
        <w:ind w:left="600"/>
      </w:pPr>
      <w:r>
        <w:rPr>
          <w:color w:val="0064B4"/>
          <w:sz w:val="15"/>
        </w:rPr>
        <w:t>Source : https://news.google.com/rss/articles/CBMib0FVX3lxTE93UktDaXFyU2xjRXdVQUl5WUtRY3h</w:t>
      </w:r>
    </w:p>
    <w:p>
      <w:pPr>
        <w:spacing w:before="40" w:after="40"/>
        <w:ind w:left="360"/>
      </w:pPr>
      <w:r>
        <w:rPr>
          <w:color w:val="646464"/>
          <w:sz w:val="17"/>
        </w:rPr>
        <w:t xml:space="preserve">[13/07/2026] 🔴  </w:t>
      </w:r>
      <w:r>
        <w:rPr>
          <w:b/>
          <w:color w:val="C00000"/>
          <w:sz w:val="18"/>
        </w:rPr>
        <w:t>Sénégal : Al Aminou Lo recadre publiquement Ousmane Sonko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rapporte une altercation publique entre Al Aminou Lo et Ousmane Sonko au Sénégal, soulignant des tensions politiques internes. Ce type de friction peut affecter la perception de stabilité politique dans la zone UEMOA. Les investisseurs pourraient surveiller l'évolution de la situation pour évaluer les risques pays.</w:t>
      </w:r>
    </w:p>
    <w:p>
      <w:pPr>
        <w:spacing w:before="0" w:after="40"/>
        <w:ind w:left="600"/>
      </w:pPr>
      <w:r>
        <w:rPr>
          <w:color w:val="00643C"/>
          <w:sz w:val="16"/>
        </w:rPr>
        <w:t>Points clés : Tensions politiques entre figures publiques sénégalaises  •  Risque de perception d'instabilité dans la zone UEMOA</w:t>
      </w:r>
    </w:p>
    <w:p>
      <w:pPr>
        <w:spacing w:before="0" w:after="60"/>
        <w:ind w:left="600"/>
      </w:pPr>
      <w:r>
        <w:rPr>
          <w:color w:val="0064B4"/>
          <w:sz w:val="15"/>
        </w:rPr>
        <w:t>Source : https://news.google.com/rss/articles/CBMikgFBVV95cUxNMC11YmxhNFNOaDJocFd4ZFlpbFl</w:t>
      </w:r>
    </w:p>
    <w:p>
      <w:pPr>
        <w:spacing w:before="40" w:after="40"/>
        <w:ind w:left="360"/>
      </w:pPr>
      <w:r>
        <w:rPr>
          <w:color w:val="646464"/>
          <w:sz w:val="17"/>
        </w:rPr>
        <w:t xml:space="preserve">[13/07/2026] ⚪  </w:t>
      </w:r>
      <w:r>
        <w:rPr>
          <w:b/>
          <w:color w:val="505050"/>
          <w:sz w:val="18"/>
        </w:rPr>
        <w:t>​La révolution populaire au Burkina Faso : réalité ou illusion ? - DW.com</w:t>
      </w:r>
      <w:r>
        <w:rPr>
          <w:color w:val="787878"/>
          <w:sz w:val="15"/>
        </w:rPr>
        <w:t xml:space="preserve">  [politique]</w:t>
      </w:r>
      <w:r>
        <w:rPr>
          <w:color w:val="B47800"/>
          <w:sz w:val="16"/>
        </w:rPr>
        <w:t xml:space="preserve">  ★ 50/10</w:t>
      </w:r>
    </w:p>
    <w:p>
      <w:pPr>
        <w:spacing w:before="0" w:after="20"/>
        <w:ind w:left="600"/>
      </w:pPr>
      <w:r>
        <w:rPr>
          <w:color w:val="323232"/>
          <w:sz w:val="17"/>
        </w:rPr>
        <w:t>L'article de DW.com interroge la nature de la révolution populaire au Burkina Faso, en examinant si elle est une réalité ou une illusion. Il analyse les dynamiques politiques récentes et les aspirations du peuple burkinabè. Le texte soulève des doutes sur la pérennité des changements politiques en cours.</w:t>
      </w:r>
    </w:p>
    <w:p>
      <w:pPr>
        <w:spacing w:before="0" w:after="40"/>
        <w:ind w:left="600"/>
      </w:pPr>
      <w:r>
        <w:rPr>
          <w:color w:val="00643C"/>
          <w:sz w:val="16"/>
        </w:rPr>
        <w:t>Points clés : Questionnement sur la réalité de la révolution populaire  •  Analyse des dynamiques politiques au Burkina Faso</w:t>
      </w:r>
    </w:p>
    <w:p>
      <w:pPr>
        <w:spacing w:before="0" w:after="60"/>
        <w:ind w:left="600"/>
      </w:pPr>
      <w:r>
        <w:rPr>
          <w:color w:val="0064B4"/>
          <w:sz w:val="15"/>
        </w:rPr>
        <w:t>Source : https://news.google.com/rss/articles/CBMirgFBVV95cUxOcWRhM3NHbW4xSjZEUDUyVFBlYk9</w:t>
      </w:r>
    </w:p>
    <w:p>
      <w:pPr>
        <w:spacing w:before="40" w:after="40"/>
        <w:ind w:left="360"/>
      </w:pPr>
      <w:r>
        <w:rPr>
          <w:color w:val="646464"/>
          <w:sz w:val="17"/>
        </w:rPr>
        <w:t xml:space="preserve">[12/07/2026] ⚪  </w:t>
      </w:r>
      <w:r>
        <w:rPr>
          <w:b/>
          <w:color w:val="505050"/>
          <w:sz w:val="18"/>
        </w:rPr>
        <w:t>Ivry-sur-Seine : une subvention de 46 000 euros pour le Mali adoptée en conseil municipal - lejdd.fr</w:t>
      </w:r>
      <w:r>
        <w:rPr>
          <w:color w:val="787878"/>
          <w:sz w:val="15"/>
        </w:rPr>
        <w:t xml:space="preserve">  [politique]</w:t>
      </w:r>
      <w:r>
        <w:rPr>
          <w:color w:val="B47800"/>
          <w:sz w:val="16"/>
        </w:rPr>
        <w:t xml:space="preserve">  ★ 50/10</w:t>
      </w:r>
    </w:p>
    <w:p>
      <w:pPr>
        <w:spacing w:before="0" w:after="20"/>
        <w:ind w:left="600"/>
      </w:pPr>
      <w:r>
        <w:rPr>
          <w:color w:val="323232"/>
          <w:sz w:val="17"/>
        </w:rPr>
        <w:t>La ville d'Ivry-sur-Seine a voté une subvention de 46 000 euros en faveur du Mali lors de son conseil municipal. Cette décision s'inscrit dans le cadre de la coopération décentralisée entre la France et le Mali. L'information est relayée par le journal Le JDD.</w:t>
      </w:r>
    </w:p>
    <w:p>
      <w:pPr>
        <w:spacing w:before="0" w:after="40"/>
        <w:ind w:left="600"/>
      </w:pPr>
      <w:r>
        <w:rPr>
          <w:color w:val="00643C"/>
          <w:sz w:val="16"/>
        </w:rPr>
        <w:t>Points clés : Subvention de 46 000 euros accordée par Ivry-sur-Seine au Mali  •  Décision adoptée en conseil municipal</w:t>
      </w:r>
    </w:p>
    <w:p>
      <w:pPr>
        <w:spacing w:before="0" w:after="60"/>
        <w:ind w:left="600"/>
      </w:pPr>
      <w:r>
        <w:rPr>
          <w:color w:val="0064B4"/>
          <w:sz w:val="15"/>
        </w:rPr>
        <w:t>Source : https://news.google.com/rss/articles/CBMiwwFBVV95cUxOSWxFYTFCYUxlOEhNT2NtTDJ2VmE</w:t>
      </w:r>
    </w:p>
    <w:p>
      <w:pPr>
        <w:spacing w:before="40" w:after="40"/>
        <w:ind w:left="360"/>
      </w:pPr>
      <w:r>
        <w:rPr>
          <w:color w:val="646464"/>
          <w:sz w:val="17"/>
        </w:rPr>
        <w:t xml:space="preserve">[12/07/2026] 🟢  </w:t>
      </w:r>
      <w:r>
        <w:rPr>
          <w:b/>
          <w:color w:val="008000"/>
          <w:sz w:val="18"/>
        </w:rPr>
        <w:t>Côte d'Ivoire : Indépendance à Yopougon, le Gouvernement accorde 55 kilomètres de voies à bitumer dans la commune - koac</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le bitumage de 55 kilomètres de voies dans la commune de Yopougon, à l'occasion de la fête de l'indépendance. Cette infrastructure vise à améliorer la mobilité urbaine et les conditions de vie des habitants. Le projet s'inscrit dans la politique de modernisation des infrastructures du pays.</w:t>
      </w:r>
    </w:p>
    <w:p>
      <w:pPr>
        <w:spacing w:before="0" w:after="40"/>
        <w:ind w:left="600"/>
      </w:pPr>
      <w:r>
        <w:rPr>
          <w:color w:val="00643C"/>
          <w:sz w:val="16"/>
        </w:rPr>
        <w:t>Points clés : Bitumage de 55 km de voies à Yopougon  •  Annonce gouvernementale lors de la fête de l'indépendance</w:t>
      </w:r>
    </w:p>
    <w:p>
      <w:pPr>
        <w:spacing w:before="0" w:after="60"/>
        <w:ind w:left="600"/>
      </w:pPr>
      <w:r>
        <w:rPr>
          <w:color w:val="0064B4"/>
          <w:sz w:val="15"/>
        </w:rPr>
        <w:t>Source : https://news.google.com/rss/articles/CBMikwJBVV95cUxNTUZadE5hVkVGMmN1T2F2MFQ3SG1</w:t>
      </w:r>
    </w:p>
    <w:p>
      <w:pPr>
        <w:spacing w:before="120" w:after="40"/>
      </w:pPr>
      <w:r>
        <w:rPr>
          <w:b/>
          <w:color w:val="00467F"/>
          <w:sz w:val="20"/>
        </w:rPr>
        <w:t>🔑 économique  (2 alerte(s))</w:t>
      </w:r>
    </w:p>
    <w:p>
      <w:pPr>
        <w:spacing w:before="40" w:after="40"/>
        <w:ind w:left="360"/>
      </w:pPr>
      <w:r>
        <w:rPr>
          <w:color w:val="646464"/>
          <w:sz w:val="17"/>
        </w:rPr>
        <w:t xml:space="preserve">[13/07/2026] 🔴  </w:t>
      </w:r>
      <w:r>
        <w:rPr>
          <w:b/>
          <w:color w:val="C00000"/>
          <w:sz w:val="18"/>
        </w:rPr>
        <w:t>Industrialisation en Afrique de l’Ouest : le Sénégal et la Côte d’Ivoire distancent le Mali et la CEDEAO - Mali Actu</w:t>
      </w:r>
      <w:r>
        <w:rPr>
          <w:color w:val="787878"/>
          <w:sz w:val="15"/>
        </w:rPr>
        <w:t xml:space="preserve">  [économique]</w:t>
      </w:r>
      <w:r>
        <w:rPr>
          <w:color w:val="B47800"/>
          <w:sz w:val="16"/>
        </w:rPr>
        <w:t xml:space="preserve">  ★ 50/10</w:t>
      </w:r>
    </w:p>
    <w:p>
      <w:pPr>
        <w:spacing w:before="0" w:after="20"/>
        <w:ind w:left="600"/>
      </w:pPr>
      <w:r>
        <w:rPr>
          <w:color w:val="323232"/>
          <w:sz w:val="17"/>
        </w:rPr>
        <w:t>L'article de Mali Actu indique que le Sénégal et la Côte d'Ivoire progressent plus rapidement que le Mali et la moyenne de la CEDEAO en matière d'industrialisation en Afrique de l'Ouest. Cette avance reflète des politiques industrielles plus efficaces et un environnement des affaires plus attractif dans ces deux pays. Le Mali, quant à lui, semble a</w:t>
      </w:r>
    </w:p>
    <w:p>
      <w:pPr>
        <w:spacing w:before="0" w:after="40"/>
        <w:ind w:left="600"/>
      </w:pPr>
      <w:r>
        <w:rPr>
          <w:color w:val="00643C"/>
          <w:sz w:val="16"/>
        </w:rPr>
        <w:t>Points clés : Le Sénégal et la Côte d'Ivoire sont en tête de l'industrialisation en Afrique de l'Ouest.  •  Le Mali et la moyenne de la CEDEAO sont distancés dans ce processus.  •  L'écart souligne des disparités dans les politiques industrielles et l'attractivité économique.</w:t>
      </w:r>
    </w:p>
    <w:p>
      <w:pPr>
        <w:spacing w:before="0" w:after="60"/>
        <w:ind w:left="600"/>
      </w:pPr>
      <w:r>
        <w:rPr>
          <w:color w:val="0064B4"/>
          <w:sz w:val="15"/>
        </w:rPr>
        <w:t>Source : https://news.google.com/rss/articles/CBMickFVX3lxTE1wRW1VTGI3X0dyX25XZXhaZnF3VWR</w:t>
      </w:r>
    </w:p>
    <w:p>
      <w:pPr>
        <w:spacing w:before="40" w:after="40"/>
        <w:ind w:left="360"/>
      </w:pPr>
      <w:r>
        <w:rPr>
          <w:color w:val="646464"/>
          <w:sz w:val="17"/>
        </w:rPr>
        <w:t xml:space="preserve">[10/07/2026] 🔴  </w:t>
      </w:r>
      <w:r>
        <w:rPr>
          <w:b/>
          <w:color w:val="C00000"/>
          <w:sz w:val="18"/>
        </w:rPr>
        <w:t>AES : Mali, Burkina et Niger créent leurs propres institutions financières pour briser l’influence française - Mali Actu</w:t>
      </w:r>
      <w:r>
        <w:rPr>
          <w:color w:val="787878"/>
          <w:sz w:val="15"/>
        </w:rPr>
        <w:t xml:space="preserve">  [économique]</w:t>
      </w:r>
      <w:r>
        <w:rPr>
          <w:color w:val="B47800"/>
          <w:sz w:val="16"/>
        </w:rPr>
        <w:t xml:space="preserve">  ★ 50/10</w:t>
      </w:r>
    </w:p>
    <w:p>
      <w:pPr>
        <w:spacing w:before="0" w:after="20"/>
        <w:ind w:left="600"/>
      </w:pPr>
      <w:r>
        <w:rPr>
          <w:color w:val="323232"/>
          <w:sz w:val="17"/>
        </w:rPr>
        <w:t>Le Mali, le Burkina Faso et le Niger, membres de l'Alliance des États du Sahel (AES), ont annoncé la création de leurs propres institutions financières afin de réduire leur dépendance vis-à-vis de la France et des systèmes financiers traditionnels. Cette initiative vise à renforcer leur souveraineté économique et à contourner les mécanismes de cont</w:t>
      </w:r>
    </w:p>
    <w:p>
      <w:pPr>
        <w:spacing w:before="0" w:after="40"/>
        <w:ind w:left="600"/>
      </w:pPr>
      <w:r>
        <w:rPr>
          <w:color w:val="00643C"/>
          <w:sz w:val="16"/>
        </w:rPr>
        <w:t>Points clés : Création d'institutions financières propres par le Mali, le Burkina et le Niger.  •  Objectif de briser l'influence française dans le secteur financier régional.  •  Renforcement de la souveraineté économique des pays de l'AES.  •  Possible éloignement des mécanismes de la BCEAO et de l'UEMOA.</w:t>
      </w:r>
    </w:p>
    <w:p>
      <w:pPr>
        <w:spacing w:before="0" w:after="60"/>
        <w:ind w:left="600"/>
      </w:pPr>
      <w:r>
        <w:rPr>
          <w:color w:val="0064B4"/>
          <w:sz w:val="15"/>
        </w:rPr>
        <w:t>Source : https://news.google.com/rss/articles/CBMixAFBVV95cUxNRlQyMEVfVS1KcEQ5M0dob0s1VlR</w:t>
      </w:r>
    </w:p>
    <w:p>
      <w:pPr>
        <w:spacing w:before="120" w:after="40"/>
      </w:pPr>
      <w:r>
        <w:rPr>
          <w:b/>
          <w:color w:val="00467F"/>
          <w:sz w:val="20"/>
        </w:rPr>
        <w:t>🔑 marche_financier  (2 alerte(s))</w:t>
      </w:r>
    </w:p>
    <w:p>
      <w:pPr>
        <w:spacing w:before="40" w:after="40"/>
        <w:ind w:left="360"/>
      </w:pPr>
      <w:r>
        <w:rPr>
          <w:color w:val="646464"/>
          <w:sz w:val="17"/>
        </w:rPr>
        <w:t xml:space="preserve">[11/07/2026] 🟢  </w:t>
      </w:r>
      <w:r>
        <w:rPr>
          <w:b/>
          <w:color w:val="008000"/>
          <w:sz w:val="18"/>
        </w:rPr>
        <w:t>La RDC lance la Kinshasa Stock Exchange, sa première Bourse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La République Démocratique du Congo a officiellement lancé la Kinshasa Stock Exchange (KSE), sa première bourse des valeurs. Cette initiative marque une étape importante dans le développement du marché financier congolais et vise à attirer les investissements nationaux et étrangers. Le lancement de la KSE pourrait renforcer l'intégration financière</w:t>
      </w:r>
    </w:p>
    <w:p>
      <w:pPr>
        <w:spacing w:before="0" w:after="40"/>
        <w:ind w:left="600"/>
      </w:pPr>
      <w:r>
        <w:rPr>
          <w:color w:val="00643C"/>
          <w:sz w:val="16"/>
        </w:rPr>
        <w:t>Points clés : Lancement de la première bourse des valeurs en RDC, la Kinshasa Stock Exchange.  •  Objectif de dynamiser le financement de l'économie congolaise et d'attirer les investisseurs.</w:t>
      </w:r>
    </w:p>
    <w:p>
      <w:pPr>
        <w:spacing w:before="0" w:after="60"/>
        <w:ind w:left="600"/>
      </w:pPr>
      <w:r>
        <w:rPr>
          <w:color w:val="0064B4"/>
          <w:sz w:val="15"/>
        </w:rPr>
        <w:t>Source : https://news.google.com/rss/articles/CBMilgFBVV95cUxPNTJsOUdZREUxTG11NXN3MGkxM1A</w:t>
      </w:r>
    </w:p>
    <w:p>
      <w:pPr>
        <w:spacing w:before="40" w:after="40"/>
        <w:ind w:left="360"/>
      </w:pPr>
      <w:r>
        <w:rPr>
          <w:color w:val="646464"/>
          <w:sz w:val="17"/>
        </w:rPr>
        <w:t xml:space="preserve">[10/07/2026] 🟢  </w:t>
      </w:r>
      <w:r>
        <w:rPr>
          <w:b/>
          <w:color w:val="008000"/>
          <w:sz w:val="18"/>
        </w:rPr>
        <w:t>Ecobank cote la première obligation Nature bancaire à Londres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Ecobank a émis et coté la première obligation bancaire dédiée à la nature sur le London Stock Exchange, marquant une innovation financière majeure pour le financement de projets environnementaux en Afrique. Cette opération permet à la banque de lever des fonds destinés à des initiatives de conservation et de développement durable. L'initiative renf</w:t>
      </w:r>
    </w:p>
    <w:p>
      <w:pPr>
        <w:spacing w:before="0" w:after="40"/>
        <w:ind w:left="600"/>
      </w:pPr>
      <w:r>
        <w:rPr>
          <w:color w:val="00643C"/>
          <w:sz w:val="16"/>
        </w:rPr>
        <w:t>Points clés : Première obligation bancaire dédiée à la nature cotée à Londres  •  Financement de projets environnementaux et de conservation en Afrique</w:t>
      </w:r>
    </w:p>
    <w:p>
      <w:pPr>
        <w:spacing w:before="0" w:after="60"/>
        <w:ind w:left="600"/>
      </w:pPr>
      <w:r>
        <w:rPr>
          <w:color w:val="0064B4"/>
          <w:sz w:val="15"/>
        </w:rPr>
        <w:t>Source : https://news.google.com/rss/articles/CBMimgFBVV95cUxQZVhUa0ozRHNPUTZOWEVXSTFHX3B</w:t>
      </w:r>
    </w:p>
    <w:p>
      <w:pPr>
        <w:spacing w:before="120" w:after="40"/>
      </w:pPr>
      <w:r>
        <w:rPr>
          <w:b/>
          <w:color w:val="00467F"/>
          <w:sz w:val="20"/>
        </w:rPr>
        <w:t>🔑 politique_monetaire  (1 alerte(s))</w:t>
      </w:r>
    </w:p>
    <w:p>
      <w:pPr>
        <w:spacing w:before="40" w:after="40"/>
        <w:ind w:left="360"/>
      </w:pPr>
      <w:r>
        <w:rPr>
          <w:color w:val="646464"/>
          <w:sz w:val="17"/>
        </w:rPr>
        <w:t xml:space="preserve">[10/07/2026] 🔴  </w:t>
      </w:r>
      <w:r>
        <w:rPr>
          <w:b/>
          <w:color w:val="C00000"/>
          <w:sz w:val="18"/>
        </w:rPr>
        <w:t>Le gouverneur de la banque centrale grecque : « Le conflit entre les États-Unis et l'Iran oblige la BCE à reprendre la l</w:t>
      </w:r>
      <w:r>
        <w:rPr>
          <w:color w:val="787878"/>
          <w:sz w:val="15"/>
        </w:rPr>
        <w:t xml:space="preserve">  [politique_monetaire]</w:t>
      </w:r>
      <w:r>
        <w:rPr>
          <w:color w:val="B47800"/>
          <w:sz w:val="16"/>
        </w:rPr>
        <w:t xml:space="preserve">  ★ 50/10</w:t>
      </w:r>
    </w:p>
    <w:p>
      <w:pPr>
        <w:spacing w:before="0" w:after="20"/>
        <w:ind w:left="600"/>
      </w:pPr>
      <w:r>
        <w:rPr>
          <w:color w:val="323232"/>
          <w:sz w:val="17"/>
        </w:rPr>
        <w:t>Le gouverneur de la banque centrale grecque estime que le conflit entre les États-Unis et l'Iran pousse la BCE à reprendre une politique de lutte contre l'inflation. Cette situation pourrait entraîner un resserrement monétaire en zone euro, avec des conséquences sur les taux d'intérêt. Les marchés émergents, dont la BRVM, pourraient ressentir des t</w:t>
      </w:r>
    </w:p>
    <w:p>
      <w:pPr>
        <w:spacing w:before="0" w:after="40"/>
        <w:ind w:left="600"/>
      </w:pPr>
      <w:r>
        <w:rPr>
          <w:color w:val="00643C"/>
          <w:sz w:val="16"/>
        </w:rPr>
        <w:t>Points clés : Conflit États-Unis/Iran comme facteur inflationniste  •  BCE contrainte de durcir sa politique monétaire</w:t>
      </w:r>
    </w:p>
    <w:p>
      <w:pPr>
        <w:spacing w:before="0" w:after="60"/>
        <w:ind w:left="600"/>
      </w:pPr>
      <w:r>
        <w:rPr>
          <w:color w:val="0064B4"/>
          <w:sz w:val="15"/>
        </w:rPr>
        <w:t>Source : https://news.google.com/rss/articles/CBMi9gFBVV95cUxQbGtwUUN4TWN0UnUySC1sazVIbmN</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1,755</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1,975</w:t>
            </w:r>
          </w:p>
        </w:tc>
        <w:tc>
          <w:tcPr>
            <w:tcW w:type="dxa" w:w="1080"/>
            <w:shd w:fill="C6EFCE" w:val="clear"/>
          </w:tcPr>
          <w:p>
            <w:r>
              <w:rPr>
                <w:b/>
                <w:sz w:val="16"/>
              </w:rPr>
              <w:t>81/100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4</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4,280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2,800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9,500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2,210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30,900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10</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3,955</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11</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7,550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1,340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5,450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4,790</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6,350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6,050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1,575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64</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16,250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4,260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29,610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21,695</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5,195</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24</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39,910</w:t>
            </w:r>
          </w:p>
        </w:tc>
        <w:tc>
          <w:tcPr>
            <w:tcW w:type="dxa" w:w="1080"/>
            <w:shd w:fill="EBF5FB" w:val="clear"/>
          </w:tcPr>
          <w:p>
            <w:r>
              <w:rPr>
                <w:b/>
                <w:sz w:val="16"/>
              </w:rPr>
              <w:t>69/100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3,495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4,415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16,495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2,205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8,950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24,105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8,820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2,060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17,295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8,360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40</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5,340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4,270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12,115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3,200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7,300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SEMC</w:t>
            </w:r>
          </w:p>
        </w:tc>
        <w:tc>
          <w:tcPr>
            <w:tcW w:type="dxa" w:w="1080"/>
            <w:shd w:fill="FEFEFE" w:val="clear"/>
          </w:tcPr>
          <w:p>
            <w:r>
              <w:rPr>
                <w:sz w:val="16"/>
              </w:rPr>
              <w:t>INDUSTRIELS</w:t>
            </w:r>
          </w:p>
        </w:tc>
        <w:tc>
          <w:tcPr>
            <w:tcW w:type="dxa" w:w="1080"/>
            <w:shd w:fill="FEFEFE" w:val="clear"/>
          </w:tcPr>
          <w:p>
            <w:r>
              <w:rPr>
                <w:sz w:val="16"/>
              </w:rPr>
              <w:t>1,455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50,500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1,975</w:t>
            </w:r>
          </w:p>
        </w:tc>
        <w:tc>
          <w:tcPr>
            <w:tcW w:type="dxa" w:w="1728"/>
            <w:shd w:fill="DEEAF1" w:val="clear"/>
          </w:tcPr>
          <w:p>
            <w:r>
              <w:rPr>
                <w:sz w:val="17"/>
              </w:rPr>
              <w:t>81/100</w:t>
            </w:r>
          </w:p>
        </w:tc>
        <w:tc>
          <w:tcPr>
            <w:tcW w:type="dxa" w:w="1728"/>
            <w:shd w:fill="DEEAF1" w:val="clear"/>
          </w:tcPr>
          <w:p>
            <w:r>
              <w:rPr>
                <w:sz w:val="17"/>
              </w:rPr>
              <w:t>10.6%</w:t>
            </w:r>
          </w:p>
        </w:tc>
      </w:tr>
      <w:tr>
        <w:tc>
          <w:tcPr>
            <w:tcW w:type="dxa" w:w="1728"/>
            <w:shd w:fill="DEEAF1" w:val="clear"/>
          </w:tcPr>
          <w:p>
            <w:r>
              <w:rPr>
                <w:sz w:val="17"/>
              </w:rPr>
              <w:t>PRSC</w:t>
            </w:r>
          </w:p>
        </w:tc>
        <w:tc>
          <w:tcPr>
            <w:tcW w:type="dxa" w:w="1728"/>
            <w:shd w:fill="DEEAF1" w:val="clear"/>
          </w:tcPr>
          <w:p>
            <w:r>
              <w:rPr>
                <w:sz w:val="17"/>
              </w:rPr>
              <w:t>PRSC - TRACTAFRIC MOTORS CI</w:t>
            </w:r>
          </w:p>
        </w:tc>
        <w:tc>
          <w:tcPr>
            <w:tcW w:type="dxa" w:w="1728"/>
            <w:shd w:fill="DEEAF1" w:val="clear"/>
          </w:tcPr>
          <w:p>
            <w:r>
              <w:rPr>
                <w:sz w:val="17"/>
              </w:rPr>
              <w:t>4,280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2,800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9,500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2,210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30,900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3,955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5,450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1,755</w:t>
            </w:r>
          </w:p>
        </w:tc>
        <w:tc>
          <w:tcPr>
            <w:tcW w:type="dxa" w:w="1728"/>
            <w:shd w:fill="E2EFDA" w:val="clear"/>
          </w:tcPr>
          <w:p>
            <w:r>
              <w:rPr>
                <w:sz w:val="17"/>
              </w:rPr>
              <w:t>84/100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2,000</w:t>
            </w:r>
          </w:p>
        </w:tc>
        <w:tc>
          <w:tcPr>
            <w:tcW w:type="dxa" w:w="1728"/>
            <w:shd w:fill="E2EFDA" w:val="clear"/>
          </w:tcPr>
          <w:p>
            <w:r>
              <w:rPr>
                <w:sz w:val="17"/>
              </w:rPr>
              <w:t>82/100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1,975</w:t>
            </w:r>
          </w:p>
        </w:tc>
        <w:tc>
          <w:tcPr>
            <w:tcW w:type="dxa" w:w="1728"/>
            <w:shd w:fill="E2EFDA" w:val="clear"/>
          </w:tcPr>
          <w:p>
            <w:r>
              <w:rPr>
                <w:sz w:val="17"/>
              </w:rPr>
              <w:t>81/100</w:t>
            </w:r>
          </w:p>
        </w:tc>
        <w:tc>
          <w:tcPr>
            <w:tcW w:type="dxa" w:w="1728"/>
            <w:shd w:fill="E2EFDA" w:val="clear"/>
          </w:tcPr>
          <w:p>
            <w:r>
              <w:rPr>
                <w:sz w:val="17"/>
              </w:rPr>
              <w:t>11.2%</w:t>
            </w:r>
          </w:p>
        </w:tc>
      </w:tr>
      <w:tr>
        <w:tc>
          <w:tcPr>
            <w:tcW w:type="dxa" w:w="1728"/>
            <w:shd w:fill="E2EFDA" w:val="clear"/>
          </w:tcPr>
          <w:p>
            <w:r>
              <w:rPr>
                <w:sz w:val="17"/>
              </w:rPr>
              <w:t>PRSC</w:t>
            </w:r>
          </w:p>
        </w:tc>
        <w:tc>
          <w:tcPr>
            <w:tcW w:type="dxa" w:w="1728"/>
            <w:shd w:fill="E2EFDA" w:val="clear"/>
          </w:tcPr>
          <w:p>
            <w:r>
              <w:rPr>
                <w:sz w:val="17"/>
              </w:rPr>
              <w:t>PRSC - TRACTAFRIC MOTORS CI</w:t>
            </w:r>
          </w:p>
        </w:tc>
        <w:tc>
          <w:tcPr>
            <w:tcW w:type="dxa" w:w="1728"/>
            <w:shd w:fill="E2EFDA" w:val="clear"/>
          </w:tcPr>
          <w:p>
            <w:r>
              <w:rPr>
                <w:sz w:val="17"/>
              </w:rPr>
              <w:t>4,280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2,800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9,500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2,210</w:t>
            </w:r>
          </w:p>
        </w:tc>
        <w:tc>
          <w:tcPr>
            <w:tcW w:type="dxa" w:w="1728"/>
            <w:shd w:fill="E2EFDA" w:val="clear"/>
          </w:tcPr>
          <w:p>
            <w:r>
              <w:rPr>
                <w:sz w:val="17"/>
              </w:rPr>
              <w:t>76/100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1,755</w:t>
            </w:r>
          </w:p>
        </w:tc>
        <w:tc>
          <w:tcPr>
            <w:tcW w:type="dxa" w:w="1728"/>
            <w:shd w:fill="FCE4D6" w:val="clear"/>
          </w:tcPr>
          <w:p>
            <w:r>
              <w:rPr>
                <w:sz w:val="17"/>
              </w:rPr>
              <w:t>84/100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2,000</w:t>
            </w:r>
          </w:p>
        </w:tc>
        <w:tc>
          <w:tcPr>
            <w:tcW w:type="dxa" w:w="1728"/>
            <w:shd w:fill="FCE4D6" w:val="clear"/>
          </w:tcPr>
          <w:p>
            <w:r>
              <w:rPr>
                <w:sz w:val="17"/>
              </w:rPr>
              <w:t>82/100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1,975</w:t>
            </w:r>
          </w:p>
        </w:tc>
        <w:tc>
          <w:tcPr>
            <w:tcW w:type="dxa" w:w="1728"/>
            <w:shd w:fill="FCE4D6" w:val="clear"/>
          </w:tcPr>
          <w:p>
            <w:r>
              <w:rPr>
                <w:sz w:val="17"/>
              </w:rPr>
              <w:t>81/100</w:t>
            </w:r>
          </w:p>
        </w:tc>
        <w:tc>
          <w:tcPr>
            <w:tcW w:type="dxa" w:w="1728"/>
            <w:shd w:fill="FCE4D6" w:val="clear"/>
          </w:tcPr>
          <w:p>
            <w:r>
              <w:rPr>
                <w:sz w:val="17"/>
              </w:rPr>
              <w:t>11.9%</w:t>
            </w:r>
          </w:p>
        </w:tc>
      </w:tr>
      <w:tr>
        <w:tc>
          <w:tcPr>
            <w:tcW w:type="dxa" w:w="1728"/>
            <w:shd w:fill="FCE4D6" w:val="clear"/>
          </w:tcPr>
          <w:p>
            <w:r>
              <w:rPr>
                <w:sz w:val="17"/>
              </w:rPr>
              <w:t>PRSC</w:t>
            </w:r>
          </w:p>
        </w:tc>
        <w:tc>
          <w:tcPr>
            <w:tcW w:type="dxa" w:w="1728"/>
            <w:shd w:fill="FCE4D6" w:val="clear"/>
          </w:tcPr>
          <w:p>
            <w:r>
              <w:rPr>
                <w:sz w:val="17"/>
              </w:rPr>
              <w:t>PRSC - TRACTAFRIC MOTORS CI</w:t>
            </w:r>
          </w:p>
        </w:tc>
        <w:tc>
          <w:tcPr>
            <w:tcW w:type="dxa" w:w="1728"/>
            <w:shd w:fill="FCE4D6" w:val="clear"/>
          </w:tcPr>
          <w:p>
            <w:r>
              <w:rPr>
                <w:sz w:val="17"/>
              </w:rPr>
              <w:t>4,280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2,800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9,500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2,210</w:t>
            </w:r>
          </w:p>
        </w:tc>
        <w:tc>
          <w:tcPr>
            <w:tcW w:type="dxa" w:w="1728"/>
            <w:shd w:fill="FCE4D6" w:val="clear"/>
          </w:tcPr>
          <w:p>
            <w:r>
              <w:rPr>
                <w:sz w:val="17"/>
              </w:rPr>
              <w:t>76/100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BOAN — BANK OF AFRICA NIGER</w:t>
      </w:r>
    </w:p>
    <w:p>
      <w:pPr>
        <w:pStyle w:val="ListBullet"/>
        <w:spacing w:before="20"/>
        <w:ind w:left="400"/>
      </w:pPr>
      <w:r>
        <w:rPr>
          <w:sz w:val="18"/>
        </w:rPr>
        <w:t>🔴 RSI surachat (81.8 &gt; 70) — risque de correction</w:t>
      </w:r>
    </w:p>
    <w:p>
      <w:pPr>
        <w:pStyle w:val="ListBullet"/>
        <w:spacing w:before="20"/>
        <w:ind w:left="400"/>
      </w:pPr>
      <w:r>
        <w:rPr>
          <w:sz w:val="18"/>
        </w:rPr>
        <w:t>⚠️ Cours à 0.0% du plus haut 100j (4,790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(95.4 &gt; 70) — risque de correction</w:t>
      </w:r>
    </w:p>
    <w:p>
      <w:pPr>
        <w:pStyle w:val="ListBullet"/>
        <w:spacing w:before="20"/>
        <w:ind w:left="400"/>
      </w:pPr>
      <w:r>
        <w:rPr>
          <w:sz w:val="18"/>
        </w:rPr>
        <w:t>⚠️ Cours à 0.0% du plus haut 100j (29,610 FCFA)</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(73.2 &gt; 70) — risque de correction</w:t>
      </w:r>
    </w:p>
    <w:p>
      <w:pPr>
        <w:pStyle w:val="ListBullet"/>
        <w:spacing w:before="20"/>
        <w:ind w:left="400"/>
      </w:pPr>
      <w:r>
        <w:rPr>
          <w:sz w:val="18"/>
        </w:rPr>
        <w:t>⚠️ Cours à 2.6% du plus haut 100j (5,485 FCFA)</w:t>
      </w:r>
    </w:p>
    <w:p>
      <w:pPr>
        <w:pStyle w:val="ListBullet"/>
        <w:spacing w:before="20"/>
        <w:ind w:left="400"/>
      </w:pPr>
      <w:r>
        <w:rPr>
          <w:sz w:val="18"/>
        </w:rPr>
        <w:t>🟠 Divergence tech(VENTE) / fond(ACHAT) — recommandation ajustée à ACHAT</w:t>
      </w:r>
    </w:p>
    <w:p>
      <w:pPr>
        <w:spacing w:before="120"/>
      </w:pPr>
      <w:r>
        <w:rPr>
          <w:b/>
          <w:color w:val="0050A0"/>
          <w:sz w:val="20"/>
        </w:rPr>
        <w:t>ETIT — ETIT - Ecobank Transnational Incorporated Togo</w:t>
      </w:r>
    </w:p>
    <w:p>
      <w:pPr>
        <w:pStyle w:val="ListBullet"/>
        <w:spacing w:before="20"/>
        <w:ind w:left="400"/>
      </w:pPr>
      <w:r>
        <w:rPr>
          <w:sz w:val="18"/>
        </w:rPr>
        <w:t>🔴 RSI surachat (96.8 &gt; 70) — risque de correction</w:t>
      </w:r>
    </w:p>
    <w:p>
      <w:pPr>
        <w:pStyle w:val="ListBullet"/>
        <w:spacing w:before="20"/>
        <w:ind w:left="400"/>
      </w:pPr>
      <w:r>
        <w:rPr>
          <w:sz w:val="18"/>
        </w:rPr>
        <w:t>⚠️ Cours à 0.0% du plus haut 100j (64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(70.1 &gt; 70) — risque de correction</w:t>
      </w:r>
    </w:p>
    <w:p>
      <w:pPr>
        <w:pStyle w:val="ListBullet"/>
        <w:spacing w:before="20"/>
        <w:ind w:left="400"/>
      </w:pPr>
      <w:r>
        <w:rPr>
          <w:sz w:val="18"/>
        </w:rPr>
        <w:t>⚠️ Cours à 0.5% du plus haut 100j (6,385 FCFA)</w:t>
      </w:r>
    </w:p>
    <w:p>
      <w:pPr>
        <w:spacing w:before="120"/>
      </w:pPr>
      <w:r>
        <w:rPr>
          <w:b/>
          <w:color w:val="0050A0"/>
          <w:sz w:val="20"/>
        </w:rPr>
        <w:t>BOABF — BANK OF AFRICA BURKINA FASO</w:t>
      </w:r>
    </w:p>
    <w:p>
      <w:pPr>
        <w:pStyle w:val="ListBullet"/>
        <w:spacing w:before="20"/>
        <w:ind w:left="400"/>
      </w:pPr>
      <w:r>
        <w:rPr>
          <w:sz w:val="18"/>
        </w:rPr>
        <w:t>🔴 RSI surachat (86.4 &gt; 70) — risque de correction</w:t>
      </w:r>
    </w:p>
    <w:p>
      <w:pPr>
        <w:pStyle w:val="ListBullet"/>
        <w:spacing w:before="20"/>
        <w:ind w:left="400"/>
      </w:pPr>
      <w:r>
        <w:rPr>
          <w:sz w:val="18"/>
        </w:rPr>
        <w:t>⚠️ Cours à 0.0% du plus haut 100j (6,050 FCFA)</w:t>
      </w:r>
    </w:p>
    <w:p>
      <w:pPr>
        <w:spacing w:before="120"/>
      </w:pPr>
      <w:r>
        <w:rPr>
          <w:b/>
          <w:color w:val="0050A0"/>
          <w:sz w:val="20"/>
        </w:rPr>
        <w:t>BOAM — BANK OF AFRICA MALI</w:t>
      </w:r>
    </w:p>
    <w:p>
      <w:pPr>
        <w:pStyle w:val="ListBullet"/>
        <w:spacing w:before="20"/>
        <w:ind w:left="400"/>
      </w:pPr>
      <w:r>
        <w:rPr>
          <w:sz w:val="18"/>
        </w:rPr>
        <w:t>🔴 RSI surachat (79.2 &gt; 70) — risque de correction</w:t>
      </w:r>
    </w:p>
    <w:p>
      <w:pPr>
        <w:pStyle w:val="ListBullet"/>
        <w:spacing w:before="20"/>
        <w:ind w:left="400"/>
      </w:pPr>
      <w:r>
        <w:rPr>
          <w:sz w:val="18"/>
        </w:rPr>
        <w:t>⚠️ Cours à 0.0% du plus haut 100j (5,450 FCFA)</w:t>
      </w:r>
    </w:p>
    <w:p>
      <w:pPr>
        <w:spacing w:before="120"/>
      </w:pPr>
      <w:r>
        <w:rPr>
          <w:b/>
          <w:color w:val="0050A0"/>
          <w:sz w:val="20"/>
        </w:rPr>
        <w:t>FTSC — FTSC - FILTISAC COTE D'IVOIRE</w:t>
      </w:r>
    </w:p>
    <w:p>
      <w:pPr>
        <w:pStyle w:val="ListBullet"/>
        <w:spacing w:before="20"/>
        <w:ind w:left="400"/>
      </w:pPr>
      <w:r>
        <w:rPr>
          <w:sz w:val="18"/>
        </w:rPr>
        <w:t>🟢 RSI survente (27.8 &lt; 30) — opportunité potentielle</w:t>
      </w:r>
    </w:p>
    <w:p>
      <w:pPr>
        <w:pStyle w:val="ListBullet"/>
        <w:spacing w:before="20"/>
        <w:ind w:left="400"/>
      </w:pPr>
      <w:r>
        <w:rPr>
          <w:sz w:val="18"/>
        </w:rPr>
        <w:t>⚠️ Cours à 1.0% du plus bas 100j (1,955 FCFA)</w:t>
      </w:r>
    </w:p>
    <w:p>
      <w:pPr>
        <w:spacing w:before="120"/>
      </w:pPr>
      <w:r>
        <w:rPr>
          <w:b/>
          <w:color w:val="0050A0"/>
          <w:sz w:val="20"/>
        </w:rPr>
        <w:t>LNBB — LNBB - LOTERIE NATIONALE DU BENIN</w:t>
      </w:r>
    </w:p>
    <w:p>
      <w:pPr>
        <w:pStyle w:val="ListBullet"/>
        <w:spacing w:before="20"/>
        <w:ind w:left="400"/>
      </w:pPr>
      <w:r>
        <w:rPr>
          <w:sz w:val="18"/>
        </w:rPr>
        <w:t>⚠️ Cours à 0.6% du plus haut 100j (4,440 FCFA)</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surachat (88.4 &gt; 70) — risque de correction</w:t>
      </w:r>
    </w:p>
    <w:p>
      <w:pPr>
        <w:pStyle w:val="ListBullet"/>
        <w:spacing w:before="20"/>
        <w:ind w:left="400"/>
      </w:pPr>
      <w:r>
        <w:rPr>
          <w:sz w:val="18"/>
        </w:rPr>
        <w:t>⚠️ Cours à 1.2% du plus haut 100j (21,950 FCFA)</w:t>
      </w:r>
    </w:p>
    <w:p>
      <w:pPr>
        <w:spacing w:before="120"/>
      </w:pPr>
      <w:r>
        <w:rPr>
          <w:b/>
          <w:color w:val="0050A0"/>
          <w:sz w:val="20"/>
        </w:rPr>
        <w:t>NTLC — NTLC - NESTLE COTE D'IVOIRE</w:t>
      </w:r>
    </w:p>
    <w:p>
      <w:pPr>
        <w:pStyle w:val="ListBullet"/>
        <w:spacing w:before="20"/>
        <w:ind w:left="400"/>
      </w:pPr>
      <w:r>
        <w:rPr>
          <w:sz w:val="18"/>
        </w:rPr>
        <w:t>🔴 RSI surachat (73.3 &gt; 70) — risque de correction</w:t>
      </w:r>
    </w:p>
    <w:p>
      <w:pPr>
        <w:pStyle w:val="ListBullet"/>
        <w:spacing w:before="20"/>
        <w:ind w:left="400"/>
      </w:pPr>
      <w:r>
        <w:rPr>
          <w:sz w:val="18"/>
        </w:rPr>
        <w:t>⚠️ Cours à 1.5% du plus haut 100j (16,500 FCFA)</w:t>
      </w:r>
    </w:p>
    <w:p>
      <w:pPr>
        <w:spacing w:before="120"/>
      </w:pPr>
      <w:r>
        <w:rPr>
          <w:b/>
          <w:color w:val="0050A0"/>
          <w:sz w:val="20"/>
        </w:rPr>
        <w:t>SDCC — SDCC - Société de Distribution d'Eau de Côte d'Ivoire</w:t>
      </w:r>
    </w:p>
    <w:p>
      <w:pPr>
        <w:pStyle w:val="ListBullet"/>
        <w:spacing w:before="20"/>
        <w:ind w:left="400"/>
      </w:pPr>
      <w:r>
        <w:rPr>
          <w:sz w:val="18"/>
        </w:rPr>
        <w:t>⚠️ Cours à 0.7%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0.5% du plus haut 100j (39,200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(83.9 &gt; 70) — risque de correction</w:t>
      </w:r>
    </w:p>
    <w:p>
      <w:pPr>
        <w:pStyle w:val="ListBullet"/>
        <w:spacing w:before="20"/>
        <w:ind w:left="400"/>
      </w:pPr>
      <w:r>
        <w:rPr>
          <w:sz w:val="18"/>
        </w:rPr>
        <w:t>⚠️ Cours à 1.0% du plus haut 100j (5,250 FCFA)</w:t>
      </w:r>
    </w:p>
    <w:p>
      <w:pPr>
        <w:spacing w:before="120"/>
      </w:pPr>
      <w:r>
        <w:rPr>
          <w:b/>
          <w:color w:val="0050A0"/>
          <w:sz w:val="20"/>
        </w:rPr>
        <w:t>SNTS — SNTS - SONATEL SN</w:t>
      </w:r>
    </w:p>
    <w:p>
      <w:pPr>
        <w:pStyle w:val="ListBullet"/>
        <w:spacing w:before="20"/>
        <w:ind w:left="400"/>
      </w:pPr>
      <w:r>
        <w:rPr>
          <w:sz w:val="18"/>
        </w:rPr>
        <w:t>🔴 RSI surachat (80.2 &gt; 70) — risque de correction</w:t>
      </w:r>
    </w:p>
    <w:p>
      <w:pPr>
        <w:pStyle w:val="ListBullet"/>
        <w:spacing w:before="20"/>
        <w:ind w:left="400"/>
      </w:pPr>
      <w:r>
        <w:rPr>
          <w:sz w:val="18"/>
        </w:rPr>
        <w:t>⚠️ Cours à 0.3% du plus haut 100j (31,000 FCFA)</w:t>
      </w:r>
    </w:p>
    <w:p>
      <w:pPr>
        <w:spacing w:before="120"/>
      </w:pPr>
      <w:r>
        <w:rPr>
          <w:b/>
          <w:color w:val="0050A0"/>
          <w:sz w:val="20"/>
        </w:rPr>
        <w:t>UNLC — UNLC - UNILEVER COTE D'IVOIRE</w:t>
      </w:r>
    </w:p>
    <w:p>
      <w:pPr>
        <w:pStyle w:val="ListBullet"/>
        <w:spacing w:before="20"/>
        <w:ind w:left="400"/>
      </w:pPr>
      <w:r>
        <w:rPr>
          <w:sz w:val="18"/>
        </w:rPr>
        <w:t>⚠️ Cours à 1.8% du plus bas 100j (49,630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(23.5 &lt; 30) — opportunité potentielle</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2.3% du plus haut 100j (29,490 FCFA)</w:t>
      </w:r>
    </w:p>
    <w:p>
      <w:pPr>
        <w:spacing w:before="120"/>
      </w:pPr>
      <w:r>
        <w:rPr>
          <w:b/>
          <w:color w:val="0050A0"/>
          <w:sz w:val="20"/>
        </w:rPr>
        <w:t>BNBC — BNBC - BERNABE CI</w:t>
      </w:r>
    </w:p>
    <w:p>
      <w:pPr>
        <w:pStyle w:val="ListBullet"/>
        <w:spacing w:before="20"/>
        <w:ind w:left="400"/>
      </w:pPr>
      <w:r>
        <w:rPr>
          <w:sz w:val="18"/>
        </w:rPr>
        <w:t>🟢 RSI survente (16.9 &lt; 30) — opportunité potentielle</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Cours à 0.0% du plus haut 100j (9,500 FCFA)</w:t>
      </w:r>
    </w:p>
    <w:p>
      <w:pPr>
        <w:spacing w:before="120"/>
      </w:pPr>
      <w:r>
        <w:rPr>
          <w:b/>
          <w:color w:val="0050A0"/>
          <w:sz w:val="20"/>
        </w:rPr>
        <w:t>BOAS — BANK OF AFRICA SENEGAL</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2.8% du plus haut 100j (17,270 FCFA)</w:t>
      </w:r>
    </w:p>
    <w:p>
      <w:pPr>
        <w:spacing w:before="120"/>
      </w:pPr>
      <w:r>
        <w:rPr>
          <w:b/>
          <w:color w:val="0050A0"/>
          <w:sz w:val="20"/>
        </w:rPr>
        <w:t>NEIC — NEIC - NEI-CEDA CI</w:t>
      </w:r>
    </w:p>
    <w:p>
      <w:pPr>
        <w:pStyle w:val="ListBullet"/>
        <w:spacing w:before="20"/>
        <w:ind w:left="400"/>
      </w:pPr>
      <w:r>
        <w:rPr>
          <w:sz w:val="18"/>
        </w:rPr>
        <w:t>🟢 RSI survente (19.8 &lt; 30) — opportunité potentielle</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2.4% du plus haut 100j (16,900 FCFA)</w:t>
      </w:r>
    </w:p>
    <w:p>
      <w:pPr>
        <w:spacing w:before="120"/>
      </w:pPr>
      <w:r>
        <w:rPr>
          <w:b/>
          <w:color w:val="0050A0"/>
          <w:sz w:val="20"/>
        </w:rPr>
        <w:t>PALC — PALC - PALM COTE D'IVOIRE</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RSI survente (18.8 &lt; 30) — opportunité potentielle</w:t>
      </w:r>
    </w:p>
    <w:p>
      <w:pPr>
        <w:spacing w:before="120"/>
      </w:pPr>
      <w:r>
        <w:rPr>
          <w:b/>
          <w:color w:val="0050A0"/>
          <w:sz w:val="20"/>
        </w:rPr>
        <w:t>SEMC — SEMC - EVIOSYS PACKAGING SIEM CI</w:t>
      </w:r>
    </w:p>
    <w:p>
      <w:pPr>
        <w:pStyle w:val="ListBullet"/>
        <w:spacing w:before="20"/>
        <w:ind w:left="400"/>
      </w:pPr>
      <w:r>
        <w:rPr>
          <w:sz w:val="18"/>
        </w:rPr>
        <w:t>🟠 Divergence tech(VENTE) / fond(ACHAT) — recommandation ajustée à ACHAT</w:t>
      </w:r>
    </w:p>
    <w:p>
      <w:pPr>
        <w:spacing w:before="120"/>
      </w:pPr>
      <w:r>
        <w:rPr>
          <w:b/>
          <w:color w:val="0050A0"/>
          <w:sz w:val="20"/>
        </w:rPr>
        <w:t>SIBC — SIBC - SOCIETE IVOIRIENNE DE BANQUE</w:t>
      </w:r>
    </w:p>
    <w:p>
      <w:pPr>
        <w:pStyle w:val="ListBullet"/>
        <w:spacing w:before="20"/>
        <w:ind w:left="400"/>
      </w:pPr>
      <w:r>
        <w:rPr>
          <w:sz w:val="18"/>
        </w:rPr>
        <w:t>⚠️ Cours à 0.7% du plus haut 100j (9,015 FCFA)</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Cours à 2.5% du plus haut 100j (17,735 FCFA)</w:t>
      </w:r>
    </w:p>
    <w:p>
      <w:pPr>
        <w:spacing w:before="120"/>
      </w:pPr>
      <w:r>
        <w:rPr>
          <w:b/>
          <w:color w:val="0050A0"/>
          <w:sz w:val="20"/>
        </w:rPr>
        <w:t>TTLS — TTLS - TOTAL ENERGIES MARKETING SENEGAL</w:t>
      </w:r>
    </w:p>
    <w:p>
      <w:pPr>
        <w:pStyle w:val="ListBullet"/>
        <w:spacing w:before="20"/>
        <w:ind w:left="400"/>
      </w:pPr>
      <w:r>
        <w:rPr>
          <w:sz w:val="18"/>
        </w:rPr>
        <w:t>🔴 RSI surachat (80.4 &gt; 70) — risque de correction</w:t>
      </w:r>
    </w:p>
    <w:p>
      <w:pPr>
        <w:spacing w:before="120"/>
      </w:pPr>
      <w:r>
        <w:rPr>
          <w:b/>
          <w:color w:val="0050A0"/>
          <w:sz w:val="20"/>
        </w:rPr>
        <w:t>UNXC — UNXC - UNIWAX COTE D'IVOIRE</w:t>
      </w:r>
    </w:p>
    <w:p>
      <w:pPr>
        <w:pStyle w:val="ListBullet"/>
        <w:spacing w:before="20"/>
        <w:ind w:left="400"/>
      </w:pPr>
      <w:r>
        <w:rPr>
          <w:sz w:val="18"/>
        </w:rPr>
        <w:t>🟢 RSI survente (15.5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21.1/100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32.0/100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Liquidité très faible</w:t>
            </w:r>
          </w:p>
        </w:tc>
      </w:tr>
    </w:tbl>
    <w:p/>
    <w:p>
      <w:pPr>
        <w:pStyle w:val="ListBullet"/>
      </w:pPr>
      <w:r>
        <w:rPr>
          <w:b/>
          <w:color w:val="B40000"/>
          <w:sz w:val="18"/>
        </w:rPr>
        <w:t xml:space="preserve">#1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#2 ETIT (32.6/100 — Moyen) : </w:t>
      </w:r>
      <w:r>
        <w:rPr>
          <w:sz w:val="17"/>
        </w:rPr>
        <w:t>Volatilité=Élevée | Bêta=Agressif | Liquidité=Excellente | Divergence signaux=taux divergence=40% (Très divergent ❌) | Stabilité=Modérée</w:t>
      </w:r>
    </w:p>
    <w:p>
      <w:pPr>
        <w:pStyle w:val="ListBullet"/>
      </w:pPr>
      <w:r>
        <w:rPr>
          <w:b/>
          <w:color w:val="B40000"/>
          <w:sz w:val="18"/>
        </w:rPr>
        <w:t xml:space="preserve">#3 SAFC (32.0/100 — Moyen) : </w:t>
      </w:r>
      <w:r>
        <w:rPr>
          <w:sz w:val="17"/>
        </w:rPr>
        <w:t>Volatilité=Élevée | Bêta=Neutre  | Liquidité=Bonne | Divergence signaux=taux divergence=20% (Mixte ⚠️) | Stabilité=Instable</w:t>
      </w:r>
    </w:p>
    <w:p>
      <w:pPr>
        <w:pStyle w:val="ListBullet"/>
      </w:pPr>
      <w:r>
        <w:rPr>
          <w:b/>
          <w:color w:val="B40000"/>
          <w:sz w:val="18"/>
        </w:rPr>
        <w:t xml:space="preserve">#4 STAC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UNLC (29.8/100 — Moyen) : </w:t>
      </w:r>
      <w:r>
        <w:rPr>
          <w:sz w:val="17"/>
        </w:rPr>
        <w:t>Volatilité=Moyenne | Bêta=Agressif | Liquidité=Très faible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BOAM</w:t>
            </w:r>
          </w:p>
        </w:tc>
        <w:tc>
          <w:tcPr>
            <w:tcW w:type="dxa" w:w="2268"/>
            <w:shd w:fill="FFFFFF" w:val="clear"/>
          </w:tcPr>
          <w:p>
            <w:r>
              <w:rPr>
                <w:sz w:val="16"/>
              </w:rPr>
              <w:t>BANK OF AFRICA MALI</w:t>
            </w:r>
          </w:p>
        </w:tc>
        <w:tc>
          <w:tcPr>
            <w:tcW w:type="dxa" w:w="1701"/>
            <w:shd w:fill="FFFFFF" w:val="clear"/>
          </w:tcPr>
          <w:p>
            <w:r>
              <w:rPr>
                <w:sz w:val="16"/>
              </w:rPr>
              <w:t>SERVICES FINANCIER</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25.6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Très divergent ❌ / Modérée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FFEB9C" w:val="clear"/>
          </w:tcPr>
          <w:p>
            <w:r>
              <w:rPr>
                <w:b/>
                <w:color w:val="825A00"/>
                <w:sz w:val="15"/>
              </w:rPr>
              <w:t>23.5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15.1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-9.44%  |  Médiane : -5.71%</w:t>
            </w:r>
          </w:p>
        </w:tc>
      </w:tr>
      <w:tr>
        <w:tc>
          <w:tcPr>
            <w:tcW w:type="dxa" w:w="2835"/>
            <w:shd w:fill="DEEAF1" w:val="clear"/>
          </w:tcPr>
          <w:p>
            <w:r>
              <w:rPr>
                <w:b/>
                <w:sz w:val="18"/>
              </w:rPr>
              <w:t>Répartition</w:t>
            </w:r>
          </w:p>
        </w:tc>
        <w:tc>
          <w:tcPr>
            <w:tcW w:type="dxa" w:w="7370"/>
          </w:tcPr>
          <w:p>
            <w:r>
              <w:rPr>
                <w:b/>
                <w:sz w:val="18"/>
              </w:rPr>
              <w:t>📈 8 sociétés en hausse (&gt;+1%)   📉 35 en baisse (&lt;-1%)   ➡️ 4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35 sociétés sur 47 sont orientées à la baisse avec une variation moyenne de -9.44%.</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3,955 FCFA</w:t>
            </w:r>
          </w:p>
        </w:tc>
        <w:tc>
          <w:tcPr>
            <w:tcW w:type="dxa" w:w="1417"/>
            <w:shd w:fill="FFFFFF" w:val="clear"/>
          </w:tcPr>
          <w:p>
            <w:r>
              <w:rPr>
                <w:sz w:val="16"/>
              </w:rPr>
              <w:t>7,905 FCFA</w:t>
            </w:r>
          </w:p>
        </w:tc>
        <w:tc>
          <w:tcPr>
            <w:tcW w:type="dxa" w:w="1134"/>
            <w:shd w:fill="C6EFCE" w:val="clear"/>
          </w:tcPr>
          <w:p>
            <w:r>
              <w:rPr>
                <w:b/>
                <w:color w:val="007800"/>
                <w:sz w:val="16"/>
              </w:rPr>
              <w:t>+99.88%</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21,695 FCFA</w:t>
            </w:r>
          </w:p>
        </w:tc>
        <w:tc>
          <w:tcPr>
            <w:tcW w:type="dxa" w:w="1417"/>
            <w:shd w:fill="FFFFFF" w:val="clear"/>
          </w:tcPr>
          <w:p>
            <w:r>
              <w:rPr>
                <w:sz w:val="16"/>
              </w:rPr>
              <w:t>25,381 FCFA</w:t>
            </w:r>
          </w:p>
        </w:tc>
        <w:tc>
          <w:tcPr>
            <w:tcW w:type="dxa" w:w="1134"/>
            <w:shd w:fill="C6EFCE" w:val="clear"/>
          </w:tcPr>
          <w:p>
            <w:r>
              <w:rPr>
                <w:b/>
                <w:color w:val="007800"/>
                <w:sz w:val="16"/>
              </w:rPr>
              <w:t>+16.99%</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50,500 FCFA</w:t>
            </w:r>
          </w:p>
        </w:tc>
        <w:tc>
          <w:tcPr>
            <w:tcW w:type="dxa" w:w="1417"/>
            <w:shd w:fill="FFFFFF" w:val="clear"/>
          </w:tcPr>
          <w:p>
            <w:r>
              <w:rPr>
                <w:sz w:val="16"/>
              </w:rPr>
              <w:t>58,654 FCFA</w:t>
            </w:r>
          </w:p>
        </w:tc>
        <w:tc>
          <w:tcPr>
            <w:tcW w:type="dxa" w:w="1134"/>
            <w:shd w:fill="C6EFCE" w:val="clear"/>
          </w:tcPr>
          <w:p>
            <w:r>
              <w:rPr>
                <w:b/>
                <w:color w:val="007800"/>
                <w:sz w:val="16"/>
              </w:rPr>
              <w:t>+16.15%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24,105 FCFA</w:t>
            </w:r>
          </w:p>
        </w:tc>
        <w:tc>
          <w:tcPr>
            <w:tcW w:type="dxa" w:w="1417"/>
            <w:shd w:fill="FFFFFF" w:val="clear"/>
          </w:tcPr>
          <w:p>
            <w:r>
              <w:rPr>
                <w:sz w:val="16"/>
              </w:rPr>
              <w:t>26,415 FCFA</w:t>
            </w:r>
          </w:p>
        </w:tc>
        <w:tc>
          <w:tcPr>
            <w:tcW w:type="dxa" w:w="1134"/>
            <w:shd w:fill="C6EFCE" w:val="clear"/>
          </w:tcPr>
          <w:p>
            <w:r>
              <w:rPr>
                <w:b/>
                <w:color w:val="007800"/>
                <w:sz w:val="16"/>
              </w:rPr>
              <w:t>+9.58%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1,975 FCFA</w:t>
            </w:r>
          </w:p>
        </w:tc>
        <w:tc>
          <w:tcPr>
            <w:tcW w:type="dxa" w:w="1417"/>
            <w:shd w:fill="FFFFFF" w:val="clear"/>
          </w:tcPr>
          <w:p>
            <w:r>
              <w:rPr>
                <w:sz w:val="16"/>
              </w:rPr>
              <w:t>2,067 FCFA</w:t>
            </w:r>
          </w:p>
        </w:tc>
        <w:tc>
          <w:tcPr>
            <w:tcW w:type="dxa" w:w="1134"/>
            <w:shd w:fill="C6EFCE" w:val="clear"/>
          </w:tcPr>
          <w:p>
            <w:r>
              <w:rPr>
                <w:b/>
                <w:color w:val="007800"/>
                <w:sz w:val="16"/>
              </w:rPr>
              <w:t>+4.64%</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(+99.9%) — signal potentiellement excessif, à croiser avec l'analyse technique. Trajectoire : 📈 Hausse continue. Cours actuel : 3,955 FCFA → prédit J+10 : 7,905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(+17.0%) — potentiel de revalorisation notable. Trajectoire : 📈 Hausse continue. Cours actuel : 21,695 FCFA → prédit J+10 : 25,381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(+16.1%) — potentiel de revalorisation notable. Trajectoire : 📈 Hausse continue. Cours actuel : 50,500 FCFA → prédit J+10 : 58,654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(+9.6%) — signal raisonnable et crédible. Trajectoire : 📈 Hausse continue. Cours actuel : 24,105 FCFA → prédit J+10 : 26,415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(+4.6%) — progression graduelle attendue. Trajectoire : 📈 Hausse continue. Cours actuel : 1,975 FCFA → prédit J+10 : 2,067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4,270 FCFA</w:t>
            </w:r>
          </w:p>
        </w:tc>
        <w:tc>
          <w:tcPr>
            <w:tcW w:type="dxa" w:w="1417"/>
            <w:shd w:fill="FFFFFF" w:val="clear"/>
          </w:tcPr>
          <w:p>
            <w:r>
              <w:rPr>
                <w:sz w:val="16"/>
              </w:rPr>
              <w:t>1,958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3,495 FCFA</w:t>
            </w:r>
          </w:p>
        </w:tc>
        <w:tc>
          <w:tcPr>
            <w:tcW w:type="dxa" w:w="1417"/>
            <w:shd w:fill="FFFFFF" w:val="clear"/>
          </w:tcPr>
          <w:p>
            <w:r>
              <w:rPr>
                <w:sz w:val="16"/>
              </w:rPr>
              <w:t>1,603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64 FCFA</w:t>
            </w:r>
          </w:p>
        </w:tc>
        <w:tc>
          <w:tcPr>
            <w:tcW w:type="dxa" w:w="1417"/>
            <w:shd w:fill="FFFFFF" w:val="clear"/>
          </w:tcPr>
          <w:p>
            <w:r>
              <w:rPr>
                <w:sz w:val="16"/>
              </w:rPr>
              <w:t>30 FCFA</w:t>
            </w:r>
          </w:p>
        </w:tc>
        <w:tc>
          <w:tcPr>
            <w:tcW w:type="dxa" w:w="1134"/>
            <w:shd w:fill="FFC7CE" w:val="clear"/>
          </w:tcPr>
          <w:p>
            <w:r>
              <w:rPr>
                <w:b/>
                <w:color w:val="B40000"/>
                <w:sz w:val="16"/>
              </w:rPr>
              <w:t>-53.47%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3,200 FCFA</w:t>
            </w:r>
          </w:p>
        </w:tc>
        <w:tc>
          <w:tcPr>
            <w:tcW w:type="dxa" w:w="1417"/>
            <w:shd w:fill="FFFFFF" w:val="clear"/>
          </w:tcPr>
          <w:p>
            <w:r>
              <w:rPr>
                <w:sz w:val="16"/>
              </w:rPr>
              <w:t>1,667 FCFA</w:t>
            </w:r>
          </w:p>
        </w:tc>
        <w:tc>
          <w:tcPr>
            <w:tcW w:type="dxa" w:w="1134"/>
            <w:shd w:fill="FFC7CE" w:val="clear"/>
          </w:tcPr>
          <w:p>
            <w:r>
              <w:rPr>
                <w:b/>
                <w:color w:val="B40000"/>
                <w:sz w:val="16"/>
              </w:rPr>
              <w:t>-47.92%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29,610 FCFA</w:t>
            </w:r>
          </w:p>
        </w:tc>
        <w:tc>
          <w:tcPr>
            <w:tcW w:type="dxa" w:w="1417"/>
            <w:shd w:fill="FFFFFF" w:val="clear"/>
          </w:tcPr>
          <w:p>
            <w:r>
              <w:rPr>
                <w:sz w:val="16"/>
              </w:rPr>
              <w:t>17,215 FCFA</w:t>
            </w:r>
          </w:p>
        </w:tc>
        <w:tc>
          <w:tcPr>
            <w:tcW w:type="dxa" w:w="1134"/>
            <w:shd w:fill="FFC7CE" w:val="clear"/>
          </w:tcPr>
          <w:p>
            <w:r>
              <w:rPr>
                <w:b/>
                <w:color w:val="B40000"/>
                <w:sz w:val="16"/>
              </w:rPr>
              <w:t>-41.86%</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4,270 FCFA → prédit J+10 : 1,958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3,495 FCFA → prédit J+10 : 1,603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(-53.5%) — amplitude potentiellement surestimée par le modèle. Trajectoire : 📉 Baisse continue. Cours actuel : 64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(-47.9%) — amplitude potentiellement surestimée par le modèle. Trajectoire : 📉 Baisse continue. Cours actuel : 3,200 FCFA → prédit J+10 : 1,667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(-41.9%) — amplitude potentiellement surestimée par le modèle. Trajectoire : 📉 Baisse continue. Cours actuel : 29,610 FCFA → prédit J+10 : 17,215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3,955</w:t>
            </w:r>
          </w:p>
        </w:tc>
        <w:tc>
          <w:tcPr>
            <w:tcW w:type="dxa" w:w="1417"/>
            <w:shd w:fill="FFFFFF" w:val="clear"/>
          </w:tcPr>
          <w:p>
            <w:r>
              <w:rPr>
                <w:sz w:val="16"/>
              </w:rPr>
              <w:t>7,905</w:t>
            </w:r>
          </w:p>
        </w:tc>
        <w:tc>
          <w:tcPr>
            <w:tcW w:type="dxa" w:w="1134"/>
            <w:shd w:fill="C6EFCE" w:val="clear"/>
          </w:tcPr>
          <w:p>
            <w:r>
              <w:rPr>
                <w:b/>
                <w:color w:val="007800"/>
                <w:sz w:val="16"/>
              </w:rPr>
              <w:t>+99.88%</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21,695</w:t>
            </w:r>
          </w:p>
        </w:tc>
        <w:tc>
          <w:tcPr>
            <w:tcW w:type="dxa" w:w="1417"/>
            <w:shd w:fill="FFFFFF" w:val="clear"/>
          </w:tcPr>
          <w:p>
            <w:r>
              <w:rPr>
                <w:sz w:val="16"/>
              </w:rPr>
              <w:t>25,381</w:t>
            </w:r>
          </w:p>
        </w:tc>
        <w:tc>
          <w:tcPr>
            <w:tcW w:type="dxa" w:w="1134"/>
            <w:shd w:fill="C6EFCE" w:val="clear"/>
          </w:tcPr>
          <w:p>
            <w:r>
              <w:rPr>
                <w:b/>
                <w:color w:val="007800"/>
                <w:sz w:val="16"/>
              </w:rPr>
              <w:t>+16.99%</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50,500</w:t>
            </w:r>
          </w:p>
        </w:tc>
        <w:tc>
          <w:tcPr>
            <w:tcW w:type="dxa" w:w="1417"/>
            <w:shd w:fill="FFFFFF" w:val="clear"/>
          </w:tcPr>
          <w:p>
            <w:r>
              <w:rPr>
                <w:sz w:val="16"/>
              </w:rPr>
              <w:t>58,654</w:t>
            </w:r>
          </w:p>
        </w:tc>
        <w:tc>
          <w:tcPr>
            <w:tcW w:type="dxa" w:w="1134"/>
            <w:shd w:fill="C6EFCE" w:val="clear"/>
          </w:tcPr>
          <w:p>
            <w:r>
              <w:rPr>
                <w:b/>
                <w:color w:val="007800"/>
                <w:sz w:val="16"/>
              </w:rPr>
              <w:t>+16.15%</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24,105</w:t>
            </w:r>
          </w:p>
        </w:tc>
        <w:tc>
          <w:tcPr>
            <w:tcW w:type="dxa" w:w="1417"/>
            <w:shd w:fill="FFFFFF" w:val="clear"/>
          </w:tcPr>
          <w:p>
            <w:r>
              <w:rPr>
                <w:sz w:val="16"/>
              </w:rPr>
              <w:t>26,415</w:t>
            </w:r>
          </w:p>
        </w:tc>
        <w:tc>
          <w:tcPr>
            <w:tcW w:type="dxa" w:w="1134"/>
            <w:shd w:fill="C6EFCE" w:val="clear"/>
          </w:tcPr>
          <w:p>
            <w:r>
              <w:rPr>
                <w:b/>
                <w:color w:val="007800"/>
                <w:sz w:val="16"/>
              </w:rPr>
              <w:t>+9.58%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1,975</w:t>
            </w:r>
          </w:p>
        </w:tc>
        <w:tc>
          <w:tcPr>
            <w:tcW w:type="dxa" w:w="1417"/>
            <w:shd w:fill="FFFFFF" w:val="clear"/>
          </w:tcPr>
          <w:p>
            <w:r>
              <w:rPr>
                <w:sz w:val="16"/>
              </w:rPr>
              <w:t>2,067</w:t>
            </w:r>
          </w:p>
        </w:tc>
        <w:tc>
          <w:tcPr>
            <w:tcW w:type="dxa" w:w="1134"/>
            <w:shd w:fill="C6EFCE" w:val="clear"/>
          </w:tcPr>
          <w:p>
            <w:r>
              <w:rPr>
                <w:b/>
                <w:color w:val="007800"/>
                <w:sz w:val="16"/>
              </w:rPr>
              <w:t>+4.64%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8,820</w:t>
            </w:r>
          </w:p>
        </w:tc>
        <w:tc>
          <w:tcPr>
            <w:tcW w:type="dxa" w:w="1417"/>
            <w:shd w:fill="FFFFFF" w:val="clear"/>
          </w:tcPr>
          <w:p>
            <w:r>
              <w:rPr>
                <w:sz w:val="16"/>
              </w:rPr>
              <w:t>9,105</w:t>
            </w:r>
          </w:p>
        </w:tc>
        <w:tc>
          <w:tcPr>
            <w:tcW w:type="dxa" w:w="1134"/>
            <w:shd w:fill="C6EFCE" w:val="clear"/>
          </w:tcPr>
          <w:p>
            <w:r>
              <w:rPr>
                <w:b/>
                <w:color w:val="007800"/>
                <w:sz w:val="16"/>
              </w:rPr>
              <w:t>+3.23%</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1,755</w:t>
            </w:r>
          </w:p>
        </w:tc>
        <w:tc>
          <w:tcPr>
            <w:tcW w:type="dxa" w:w="1417"/>
            <w:shd w:fill="FFFFFF" w:val="clear"/>
          </w:tcPr>
          <w:p>
            <w:r>
              <w:rPr>
                <w:sz w:val="16"/>
              </w:rPr>
              <w:t>1,806</w:t>
            </w:r>
          </w:p>
        </w:tc>
        <w:tc>
          <w:tcPr>
            <w:tcW w:type="dxa" w:w="1134"/>
            <w:shd w:fill="C6EFCE" w:val="clear"/>
          </w:tcPr>
          <w:p>
            <w:r>
              <w:rPr>
                <w:b/>
                <w:color w:val="007800"/>
                <w:sz w:val="16"/>
              </w:rPr>
              <w:t>+2.89%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8,360</w:t>
            </w:r>
          </w:p>
        </w:tc>
        <w:tc>
          <w:tcPr>
            <w:tcW w:type="dxa" w:w="1417"/>
            <w:shd w:fill="FFFFFF" w:val="clear"/>
          </w:tcPr>
          <w:p>
            <w:r>
              <w:rPr>
                <w:sz w:val="16"/>
              </w:rPr>
              <w:t>8,539</w:t>
            </w:r>
          </w:p>
        </w:tc>
        <w:tc>
          <w:tcPr>
            <w:tcW w:type="dxa" w:w="1134"/>
            <w:shd w:fill="C6EFCE" w:val="clear"/>
          </w:tcPr>
          <w:p>
            <w:r>
              <w:rPr>
                <w:b/>
                <w:color w:val="007800"/>
                <w:sz w:val="16"/>
              </w:rPr>
              <w:t>+2.14%</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2,650</w:t>
            </w:r>
          </w:p>
        </w:tc>
        <w:tc>
          <w:tcPr>
            <w:tcW w:type="dxa" w:w="1417"/>
            <w:shd w:fill="FFFFFF" w:val="clear"/>
          </w:tcPr>
          <w:p>
            <w:r>
              <w:rPr>
                <w:sz w:val="16"/>
              </w:rPr>
              <w:t>2,654</w:t>
            </w:r>
          </w:p>
        </w:tc>
        <w:tc>
          <w:tcPr>
            <w:tcW w:type="dxa" w:w="1134"/>
            <w:shd w:fill="FFEB9C" w:val="clear"/>
          </w:tcPr>
          <w:p>
            <w:r>
              <w:rPr>
                <w:b/>
                <w:color w:val="646400"/>
                <w:sz w:val="16"/>
              </w:rPr>
              <w:t>+0.13%</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7,550</w:t>
            </w:r>
          </w:p>
        </w:tc>
        <w:tc>
          <w:tcPr>
            <w:tcW w:type="dxa" w:w="1417"/>
            <w:shd w:fill="FFFFFF" w:val="clear"/>
          </w:tcPr>
          <w:p>
            <w:r>
              <w:rPr>
                <w:sz w:val="16"/>
              </w:rPr>
              <w:t>7,509</w:t>
            </w:r>
          </w:p>
        </w:tc>
        <w:tc>
          <w:tcPr>
            <w:tcW w:type="dxa" w:w="1134"/>
            <w:shd w:fill="FFEB9C" w:val="clear"/>
          </w:tcPr>
          <w:p>
            <w:r>
              <w:rPr>
                <w:b/>
                <w:color w:val="646400"/>
                <w:sz w:val="16"/>
              </w:rPr>
              <w:t>-0.54%</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2,800</w:t>
            </w:r>
          </w:p>
        </w:tc>
        <w:tc>
          <w:tcPr>
            <w:tcW w:type="dxa" w:w="1417"/>
            <w:shd w:fill="FFFFFF" w:val="clear"/>
          </w:tcPr>
          <w:p>
            <w:r>
              <w:rPr>
                <w:sz w:val="16"/>
              </w:rPr>
              <w:t>2,782</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39,910</w:t>
            </w:r>
          </w:p>
        </w:tc>
        <w:tc>
          <w:tcPr>
            <w:tcW w:type="dxa" w:w="1417"/>
            <w:shd w:fill="FFFFFF" w:val="clear"/>
          </w:tcPr>
          <w:p>
            <w:r>
              <w:rPr>
                <w:sz w:val="16"/>
              </w:rPr>
              <w:t>39,539</w:t>
            </w:r>
          </w:p>
        </w:tc>
        <w:tc>
          <w:tcPr>
            <w:tcW w:type="dxa" w:w="1134"/>
            <w:shd w:fill="FFEB9C" w:val="clear"/>
          </w:tcPr>
          <w:p>
            <w:r>
              <w:rPr>
                <w:b/>
                <w:color w:val="646400"/>
                <w:sz w:val="16"/>
              </w:rPr>
              <w:t>-0.93%</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16,559</w:t>
            </w:r>
          </w:p>
        </w:tc>
        <w:tc>
          <w:tcPr>
            <w:tcW w:type="dxa" w:w="1134"/>
            <w:shd w:fill="FFC7CE" w:val="clear"/>
          </w:tcPr>
          <w:p>
            <w:r>
              <w:rPr>
                <w:b/>
                <w:color w:val="B40000"/>
                <w:sz w:val="16"/>
              </w:rPr>
              <w:t>-1.41%</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2,800</w:t>
            </w:r>
          </w:p>
        </w:tc>
        <w:tc>
          <w:tcPr>
            <w:tcW w:type="dxa" w:w="1417"/>
            <w:shd w:fill="FFFFFF" w:val="clear"/>
          </w:tcPr>
          <w:p>
            <w:r>
              <w:rPr>
                <w:sz w:val="16"/>
              </w:rPr>
              <w:t>2,749</w:t>
            </w:r>
          </w:p>
        </w:tc>
        <w:tc>
          <w:tcPr>
            <w:tcW w:type="dxa" w:w="1134"/>
            <w:shd w:fill="FFC7CE" w:val="clear"/>
          </w:tcPr>
          <w:p>
            <w:r>
              <w:rPr>
                <w:b/>
                <w:color w:val="B40000"/>
                <w:sz w:val="16"/>
              </w:rPr>
              <w:t>-1.81%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2,210</w:t>
            </w:r>
          </w:p>
        </w:tc>
        <w:tc>
          <w:tcPr>
            <w:tcW w:type="dxa" w:w="1417"/>
            <w:shd w:fill="FFFFFF" w:val="clear"/>
          </w:tcPr>
          <w:p>
            <w:r>
              <w:rPr>
                <w:sz w:val="16"/>
              </w:rPr>
              <w:t>2,159</w:t>
            </w:r>
          </w:p>
        </w:tc>
        <w:tc>
          <w:tcPr>
            <w:tcW w:type="dxa" w:w="1134"/>
            <w:shd w:fill="FFC7CE" w:val="clear"/>
          </w:tcPr>
          <w:p>
            <w:r>
              <w:rPr>
                <w:b/>
                <w:color w:val="B40000"/>
                <w:sz w:val="16"/>
              </w:rPr>
              <w:t>-2.32%</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30,900</w:t>
            </w:r>
          </w:p>
        </w:tc>
        <w:tc>
          <w:tcPr>
            <w:tcW w:type="dxa" w:w="1417"/>
            <w:shd w:fill="FFFFFF" w:val="clear"/>
          </w:tcPr>
          <w:p>
            <w:r>
              <w:rPr>
                <w:sz w:val="16"/>
              </w:rPr>
              <w:t>30,163</w:t>
            </w:r>
          </w:p>
        </w:tc>
        <w:tc>
          <w:tcPr>
            <w:tcW w:type="dxa" w:w="1134"/>
            <w:shd w:fill="FFC7CE" w:val="clear"/>
          </w:tcPr>
          <w:p>
            <w:r>
              <w:rPr>
                <w:b/>
                <w:color w:val="B40000"/>
                <w:sz w:val="16"/>
              </w:rPr>
              <w:t>-2.38%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16,495</w:t>
            </w:r>
          </w:p>
        </w:tc>
        <w:tc>
          <w:tcPr>
            <w:tcW w:type="dxa" w:w="1417"/>
            <w:shd w:fill="FFFFFF" w:val="clear"/>
          </w:tcPr>
          <w:p>
            <w:r>
              <w:rPr>
                <w:sz w:val="16"/>
              </w:rPr>
              <w:t>16,086</w:t>
            </w:r>
          </w:p>
        </w:tc>
        <w:tc>
          <w:tcPr>
            <w:tcW w:type="dxa" w:w="1134"/>
            <w:shd w:fill="FFC7CE" w:val="clear"/>
          </w:tcPr>
          <w:p>
            <w:r>
              <w:rPr>
                <w:b/>
                <w:color w:val="B40000"/>
                <w:sz w:val="16"/>
              </w:rPr>
              <w:t>-2.48%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16,250</w:t>
            </w:r>
          </w:p>
        </w:tc>
        <w:tc>
          <w:tcPr>
            <w:tcW w:type="dxa" w:w="1417"/>
            <w:shd w:fill="FFFFFF" w:val="clear"/>
          </w:tcPr>
          <w:p>
            <w:r>
              <w:rPr>
                <w:sz w:val="16"/>
              </w:rPr>
              <w:t>15,786</w:t>
            </w:r>
          </w:p>
        </w:tc>
        <w:tc>
          <w:tcPr>
            <w:tcW w:type="dxa" w:w="1134"/>
            <w:shd w:fill="FFC7CE" w:val="clear"/>
          </w:tcPr>
          <w:p>
            <w:r>
              <w:rPr>
                <w:b/>
                <w:color w:val="B40000"/>
                <w:sz w:val="16"/>
              </w:rPr>
              <w:t>-2.86%</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4,280</w:t>
            </w:r>
          </w:p>
        </w:tc>
        <w:tc>
          <w:tcPr>
            <w:tcW w:type="dxa" w:w="1417"/>
            <w:shd w:fill="FFFFFF" w:val="clear"/>
          </w:tcPr>
          <w:p>
            <w:r>
              <w:rPr>
                <w:sz w:val="16"/>
              </w:rPr>
              <w:t>4,140</w:t>
            </w:r>
          </w:p>
        </w:tc>
        <w:tc>
          <w:tcPr>
            <w:tcW w:type="dxa" w:w="1134"/>
            <w:shd w:fill="FFC7CE" w:val="clear"/>
          </w:tcPr>
          <w:p>
            <w:r>
              <w:rPr>
                <w:b/>
                <w:color w:val="B40000"/>
                <w:sz w:val="16"/>
              </w:rPr>
              <w:t>-3.27%</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37,717</w:t>
            </w:r>
          </w:p>
        </w:tc>
        <w:tc>
          <w:tcPr>
            <w:tcW w:type="dxa" w:w="1134"/>
            <w:shd w:fill="FFC7CE" w:val="clear"/>
          </w:tcPr>
          <w:p>
            <w:r>
              <w:rPr>
                <w:b/>
                <w:color w:val="B40000"/>
                <w:sz w:val="16"/>
              </w:rPr>
              <w:t>-3.29%</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4,790</w:t>
            </w:r>
          </w:p>
        </w:tc>
        <w:tc>
          <w:tcPr>
            <w:tcW w:type="dxa" w:w="1417"/>
            <w:shd w:fill="FFFFFF" w:val="clear"/>
          </w:tcPr>
          <w:p>
            <w:r>
              <w:rPr>
                <w:sz w:val="16"/>
              </w:rPr>
              <w:t>4,618</w:t>
            </w:r>
          </w:p>
        </w:tc>
        <w:tc>
          <w:tcPr>
            <w:tcW w:type="dxa" w:w="1134"/>
            <w:shd w:fill="FFC7CE" w:val="clear"/>
          </w:tcPr>
          <w:p>
            <w:r>
              <w:rPr>
                <w:b/>
                <w:color w:val="B40000"/>
                <w:sz w:val="16"/>
              </w:rPr>
              <w:t>-3.59%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17,295</w:t>
            </w:r>
          </w:p>
        </w:tc>
        <w:tc>
          <w:tcPr>
            <w:tcW w:type="dxa" w:w="1417"/>
            <w:shd w:fill="FFFFFF" w:val="clear"/>
          </w:tcPr>
          <w:p>
            <w:r>
              <w:rPr>
                <w:sz w:val="16"/>
              </w:rPr>
              <w:t>16,572</w:t>
            </w:r>
          </w:p>
        </w:tc>
        <w:tc>
          <w:tcPr>
            <w:tcW w:type="dxa" w:w="1134"/>
            <w:shd w:fill="FFC7CE" w:val="clear"/>
          </w:tcPr>
          <w:p>
            <w:r>
              <w:rPr>
                <w:b/>
                <w:color w:val="B40000"/>
                <w:sz w:val="16"/>
              </w:rPr>
              <w:t>-4.18%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6,050</w:t>
            </w:r>
          </w:p>
        </w:tc>
        <w:tc>
          <w:tcPr>
            <w:tcW w:type="dxa" w:w="1417"/>
            <w:shd w:fill="FFFFFF" w:val="clear"/>
          </w:tcPr>
          <w:p>
            <w:r>
              <w:rPr>
                <w:sz w:val="16"/>
              </w:rPr>
              <w:t>5,706</w:t>
            </w:r>
          </w:p>
        </w:tc>
        <w:tc>
          <w:tcPr>
            <w:tcW w:type="dxa" w:w="1134"/>
            <w:shd w:fill="FFC7CE" w:val="clear"/>
          </w:tcPr>
          <w:p>
            <w:r>
              <w:rPr>
                <w:b/>
                <w:color w:val="B40000"/>
                <w:sz w:val="16"/>
              </w:rPr>
              <w:t>-5.69%</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1,340</w:t>
            </w:r>
          </w:p>
        </w:tc>
        <w:tc>
          <w:tcPr>
            <w:tcW w:type="dxa" w:w="1417"/>
            <w:shd w:fill="FFFFFF" w:val="clear"/>
          </w:tcPr>
          <w:p>
            <w:r>
              <w:rPr>
                <w:sz w:val="16"/>
              </w:rPr>
              <w:t>1,263</w:t>
            </w:r>
          </w:p>
        </w:tc>
        <w:tc>
          <w:tcPr>
            <w:tcW w:type="dxa" w:w="1134"/>
            <w:shd w:fill="FFC7CE" w:val="clear"/>
          </w:tcPr>
          <w:p>
            <w:r>
              <w:rPr>
                <w:b/>
                <w:color w:val="B40000"/>
                <w:sz w:val="16"/>
              </w:rPr>
              <w:t>-5.71%</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5,195</w:t>
            </w:r>
          </w:p>
        </w:tc>
        <w:tc>
          <w:tcPr>
            <w:tcW w:type="dxa" w:w="1417"/>
            <w:shd w:fill="FFFFFF" w:val="clear"/>
          </w:tcPr>
          <w:p>
            <w:r>
              <w:rPr>
                <w:sz w:val="16"/>
              </w:rPr>
              <w:t>4,803</w:t>
            </w:r>
          </w:p>
        </w:tc>
        <w:tc>
          <w:tcPr>
            <w:tcW w:type="dxa" w:w="1134"/>
            <w:shd w:fill="FFC7CE" w:val="clear"/>
          </w:tcPr>
          <w:p>
            <w:r>
              <w:rPr>
                <w:b/>
                <w:color w:val="B40000"/>
                <w:sz w:val="16"/>
              </w:rPr>
              <w:t>-7.55%</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4,415</w:t>
            </w:r>
          </w:p>
        </w:tc>
        <w:tc>
          <w:tcPr>
            <w:tcW w:type="dxa" w:w="1417"/>
            <w:shd w:fill="FFFFFF" w:val="clear"/>
          </w:tcPr>
          <w:p>
            <w:r>
              <w:rPr>
                <w:sz w:val="16"/>
              </w:rPr>
              <w:t>4,005</w:t>
            </w:r>
          </w:p>
        </w:tc>
        <w:tc>
          <w:tcPr>
            <w:tcW w:type="dxa" w:w="1134"/>
            <w:shd w:fill="FFC7CE" w:val="clear"/>
          </w:tcPr>
          <w:p>
            <w:r>
              <w:rPr>
                <w:b/>
                <w:color w:val="B40000"/>
                <w:sz w:val="16"/>
              </w:rPr>
              <w:t>-9.30%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5,450</w:t>
            </w:r>
          </w:p>
        </w:tc>
        <w:tc>
          <w:tcPr>
            <w:tcW w:type="dxa" w:w="1417"/>
            <w:shd w:fill="FFFFFF" w:val="clear"/>
          </w:tcPr>
          <w:p>
            <w:r>
              <w:rPr>
                <w:sz w:val="16"/>
              </w:rPr>
              <w:t>4,913</w:t>
            </w:r>
          </w:p>
        </w:tc>
        <w:tc>
          <w:tcPr>
            <w:tcW w:type="dxa" w:w="1134"/>
            <w:shd w:fill="FFC7CE" w:val="clear"/>
          </w:tcPr>
          <w:p>
            <w:r>
              <w:rPr>
                <w:b/>
                <w:color w:val="B40000"/>
                <w:sz w:val="16"/>
              </w:rPr>
              <w:t>-9.86%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28,800</w:t>
            </w:r>
          </w:p>
        </w:tc>
        <w:tc>
          <w:tcPr>
            <w:tcW w:type="dxa" w:w="1417"/>
            <w:shd w:fill="FFFFFF" w:val="clear"/>
          </w:tcPr>
          <w:p>
            <w:r>
              <w:rPr>
                <w:sz w:val="16"/>
              </w:rPr>
              <w:t>25,906</w:t>
            </w:r>
          </w:p>
        </w:tc>
        <w:tc>
          <w:tcPr>
            <w:tcW w:type="dxa" w:w="1134"/>
            <w:shd w:fill="FFC7CE" w:val="clear"/>
          </w:tcPr>
          <w:p>
            <w:r>
              <w:rPr>
                <w:b/>
                <w:color w:val="B40000"/>
                <w:sz w:val="16"/>
              </w:rPr>
              <w:t>-10.05%</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7,300</w:t>
            </w:r>
          </w:p>
        </w:tc>
        <w:tc>
          <w:tcPr>
            <w:tcW w:type="dxa" w:w="1417"/>
            <w:shd w:fill="FFFFFF" w:val="clear"/>
          </w:tcPr>
          <w:p>
            <w:r>
              <w:rPr>
                <w:sz w:val="16"/>
              </w:rPr>
              <w:t>6,491</w:t>
            </w:r>
          </w:p>
        </w:tc>
        <w:tc>
          <w:tcPr>
            <w:tcW w:type="dxa" w:w="1134"/>
            <w:shd w:fill="FFC7CE" w:val="clear"/>
          </w:tcPr>
          <w:p>
            <w:r>
              <w:rPr>
                <w:b/>
                <w:color w:val="B40000"/>
                <w:sz w:val="16"/>
              </w:rPr>
              <w:t>-11.08%</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8,750</w:t>
            </w:r>
          </w:p>
        </w:tc>
        <w:tc>
          <w:tcPr>
            <w:tcW w:type="dxa" w:w="1417"/>
            <w:shd w:fill="FFFFFF" w:val="clear"/>
          </w:tcPr>
          <w:p>
            <w:r>
              <w:rPr>
                <w:sz w:val="16"/>
              </w:rPr>
              <w:t>7,775</w:t>
            </w:r>
          </w:p>
        </w:tc>
        <w:tc>
          <w:tcPr>
            <w:tcW w:type="dxa" w:w="1134"/>
            <w:shd w:fill="FFC7CE" w:val="clear"/>
          </w:tcPr>
          <w:p>
            <w:r>
              <w:rPr>
                <w:b/>
                <w:color w:val="B40000"/>
                <w:sz w:val="16"/>
              </w:rPr>
              <w:t>-11.14%</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3,150</w:t>
            </w:r>
          </w:p>
        </w:tc>
        <w:tc>
          <w:tcPr>
            <w:tcW w:type="dxa" w:w="1417"/>
            <w:shd w:fill="FFFFFF" w:val="clear"/>
          </w:tcPr>
          <w:p>
            <w:r>
              <w:rPr>
                <w:sz w:val="16"/>
              </w:rPr>
              <w:t>2,790</w:t>
            </w:r>
          </w:p>
        </w:tc>
        <w:tc>
          <w:tcPr>
            <w:tcW w:type="dxa" w:w="1134"/>
            <w:shd w:fill="FFC7CE" w:val="clear"/>
          </w:tcPr>
          <w:p>
            <w:r>
              <w:rPr>
                <w:b/>
                <w:color w:val="B40000"/>
                <w:sz w:val="16"/>
              </w:rPr>
              <w:t>-11.44%</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1,455</w:t>
            </w:r>
          </w:p>
        </w:tc>
        <w:tc>
          <w:tcPr>
            <w:tcW w:type="dxa" w:w="1417"/>
            <w:shd w:fill="FFFFFF" w:val="clear"/>
          </w:tcPr>
          <w:p>
            <w:r>
              <w:rPr>
                <w:sz w:val="16"/>
              </w:rPr>
              <w:t>1,279</w:t>
            </w:r>
          </w:p>
        </w:tc>
        <w:tc>
          <w:tcPr>
            <w:tcW w:type="dxa" w:w="1134"/>
            <w:shd w:fill="FFC7CE" w:val="clear"/>
          </w:tcPr>
          <w:p>
            <w:r>
              <w:rPr>
                <w:b/>
                <w:color w:val="B40000"/>
                <w:sz w:val="16"/>
              </w:rPr>
              <w:t>-12.13%</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1,575</w:t>
            </w:r>
          </w:p>
        </w:tc>
        <w:tc>
          <w:tcPr>
            <w:tcW w:type="dxa" w:w="1417"/>
            <w:shd w:fill="FFFFFF" w:val="clear"/>
          </w:tcPr>
          <w:p>
            <w:r>
              <w:rPr>
                <w:sz w:val="16"/>
              </w:rPr>
              <w:t>1,360</w:t>
            </w:r>
          </w:p>
        </w:tc>
        <w:tc>
          <w:tcPr>
            <w:tcW w:type="dxa" w:w="1134"/>
            <w:shd w:fill="FFC7CE" w:val="clear"/>
          </w:tcPr>
          <w:p>
            <w:r>
              <w:rPr>
                <w:b/>
                <w:color w:val="B40000"/>
                <w:sz w:val="16"/>
              </w:rPr>
              <w:t>-13.63%</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12,115</w:t>
            </w:r>
          </w:p>
        </w:tc>
        <w:tc>
          <w:tcPr>
            <w:tcW w:type="dxa" w:w="1417"/>
            <w:shd w:fill="FFFFFF" w:val="clear"/>
          </w:tcPr>
          <w:p>
            <w:r>
              <w:rPr>
                <w:sz w:val="16"/>
              </w:rPr>
              <w:t>10,362</w:t>
            </w:r>
          </w:p>
        </w:tc>
        <w:tc>
          <w:tcPr>
            <w:tcW w:type="dxa" w:w="1134"/>
            <w:shd w:fill="FFC7CE" w:val="clear"/>
          </w:tcPr>
          <w:p>
            <w:r>
              <w:rPr>
                <w:b/>
                <w:color w:val="B40000"/>
                <w:sz w:val="16"/>
              </w:rPr>
              <w:t>-14.47%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9,500</w:t>
            </w:r>
          </w:p>
        </w:tc>
        <w:tc>
          <w:tcPr>
            <w:tcW w:type="dxa" w:w="1417"/>
            <w:shd w:fill="FFFFFF" w:val="clear"/>
          </w:tcPr>
          <w:p>
            <w:r>
              <w:rPr>
                <w:sz w:val="16"/>
              </w:rPr>
              <w:t>7,922</w:t>
            </w:r>
          </w:p>
        </w:tc>
        <w:tc>
          <w:tcPr>
            <w:tcW w:type="dxa" w:w="1134"/>
            <w:shd w:fill="FFC7CE" w:val="clear"/>
          </w:tcPr>
          <w:p>
            <w:r>
              <w:rPr>
                <w:b/>
                <w:color w:val="B40000"/>
                <w:sz w:val="16"/>
              </w:rPr>
              <w:t>-16.61%</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6,350</w:t>
            </w:r>
          </w:p>
        </w:tc>
        <w:tc>
          <w:tcPr>
            <w:tcW w:type="dxa" w:w="1417"/>
            <w:shd w:fill="FFFFFF" w:val="clear"/>
          </w:tcPr>
          <w:p>
            <w:r>
              <w:rPr>
                <w:sz w:val="16"/>
              </w:rPr>
              <w:t>5,220</w:t>
            </w:r>
          </w:p>
        </w:tc>
        <w:tc>
          <w:tcPr>
            <w:tcW w:type="dxa" w:w="1134"/>
            <w:shd w:fill="FFC7CE" w:val="clear"/>
          </w:tcPr>
          <w:p>
            <w:r>
              <w:rPr>
                <w:b/>
                <w:color w:val="B40000"/>
                <w:sz w:val="16"/>
              </w:rPr>
              <w:t>-17.80%</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4,260</w:t>
            </w:r>
          </w:p>
        </w:tc>
        <w:tc>
          <w:tcPr>
            <w:tcW w:type="dxa" w:w="1417"/>
            <w:shd w:fill="FFFFFF" w:val="clear"/>
          </w:tcPr>
          <w:p>
            <w:r>
              <w:rPr>
                <w:sz w:val="16"/>
              </w:rPr>
              <w:t>3,446</w:t>
            </w:r>
          </w:p>
        </w:tc>
        <w:tc>
          <w:tcPr>
            <w:tcW w:type="dxa" w:w="1134"/>
            <w:shd w:fill="FFC7CE" w:val="clear"/>
          </w:tcPr>
          <w:p>
            <w:r>
              <w:rPr>
                <w:b/>
                <w:color w:val="B40000"/>
                <w:sz w:val="16"/>
              </w:rPr>
              <w:t>-19.12%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8,950</w:t>
            </w:r>
          </w:p>
        </w:tc>
        <w:tc>
          <w:tcPr>
            <w:tcW w:type="dxa" w:w="1417"/>
            <w:shd w:fill="FFFFFF" w:val="clear"/>
          </w:tcPr>
          <w:p>
            <w:r>
              <w:rPr>
                <w:sz w:val="16"/>
              </w:rPr>
              <w:t>7,137</w:t>
            </w:r>
          </w:p>
        </w:tc>
        <w:tc>
          <w:tcPr>
            <w:tcW w:type="dxa" w:w="1134"/>
            <w:shd w:fill="FFC7CE" w:val="clear"/>
          </w:tcPr>
          <w:p>
            <w:r>
              <w:rPr>
                <w:b/>
                <w:color w:val="B40000"/>
                <w:sz w:val="16"/>
              </w:rPr>
              <w:t>-20.26%</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2,060</w:t>
            </w:r>
          </w:p>
        </w:tc>
        <w:tc>
          <w:tcPr>
            <w:tcW w:type="dxa" w:w="1417"/>
            <w:shd w:fill="FFFFFF" w:val="clear"/>
          </w:tcPr>
          <w:p>
            <w:r>
              <w:rPr>
                <w:sz w:val="16"/>
              </w:rPr>
              <w:t>1,604</w:t>
            </w:r>
          </w:p>
        </w:tc>
        <w:tc>
          <w:tcPr>
            <w:tcW w:type="dxa" w:w="1134"/>
            <w:shd w:fill="FFC7CE" w:val="clear"/>
          </w:tcPr>
          <w:p>
            <w:r>
              <w:rPr>
                <w:b/>
                <w:color w:val="B40000"/>
                <w:sz w:val="16"/>
              </w:rPr>
              <w:t>-22.15%</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2,205</w:t>
            </w:r>
          </w:p>
        </w:tc>
        <w:tc>
          <w:tcPr>
            <w:tcW w:type="dxa" w:w="1417"/>
            <w:shd w:fill="FFFFFF" w:val="clear"/>
          </w:tcPr>
          <w:p>
            <w:r>
              <w:rPr>
                <w:sz w:val="16"/>
              </w:rPr>
              <w:t>1,633</w:t>
            </w:r>
          </w:p>
        </w:tc>
        <w:tc>
          <w:tcPr>
            <w:tcW w:type="dxa" w:w="1134"/>
            <w:shd w:fill="FFC7CE" w:val="clear"/>
          </w:tcPr>
          <w:p>
            <w:r>
              <w:rPr>
                <w:b/>
                <w:color w:val="B40000"/>
                <w:sz w:val="16"/>
              </w:rPr>
              <w:t>-25.94%</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2,000</w:t>
            </w:r>
          </w:p>
        </w:tc>
        <w:tc>
          <w:tcPr>
            <w:tcW w:type="dxa" w:w="1417"/>
            <w:shd w:fill="FFFFFF" w:val="clear"/>
          </w:tcPr>
          <w:p>
            <w:r>
              <w:rPr>
                <w:sz w:val="16"/>
              </w:rPr>
              <w:t>1,320</w:t>
            </w:r>
          </w:p>
        </w:tc>
        <w:tc>
          <w:tcPr>
            <w:tcW w:type="dxa" w:w="1134"/>
            <w:shd w:fill="FFC7CE" w:val="clear"/>
          </w:tcPr>
          <w:p>
            <w:r>
              <w:rPr>
                <w:b/>
                <w:color w:val="B40000"/>
                <w:sz w:val="16"/>
              </w:rPr>
              <w:t>-33.99%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5,340</w:t>
            </w:r>
          </w:p>
        </w:tc>
        <w:tc>
          <w:tcPr>
            <w:tcW w:type="dxa" w:w="1417"/>
            <w:shd w:fill="FFFFFF" w:val="clear"/>
          </w:tcPr>
          <w:p>
            <w:r>
              <w:rPr>
                <w:sz w:val="16"/>
              </w:rPr>
              <w:t>3,199</w:t>
            </w:r>
          </w:p>
        </w:tc>
        <w:tc>
          <w:tcPr>
            <w:tcW w:type="dxa" w:w="1134"/>
            <w:shd w:fill="FFC7CE" w:val="clear"/>
          </w:tcPr>
          <w:p>
            <w:r>
              <w:rPr>
                <w:b/>
                <w:color w:val="B40000"/>
                <w:sz w:val="16"/>
              </w:rPr>
              <w:t>-40.09%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29,610</w:t>
            </w:r>
          </w:p>
        </w:tc>
        <w:tc>
          <w:tcPr>
            <w:tcW w:type="dxa" w:w="1417"/>
            <w:shd w:fill="FFFFFF" w:val="clear"/>
          </w:tcPr>
          <w:p>
            <w:r>
              <w:rPr>
                <w:sz w:val="16"/>
              </w:rPr>
              <w:t>17,215</w:t>
            </w:r>
          </w:p>
        </w:tc>
        <w:tc>
          <w:tcPr>
            <w:tcW w:type="dxa" w:w="1134"/>
            <w:shd w:fill="FFC7CE" w:val="clear"/>
          </w:tcPr>
          <w:p>
            <w:r>
              <w:rPr>
                <w:b/>
                <w:color w:val="B40000"/>
                <w:sz w:val="16"/>
              </w:rPr>
              <w:t>-41.86%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3,200</w:t>
            </w:r>
          </w:p>
        </w:tc>
        <w:tc>
          <w:tcPr>
            <w:tcW w:type="dxa" w:w="1417"/>
            <w:shd w:fill="FFFFFF" w:val="clear"/>
          </w:tcPr>
          <w:p>
            <w:r>
              <w:rPr>
                <w:sz w:val="16"/>
              </w:rPr>
              <w:t>1,667</w:t>
            </w:r>
          </w:p>
        </w:tc>
        <w:tc>
          <w:tcPr>
            <w:tcW w:type="dxa" w:w="1134"/>
            <w:shd w:fill="FFC7CE" w:val="clear"/>
          </w:tcPr>
          <w:p>
            <w:r>
              <w:rPr>
                <w:b/>
                <w:color w:val="B40000"/>
                <w:sz w:val="16"/>
              </w:rPr>
              <w:t>-47.92%</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64</w:t>
            </w:r>
          </w:p>
        </w:tc>
        <w:tc>
          <w:tcPr>
            <w:tcW w:type="dxa" w:w="1417"/>
            <w:shd w:fill="FFFFFF" w:val="clear"/>
          </w:tcPr>
          <w:p>
            <w:r>
              <w:rPr>
                <w:sz w:val="16"/>
              </w:rPr>
              <w:t>30</w:t>
            </w:r>
          </w:p>
        </w:tc>
        <w:tc>
          <w:tcPr>
            <w:tcW w:type="dxa" w:w="1134"/>
            <w:shd w:fill="FFC7CE" w:val="clear"/>
          </w:tcPr>
          <w:p>
            <w:r>
              <w:rPr>
                <w:b/>
                <w:color w:val="B40000"/>
                <w:sz w:val="16"/>
              </w:rPr>
              <w:t>-53.47%</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3,495</w:t>
            </w:r>
          </w:p>
        </w:tc>
        <w:tc>
          <w:tcPr>
            <w:tcW w:type="dxa" w:w="1417"/>
            <w:shd w:fill="FFFFFF" w:val="clear"/>
          </w:tcPr>
          <w:p>
            <w:r>
              <w:rPr>
                <w:sz w:val="16"/>
              </w:rPr>
              <w:t>1,603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4,270</w:t>
            </w:r>
          </w:p>
        </w:tc>
        <w:tc>
          <w:tcPr>
            <w:tcW w:type="dxa" w:w="1417"/>
            <w:shd w:fill="FFFFFF" w:val="clear"/>
          </w:tcPr>
          <w:p>
            <w:r>
              <w:rPr>
                <w:sz w:val="16"/>
              </w:rPr>
              <w:t>1,958</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34.37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3,585 titres</w:t>
            </w:r>
          </w:p>
        </w:tc>
        <w:tc>
          <w:tcPr>
            <w:tcW w:type="dxa" w:w="2268"/>
            <w:shd w:fill="FFF2CC" w:val="clear"/>
          </w:tcPr>
          <w:p>
            <w:r>
              <w:rPr>
                <w:b/>
                <w:color w:val="503200"/>
                <w:sz w:val="16"/>
              </w:rPr>
              <w:t xml:space="preserve">Cours actuel : </w:t>
            </w:r>
            <w:r>
              <w:rPr>
                <w:color w:val="000000"/>
                <w:sz w:val="17"/>
              </w:rPr>
              <w:t>3,150 FCFA</w:t>
            </w:r>
          </w:p>
          <w:p>
            <w:r>
              <w:rPr>
                <w:b/>
                <w:color w:val="503200"/>
                <w:sz w:val="16"/>
              </w:rPr>
              <w:t xml:space="preserve">Var. 100 jours : </w:t>
            </w:r>
            <w:r>
              <w:rPr>
                <w:b/>
                <w:color w:val="007800"/>
                <w:sz w:val="17"/>
              </w:rPr>
              <w:t>+1.61%</w:t>
            </w:r>
          </w:p>
          <w:p>
            <w:r>
              <w:rPr>
                <w:b/>
                <w:color w:val="503200"/>
                <w:sz w:val="16"/>
              </w:rPr>
              <w:t xml:space="preserve">Plus haut 100j : </w:t>
            </w:r>
            <w:r>
              <w:rPr>
                <w:color w:val="000000"/>
                <w:sz w:val="17"/>
              </w:rPr>
              <w:t>3,790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7.55% (Moyenne) — μ=3,292 FCFA, σ=249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β=-0.4831 (Contre-cyclique) — Cov=-0.000020, Var(idx)=0.000042, ρ=-0.085,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σ_j=3.61%/j (Modérée) — Vol. annualisée≈57.3%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2,956</w:t>
            </w:r>
          </w:p>
        </w:tc>
        <w:tc>
          <w:tcPr>
            <w:tcW w:type="dxa" w:w="1440"/>
            <w:shd w:fill="FAFAFA" w:val="clear"/>
          </w:tcPr>
          <w:p>
            <w:r>
              <w:rPr>
                <w:b/>
                <w:sz w:val="17"/>
              </w:rPr>
              <w:t>3,095</w:t>
            </w:r>
          </w:p>
        </w:tc>
        <w:tc>
          <w:tcPr>
            <w:tcW w:type="dxa" w:w="1440"/>
            <w:shd w:fill="FAFAFA" w:val="clear"/>
          </w:tcPr>
          <w:p>
            <w:r>
              <w:rPr>
                <w:sz w:val="17"/>
              </w:rPr>
              <w:t>3,234</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2,861</w:t>
            </w:r>
          </w:p>
        </w:tc>
        <w:tc>
          <w:tcPr>
            <w:tcW w:type="dxa" w:w="1440"/>
            <w:shd w:fill="FFDCE0" w:val="clear"/>
          </w:tcPr>
          <w:p>
            <w:r>
              <w:rPr>
                <w:b/>
                <w:sz w:val="17"/>
              </w:rPr>
              <w:t>3,056</w:t>
            </w:r>
          </w:p>
        </w:tc>
        <w:tc>
          <w:tcPr>
            <w:tcW w:type="dxa" w:w="1440"/>
            <w:shd w:fill="FFDCE0" w:val="clear"/>
          </w:tcPr>
          <w:p>
            <w:r>
              <w:rPr>
                <w:sz w:val="17"/>
              </w:rPr>
              <w:t>3,250</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2,779</w:t>
            </w:r>
          </w:p>
        </w:tc>
        <w:tc>
          <w:tcPr>
            <w:tcW w:type="dxa" w:w="1440"/>
            <w:shd w:fill="FFDCE0" w:val="clear"/>
          </w:tcPr>
          <w:p>
            <w:r>
              <w:rPr>
                <w:b/>
                <w:sz w:val="17"/>
              </w:rPr>
              <w:t>3,014</w:t>
            </w:r>
          </w:p>
        </w:tc>
        <w:tc>
          <w:tcPr>
            <w:tcW w:type="dxa" w:w="1440"/>
            <w:shd w:fill="FFDCE0" w:val="clear"/>
          </w:tcPr>
          <w:p>
            <w:r>
              <w:rPr>
                <w:sz w:val="17"/>
              </w:rPr>
              <w:t>3,248</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2,708</w:t>
            </w:r>
          </w:p>
        </w:tc>
        <w:tc>
          <w:tcPr>
            <w:tcW w:type="dxa" w:w="1440"/>
            <w:shd w:fill="FFDCE0" w:val="clear"/>
          </w:tcPr>
          <w:p>
            <w:r>
              <w:rPr>
                <w:b/>
                <w:sz w:val="17"/>
              </w:rPr>
              <w:t>2,976</w:t>
            </w:r>
          </w:p>
        </w:tc>
        <w:tc>
          <w:tcPr>
            <w:tcW w:type="dxa" w:w="1440"/>
            <w:shd w:fill="FFDCE0" w:val="clear"/>
          </w:tcPr>
          <w:p>
            <w:r>
              <w:rPr>
                <w:sz w:val="17"/>
              </w:rPr>
              <w:t>3,243</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2,645</w:t>
            </w:r>
          </w:p>
        </w:tc>
        <w:tc>
          <w:tcPr>
            <w:tcW w:type="dxa" w:w="1440"/>
            <w:shd w:fill="FFDCE0" w:val="clear"/>
          </w:tcPr>
          <w:p>
            <w:r>
              <w:rPr>
                <w:b/>
                <w:sz w:val="17"/>
              </w:rPr>
              <w:t>2,941</w:t>
            </w:r>
          </w:p>
        </w:tc>
        <w:tc>
          <w:tcPr>
            <w:tcW w:type="dxa" w:w="1440"/>
            <w:shd w:fill="FFDCE0" w:val="clear"/>
          </w:tcPr>
          <w:p>
            <w:r>
              <w:rPr>
                <w:sz w:val="17"/>
              </w:rPr>
              <w:t>3,236</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2,588</w:t>
            </w:r>
          </w:p>
        </w:tc>
        <w:tc>
          <w:tcPr>
            <w:tcW w:type="dxa" w:w="1440"/>
            <w:shd w:fill="FFDCE0" w:val="clear"/>
          </w:tcPr>
          <w:p>
            <w:r>
              <w:rPr>
                <w:b/>
                <w:sz w:val="17"/>
              </w:rPr>
              <w:t>2,908</w:t>
            </w:r>
          </w:p>
        </w:tc>
        <w:tc>
          <w:tcPr>
            <w:tcW w:type="dxa" w:w="1440"/>
            <w:shd w:fill="FFDCE0" w:val="clear"/>
          </w:tcPr>
          <w:p>
            <w:r>
              <w:rPr>
                <w:sz w:val="17"/>
              </w:rPr>
              <w:t>3,228</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2,534</w:t>
            </w:r>
          </w:p>
        </w:tc>
        <w:tc>
          <w:tcPr>
            <w:tcW w:type="dxa" w:w="1440"/>
            <w:shd w:fill="FFDCE0" w:val="clear"/>
          </w:tcPr>
          <w:p>
            <w:r>
              <w:rPr>
                <w:b/>
                <w:sz w:val="17"/>
              </w:rPr>
              <w:t>2,876</w:t>
            </w:r>
          </w:p>
        </w:tc>
        <w:tc>
          <w:tcPr>
            <w:tcW w:type="dxa" w:w="1440"/>
            <w:shd w:fill="FFDCE0" w:val="clear"/>
          </w:tcPr>
          <w:p>
            <w:r>
              <w:rPr>
                <w:sz w:val="17"/>
              </w:rPr>
              <w:t>3,218</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2,484</w:t>
            </w:r>
          </w:p>
        </w:tc>
        <w:tc>
          <w:tcPr>
            <w:tcW w:type="dxa" w:w="1440"/>
            <w:shd w:fill="FFDCE0" w:val="clear"/>
          </w:tcPr>
          <w:p>
            <w:r>
              <w:rPr>
                <w:b/>
                <w:sz w:val="17"/>
              </w:rPr>
              <w:t>2,846</w:t>
            </w:r>
          </w:p>
        </w:tc>
        <w:tc>
          <w:tcPr>
            <w:tcW w:type="dxa" w:w="1440"/>
            <w:shd w:fill="FFDCE0" w:val="clear"/>
          </w:tcPr>
          <w:p>
            <w:r>
              <w:rPr>
                <w:sz w:val="17"/>
              </w:rPr>
              <w:t>3,208</w:t>
            </w:r>
          </w:p>
        </w:tc>
        <w:tc>
          <w:tcPr>
            <w:tcW w:type="dxa" w:w="1440"/>
            <w:shd w:fill="FFDCE0" w:val="clear"/>
          </w:tcPr>
          <w:p>
            <w:r>
              <w:rPr>
                <w:b/>
                <w:color w:val="C00000"/>
                <w:sz w:val="17"/>
              </w:rPr>
              <w:t>-9.6%</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2,437</w:t>
            </w:r>
          </w:p>
        </w:tc>
        <w:tc>
          <w:tcPr>
            <w:tcW w:type="dxa" w:w="1440"/>
            <w:shd w:fill="FFDCE0" w:val="clear"/>
          </w:tcPr>
          <w:p>
            <w:r>
              <w:rPr>
                <w:b/>
                <w:sz w:val="17"/>
              </w:rPr>
              <w:t>2,817</w:t>
            </w:r>
          </w:p>
        </w:tc>
        <w:tc>
          <w:tcPr>
            <w:tcW w:type="dxa" w:w="1440"/>
            <w:shd w:fill="FFDCE0" w:val="clear"/>
          </w:tcPr>
          <w:p>
            <w:r>
              <w:rPr>
                <w:sz w:val="17"/>
              </w:rPr>
              <w:t>3,197</w:t>
            </w:r>
          </w:p>
        </w:tc>
        <w:tc>
          <w:tcPr>
            <w:tcW w:type="dxa" w:w="1440"/>
            <w:shd w:fill="FFDCE0" w:val="clear"/>
          </w:tcPr>
          <w:p>
            <w:r>
              <w:rPr>
                <w:b/>
                <w:color w:val="C00000"/>
                <w:sz w:val="17"/>
              </w:rPr>
              <w:t>-10.6%</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2,393</w:t>
            </w:r>
          </w:p>
        </w:tc>
        <w:tc>
          <w:tcPr>
            <w:tcW w:type="dxa" w:w="1440"/>
            <w:shd w:fill="FFDCE0" w:val="clear"/>
          </w:tcPr>
          <w:p>
            <w:r>
              <w:rPr>
                <w:b/>
                <w:sz w:val="17"/>
              </w:rPr>
              <w:t>2,790</w:t>
            </w:r>
          </w:p>
        </w:tc>
        <w:tc>
          <w:tcPr>
            <w:tcW w:type="dxa" w:w="1440"/>
            <w:shd w:fill="FFDCE0" w:val="clear"/>
          </w:tcPr>
          <w:p>
            <w:r>
              <w:rPr>
                <w:sz w:val="17"/>
              </w:rPr>
              <w:t>3,186</w:t>
            </w:r>
          </w:p>
        </w:tc>
        <w:tc>
          <w:tcPr>
            <w:tcW w:type="dxa" w:w="1440"/>
            <w:shd w:fill="FFDCE0" w:val="clear"/>
          </w:tcPr>
          <w:p>
            <w:r>
              <w:rPr>
                <w:b/>
                <w:color w:val="C00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Voici le rapport d'analyse structuré pour l'action ABJC (Servair Abidjan),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34,37 milliards FCFA, ABJC se positionne comme une valeur de taille moyenne sur le marché de la BRVM. Le Bénéfice Par Action (BPA) de 124 FCFA indique le bénéfice net généré par chaque titre détenu. Le PER de 25,4x est très élevé par rapport à la moyenne historique du marché BRVM (8-12x), ce qui suggère que le marché intègre des attentes de croissance future significative, ou bien que le titre est actuellement surévalué par rapport à ses bénéfices. Le ratio Price/Book (P/B) de 6,66x confirme cette prime élevée, le marché valorisant l'actif net comptable de la société plus de six fois sa valeur, ce qui est exigeant pour l'investisseur. Enfin, l'EV/EBITDA de 12,8x se situe dans la fourchette haute (10-15x), indiquant que la valeur totale de l'entreprise (dette incluse) est relativement élevée par rapport à sa capacité à générer des profits opérationnels.</w:t>
      </w:r>
    </w:p>
    <w:p>
      <w:pPr>
        <w:spacing w:after="120" w:line="276" w:lineRule="auto"/>
      </w:pPr>
      <w:r>
        <w:t>### **PARTIE 1 : ANALYSE DU COURS — STATISTIQUES ET ÉVOLUTION (100 derniers jours)**</w:t>
      </w:r>
    </w:p>
    <w:p>
      <w:pPr>
        <w:spacing w:after="120" w:line="276" w:lineRule="auto"/>
      </w:pPr>
      <w:r>
        <w:t>Sur les 100 derniers jours, l'action ABJC affiche une progression modeste de +1,61%, avec un cours actuel de 3 150 FCFA, inchangé lors de la dernière séance. Le titre a évolué dans un large range de 945 FCFA, oscillant entre un plus bas de 2 845 FCFA et un plus haut de 3 790 FCFA, ce qui témoigne d'une volatilité significative sur la période. La tendance générale semble hésitante, le cours se situant actuellement sous sa moyenne de 100 jours (3 292 FCFA). L'analyse des statistiques descriptives révèle une distribution quasi-symétrique des prix (Skewness de -0,052) et une dispersion modérée (Coefficient de Variation de 7,6%). Le kurtosis de -0,779 indique une distribution mésokurtique, c'est-à-dire proche d'une distribution normale, avec un risque de mouvements extrêmes (pics) plus faible que la normale. Cependant, la volatilité annualisée de 57,3% est très élevée, classant le titre dans la catégorie des actifs à haut risque, ce qui contraste avec la dispersion modérée observée sur la période et suggère des phases d'accélération brutale.</w:t>
      </w:r>
    </w:p>
    <w:p>
      <w:pPr>
        <w:spacing w:after="120" w:line="276" w:lineRule="auto"/>
      </w:pPr>
      <w:r>
        <w:t>### **PARTIE 2 : ANALYSE TECHNIQUE DÉTAILLÉE**</w:t>
      </w:r>
    </w:p>
    <w:p>
      <w:pPr>
        <w:spacing w:after="120" w:line="276" w:lineRule="auto"/>
      </w:pPr>
      <w:r>
        <w:t>*   **Moyennes Mobiles**: Le cours actuel (3 150 FCFA) se situe sous la MM20 (3 305 FCFA) mais au-dessus de la MM50 (3 144,9 FCFA). Cette configuration, où la MM20 est supérieure à la MM50, est généralement haussière à moyen terme. La décision d'achat est justifiée par le fait que le cours, bien qu'en repli récent, trouve un support sur la MM50, suggérant un potentiel de rebond.</w:t>
      </w:r>
    </w:p>
    <w:p>
      <w:pPr>
        <w:spacing w:after="120" w:line="276" w:lineRule="auto"/>
      </w:pPr>
      <w:r>
        <w:t>*   **Bandes de Bollinger**: Le cours (3 150 FCFA) est positionné près de la borne inférieure (3 038 FCFA), indiquant que le titre est dans une zone de "survente" relative. La décision "Neutre" est cohérente : le prix est bas dans les bandes, ce qui peut précéder un rebond technique, mais il n'y a pas encore de signal de retournement clair. La largeur des bandes suggère une volatilité en baisse.</w:t>
      </w:r>
    </w:p>
    <w:p>
      <w:pPr>
        <w:spacing w:after="120" w:line="276" w:lineRule="auto"/>
      </w:pPr>
      <w:r>
        <w:t>*   **MACD**: Le MACD (-14,336) est passé sous sa ligne de signal (12,524), générant un signal de vente. Cette divergence baissière indique que le momentum de court terme est négatif et que la pression vendeuse est actuellement dominante, ce qui justifie la décision de vente.</w:t>
      </w:r>
    </w:p>
    <w:p>
      <w:pPr>
        <w:spacing w:after="120" w:line="276" w:lineRule="auto"/>
      </w:pPr>
      <w:r>
        <w:t>*   **RSI**: Avec une valeur de 23,529, le RSI est profondément en zone de survente (en dessous de 30). Cela signale que le titre est techniquement "survendu" et qu'un rebond correctif est statistiquement probable à court terme. La décision d'achat est donc justifiée par cette situation de survente extrême.</w:t>
      </w:r>
    </w:p>
    <w:p>
      <w:pPr>
        <w:spacing w:after="120" w:line="276" w:lineRule="auto"/>
      </w:pPr>
      <w:r>
        <w:t>*   **Stochastique**: Le %K (3,922) et le %D (2,614) sont tous deux à des niveaux extrêmement bas, bien en dessous de 20. Cela confirme le signal de survente donné par le RSI. La décision d'achat est renforcée, car ces niveaux indiquent que le prix a fortement baissé et qu'un retournement technique est imminent.</w:t>
      </w:r>
    </w:p>
    <w:p>
      <w:pPr>
        <w:spacing w:after="120" w:line="276" w:lineRule="auto"/>
      </w:pPr>
      <w:r>
        <w:t>**Conclusion technique** : Les indicateurs techniques sont fortement divergents. D'un côté, le MACD et la position sous la MM20 signalent une dynamique baissière à court terme. De l'autre, le RSI et le Stochastique sont en zone de survente extrême, suggérant un rebond technique imminent. Cette configuration, bien que risquée, est classique d'une fin de phase de baisse. Le signal d'achat des moyennes mobiles (MM20 &gt; MM50) offre un contexte haussier à moyen terme qui pourrait être confirmé par un rebond.</w:t>
      </w:r>
    </w:p>
    <w:p>
      <w:pPr>
        <w:spacing w:after="120" w:line="276" w:lineRule="auto"/>
      </w:pPr>
      <w:r>
        <w:t>### **PARTIE 3 : ANALYSE FONDAMENTALE (SECTION CRITIQUE)**</w:t>
      </w:r>
    </w:p>
    <w:p>
      <w:pPr>
        <w:spacing w:after="120" w:line="276" w:lineRule="auto"/>
      </w:pPr>
      <w:r>
        <w:t>En 2025, selon les données structurées, Servair Abidjan a réalisé un chiffre d'affaires de 13,298 milliards FCFA, en croissance de 6,7% par rapport à 2024. Le résultat net s'établit à 1,351 milliard FCFA, en baisse de 12,1% par rapport à 2024, principalement en raison d'une forte hausse de la charge d'impôt (+46,7%). La société, identifiée comme une **ENTREPRISE** de services aéroportuaires, affiche des fondamentaux solides : un ROE de 26,18% (excellent) et un ROA de 14,64% (très bon). La structure financière est saine avec un ratio d'autonomie financière de 55,9% et une trésorerie nette de 4,035 milliards FCFA. L'analyse des délais d'exploitation révèle un délai client de 70 jours, un point de vigilance pour la trésorerie, mais un délai fournisseur de 92 jours qui compense partiellement ce risque. Le BFR est négatif (-257,45 millions FCFA), ce qui est une situation très favorable pour l'entreprise.</w:t>
      </w:r>
    </w:p>
    <w:p>
      <w:pPr>
        <w:spacing w:after="120" w:line="276" w:lineRule="auto"/>
      </w:pPr>
      <w:r>
        <w:t>En se basant sur les rapports narratifs, le **Rapport T3 2025** (cumul 9 mois) indique une forte croissance du CA au 3e trimestre (+10,3%) et une amélioration de la rentabilité (+17,1% du résultat net). Cependant, le **Rapport T1 2026** (le plus récent) montre une dégradation marquée : le CA progresse de seulement 1,9% et le résultat net chute de 35,6% par rapport au T1 2025, impacté par des ajustements de redevances aéroportuaires. Cette contre-performance récente suggère que les difficultés opérationnelles et réglementaires (litige douanier évoqué dans les rapports de 2025) n'ont pas été totalement résorbées. La solidité fondamentale de l'entreprise (ROE élevé, trésorerie nette) est donc actuellement mise à l'épreuve par un environnement d'exploitation moins favorable.</w:t>
      </w:r>
    </w:p>
    <w:p>
      <w:pPr>
        <w:spacing w:after="120" w:line="276" w:lineRule="auto"/>
      </w:pPr>
      <w:r>
        <w:t>### **PARTIE 4 : CONCLUSION D'INVESTISSEMENT**</w:t>
      </w:r>
    </w:p>
    <w:p>
      <w:pPr>
        <w:spacing w:after="120" w:line="276" w:lineRule="auto"/>
      </w:pPr>
      <w:r>
        <w:t>La synthèse globale pour l'action ABJC est marquée par des contradictions fortes. La **valorisation** (Partie 0) est très exigeante (PER de 25,4x, P/B de 6,66x), suggérant une surévaluation relative. Le **comportement du cours** (Partie 1) montre une volatilité élevée et une tendance hésitante, le titre se situant sous sa moyenne de 100 jours. Les **signaux techniques** (Partie 2) sont en conflit : une dynamique baissière de court terme (MACD) s'oppose à des conditions de survente extrême (RSI, Stochastique) qui annoncent un rebond technique. Enfin, les **fondamentaux** (Partie 3) sont solides sur le long terme (ROE &gt; 25%, trésorerie nette) mais se dégradent à court terme, comme le montre la chute du résultat net au T1 2026. Les **prédictions IA** (J+1 à J+10) anticipent une poursuite de la baisse, passant de 3 095 à 2 941 FCFA, ce qui confirme la faiblesse technique immédiate.</w:t>
      </w:r>
    </w:p>
    <w:p>
      <w:pPr>
        <w:spacing w:after="120" w:line="276" w:lineRule="auto"/>
      </w:pPr>
      <w:r>
        <w:t>Sur la base de cette analyse, la recommandation est **CONSERVER**. La convergence entre la valorisation élevée, les signaux techniques baissiers à court terme (MACD) et les prédictions IA suggère un potentiel de baisse supplémentaire. Cependant, les fondamentaux solides et les signaux de survente technique (RSI, Stochastique) plaident pour une stabilisation, voire un rebond. Le niveau de confiance est **Faible** en raison des contradictions entre les signaux. Le niveau de risque global est **Élevé**, principalement dû à la volatilité du titre et à l'incertitude sur la reprise de la rentabilité. L'horizon d'investissement optimal est le **moyen terme (3-12 mois)** , le temps que les catalyseurs techniques (rebond) et fondamentaux (amélioration de la rentabilité) se matérialisent, en attendant un point d'entrée plus 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366.77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7,784 titres</w:t>
            </w:r>
          </w:p>
        </w:tc>
        <w:tc>
          <w:tcPr>
            <w:tcW w:type="dxa" w:w="2268"/>
            <w:shd w:fill="FFF2CC" w:val="clear"/>
          </w:tcPr>
          <w:p>
            <w:r>
              <w:rPr>
                <w:b/>
                <w:color w:val="503200"/>
                <w:sz w:val="16"/>
              </w:rPr>
              <w:t xml:space="preserve">Cours actuel : </w:t>
            </w:r>
            <w:r>
              <w:rPr>
                <w:color w:val="000000"/>
                <w:sz w:val="17"/>
              </w:rPr>
              <w:t>6,350 FCFA</w:t>
            </w:r>
          </w:p>
          <w:p>
            <w:r>
              <w:rPr>
                <w:b/>
                <w:color w:val="503200"/>
                <w:sz w:val="16"/>
              </w:rPr>
              <w:t xml:space="preserve">Var. 100 jours : </w:t>
            </w:r>
            <w:r>
              <w:rPr>
                <w:b/>
                <w:color w:val="007800"/>
                <w:sz w:val="17"/>
              </w:rPr>
              <w:t>+28.15%</w:t>
            </w:r>
          </w:p>
          <w:p>
            <w:r>
              <w:rPr>
                <w:b/>
                <w:color w:val="503200"/>
                <w:sz w:val="16"/>
              </w:rPr>
              <w:t xml:space="preserve">Plus haut 100j : </w:t>
            </w:r>
            <w:r>
              <w:rPr>
                <w:color w:val="000000"/>
                <w:sz w:val="17"/>
              </w:rPr>
              <w:t>6,385 FCFA</w:t>
            </w:r>
          </w:p>
          <w:p>
            <w:r>
              <w:rPr>
                <w:b/>
                <w:color w:val="503200"/>
                <w:sz w:val="16"/>
              </w:rPr>
              <w:t xml:space="preserve">Plus bas 100j : </w:t>
            </w:r>
            <w:r>
              <w:rPr>
                <w:color w:val="000000"/>
                <w:sz w:val="17"/>
              </w:rPr>
              <w:t>4,955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6.57% (Moyenne) — μ=5,351 FCFA, σ=351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β=0.1496 (Défensif) — Cov=0.000006, Var(idx)=0.000042, ρ=0.072,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7,784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5,714</w:t>
            </w:r>
          </w:p>
        </w:tc>
        <w:tc>
          <w:tcPr>
            <w:tcW w:type="dxa" w:w="1440"/>
            <w:shd w:fill="FFDCE0" w:val="clear"/>
          </w:tcPr>
          <w:p>
            <w:r>
              <w:rPr>
                <w:b/>
                <w:sz w:val="17"/>
              </w:rPr>
              <w:t>5,874</w:t>
            </w:r>
          </w:p>
        </w:tc>
        <w:tc>
          <w:tcPr>
            <w:tcW w:type="dxa" w:w="1440"/>
            <w:shd w:fill="FFDCE0" w:val="clear"/>
          </w:tcPr>
          <w:p>
            <w:r>
              <w:rPr>
                <w:sz w:val="17"/>
              </w:rPr>
              <w:t>6,034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5,479</w:t>
            </w:r>
          </w:p>
        </w:tc>
        <w:tc>
          <w:tcPr>
            <w:tcW w:type="dxa" w:w="1440"/>
            <w:shd w:fill="FFDCE0" w:val="clear"/>
          </w:tcPr>
          <w:p>
            <w:r>
              <w:rPr>
                <w:b/>
                <w:sz w:val="17"/>
              </w:rPr>
              <w:t>5,698</w:t>
            </w:r>
          </w:p>
        </w:tc>
        <w:tc>
          <w:tcPr>
            <w:tcW w:type="dxa" w:w="1440"/>
            <w:shd w:fill="FFDCE0" w:val="clear"/>
          </w:tcPr>
          <w:p>
            <w:r>
              <w:rPr>
                <w:sz w:val="17"/>
              </w:rPr>
              <w:t>5,918</w:t>
            </w:r>
          </w:p>
        </w:tc>
        <w:tc>
          <w:tcPr>
            <w:tcW w:type="dxa" w:w="1440"/>
            <w:shd w:fill="FFDCE0" w:val="clear"/>
          </w:tcPr>
          <w:p>
            <w:r>
              <w:rPr>
                <w:b/>
                <w:color w:val="C00000"/>
                <w:sz w:val="17"/>
              </w:rPr>
              <w:t>-10.3%</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5,355</w:t>
            </w:r>
          </w:p>
        </w:tc>
        <w:tc>
          <w:tcPr>
            <w:tcW w:type="dxa" w:w="1440"/>
            <w:shd w:fill="FFDCE0" w:val="clear"/>
          </w:tcPr>
          <w:p>
            <w:r>
              <w:rPr>
                <w:b/>
                <w:sz w:val="17"/>
              </w:rPr>
              <w:t>5,620</w:t>
            </w:r>
          </w:p>
        </w:tc>
        <w:tc>
          <w:tcPr>
            <w:tcW w:type="dxa" w:w="1440"/>
            <w:shd w:fill="FFDCE0" w:val="clear"/>
          </w:tcPr>
          <w:p>
            <w:r>
              <w:rPr>
                <w:sz w:val="17"/>
              </w:rPr>
              <w:t>5,885</w:t>
            </w:r>
          </w:p>
        </w:tc>
        <w:tc>
          <w:tcPr>
            <w:tcW w:type="dxa" w:w="1440"/>
            <w:shd w:fill="FFDCE0" w:val="clear"/>
          </w:tcPr>
          <w:p>
            <w:r>
              <w:rPr>
                <w:b/>
                <w:color w:val="C00000"/>
                <w:sz w:val="17"/>
              </w:rPr>
              <w:t>-11.5%</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5,239</w:t>
            </w:r>
          </w:p>
        </w:tc>
        <w:tc>
          <w:tcPr>
            <w:tcW w:type="dxa" w:w="1440"/>
            <w:shd w:fill="FFDCE0" w:val="clear"/>
          </w:tcPr>
          <w:p>
            <w:r>
              <w:rPr>
                <w:b/>
                <w:sz w:val="17"/>
              </w:rPr>
              <w:t>5,541</w:t>
            </w:r>
          </w:p>
        </w:tc>
        <w:tc>
          <w:tcPr>
            <w:tcW w:type="dxa" w:w="1440"/>
            <w:shd w:fill="FFDCE0" w:val="clear"/>
          </w:tcPr>
          <w:p>
            <w:r>
              <w:rPr>
                <w:sz w:val="17"/>
              </w:rPr>
              <w:t>5,843</w:t>
            </w:r>
          </w:p>
        </w:tc>
        <w:tc>
          <w:tcPr>
            <w:tcW w:type="dxa" w:w="1440"/>
            <w:shd w:fill="FFDCE0" w:val="clear"/>
          </w:tcPr>
          <w:p>
            <w:r>
              <w:rPr>
                <w:b/>
                <w:color w:val="C00000"/>
                <w:sz w:val="17"/>
              </w:rPr>
              <w:t>-12.7%</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5,136</w:t>
            </w:r>
          </w:p>
        </w:tc>
        <w:tc>
          <w:tcPr>
            <w:tcW w:type="dxa" w:w="1440"/>
            <w:shd w:fill="FFDCE0" w:val="clear"/>
          </w:tcPr>
          <w:p>
            <w:r>
              <w:rPr>
                <w:b/>
                <w:sz w:val="17"/>
              </w:rPr>
              <w:t>5,469</w:t>
            </w:r>
          </w:p>
        </w:tc>
        <w:tc>
          <w:tcPr>
            <w:tcW w:type="dxa" w:w="1440"/>
            <w:shd w:fill="FFDCE0" w:val="clear"/>
          </w:tcPr>
          <w:p>
            <w:r>
              <w:rPr>
                <w:sz w:val="17"/>
              </w:rPr>
              <w:t>5,802</w:t>
            </w:r>
          </w:p>
        </w:tc>
        <w:tc>
          <w:tcPr>
            <w:tcW w:type="dxa" w:w="1440"/>
            <w:shd w:fill="FFDCE0" w:val="clear"/>
          </w:tcPr>
          <w:p>
            <w:r>
              <w:rPr>
                <w:b/>
                <w:color w:val="C00000"/>
                <w:sz w:val="17"/>
              </w:rPr>
              <w:t>-13.9%</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5,044</w:t>
            </w:r>
          </w:p>
        </w:tc>
        <w:tc>
          <w:tcPr>
            <w:tcW w:type="dxa" w:w="1440"/>
            <w:shd w:fill="FFDCE0" w:val="clear"/>
          </w:tcPr>
          <w:p>
            <w:r>
              <w:rPr>
                <w:b/>
                <w:sz w:val="17"/>
              </w:rPr>
              <w:t>5,405</w:t>
            </w:r>
          </w:p>
        </w:tc>
        <w:tc>
          <w:tcPr>
            <w:tcW w:type="dxa" w:w="1440"/>
            <w:shd w:fill="FFDCE0" w:val="clear"/>
          </w:tcPr>
          <w:p>
            <w:r>
              <w:rPr>
                <w:sz w:val="17"/>
              </w:rPr>
              <w:t>5,765</w:t>
            </w:r>
          </w:p>
        </w:tc>
        <w:tc>
          <w:tcPr>
            <w:tcW w:type="dxa" w:w="1440"/>
            <w:shd w:fill="FFDCE0" w:val="clear"/>
          </w:tcPr>
          <w:p>
            <w:r>
              <w:rPr>
                <w:b/>
                <w:color w:val="C00000"/>
                <w:sz w:val="17"/>
              </w:rPr>
              <w:t>-14.9%</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4,963</w:t>
            </w:r>
          </w:p>
        </w:tc>
        <w:tc>
          <w:tcPr>
            <w:tcW w:type="dxa" w:w="1440"/>
            <w:shd w:fill="FFDCE0" w:val="clear"/>
          </w:tcPr>
          <w:p>
            <w:r>
              <w:rPr>
                <w:b/>
                <w:sz w:val="17"/>
              </w:rPr>
              <w:t>5,349</w:t>
            </w:r>
          </w:p>
        </w:tc>
        <w:tc>
          <w:tcPr>
            <w:tcW w:type="dxa" w:w="1440"/>
            <w:shd w:fill="FFDCE0" w:val="clear"/>
          </w:tcPr>
          <w:p>
            <w:r>
              <w:rPr>
                <w:sz w:val="17"/>
              </w:rPr>
              <w:t>5,734</w:t>
            </w:r>
          </w:p>
        </w:tc>
        <w:tc>
          <w:tcPr>
            <w:tcW w:type="dxa" w:w="1440"/>
            <w:shd w:fill="FFDCE0" w:val="clear"/>
          </w:tcPr>
          <w:p>
            <w:r>
              <w:rPr>
                <w:b/>
                <w:color w:val="C00000"/>
                <w:sz w:val="17"/>
              </w:rPr>
              <w:t>-15.8%</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4,892</w:t>
            </w:r>
          </w:p>
        </w:tc>
        <w:tc>
          <w:tcPr>
            <w:tcW w:type="dxa" w:w="1440"/>
            <w:shd w:fill="FFDCE0" w:val="clear"/>
          </w:tcPr>
          <w:p>
            <w:r>
              <w:rPr>
                <w:b/>
                <w:sz w:val="17"/>
              </w:rPr>
              <w:t>5,300</w:t>
            </w:r>
          </w:p>
        </w:tc>
        <w:tc>
          <w:tcPr>
            <w:tcW w:type="dxa" w:w="1440"/>
            <w:shd w:fill="FFDCE0" w:val="clear"/>
          </w:tcPr>
          <w:p>
            <w:r>
              <w:rPr>
                <w:sz w:val="17"/>
              </w:rPr>
              <w:t>5,708</w:t>
            </w:r>
          </w:p>
        </w:tc>
        <w:tc>
          <w:tcPr>
            <w:tcW w:type="dxa" w:w="1440"/>
            <w:shd w:fill="FFDCE0" w:val="clear"/>
          </w:tcPr>
          <w:p>
            <w:r>
              <w:rPr>
                <w:b/>
                <w:color w:val="C00000"/>
                <w:sz w:val="17"/>
              </w:rPr>
              <w:t>-16.5%</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4,828</w:t>
            </w:r>
          </w:p>
        </w:tc>
        <w:tc>
          <w:tcPr>
            <w:tcW w:type="dxa" w:w="1440"/>
            <w:shd w:fill="FFDCE0" w:val="clear"/>
          </w:tcPr>
          <w:p>
            <w:r>
              <w:rPr>
                <w:b/>
                <w:sz w:val="17"/>
              </w:rPr>
              <w:t>5,257</w:t>
            </w:r>
          </w:p>
        </w:tc>
        <w:tc>
          <w:tcPr>
            <w:tcW w:type="dxa" w:w="1440"/>
            <w:shd w:fill="FFDCE0" w:val="clear"/>
          </w:tcPr>
          <w:p>
            <w:r>
              <w:rPr>
                <w:sz w:val="17"/>
              </w:rPr>
              <w:t>5,686</w:t>
            </w:r>
          </w:p>
        </w:tc>
        <w:tc>
          <w:tcPr>
            <w:tcW w:type="dxa" w:w="1440"/>
            <w:shd w:fill="FFDCE0" w:val="clear"/>
          </w:tcPr>
          <w:p>
            <w:r>
              <w:rPr>
                <w:b/>
                <w:color w:val="C00000"/>
                <w:sz w:val="17"/>
              </w:rPr>
              <w:t>-17.2%</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4,771</w:t>
            </w:r>
          </w:p>
        </w:tc>
        <w:tc>
          <w:tcPr>
            <w:tcW w:type="dxa" w:w="1440"/>
            <w:shd w:fill="FFDCE0" w:val="clear"/>
          </w:tcPr>
          <w:p>
            <w:r>
              <w:rPr>
                <w:b/>
                <w:sz w:val="17"/>
              </w:rPr>
              <w:t>5,220</w:t>
            </w:r>
          </w:p>
        </w:tc>
        <w:tc>
          <w:tcPr>
            <w:tcW w:type="dxa" w:w="1440"/>
            <w:shd w:fill="FFDCE0" w:val="clear"/>
          </w:tcPr>
          <w:p>
            <w:r>
              <w:rPr>
                <w:sz w:val="17"/>
              </w:rPr>
              <w:t>5,669</w:t>
            </w:r>
          </w:p>
        </w:tc>
        <w:tc>
          <w:tcPr>
            <w:tcW w:type="dxa" w:w="1440"/>
            <w:shd w:fill="FFDCE0" w:val="clear"/>
          </w:tcPr>
          <w:p>
            <w:r>
              <w:rPr>
                <w:b/>
                <w:color w:val="C00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Voici le rapport d'analyse structuré pour l'action BICB (BIIC Bénin)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366,77 milliards FCFA, BICB se positionne comme une valeur de premier plan sur la BRVM, reflétant son statut de leader bancaire au Bénin. Le Bénéfice Par Action (BPA) de 627 FCFA indique que chaque action a généré un profit substantiel sur l'exercice 2025. Le PER de 10,1x est dans la fourchette haute de la moyenne historique de la BRVM (8-12x), ce qui suggère que le marché valorise correctement les bénéfices de la banque, sans pour autant la surévaluer. Le Price-to-Book (P/B) de 2,71x, situé dans la zone 2-4x, indique que les investisseurs sont prêts à payer une prime par rapport à la valeur comptable des actifs, signe de confiance dans la croissance future. En revanche, l'EV/EBITDA de 20,9x est un signal d'alarme, car il est très élevé et suggère que la valeur totale de l'entreprise (dette incluse) est chère par rapport à sa capacité bénéficiaire opérationnelle brute.</w:t>
      </w:r>
    </w:p>
    <w:p>
      <w:pPr>
        <w:spacing w:after="120" w:line="276" w:lineRule="auto"/>
      </w:pPr>
      <w:r>
        <w:t>### **PARTIE 1 : ANALYSE DU COURS — STATISTIQUES ET ÉVOLUTION (100 derniers jours)**</w:t>
      </w:r>
    </w:p>
    <w:p>
      <w:pPr>
        <w:spacing w:after="120" w:line="276" w:lineRule="auto"/>
      </w:pPr>
      <w:r>
        <w:t>Sur les 100 derniers jours, l'action BICB a connu une progression spectaculaire de +28,15%, atteignant un cours actuel de 6 350 FCFA, bien que la dernière séance ait enregistré un léger repli de -0,55%. Le titre a oscillé entre un plus bas de 4 955 FCFA et un plus haut de 6 385 FCFA, soit une amplitude de 1 430 FCFA, traduisant une forte dynamique haussière. L'analyse des statistiques descriptives révèle que la moyenne (5 351 FCFA) est supérieure à la médiane (5 202 FCFA), ce qui confirme une distribution asymétrique positive (skewness à 1,503), où les fortes hausses récentes tirent la moyenne vers le haut. L'écart-type de 353 FCFA, associé à un coefficient de variation de 6,6%, indique une dispersion modérée du cours autour de sa moyenne. Le kurtosis en excès de 1,434 (leptokurtique) suggère une probabilité plus élevée de mouvements extrêmes, ce qui est cohérent avec la récente envolée du titre. Enfin, la volatilité annualisée de 21,1% classe BICB dans la catégorie des actifs à volatilité modérée, acceptable pour une valeur bancaire.</w:t>
      </w:r>
    </w:p>
    <w:p>
      <w:pPr>
        <w:spacing w:after="120" w:line="276" w:lineRule="auto"/>
      </w:pPr>
      <w:r>
        <w:t>### **PARTIE 2 : ANALYSE TECHNIQUE DÉTAILLÉE**</w:t>
      </w:r>
    </w:p>
    <w:p>
      <w:pPr>
        <w:spacing w:after="120" w:line="276" w:lineRule="auto"/>
      </w:pPr>
      <w:r>
        <w:t>*   **Moyennes Mobiles**: Le cours actuel (6 350 FCFA) se situe nettement au-dessus de la MM20 (5 963,75 FCFA) et de la MM50 (5 570,6 FCFA), formant une configuration haussière. La pente ascendante de ces moyennes confirme la solidité de la tendance, justifiant la décision d'**Achat**.</w:t>
      </w:r>
    </w:p>
    <w:p>
      <w:pPr>
        <w:spacing w:after="120" w:line="276" w:lineRule="auto"/>
      </w:pPr>
      <w:r>
        <w:t>*   **Bandes de Bollinger**: Le cours évolue près de la borne supérieure (6 497,87 FCFA), ce qui indique une pression acheteuse soutenue. La largeur des bandes suggère une volatilité en hausse. Bien que le signal soit **Neutre**, la proximité de la borne supérieure expose le titre à un risque de consolidation ou de repli technique à court terme.</w:t>
      </w:r>
    </w:p>
    <w:p>
      <w:pPr>
        <w:spacing w:after="120" w:line="276" w:lineRule="auto"/>
      </w:pPr>
      <w:r>
        <w:t>*   **MACD**: La ligne MACD (232,27) est positionnée au-dessus de sa ligne de signal (195,70), et les deux sont en territoire positif. Cette divergence haussière indique un momentum d'achat toujours présent, justifiant la décision d'**Achat**.</w:t>
      </w:r>
    </w:p>
    <w:p>
      <w:pPr>
        <w:spacing w:after="120" w:line="276" w:lineRule="auto"/>
      </w:pPr>
      <w:r>
        <w:t>*   **RSI**: Avec une valeur de 70,09, le RSI entre en zone de surachat. Cela signifie que le titre a été fortement acheté récemment et qu'un mouvement de correction ou de consolidation est statistiquement probable. La décision de **Vente** est un signal de prudence.</w:t>
      </w:r>
    </w:p>
    <w:p>
      <w:pPr>
        <w:spacing w:after="120" w:line="276" w:lineRule="auto"/>
      </w:pPr>
      <w:r>
        <w:t>*   **Stochastique**: Le %K (94,89) et le %D (98,30) sont tous deux à des niveaux extrêmement élevés, bien au-dessus du seuil de surachat (80). Cette configuration est un signal fort de **Vente**, indiquant que le titre est "sur-acheté" et que le potentiel de hausse immédiat est limité.</w:t>
      </w:r>
    </w:p>
    <w:p>
      <w:pPr>
        <w:spacing w:after="120" w:line="276" w:lineRule="auto"/>
      </w:pPr>
      <w:r>
        <w:t>**Conclusion technique**: L'analyse technique de BICB est fortement contrastée. Les indicateurs de tendance (Moyennes Mobiles, MACD) sont résolument haussiers et confirment la dynamique positive. En revanche, les oscillateurs de momentum (RSI, Stochastique) hurlent à la prudence en signalant un état de surachat extrême. Cette divergence suggère que la tendance de fond est haussière, mais qu'un repli technique à court terme est non seulement probable mais sain pour assainir les positions. Un investisseur devrait éviter d'acheter à ces niveaux et attendre une correction.</w:t>
      </w:r>
    </w:p>
    <w:p>
      <w:pPr>
        <w:spacing w:after="120" w:line="276" w:lineRule="auto"/>
      </w:pPr>
      <w:r>
        <w:t>### **PARTIE 3 : ANALYSE FONDAMENTALE (SECTION CRITIQUE)**</w:t>
      </w:r>
    </w:p>
    <w:p>
      <w:pPr>
        <w:spacing w:after="120" w:line="276" w:lineRule="auto"/>
      </w:pPr>
      <w:r>
        <w:t>Les données financières structurées pour l'exercice 2025 confirment la solidité de BICB. Le Produit Net Bancaire (PNB) s'élève à 52,805 milliards FCFA, en croissance de +16,5% par rapport à 2024, selon les rapports narratifs. Le résultat net atteint 36,237 milliards FCFA, portant le ROE à un niveau excellent de 26,8% et le ROA à 1,96%. La banque affiche une efficacité opérationnelle remarquable avec un coefficient d'exploitation de seulement 31,1%, bien en dessous du seuil des 60% considéré comme efficace. Cependant, le coût du risque, à 9,6% des charges financières, est un point de vigilance, confirmé par les rapports semestriels. Le rapport du S1 2025, daté de juin 2025, indique une explosion du coût du risque à 7,9 milliards FCFA, ce qui a fait chuter le résultat net de -27% sur la période. Le rapport du T3 2025 confirme cette tendance avec un résultat net en baisse de 9% sur neuf mois, malgré une croissance du PNB de +26%. Sur la base de ces rapports trimestriels, on estime que la croissance annuelle du PNB pour 2025 reste robuste, mais que la rentabilité nette est sous pression en raison d'une politique de provisionnement prudente. La banque finance sa croissance rapide des crédits (+30% sur 9 mois) par une hausse des dépôts (+25%), maintenant un équilibre de transformation sain. En conclusion, la banque présente des fondamentaux de long terme solides (ROE élevé, faible coefficient d'exploitation), mais traverse une phase de "normalisation" du risque de crédit qui pèse sur sa rentabilité à court terme.</w:t>
      </w:r>
    </w:p>
    <w:p>
      <w:pPr>
        <w:spacing w:after="120" w:line="276" w:lineRule="auto"/>
      </w:pPr>
      <w:r>
        <w:t>### **PARTIE 4 : CONCLUSION D'INVESTISSEMENT**</w:t>
      </w:r>
    </w:p>
    <w:p>
      <w:pPr>
        <w:spacing w:after="120" w:line="276" w:lineRule="auto"/>
      </w:pPr>
      <w:r>
        <w:t>La synthèse globale pour BICB est celle d'un titre à la croisée des chemins. La **valorisation** (Partie 0) est raisonnable sur la base du PER, mais l'EV/EBITDA élevé et le P/B valorisant suggèrent que le marché a déjà intégré des perspectives de croissance. Le **comportement du cours** (Partie 1) montre une tendance haussière forte et une volatilité modérée, mais la distribution leptokurtique et l'asymétrie positive indiquent un risque de retournement brutal. Les **signaux techniques** (Partie 2) sont en conflit : la tendance est haussière, mais les oscillateurs sont en surachat extrême, annonçant une correction imminente. Les **fondamentaux** (Partie 3) sont solides sur le long terme, mais la pression sur le résultat net due à l'augmentation du coût du risque est un frein à court terme. Enfin, les **prédictions IA** pour les 10 prochains jours anticipent une baisse continue du cours, passant de 5 874 à 5 469 FCFA, ce qui contredit la tendance haussière récente mais confirme les signaux de surachat technique.</w:t>
      </w:r>
    </w:p>
    <w:p>
      <w:pPr>
        <w:spacing w:after="120" w:line="276" w:lineRule="auto"/>
      </w:pPr>
      <w:r>
        <w:t>**Recommandation finale : VENTE** (à court terme) / **CONSERVER** (à moyen-long terme).</w:t>
        <w:br/>
        <w:t>**Justification** : La convergence des signaux techniques de surachat (RSI, Stochastique) avec les prédictions IA baissières et la pression sur la rentabilité immédiate (coût du risque) incite à la prudence. Le potentiel de correction technique est élevé. Pour un investisseur de long terme, les fondamentaux restent excellents, mais il est conseillé d'attendre un point d'entrée plus favorable, après une consolidation du cours.</w:t>
        <w:br/>
        <w:t>**Niveau de confiance :** Élevé (pour la prudence à court terme).</w:t>
        <w:br/>
        <w:t>**Niveau de risque global :** Élevé (à court terme en raison du surachat technique et de la baisse de rentabilité).</w:t>
        <w:br/>
        <w:t>**Horizon d'investissement optimal :** Court terme (&lt;3 mois) : Vente / Prise de bénéfices. Moyen terme (3-12 mois) : Attente d'une correction pour un point d'entrée. Long terme (&gt;1 an) : Conserver si déjà en portefeuille.</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953 titres</w:t>
            </w:r>
          </w:p>
        </w:tc>
        <w:tc>
          <w:tcPr>
            <w:tcW w:type="dxa" w:w="2268"/>
            <w:shd w:fill="FFF2CC" w:val="clear"/>
          </w:tcPr>
          <w:p>
            <w:r>
              <w:rPr>
                <w:b/>
                <w:color w:val="503200"/>
                <w:sz w:val="16"/>
              </w:rPr>
              <w:t xml:space="preserve">Cours actuel : </w:t>
            </w:r>
            <w:r>
              <w:rPr>
                <w:color w:val="000000"/>
                <w:sz w:val="17"/>
              </w:rPr>
              <w:t>28,800 FCFA</w:t>
            </w:r>
          </w:p>
          <w:p>
            <w:r>
              <w:rPr>
                <w:b/>
                <w:color w:val="503200"/>
                <w:sz w:val="16"/>
              </w:rPr>
              <w:t xml:space="preserve">Var. 100 jours : </w:t>
            </w:r>
            <w:r>
              <w:rPr>
                <w:b/>
                <w:color w:val="007800"/>
                <w:sz w:val="17"/>
              </w:rPr>
              <w:t>+44.00%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19,995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9.33% (Moyenne) — μ=25,807 FCFA, σ=2,407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β=1.1400 (Neutre (suit le marché)) — Cov=0.000048, Var(idx)=0.000042, ρ=0.338,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953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27,046</w:t>
            </w:r>
          </w:p>
        </w:tc>
        <w:tc>
          <w:tcPr>
            <w:tcW w:type="dxa" w:w="1440"/>
            <w:shd w:fill="FFDCE0" w:val="clear"/>
          </w:tcPr>
          <w:p>
            <w:r>
              <w:rPr>
                <w:b/>
                <w:sz w:val="17"/>
              </w:rPr>
              <w:t>27,913</w:t>
            </w:r>
          </w:p>
        </w:tc>
        <w:tc>
          <w:tcPr>
            <w:tcW w:type="dxa" w:w="1440"/>
            <w:shd w:fill="FFDCE0" w:val="clear"/>
          </w:tcPr>
          <w:p>
            <w:r>
              <w:rPr>
                <w:sz w:val="17"/>
              </w:rPr>
              <w:t>28,780</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26,495</w:t>
            </w:r>
          </w:p>
        </w:tc>
        <w:tc>
          <w:tcPr>
            <w:tcW w:type="dxa" w:w="1440"/>
            <w:shd w:fill="FFDCE0" w:val="clear"/>
          </w:tcPr>
          <w:p>
            <w:r>
              <w:rPr>
                <w:b/>
                <w:sz w:val="17"/>
              </w:rPr>
              <w:t>27,712</w:t>
            </w:r>
          </w:p>
        </w:tc>
        <w:tc>
          <w:tcPr>
            <w:tcW w:type="dxa" w:w="1440"/>
            <w:shd w:fill="FFDCE0" w:val="clear"/>
          </w:tcPr>
          <w:p>
            <w:r>
              <w:rPr>
                <w:sz w:val="17"/>
              </w:rPr>
              <w:t>28,929</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25,958</w:t>
            </w:r>
          </w:p>
        </w:tc>
        <w:tc>
          <w:tcPr>
            <w:tcW w:type="dxa" w:w="1440"/>
            <w:shd w:fill="FFDCE0" w:val="clear"/>
          </w:tcPr>
          <w:p>
            <w:r>
              <w:rPr>
                <w:b/>
                <w:sz w:val="17"/>
              </w:rPr>
              <w:t>27,434</w:t>
            </w:r>
          </w:p>
        </w:tc>
        <w:tc>
          <w:tcPr>
            <w:tcW w:type="dxa" w:w="1440"/>
            <w:shd w:fill="FFDCE0" w:val="clear"/>
          </w:tcPr>
          <w:p>
            <w:r>
              <w:rPr>
                <w:sz w:val="17"/>
              </w:rPr>
              <w:t>28,910</w:t>
            </w:r>
          </w:p>
        </w:tc>
        <w:tc>
          <w:tcPr>
            <w:tcW w:type="dxa" w:w="1440"/>
            <w:shd w:fill="FFDCE0" w:val="clear"/>
          </w:tcPr>
          <w:p>
            <w:r>
              <w:rPr>
                <w:b/>
                <w:color w:val="C00000"/>
                <w:sz w:val="17"/>
              </w:rPr>
              <w:t>-4.7%</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25,487</w:t>
            </w:r>
          </w:p>
        </w:tc>
        <w:tc>
          <w:tcPr>
            <w:tcW w:type="dxa" w:w="1440"/>
            <w:shd w:fill="FFDCE0" w:val="clear"/>
          </w:tcPr>
          <w:p>
            <w:r>
              <w:rPr>
                <w:b/>
                <w:sz w:val="17"/>
              </w:rPr>
              <w:t>27,176</w:t>
            </w:r>
          </w:p>
        </w:tc>
        <w:tc>
          <w:tcPr>
            <w:tcW w:type="dxa" w:w="1440"/>
            <w:shd w:fill="FFDCE0" w:val="clear"/>
          </w:tcPr>
          <w:p>
            <w:r>
              <w:rPr>
                <w:sz w:val="17"/>
              </w:rPr>
              <w:t>28,864</w:t>
            </w:r>
          </w:p>
        </w:tc>
        <w:tc>
          <w:tcPr>
            <w:tcW w:type="dxa" w:w="1440"/>
            <w:shd w:fill="FFDCE0" w:val="clear"/>
          </w:tcPr>
          <w:p>
            <w:r>
              <w:rPr>
                <w:b/>
                <w:color w:val="C00000"/>
                <w:sz w:val="17"/>
              </w:rPr>
              <w:t>-5.6%</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25,069</w:t>
            </w:r>
          </w:p>
        </w:tc>
        <w:tc>
          <w:tcPr>
            <w:tcW w:type="dxa" w:w="1440"/>
            <w:shd w:fill="FFDCE0" w:val="clear"/>
          </w:tcPr>
          <w:p>
            <w:r>
              <w:rPr>
                <w:b/>
                <w:sz w:val="17"/>
              </w:rPr>
              <w:t>26,940</w:t>
            </w:r>
          </w:p>
        </w:tc>
        <w:tc>
          <w:tcPr>
            <w:tcW w:type="dxa" w:w="1440"/>
            <w:shd w:fill="FFDCE0" w:val="clear"/>
          </w:tcPr>
          <w:p>
            <w:r>
              <w:rPr>
                <w:sz w:val="17"/>
              </w:rPr>
              <w:t>28,811</w:t>
            </w:r>
          </w:p>
        </w:tc>
        <w:tc>
          <w:tcPr>
            <w:tcW w:type="dxa" w:w="1440"/>
            <w:shd w:fill="FFDCE0" w:val="clear"/>
          </w:tcPr>
          <w:p>
            <w:r>
              <w:rPr>
                <w:b/>
                <w:color w:val="C00000"/>
                <w:sz w:val="17"/>
              </w:rPr>
              <w:t>-6.5%</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24,685</w:t>
            </w:r>
          </w:p>
        </w:tc>
        <w:tc>
          <w:tcPr>
            <w:tcW w:type="dxa" w:w="1440"/>
            <w:shd w:fill="FFDCE0" w:val="clear"/>
          </w:tcPr>
          <w:p>
            <w:r>
              <w:rPr>
                <w:b/>
                <w:sz w:val="17"/>
              </w:rPr>
              <w:t>26,718</w:t>
            </w:r>
          </w:p>
        </w:tc>
        <w:tc>
          <w:tcPr>
            <w:tcW w:type="dxa" w:w="1440"/>
            <w:shd w:fill="FFDCE0" w:val="clear"/>
          </w:tcPr>
          <w:p>
            <w:r>
              <w:rPr>
                <w:sz w:val="17"/>
              </w:rPr>
              <w:t>28,750</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24,326</w:t>
            </w:r>
          </w:p>
        </w:tc>
        <w:tc>
          <w:tcPr>
            <w:tcW w:type="dxa" w:w="1440"/>
            <w:shd w:fill="FFDCE0" w:val="clear"/>
          </w:tcPr>
          <w:p>
            <w:r>
              <w:rPr>
                <w:b/>
                <w:sz w:val="17"/>
              </w:rPr>
              <w:t>26,504</w:t>
            </w:r>
          </w:p>
        </w:tc>
        <w:tc>
          <w:tcPr>
            <w:tcW w:type="dxa" w:w="1440"/>
            <w:shd w:fill="FFDCE0" w:val="clear"/>
          </w:tcPr>
          <w:p>
            <w:r>
              <w:rPr>
                <w:sz w:val="17"/>
              </w:rPr>
              <w:t>28,682</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23,987</w:t>
            </w:r>
          </w:p>
        </w:tc>
        <w:tc>
          <w:tcPr>
            <w:tcW w:type="dxa" w:w="1440"/>
            <w:shd w:fill="FFDCE0" w:val="clear"/>
          </w:tcPr>
          <w:p>
            <w:r>
              <w:rPr>
                <w:b/>
                <w:sz w:val="17"/>
              </w:rPr>
              <w:t>26,297</w:t>
            </w:r>
          </w:p>
        </w:tc>
        <w:tc>
          <w:tcPr>
            <w:tcW w:type="dxa" w:w="1440"/>
            <w:shd w:fill="FFDCE0" w:val="clear"/>
          </w:tcPr>
          <w:p>
            <w:r>
              <w:rPr>
                <w:sz w:val="17"/>
              </w:rPr>
              <w:t>28,608</w:t>
            </w:r>
          </w:p>
        </w:tc>
        <w:tc>
          <w:tcPr>
            <w:tcW w:type="dxa" w:w="1440"/>
            <w:shd w:fill="FFDCE0" w:val="clear"/>
          </w:tcPr>
          <w:p>
            <w:r>
              <w:rPr>
                <w:b/>
                <w:color w:val="C00000"/>
                <w:sz w:val="17"/>
              </w:rPr>
              <w:t>-8.7%</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23,666</w:t>
            </w:r>
          </w:p>
        </w:tc>
        <w:tc>
          <w:tcPr>
            <w:tcW w:type="dxa" w:w="1440"/>
            <w:shd w:fill="FFDCE0" w:val="clear"/>
          </w:tcPr>
          <w:p>
            <w:r>
              <w:rPr>
                <w:b/>
                <w:sz w:val="17"/>
              </w:rPr>
              <w:t>26,098</w:t>
            </w:r>
          </w:p>
        </w:tc>
        <w:tc>
          <w:tcPr>
            <w:tcW w:type="dxa" w:w="1440"/>
            <w:shd w:fill="FFDCE0" w:val="clear"/>
          </w:tcPr>
          <w:p>
            <w:r>
              <w:rPr>
                <w:sz w:val="17"/>
              </w:rPr>
              <w:t>28,530</w:t>
            </w:r>
          </w:p>
        </w:tc>
        <w:tc>
          <w:tcPr>
            <w:tcW w:type="dxa" w:w="1440"/>
            <w:shd w:fill="FFDCE0" w:val="clear"/>
          </w:tcPr>
          <w:p>
            <w:r>
              <w:rPr>
                <w:b/>
                <w:color w:val="C00000"/>
                <w:sz w:val="17"/>
              </w:rPr>
              <w:t>-9.4%</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23,361</w:t>
            </w:r>
          </w:p>
        </w:tc>
        <w:tc>
          <w:tcPr>
            <w:tcW w:type="dxa" w:w="1440"/>
            <w:shd w:fill="FFDCE0" w:val="clear"/>
          </w:tcPr>
          <w:p>
            <w:r>
              <w:rPr>
                <w:b/>
                <w:sz w:val="17"/>
              </w:rPr>
              <w:t>25,906</w:t>
            </w:r>
          </w:p>
        </w:tc>
        <w:tc>
          <w:tcPr>
            <w:tcW w:type="dxa" w:w="1440"/>
            <w:shd w:fill="FFDCE0" w:val="clear"/>
          </w:tcPr>
          <w:p>
            <w:r>
              <w:rPr>
                <w:sz w:val="17"/>
              </w:rPr>
              <w:t>28,450</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Absolument. Voici le rapport d'analyse structuré pour l'action BICC (BICICI) sur la BRVM, basé sur l'ensemble des données fournies.</w:t>
      </w:r>
    </w:p>
    <w:p>
      <w:pPr>
        <w:spacing w:after="120" w:line="276" w:lineRule="auto"/>
      </w:pPr>
      <w:r>
        <w:t>---</w:t>
      </w:r>
    </w:p>
    <w:p>
      <w:pPr>
        <w:spacing w:after="120" w:line="276" w:lineRule="auto"/>
      </w:pPr>
      <w:r>
        <w:t>### **RAPPORT D'ANALYSE FINANCIÈRE – BICC (BICICI)**</w:t>
      </w:r>
    </w:p>
    <w:p>
      <w:pPr>
        <w:spacing w:after="120" w:line="276" w:lineRule="auto" w:before="240"/>
      </w:pPr>
      <w:r>
        <w:rPr>
          <w:b/>
          <w:color w:val="003366"/>
          <w:sz w:val="24"/>
        </w:rPr>
        <w:t>**PARTIE 0 : INDICATEURS DE VALORISATION BOURSIÈRE**</w:t>
      </w:r>
    </w:p>
    <w:p>
      <w:pPr>
        <w:spacing w:after="120" w:line="276" w:lineRule="auto"/>
      </w:pPr>
      <w:r>
        <w:t>Avec une capitalisation boursière de 480 milliards FCFA, BICC se positionne comme une valeur de premier plan sur la BRVM, reflétant sa stature de banque systémique en Côte d'Ivoire. Le BPA de 2 191 FCFA indique que chaque action a généré un bénéfice substantiel. Le PER de 13,1x se situe légèrement au-dessus de la moyenne historique de la BRVM (8-12x), suggérant que les investisseurs acceptent de payer une prime modérée pour la qualité et la croissance de la banque. Le P/B de 3,98x confirme cette prime, le marché valorisant l'actif net comptable près de quatre fois, ce qui est typique pour une banque affichant un ROE élevé et des perspectives de croissance solides. Enfin, l'EV/EBITDA de 9,2x, dans la fourchette haute des valeurs raisonnables (5-10x), indique que la valeur d'entreprise est correctement alignée sur la capacité bénéficiaire opérationnelle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connu une tendance haussière très marquée, avec une variation totale de +44,00%, et une dernière séance en hausse de +1,59% à 28 800 FCFA. Le titre a évolué dans un large range de 19 995 FCFA (plus bas) à 29 490 FCFA (plus haut), démontrant une forte dynamique. L'analyse des statistiques descriptives révèle que le cours moyen (25 807 FCFA) est très proche de la médiane (25 652 FCFA), indiquant une distribution relativement symétrique des prix. L'écart-type de 2 420 FCFA, avec un coefficient de variation de 9,4%, montre une dispersion modérée autour de la moyenne. Le kurtosis (excès) de -0,277 confirme une distribution mésokurtique, similaire à une normale, ce qui signifie un risque de mouvements extrêmes limité. Le skewness de -0,469 indique une légère asymétrie négative, suggérant que les fortes baisses ont été un peu plus fréquentes que les fortes hausses, bien que la tendance globale soit résolument haussière. La volatilité annualisée de 34,2% classe le titre dans la catégorie "élevée", ce qui implique un risque de fluctuation important pour l'investisseur.</w:t>
      </w:r>
    </w:p>
    <w:p>
      <w:pPr>
        <w:spacing w:after="120" w:line="276" w:lineRule="auto" w:before="240"/>
      </w:pPr>
      <w:r>
        <w:rPr>
          <w:b/>
          <w:color w:val="003366"/>
          <w:sz w:val="24"/>
        </w:rPr>
        <w:t>**PARTIE 2 : ANALYSE TECHNIQUE DÉTAILLÉE**</w:t>
      </w:r>
    </w:p>
    <w:p>
      <w:pPr>
        <w:spacing w:after="120" w:line="276" w:lineRule="auto"/>
      </w:pPr>
      <w:r>
        <w:t>- **Moyennes Mobiles**: Le cours actuel (28 800 FCFA) se situe au-dessus de la MM20 (28 520 FCFA) et de la MM50 (27 619 FCFA). Cette configuration, où les moyennes courtes sont inférieures au prix, est un signal haussier classique. La pente positive des deux moyennes confirme la solidité de la tendance de fond, justifiant la décision d'achat.</w:t>
      </w:r>
    </w:p>
    <w:p>
      <w:pPr>
        <w:spacing w:after="120" w:line="276" w:lineRule="auto"/>
      </w:pPr>
      <w:r>
        <w:t>- **Bandes de Bollinger**: Le cours évolue à l'intérieur des bandes, entre la borne supérieure (29 493 FCFA) et la borne inférieure (27 548 FCFA). La position du prix, proche de la bande médiane, indique une absence de surachat ou de survente extrême. La largeur des bandes suggère une volatilité soutenue mais non excessive, justifiant une décision neutre.</w:t>
      </w:r>
    </w:p>
    <w:p>
      <w:pPr>
        <w:spacing w:after="120" w:line="276" w:lineRule="auto"/>
      </w:pPr>
      <w:r>
        <w:t>- **MACD**: La ligne MACD (230,926) est passée sous sa ligne de signal (343,584), générant un signal de vente. Cette divergence baissière à court terme indique un ralentissement du momentum haussier. C’est un signal d’alerte qui suggère une possible consolidation ou correction à venir, justifiant la décision de vente.</w:t>
      </w:r>
    </w:p>
    <w:p>
      <w:pPr>
        <w:spacing w:after="120" w:line="276" w:lineRule="auto"/>
      </w:pPr>
      <w:r>
        <w:t>- **RSI**: Avec une valeur de 52,11, le RSI se situe en zone neutre (entre 30 et 70). Il n'indique ni surachat ni survente, laissant la porte ouverte à une poursuite de la hausse comme à une baisse. Cette position neutre ne fournit pas de signal directionnel fort.</w:t>
      </w:r>
    </w:p>
    <w:p>
      <w:pPr>
        <w:spacing w:after="120" w:line="276" w:lineRule="auto"/>
      </w:pPr>
      <w:r>
        <w:t>- **Stochastique**: Le %K (60,116) est au-dessus du %D (40,848), ce qui est un signal haussier. Cependant, les deux lignes sont en zone neutre, et le %K n'a pas encore franchi le seuil des 80 pour confirmer une dynamique d'achat forte. La décision est donc neutre, en attente d'une confirmation plus claire.</w:t>
      </w:r>
    </w:p>
    <w:p>
      <w:pPr>
        <w:spacing w:after="120" w:line="276" w:lineRule="auto"/>
      </w:pPr>
      <w:r>
        <w:t>**Conclusion technique**: L'analyse technique présente un tableau contrasté. La tendance de fond, soutenue par les moyennes mobiles, est clairement haussière. Cependant, le MACD émet un signal de vendeur à court terme, suggérant un essoufflement du momentum. Le RSI et les bandes de Bollinger sont neutres, tandis que le stochastique penche légèrement en faveur des acheteurs. En synthèse, la tendance haussière de long terme reste intacte, mais un risque de consolidation ou de correction technique à court terme est à prendre en compte.</w:t>
      </w:r>
    </w:p>
    <w:p>
      <w:pPr>
        <w:spacing w:after="120" w:line="276" w:lineRule="auto" w:before="240"/>
      </w:pPr>
      <w:r>
        <w:rPr>
          <w:b/>
          <w:color w:val="003366"/>
          <w:sz w:val="24"/>
        </w:rPr>
        <w:t>**PARTIE 3 : ANALYSE FONDAMENTALE (SECTION CRITIQUE)**</w:t>
      </w:r>
    </w:p>
    <w:p>
      <w:pPr>
        <w:spacing w:after="120" w:line="276" w:lineRule="auto"/>
      </w:pPr>
      <w:r>
        <w:t>L'analyse des données financières structurées de l'exercice 2025 révèle une banque en excellente santé. Le Produit Net Bancaire (PNB) s'établit à 79,563 Mds FCFA, pour un résultat net de 36,520 Mds FCFA. La rentabilité est exceptionnelle, avec un ROE de 30,29% (bien au-dessus du seuil de 15% considéré comme excellent) et un ROA de 3,24%. Le coefficient d'exploitation de 50,83% témoigne d'une gestion très efficace, en dessous du seuil de 60% considéré comme sain. Le coût du risque, bien que significatif (-12,15% des charges financières), est maîtrisé. La structure de bilan est solide, avec des dépôts clientèle (952,872 Mds FCFA) largement supérieurs aux créances sur la clientèle (524,439 Mds FCFA), assurant une liquidité abondante. En croisant ces données avec les rapports narratifs, on observe une progression constante : le PNB est passé de 68,063 Mds FCFA en 2024 à 79,563 Mds FCFA en 2025, soit une croissance de 16,9%. Sur la base du rapport du T1 2026 (PNB de 21,214 Mds FCFA, en hausse de 17%), on peut estimer que l'exercice 2026 devrait confirmer cette dynamique de croissance à deux chiffres. La banque démontre une capacité unique à générer une croissance rentable tout en maîtrisant ses risques et ses coûts.</w:t>
      </w:r>
    </w:p>
    <w:p>
      <w:pPr>
        <w:spacing w:after="120" w:line="276" w:lineRule="auto" w:before="240"/>
      </w:pPr>
      <w:r>
        <w:rPr>
          <w:b/>
          <w:color w:val="003366"/>
          <w:sz w:val="24"/>
        </w:rPr>
        <w:t>**PARTIE 4 : CONCLUSION D'INVESTISSEMENT**</w:t>
      </w:r>
    </w:p>
    <w:p>
      <w:pPr>
        <w:spacing w:after="120" w:line="276" w:lineRule="auto"/>
      </w:pPr>
      <w:r>
        <w:t>La synthèse globale pour BICC est très positive. La **valorisation** (Partie 0) est raisonnable, avec un PER de 13,1x justifié par une croissance et une rentabilité supérieures à la moyenne. Le **comportement du cours** (Partie 1) montre une tendance haussière forte et une volatilité élevée, typique d'une valeur en croissance. Les **signaux techniques** (Partie 2) sont mitigés : la tendance de fond est haussière, mais le MACD prévient d'un possible ralentissement à court terme. Les **fondamentaux** (Partie 3) sont excellents, avec une rentabilité exceptionnelle (ROE &gt;30%), une croissance soutenue et une gestion rigoureuse. Enfin, les **prédictions IA** pour les 10 prochains jours suggèrent un repli technique de 28 800 à 26 940 FCFA, ce qui corrobore le signal de vente du MACD et anticipe une consolidation.</w:t>
      </w:r>
    </w:p>
    <w:p>
      <w:pPr>
        <w:spacing w:after="120" w:line="276" w:lineRule="auto"/>
      </w:pPr>
      <w:r>
        <w:t>Sur la base de cette synthèse, la recommandation est **ACHAT**, mais avec une nuance de prudence à court terme. La convergence entre les fondamentaux solides et la tendance haussière de long terme l'emporte sur les signaux techniques baissiers à court terme. Le niveau de confiance est **Élevé** pour le moyen et long terme. Le niveau de risque global est **Moyen**, principalement en raison de la volatilité élevée du titre. L'horizon d'investissement optimal est le **moyen terme (3-12 mois)**, permettant de traverser une éventuelle phase de consolidation pour profiter de la poursuite de la croissance fondamentale de la banque. Une entrée en position pourrait être opportunément différée lors d'une correction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2,297 titres</w:t>
            </w:r>
          </w:p>
        </w:tc>
        <w:tc>
          <w:tcPr>
            <w:tcW w:type="dxa" w:w="2268"/>
            <w:shd w:fill="FFF2CC" w:val="clear"/>
          </w:tcPr>
          <w:p>
            <w:r>
              <w:rPr>
                <w:b/>
                <w:color w:val="503200"/>
                <w:sz w:val="16"/>
              </w:rPr>
              <w:t xml:space="preserve">Cours actuel : </w:t>
            </w:r>
            <w:r>
              <w:rPr>
                <w:color w:val="000000"/>
                <w:sz w:val="17"/>
              </w:rPr>
              <w:t>1,755 FCFA</w:t>
            </w:r>
          </w:p>
          <w:p>
            <w:r>
              <w:rPr>
                <w:b/>
                <w:color w:val="503200"/>
                <w:sz w:val="16"/>
              </w:rPr>
              <w:t xml:space="preserve">Var. 100 jours : </w:t>
            </w:r>
            <w:r>
              <w:rPr>
                <w:b/>
                <w:color w:val="007800"/>
                <w:sz w:val="17"/>
              </w:rPr>
              <w:t>+6.36%</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10.58% (Moyenne) — μ=1,654 FCFA, σ=175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β=-0.2196 (Contre-cyclique) — Cov=-0.000009, Var(idx)=0.000042, ρ=-0.048,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2,297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σ_j=2.96%/j (Stable) — Vol. annualisée≈46.9%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1,686</w:t>
            </w:r>
          </w:p>
        </w:tc>
        <w:tc>
          <w:tcPr>
            <w:tcW w:type="dxa" w:w="1440"/>
            <w:shd w:fill="FAFAFA" w:val="clear"/>
          </w:tcPr>
          <w:p>
            <w:r>
              <w:rPr>
                <w:b/>
                <w:sz w:val="17"/>
              </w:rPr>
              <w:t>1,780</w:t>
            </w:r>
          </w:p>
        </w:tc>
        <w:tc>
          <w:tcPr>
            <w:tcW w:type="dxa" w:w="1440"/>
            <w:shd w:fill="FAFAFA" w:val="clear"/>
          </w:tcPr>
          <w:p>
            <w:r>
              <w:rPr>
                <w:sz w:val="17"/>
              </w:rPr>
              <w:t>1,875</w:t>
            </w:r>
          </w:p>
        </w:tc>
        <w:tc>
          <w:tcPr>
            <w:tcW w:type="dxa" w:w="1440"/>
            <w:shd w:fill="FAFAFA" w:val="clear"/>
          </w:tcPr>
          <w:p>
            <w:r>
              <w:rPr>
                <w:b/>
                <w:color w:val="008000"/>
                <w:sz w:val="17"/>
              </w:rPr>
              <w:t>+1.4%</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1,645</w:t>
            </w:r>
          </w:p>
        </w:tc>
        <w:tc>
          <w:tcPr>
            <w:tcW w:type="dxa" w:w="1440"/>
            <w:shd w:fill="FAFAFA" w:val="clear"/>
          </w:tcPr>
          <w:p>
            <w:r>
              <w:rPr>
                <w:b/>
                <w:sz w:val="17"/>
              </w:rPr>
              <w:t>1,779</w:t>
            </w:r>
          </w:p>
        </w:tc>
        <w:tc>
          <w:tcPr>
            <w:tcW w:type="dxa" w:w="1440"/>
            <w:shd w:fill="FAFAFA" w:val="clear"/>
          </w:tcPr>
          <w:p>
            <w:r>
              <w:rPr>
                <w:sz w:val="17"/>
              </w:rPr>
              <w:t>1,913</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1,621</w:t>
            </w:r>
          </w:p>
        </w:tc>
        <w:tc>
          <w:tcPr>
            <w:tcW w:type="dxa" w:w="1440"/>
            <w:shd w:fill="FAFAFA" w:val="clear"/>
          </w:tcPr>
          <w:p>
            <w:r>
              <w:rPr>
                <w:b/>
                <w:sz w:val="17"/>
              </w:rPr>
              <w:t>1,785</w:t>
            </w:r>
          </w:p>
        </w:tc>
        <w:tc>
          <w:tcPr>
            <w:tcW w:type="dxa" w:w="1440"/>
            <w:shd w:fill="FAFAFA" w:val="clear"/>
          </w:tcPr>
          <w:p>
            <w:r>
              <w:rPr>
                <w:sz w:val="17"/>
              </w:rPr>
              <w:t>1,950</w:t>
            </w:r>
          </w:p>
        </w:tc>
        <w:tc>
          <w:tcPr>
            <w:tcW w:type="dxa" w:w="1440"/>
            <w:shd w:fill="FAFAFA" w:val="clear"/>
          </w:tcPr>
          <w:p>
            <w:r>
              <w:rPr>
                <w:b/>
                <w:color w:val="008000"/>
                <w:sz w:val="17"/>
              </w:rPr>
              <w:t>+1.7%</w:t>
            </w:r>
          </w:p>
        </w:tc>
      </w:tr>
      <w:tr>
        <w:tc>
          <w:tcPr>
            <w:tcW w:type="dxa" w:w="1440"/>
            <w:shd w:fill="C6EFCE" w:val="clear"/>
          </w:tcPr>
          <w:p>
            <w:r>
              <w:rPr>
                <w:sz w:val="17"/>
              </w:rPr>
              <w:t>J+4  ⭐</w:t>
            </w:r>
          </w:p>
        </w:tc>
        <w:tc>
          <w:tcPr>
            <w:tcW w:type="dxa" w:w="1440"/>
            <w:shd w:fill="C6EFCE" w:val="clear"/>
          </w:tcPr>
          <w:p>
            <w:r>
              <w:rPr>
                <w:sz w:val="17"/>
              </w:rPr>
              <w:t>2026-07-16</w:t>
            </w:r>
          </w:p>
        </w:tc>
        <w:tc>
          <w:tcPr>
            <w:tcW w:type="dxa" w:w="1440"/>
            <w:shd w:fill="C6EFCE" w:val="clear"/>
          </w:tcPr>
          <w:p>
            <w:r>
              <w:rPr>
                <w:sz w:val="17"/>
              </w:rPr>
              <w:t>1,600</w:t>
            </w:r>
          </w:p>
        </w:tc>
        <w:tc>
          <w:tcPr>
            <w:tcW w:type="dxa" w:w="1440"/>
            <w:shd w:fill="C6EFCE" w:val="clear"/>
          </w:tcPr>
          <w:p>
            <w:r>
              <w:rPr>
                <w:b/>
                <w:sz w:val="17"/>
              </w:rPr>
              <w:t>1,791</w:t>
            </w:r>
          </w:p>
        </w:tc>
        <w:tc>
          <w:tcPr>
            <w:tcW w:type="dxa" w:w="1440"/>
            <w:shd w:fill="C6EFCE" w:val="clear"/>
          </w:tcPr>
          <w:p>
            <w:r>
              <w:rPr>
                <w:sz w:val="17"/>
              </w:rPr>
              <w:t>1,981</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2026-07-17</w:t>
            </w:r>
          </w:p>
        </w:tc>
        <w:tc>
          <w:tcPr>
            <w:tcW w:type="dxa" w:w="1440"/>
            <w:shd w:fill="C6EFCE" w:val="clear"/>
          </w:tcPr>
          <w:p>
            <w:r>
              <w:rPr>
                <w:sz w:val="17"/>
              </w:rPr>
              <w:t>1,581</w:t>
            </w:r>
          </w:p>
        </w:tc>
        <w:tc>
          <w:tcPr>
            <w:tcW w:type="dxa" w:w="1440"/>
            <w:shd w:fill="C6EFCE" w:val="clear"/>
          </w:tcPr>
          <w:p>
            <w:r>
              <w:rPr>
                <w:b/>
                <w:sz w:val="17"/>
              </w:rPr>
              <w:t>1,794</w:t>
            </w:r>
          </w:p>
        </w:tc>
        <w:tc>
          <w:tcPr>
            <w:tcW w:type="dxa" w:w="1440"/>
            <w:shd w:fill="C6EFCE" w:val="clear"/>
          </w:tcPr>
          <w:p>
            <w:r>
              <w:rPr>
                <w:sz w:val="17"/>
              </w:rPr>
              <w:t>2,008</w:t>
            </w:r>
          </w:p>
        </w:tc>
        <w:tc>
          <w:tcPr>
            <w:tcW w:type="dxa" w:w="1440"/>
            <w:shd w:fill="C6EFCE" w:val="clear"/>
          </w:tcPr>
          <w:p>
            <w:r>
              <w:rPr>
                <w:b/>
                <w:color w:val="008000"/>
                <w:sz w:val="17"/>
              </w:rPr>
              <w:t>+2.2%</w:t>
            </w:r>
          </w:p>
        </w:tc>
      </w:tr>
      <w:tr>
        <w:tc>
          <w:tcPr>
            <w:tcW w:type="dxa" w:w="1440"/>
            <w:shd w:fill="C6EFCE" w:val="clear"/>
          </w:tcPr>
          <w:p>
            <w:r>
              <w:rPr>
                <w:sz w:val="17"/>
              </w:rPr>
              <w:t>J+6  ⭐</w:t>
            </w:r>
          </w:p>
        </w:tc>
        <w:tc>
          <w:tcPr>
            <w:tcW w:type="dxa" w:w="1440"/>
            <w:shd w:fill="C6EFCE" w:val="clear"/>
          </w:tcPr>
          <w:p>
            <w:r>
              <w:rPr>
                <w:sz w:val="17"/>
              </w:rPr>
              <w:t>2026-07-20</w:t>
            </w:r>
          </w:p>
        </w:tc>
        <w:tc>
          <w:tcPr>
            <w:tcW w:type="dxa" w:w="1440"/>
            <w:shd w:fill="C6EFCE" w:val="clear"/>
          </w:tcPr>
          <w:p>
            <w:r>
              <w:rPr>
                <w:sz w:val="17"/>
              </w:rPr>
              <w:t>1,563</w:t>
            </w:r>
          </w:p>
        </w:tc>
        <w:tc>
          <w:tcPr>
            <w:tcW w:type="dxa" w:w="1440"/>
            <w:shd w:fill="C6EFCE" w:val="clear"/>
          </w:tcPr>
          <w:p>
            <w:r>
              <w:rPr>
                <w:b/>
                <w:sz w:val="17"/>
              </w:rPr>
              <w:t>1,797</w:t>
            </w:r>
          </w:p>
        </w:tc>
        <w:tc>
          <w:tcPr>
            <w:tcW w:type="dxa" w:w="1440"/>
            <w:shd w:fill="C6EFCE" w:val="clear"/>
          </w:tcPr>
          <w:p>
            <w:r>
              <w:rPr>
                <w:sz w:val="17"/>
              </w:rPr>
              <w:t>2,031</w:t>
            </w:r>
          </w:p>
        </w:tc>
        <w:tc>
          <w:tcPr>
            <w:tcW w:type="dxa" w:w="1440"/>
            <w:shd w:fill="C6EFCE" w:val="clear"/>
          </w:tcPr>
          <w:p>
            <w:r>
              <w:rPr>
                <w:b/>
                <w:color w:val="008000"/>
                <w:sz w:val="17"/>
              </w:rPr>
              <w:t>+2.4%</w:t>
            </w:r>
          </w:p>
        </w:tc>
      </w:tr>
      <w:tr>
        <w:tc>
          <w:tcPr>
            <w:tcW w:type="dxa" w:w="1440"/>
            <w:shd w:fill="C6EFCE" w:val="clear"/>
          </w:tcPr>
          <w:p>
            <w:r>
              <w:rPr>
                <w:sz w:val="17"/>
              </w:rPr>
              <w:t>J+7  ⭐</w:t>
            </w:r>
          </w:p>
        </w:tc>
        <w:tc>
          <w:tcPr>
            <w:tcW w:type="dxa" w:w="1440"/>
            <w:shd w:fill="C6EFCE" w:val="clear"/>
          </w:tcPr>
          <w:p>
            <w:r>
              <w:rPr>
                <w:sz w:val="17"/>
              </w:rPr>
              <w:t>2026-07-21</w:t>
            </w:r>
          </w:p>
        </w:tc>
        <w:tc>
          <w:tcPr>
            <w:tcW w:type="dxa" w:w="1440"/>
            <w:shd w:fill="C6EFCE" w:val="clear"/>
          </w:tcPr>
          <w:p>
            <w:r>
              <w:rPr>
                <w:sz w:val="17"/>
              </w:rPr>
              <w:t>1,546</w:t>
            </w:r>
          </w:p>
        </w:tc>
        <w:tc>
          <w:tcPr>
            <w:tcW w:type="dxa" w:w="1440"/>
            <w:shd w:fill="C6EFCE" w:val="clear"/>
          </w:tcPr>
          <w:p>
            <w:r>
              <w:rPr>
                <w:b/>
                <w:sz w:val="17"/>
              </w:rPr>
              <w:t>1,800</w:t>
            </w:r>
          </w:p>
        </w:tc>
        <w:tc>
          <w:tcPr>
            <w:tcW w:type="dxa" w:w="1440"/>
            <w:shd w:fill="C6EFCE" w:val="clear"/>
          </w:tcPr>
          <w:p>
            <w:r>
              <w:rPr>
                <w:sz w:val="17"/>
              </w:rPr>
              <w:t>2,053</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2026-07-22</w:t>
            </w:r>
          </w:p>
        </w:tc>
        <w:tc>
          <w:tcPr>
            <w:tcW w:type="dxa" w:w="1440"/>
            <w:shd w:fill="C6EFCE" w:val="clear"/>
          </w:tcPr>
          <w:p>
            <w:r>
              <w:rPr>
                <w:sz w:val="17"/>
              </w:rPr>
              <w:t>1,531</w:t>
            </w:r>
          </w:p>
        </w:tc>
        <w:tc>
          <w:tcPr>
            <w:tcW w:type="dxa" w:w="1440"/>
            <w:shd w:fill="C6EFCE" w:val="clear"/>
          </w:tcPr>
          <w:p>
            <w:r>
              <w:rPr>
                <w:b/>
                <w:sz w:val="17"/>
              </w:rPr>
              <w:t>1,802</w:t>
            </w:r>
          </w:p>
        </w:tc>
        <w:tc>
          <w:tcPr>
            <w:tcW w:type="dxa" w:w="1440"/>
            <w:shd w:fill="C6EFCE" w:val="clear"/>
          </w:tcPr>
          <w:p>
            <w:r>
              <w:rPr>
                <w:sz w:val="17"/>
              </w:rPr>
              <w:t>2,073</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1,516</w:t>
            </w:r>
          </w:p>
        </w:tc>
        <w:tc>
          <w:tcPr>
            <w:tcW w:type="dxa" w:w="1440"/>
            <w:shd w:fill="C6EFCE" w:val="clear"/>
          </w:tcPr>
          <w:p>
            <w:r>
              <w:rPr>
                <w:b/>
                <w:sz w:val="17"/>
              </w:rPr>
              <w:t>1,804</w:t>
            </w:r>
          </w:p>
        </w:tc>
        <w:tc>
          <w:tcPr>
            <w:tcW w:type="dxa" w:w="1440"/>
            <w:shd w:fill="C6EFCE" w:val="clear"/>
          </w:tcPr>
          <w:p>
            <w:r>
              <w:rPr>
                <w:sz w:val="17"/>
              </w:rPr>
              <w:t>2,092</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1,502</w:t>
            </w:r>
          </w:p>
        </w:tc>
        <w:tc>
          <w:tcPr>
            <w:tcW w:type="dxa" w:w="1440"/>
            <w:shd w:fill="C6EFCE" w:val="clear"/>
          </w:tcPr>
          <w:p>
            <w:r>
              <w:rPr>
                <w:b/>
                <w:sz w:val="17"/>
              </w:rPr>
              <w:t>1,806</w:t>
            </w:r>
          </w:p>
        </w:tc>
        <w:tc>
          <w:tcPr>
            <w:tcW w:type="dxa" w:w="1440"/>
            <w:shd w:fill="C6EFCE" w:val="clear"/>
          </w:tcPr>
          <w:p>
            <w:r>
              <w:rPr>
                <w:sz w:val="17"/>
              </w:rPr>
              <w:t>2,110</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Voici le rapport d'analyse structuré pour l'action BNBC (Bernabé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11,63 milliards FCFA, BNBC se positionne comme une valeur de taille moyenne sur la BRVM. Le titre affiche un BPA de seulement 3 FCFA, ce qui est extrêmement faible et traduit une rentabilité par action quasi inexistante. En conséquence, le PER s'élève à 520,9x, un niveau totalement déconnecté des standards du marché (moyenne BRVM ~8-12x), indiquant une surévaluation massive si l'on se base sur les bénéfices actuels. Cependant, le ratio P/B de 0,65x, inférieur à 1, suggère que le marché valorise la société en dessous de ses capitaux propres comptables, ce qui pourrait représenter une opportunité de décote d'actifs. Enfin, l'EV/EBITDA de 23,4x, bien au-dessus du seuil de 15x, confirme une valorisation d'entreprise très exigeante par rapport à sa capacité bénéficiaire opérationnelle brute.</w:t>
      </w:r>
    </w:p>
    <w:p>
      <w:pPr>
        <w:spacing w:after="120" w:line="276" w:lineRule="auto"/>
      </w:pPr>
      <w:r>
        <w:t>### **PARTIE 1 : ANALYSE DU COURS — STATISTIQUES ET ÉVOLUTION (100 derniers jours)**</w:t>
      </w:r>
    </w:p>
    <w:p>
      <w:pPr>
        <w:spacing w:after="120" w:line="276" w:lineRule="auto"/>
      </w:pPr>
      <w:r>
        <w:t>Sur les 100 derniers jours, le cours de BNBC affiche une progression totale de +6,36%, malgré un recul de -2,77% lors de la dernière séance, pour s'établir à 1 755 FCFA. Le titre a connu une forte volatilité, oscillant entre un plus bas de 1 300 FCFA et un plus haut de 2 100 FCFA, soit une amplitude de 800 FCFA. La moyenne du cours sur la période est de 1 654 FCFA, tandis que la médiane est plus basse à 1 592 FCFA, ce qui, combiné à un skewness positif de 0,856, indique que le cours a passé plus de temps en dessous de sa moyenne, avec des pics de hausse moins fréquents mais plus marqués. L'écart-type de 176 FCFA (CV de 10,6%) révèle une dispersion modérée des prix autour de la moyenne. Le kurtosis proche de zéro (0,002) indique une distribution des rendements proche de la normale, sans risque de "grosses queues" extrêmes. Enfin, la volatilité annualisée de 46,9% classe le titre comme très volatil, ce qui est un signal de risque élevé pour un investisseur de long terme.</w:t>
      </w:r>
    </w:p>
    <w:p>
      <w:pPr>
        <w:spacing w:after="120" w:line="276" w:lineRule="auto"/>
      </w:pPr>
      <w:r>
        <w:t>### **PARTIE 2 : ANALYSE TECHNIQUE DÉTAILLÉE**</w:t>
      </w:r>
    </w:p>
    <w:p>
      <w:pPr>
        <w:spacing w:after="120" w:line="276" w:lineRule="auto"/>
      </w:pPr>
      <w:r>
        <w:t>*   **Moyennes Mobiles**: Le cours actuel à 1 755 FCFA est inférieur à la MM20 (1 957,75 FCFA) mais supérieur à la MM50 (1 723,5 FCFA). Le croisement baissier du cours sous la moyenne à court terme est un signal de faiblesse immédiate, mais le maintien au-dessus de la moyenne à long terme suggère que la tendance de fond reste positive. La décision globale est un "Achat", probablement basée sur le croisement haussier antérieur de la MM20 sur la MM50.</w:t>
        <w:br/>
        <w:t>*   **Bandes de Bollinger**: Le cours (1 755 FCFA) se situe en dessous de la borne inférieure des bandes de Bollinger (1 808,067 FCFA). Cette configuration est un signal classique de "survente" et suggère que le titre est temporairement sous-évalué d'un point de vue statistique, avec une forte probabilité de rebond technique à court terme. La décision "Achat" est cohérente avec cette lecture.</w:t>
        <w:br/>
        <w:t>*   **MACD**: Le MACD (34,414) est passé sous sa ligne de signal (71,898), formant un croisement baissier. Ce signal indique un affaiblissement du momentum haussier et une possible poursuite de la baisse à court terme. La décision de "Vente" est en contradiction avec les autres indicateurs, soulignant un conflit technique.</w:t>
        <w:br/>
        <w:t>*   **RSI**: Avec une valeur de 16,901, le RSI est profondément ancré en zone de survente (en dessous de 30). Cela indique que le titre est extrêmement survendu et qu'un rebond technique est statistiquement très probable à très court terme. La décision "Achat" est la plus forte possible sur cet indicateur.</w:t>
        <w:br/>
        <w:t>*   **Stochastique**: Le %K et le %D sont tous deux à 0,0, ce qui est une configuration extrême de survente. Cela renforce le signal du RSI et suggère que le mouvement baissier récent a été violent et pourrait être suivi d'une correction haussière. La décision "Achat" est unanime sur cet indicateur.</w:t>
      </w:r>
    </w:p>
    <w:p>
      <w:pPr>
        <w:spacing w:after="120" w:line="276" w:lineRule="auto"/>
      </w:pPr>
      <w:r>
        <w:t>**Conclusion technique**: L'analyse technique est fortement contrastée. D'un côté, le MACD en croisement baissier est un signal de vendeur inquiétant. De l'autre, les bandes de Bollinger, le RSI et le Stochastique sont tous en zone de survente extrême, plaidant pour un rebond imminent. La configuration globale suggère un **conflit technique majeur** : la tendance de fond (MM50) reste haussière, mais le momentum à court terme s'est effondré, créant une situation de "survente baissière". Un rebond technique est probable, mais la tendance reste fragile.</w:t>
      </w:r>
    </w:p>
    <w:p>
      <w:pPr>
        <w:spacing w:after="120" w:line="276" w:lineRule="auto"/>
      </w:pPr>
      <w:r>
        <w:t>### **PARTIE 3 : ANALYSE FONDAMENTALE (SECTION CRITIQUE)**</w:t>
      </w:r>
    </w:p>
    <w:p>
      <w:pPr>
        <w:spacing w:after="120" w:line="276" w:lineRule="auto"/>
      </w:pPr>
      <w:r>
        <w:t>L'analyse des données financières structurées de l'exercice 2025 révèle une situation financière très fragile. Le chiffre d'affaires s'élève à 42,454 milliards FCFA, en baisse de -6,31% par rapport à 2024, tandis que le résultat net est anémique à seulement 22,32 millions FCFA. Cette quasi-absence de profit se traduit par un ROE de 0,13% et un ROA de 0,05%, des niveaux catastrophiques qui ne rémunèrent pas le capital investi. La structure de bilan est préoccupante : la trésorerie nette est fortement négative à -16,69 milliards FCFA, et le besoin en fonds de roulement (BFR) est colossal à 29,37 milliards FCFA, avec un délai de stockage de 339 jours et un délai clients de 104 jours, ce qui asphyxie la trésorerie. Les rapports trimestriels confirment cette tendance : le rapport du T1 2026 (daté du 31/12/2026) montre un retour à un bénéfice net de 65,57 millions FCFA, mais le rapport du S1 2025 faisait état d'une perte de -139,57 millions FCFA. L'analyse du rapport annuel 2025 souligne que la légère amélioration du résultat net est due à une baisse des frais financiers et non à une amélioration de l'exploitation. En conclusion, les fondamentaux sont très faibles : l'entreprise est structurellement déficitaire sur son exploitation, asphyxiée par un BFR monstrueux et une trésorerie négative, sans perspective de dividende.</w:t>
      </w:r>
    </w:p>
    <w:p>
      <w:pPr>
        <w:spacing w:after="120" w:line="276" w:lineRule="auto"/>
      </w:pPr>
      <w:r>
        <w:t>### **PARTIE 4 : CONCLUSION D'INVESTISSEMENT**</w:t>
      </w:r>
    </w:p>
    <w:p>
      <w:pPr>
        <w:spacing w:after="120" w:line="276" w:lineRule="auto"/>
      </w:pPr>
      <w:r>
        <w:t>La synthèse globale est extrêmement défavorable. La **valorisation (Partie 0)** est totalement décorrélée des fondamentaux, avec un PER aberrant de 520x, même si le P/B à 0,65x offre une illusion de décote. Le **comportement du cours (Partie 1)** montre une volatilité très élevée (46,9%) et une tendance haussière récente qui semble fragile. Les **signaux techniques (Partie 2)** sont en conflit, avec un MACD baissier contredit par des indicateurs de survente extrême (RSI, Stochastique), suggérant un possible rebond technique mais pas un retournement de tendance durable. Enfin, les **fondamentaux (Partie 3)** sont alarmants : rentabilité quasi nulle, trésorerie exsangue et BFR colossal. Les **prédictions IA** (hausse modérée à 1 794 FCFA en J+10) ne contredisent pas un rebond technique de court terme, mais ne changent en rien la dégradation structurelle de la société. Sur la base de cette analyse, la convergence entre la valorisation excessive, la faiblesse technique sous-jacente et la dégradation fondamentale est totale. **Notre recommandation finale est VENTE FORTE**. Le niveau de confiance est **Élevé** et le niveau de risque global est **Élevé**. L'horizon d'investissement optimal est la sortie immédiate, car conserver ce titre expose à un risque de perte en capital significatif à moyen et long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354.91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5,920 titres</w:t>
            </w:r>
          </w:p>
        </w:tc>
        <w:tc>
          <w:tcPr>
            <w:tcW w:type="dxa" w:w="2268"/>
            <w:shd w:fill="FFF2CC" w:val="clear"/>
          </w:tcPr>
          <w:p>
            <w:r>
              <w:rPr>
                <w:b/>
                <w:color w:val="503200"/>
                <w:sz w:val="16"/>
              </w:rPr>
              <w:t xml:space="preserve">Cours actuel : </w:t>
            </w:r>
            <w:r>
              <w:rPr>
                <w:color w:val="000000"/>
                <w:sz w:val="17"/>
              </w:rPr>
              <w:t>8,750 FCFA</w:t>
            </w:r>
          </w:p>
          <w:p>
            <w:r>
              <w:rPr>
                <w:b/>
                <w:color w:val="503200"/>
                <w:sz w:val="16"/>
              </w:rPr>
              <w:t xml:space="preserve">Var. 100 jours : </w:t>
            </w:r>
            <w:r>
              <w:rPr>
                <w:b/>
                <w:color w:val="007800"/>
                <w:sz w:val="17"/>
              </w:rPr>
              <w:t>+26.81%</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10.39% (Moyenne) — μ=8,215 FCFA, σ=854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β=0.0136 (Défensif) — Cov=0.000001, Var(idx)=0.000042, ρ=0.005,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8,428</w:t>
            </w:r>
          </w:p>
        </w:tc>
        <w:tc>
          <w:tcPr>
            <w:tcW w:type="dxa" w:w="1440"/>
            <w:shd w:fill="FFDCE0" w:val="clear"/>
          </w:tcPr>
          <w:p>
            <w:r>
              <w:rPr>
                <w:b/>
                <w:sz w:val="17"/>
              </w:rPr>
              <w:t>8,572</w:t>
            </w:r>
          </w:p>
        </w:tc>
        <w:tc>
          <w:tcPr>
            <w:tcW w:type="dxa" w:w="1440"/>
            <w:shd w:fill="FFDCE0" w:val="clear"/>
          </w:tcPr>
          <w:p>
            <w:r>
              <w:rPr>
                <w:sz w:val="17"/>
              </w:rPr>
              <w:t>8,716</w:t>
            </w:r>
          </w:p>
        </w:tc>
        <w:tc>
          <w:tcPr>
            <w:tcW w:type="dxa" w:w="1440"/>
            <w:shd w:fill="FFDCE0"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8,255</w:t>
            </w:r>
          </w:p>
        </w:tc>
        <w:tc>
          <w:tcPr>
            <w:tcW w:type="dxa" w:w="1440"/>
            <w:shd w:fill="FFDCE0" w:val="clear"/>
          </w:tcPr>
          <w:p>
            <w:r>
              <w:rPr>
                <w:b/>
                <w:sz w:val="17"/>
              </w:rPr>
              <w:t>8,456</w:t>
            </w:r>
          </w:p>
        </w:tc>
        <w:tc>
          <w:tcPr>
            <w:tcW w:type="dxa" w:w="1440"/>
            <w:shd w:fill="FFDCE0" w:val="clear"/>
          </w:tcPr>
          <w:p>
            <w:r>
              <w:rPr>
                <w:sz w:val="17"/>
              </w:rPr>
              <w:t>8,657</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8,104</w:t>
            </w:r>
          </w:p>
        </w:tc>
        <w:tc>
          <w:tcPr>
            <w:tcW w:type="dxa" w:w="1440"/>
            <w:shd w:fill="FFDCE0" w:val="clear"/>
          </w:tcPr>
          <w:p>
            <w:r>
              <w:rPr>
                <w:b/>
                <w:sz w:val="17"/>
              </w:rPr>
              <w:t>8,347</w:t>
            </w:r>
          </w:p>
        </w:tc>
        <w:tc>
          <w:tcPr>
            <w:tcW w:type="dxa" w:w="1440"/>
            <w:shd w:fill="FFDCE0" w:val="clear"/>
          </w:tcPr>
          <w:p>
            <w:r>
              <w:rPr>
                <w:sz w:val="17"/>
              </w:rPr>
              <w:t>8,589</w:t>
            </w:r>
          </w:p>
        </w:tc>
        <w:tc>
          <w:tcPr>
            <w:tcW w:type="dxa" w:w="1440"/>
            <w:shd w:fill="FFDCE0" w:val="clear"/>
          </w:tcPr>
          <w:p>
            <w:r>
              <w:rPr>
                <w:b/>
                <w:color w:val="C00000"/>
                <w:sz w:val="17"/>
              </w:rPr>
              <w:t>-4.6%</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7,972</w:t>
            </w:r>
          </w:p>
        </w:tc>
        <w:tc>
          <w:tcPr>
            <w:tcW w:type="dxa" w:w="1440"/>
            <w:shd w:fill="FFDCE0" w:val="clear"/>
          </w:tcPr>
          <w:p>
            <w:r>
              <w:rPr>
                <w:b/>
                <w:sz w:val="17"/>
              </w:rPr>
              <w:t>8,249</w:t>
            </w:r>
          </w:p>
        </w:tc>
        <w:tc>
          <w:tcPr>
            <w:tcW w:type="dxa" w:w="1440"/>
            <w:shd w:fill="FFDCE0" w:val="clear"/>
          </w:tcPr>
          <w:p>
            <w:r>
              <w:rPr>
                <w:sz w:val="17"/>
              </w:rPr>
              <w:t>8,526</w:t>
            </w:r>
          </w:p>
        </w:tc>
        <w:tc>
          <w:tcPr>
            <w:tcW w:type="dxa" w:w="1440"/>
            <w:shd w:fill="FFDCE0" w:val="clear"/>
          </w:tcPr>
          <w:p>
            <w:r>
              <w:rPr>
                <w:b/>
                <w:color w:val="C00000"/>
                <w:sz w:val="17"/>
              </w:rPr>
              <w:t>-5.7%</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7,853</w:t>
            </w:r>
          </w:p>
        </w:tc>
        <w:tc>
          <w:tcPr>
            <w:tcW w:type="dxa" w:w="1440"/>
            <w:shd w:fill="FFDCE0" w:val="clear"/>
          </w:tcPr>
          <w:p>
            <w:r>
              <w:rPr>
                <w:b/>
                <w:sz w:val="17"/>
              </w:rPr>
              <w:t>8,159</w:t>
            </w:r>
          </w:p>
        </w:tc>
        <w:tc>
          <w:tcPr>
            <w:tcW w:type="dxa" w:w="1440"/>
            <w:shd w:fill="FFDCE0" w:val="clear"/>
          </w:tcPr>
          <w:p>
            <w:r>
              <w:rPr>
                <w:sz w:val="17"/>
              </w:rPr>
              <w:t>8,465</w:t>
            </w:r>
          </w:p>
        </w:tc>
        <w:tc>
          <w:tcPr>
            <w:tcW w:type="dxa" w:w="1440"/>
            <w:shd w:fill="FFDCE0" w:val="clear"/>
          </w:tcPr>
          <w:p>
            <w:r>
              <w:rPr>
                <w:b/>
                <w:color w:val="C00000"/>
                <w:sz w:val="17"/>
              </w:rPr>
              <w:t>-6.8%</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7,742</w:t>
            </w:r>
          </w:p>
        </w:tc>
        <w:tc>
          <w:tcPr>
            <w:tcW w:type="dxa" w:w="1440"/>
            <w:shd w:fill="FFDCE0" w:val="clear"/>
          </w:tcPr>
          <w:p>
            <w:r>
              <w:rPr>
                <w:b/>
                <w:sz w:val="17"/>
              </w:rPr>
              <w:t>8,074</w:t>
            </w:r>
          </w:p>
        </w:tc>
        <w:tc>
          <w:tcPr>
            <w:tcW w:type="dxa" w:w="1440"/>
            <w:shd w:fill="FFDCE0" w:val="clear"/>
          </w:tcPr>
          <w:p>
            <w:r>
              <w:rPr>
                <w:sz w:val="17"/>
              </w:rPr>
              <w:t>8,406</w:t>
            </w:r>
          </w:p>
        </w:tc>
        <w:tc>
          <w:tcPr>
            <w:tcW w:type="dxa" w:w="1440"/>
            <w:shd w:fill="FFDCE0" w:val="clear"/>
          </w:tcPr>
          <w:p>
            <w:r>
              <w:rPr>
                <w:b/>
                <w:color w:val="C00000"/>
                <w:sz w:val="17"/>
              </w:rPr>
              <w:t>-7.7%</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7,639</w:t>
            </w:r>
          </w:p>
        </w:tc>
        <w:tc>
          <w:tcPr>
            <w:tcW w:type="dxa" w:w="1440"/>
            <w:shd w:fill="FFDCE0" w:val="clear"/>
          </w:tcPr>
          <w:p>
            <w:r>
              <w:rPr>
                <w:b/>
                <w:sz w:val="17"/>
              </w:rPr>
              <w:t>7,994</w:t>
            </w:r>
          </w:p>
        </w:tc>
        <w:tc>
          <w:tcPr>
            <w:tcW w:type="dxa" w:w="1440"/>
            <w:shd w:fill="FFDCE0" w:val="clear"/>
          </w:tcPr>
          <w:p>
            <w:r>
              <w:rPr>
                <w:sz w:val="17"/>
              </w:rPr>
              <w:t>8,349</w:t>
            </w:r>
          </w:p>
        </w:tc>
        <w:tc>
          <w:tcPr>
            <w:tcW w:type="dxa" w:w="1440"/>
            <w:shd w:fill="FFDCE0" w:val="clear"/>
          </w:tcPr>
          <w:p>
            <w:r>
              <w:rPr>
                <w:b/>
                <w:color w:val="C00000"/>
                <w:sz w:val="17"/>
              </w:rPr>
              <w:t>-8.6%</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7,541</w:t>
            </w:r>
          </w:p>
        </w:tc>
        <w:tc>
          <w:tcPr>
            <w:tcW w:type="dxa" w:w="1440"/>
            <w:shd w:fill="FFDCE0" w:val="clear"/>
          </w:tcPr>
          <w:p>
            <w:r>
              <w:rPr>
                <w:b/>
                <w:sz w:val="17"/>
              </w:rPr>
              <w:t>7,917</w:t>
            </w:r>
          </w:p>
        </w:tc>
        <w:tc>
          <w:tcPr>
            <w:tcW w:type="dxa" w:w="1440"/>
            <w:shd w:fill="FFDCE0" w:val="clear"/>
          </w:tcPr>
          <w:p>
            <w:r>
              <w:rPr>
                <w:sz w:val="17"/>
              </w:rPr>
              <w:t>8,293</w:t>
            </w:r>
          </w:p>
        </w:tc>
        <w:tc>
          <w:tcPr>
            <w:tcW w:type="dxa" w:w="1440"/>
            <w:shd w:fill="FFDCE0" w:val="clear"/>
          </w:tcPr>
          <w:p>
            <w:r>
              <w:rPr>
                <w:b/>
                <w:color w:val="C00000"/>
                <w:sz w:val="17"/>
              </w:rPr>
              <w:t>-9.5%</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7,450</w:t>
            </w:r>
          </w:p>
        </w:tc>
        <w:tc>
          <w:tcPr>
            <w:tcW w:type="dxa" w:w="1440"/>
            <w:shd w:fill="FFDCE0" w:val="clear"/>
          </w:tcPr>
          <w:p>
            <w:r>
              <w:rPr>
                <w:b/>
                <w:sz w:val="17"/>
              </w:rPr>
              <w:t>7,845</w:t>
            </w:r>
          </w:p>
        </w:tc>
        <w:tc>
          <w:tcPr>
            <w:tcW w:type="dxa" w:w="1440"/>
            <w:shd w:fill="FFDCE0" w:val="clear"/>
          </w:tcPr>
          <w:p>
            <w:r>
              <w:rPr>
                <w:sz w:val="17"/>
              </w:rPr>
              <w:t>8,240</w:t>
            </w:r>
          </w:p>
        </w:tc>
        <w:tc>
          <w:tcPr>
            <w:tcW w:type="dxa" w:w="1440"/>
            <w:shd w:fill="FFDCE0" w:val="clear"/>
          </w:tcPr>
          <w:p>
            <w:r>
              <w:rPr>
                <w:b/>
                <w:color w:val="C00000"/>
                <w:sz w:val="17"/>
              </w:rPr>
              <w:t>-10.3%</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7,363</w:t>
            </w:r>
          </w:p>
        </w:tc>
        <w:tc>
          <w:tcPr>
            <w:tcW w:type="dxa" w:w="1440"/>
            <w:shd w:fill="FFDCE0" w:val="clear"/>
          </w:tcPr>
          <w:p>
            <w:r>
              <w:rPr>
                <w:b/>
                <w:sz w:val="17"/>
              </w:rPr>
              <w:t>7,775</w:t>
            </w:r>
          </w:p>
        </w:tc>
        <w:tc>
          <w:tcPr>
            <w:tcW w:type="dxa" w:w="1440"/>
            <w:shd w:fill="FFDCE0" w:val="clear"/>
          </w:tcPr>
          <w:p>
            <w:r>
              <w:rPr>
                <w:sz w:val="17"/>
              </w:rPr>
              <w:t>8,188</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le rapport d'analyse structuré pour l'action BOAB (Bank of Africa Bénin),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354,91 milliards FCFA, BOAB se positionne comme une valeur de premier plan sur le marché de la BRVM, reflétant une taille significative dans le secteur bancaire régional. Le Bénéfice Par Action (BPA) de 496 FCFA indique que chaque action a généré un profit de ce montant sur l'exercice 2025. Le PER de 17,7x est supérieur à la moyenne historique de la BRVM (8-12x), ce qui signifie que les investisseurs acceptent de payer une prime pour les bénéfices de la banque, anticipant probablement une croissance future. Le ratio P/B de 3,02x confirme cette prime, le marché valorisant la société à plus de trois fois sa valeur comptable, ce qui est typique pour une entreprise considérée comme ayant un fort potentiel de croissance ou une rentabilité élevée. Enfin, l'EV/EBITDA de 18,5x est un niveau exigeant, suggérant que la valeur totale de l'entreprise (dette incluse) est élevée par rapport à sa capacité bénéficiaire opérationnelle, ce qui peut indiquer une valorisation tendue.</w:t>
      </w:r>
    </w:p>
    <w:p>
      <w:pPr>
        <w:spacing w:after="120" w:line="276" w:lineRule="auto"/>
      </w:pPr>
      <w:r>
        <w:t>### **PARTIE 1 : ANALYSE DU COURS — STATISTIQUES ET ÉVOLUTION (100 derniers jours)**</w:t>
      </w:r>
    </w:p>
    <w:p>
      <w:pPr>
        <w:spacing w:after="120" w:line="276" w:lineRule="auto"/>
      </w:pPr>
      <w:r>
        <w:t>Sur les 100 derniers jours, l'action BOAB affiche une performance remarquable avec une hausse totale de +26,81%, bien que la dernière séance enregistre un léger repli de -0,57% à 8 750 FCFA. Le titre a évolué dans une fourchette large de 6 850 FCFA (plus bas) à 9 420 FCFA (plus haut), démontrant une volatilité et un intérêt marqués. La moyenne du cours sur la période est de 8 215 FCFA, tandis que la médiane est plus élevée à 8 550 FCFA, ce qui indique que le cours a passé plus de temps au-dessus de sa moyenne, suggérant une tendance haussière sous-jacente. L'écart-type de 858 FCFA, associé à un coefficient de variation de 10,4%, révèle une dispersion modérée du cours autour de la moyenne. Le kurtosis négatif (-1.397) confirme une distribution platykurtique, signifiant que les variations extrêmes de cours sont moins fréquentes que dans une distribution normale, ce qui réduit le risque de "pics" soudains. Enfin, le skewness légèrement négatif (-0.251) indique une distribution quasi-symétrique, avec une très légère tendance aux queues de distribution à gauche (baisses plus marquées que les hausses). La volatilité annualisée de 27,7% classe le titre dans la catégorie "modérée à élevée", typique des valeurs de croissance sur ce marché.</w:t>
      </w:r>
    </w:p>
    <w:p>
      <w:pPr>
        <w:spacing w:after="120" w:line="276" w:lineRule="auto"/>
      </w:pPr>
      <w:r>
        <w:t>### **PARTIE 2 : ANALYSE TECHNIQUE DÉTAILLÉE**</w:t>
      </w:r>
    </w:p>
    <w:p>
      <w:pPr>
        <w:spacing w:after="120" w:line="276" w:lineRule="auto"/>
      </w:pPr>
      <w:r>
        <w:t>*   **Moyennes Mobiles**: Les moyennes mobiles sur 20 et 50 jours (MM20 à 8 948 FCFA et MM50 à 8 987 FCFA) sont toutes deux situées au-dessus du cours actuel de 8 750 FCFA. Cette configuration, où le cours évolue sous ses moyennes, est un signal baissier classique à court et moyen terme, indiquant que la dynamique récente est négative et que le titre pourrait tester des supports plus bas.</w:t>
      </w:r>
    </w:p>
    <w:p>
      <w:pPr>
        <w:spacing w:after="120" w:line="276" w:lineRule="auto"/>
      </w:pPr>
      <w:r>
        <w:t>*   **Bandes de Bollinger**: Le cours actuel de 8 750 FCFA se trouve en dessous de la bande inférieure des Bollinger, fixée à 8 679,8 FCFA. Cette situation est un signal de "survente" potentielle, suggérant que le prix a baissé de manière excessive et qu'un rebond technique est possible. La décision est neutre car, bien que le cours soit en zone de support, la tendance sous-jacente reste baissière.</w:t>
      </w:r>
    </w:p>
    <w:p>
      <w:pPr>
        <w:spacing w:after="120" w:line="276" w:lineRule="auto"/>
      </w:pPr>
      <w:r>
        <w:t>*   **MACD**: Le MACD (17,304) est passé sous sa ligne de signal (50,719), ce qui constitue un signal de vente clair. Cette divergence indique un affaiblissement du momentum haussier et une perte de vitesse de la tendance récente. La dynamique de prix est actuellement défavorable.</w:t>
      </w:r>
    </w:p>
    <w:p>
      <w:pPr>
        <w:spacing w:after="120" w:line="276" w:lineRule="auto"/>
      </w:pPr>
      <w:r>
        <w:t>*   **RSI**: Avec une valeur de 39,011, le RSI se situe en zone neutre, mais proche de la zone de survente (30). Cela indique que le titre n'est ni suracheté ni survendu, mais que la pression vendeuse est dominante. La décision est neutre, mais la tendance est baissière.</w:t>
      </w:r>
    </w:p>
    <w:p>
      <w:pPr>
        <w:spacing w:after="120" w:line="276" w:lineRule="auto"/>
      </w:pPr>
      <w:r>
        <w:t>*   **Stochastique**: Le Stochastique est en situation de survente extrême avec un %K à 0,0 et un %D à 1,905. C'est un signal d'achat technique très fort, indiquant que le titre a été massivement vendu et qu'un rebond technique est statistiquement très probable à très court terme.</w:t>
      </w:r>
    </w:p>
    <w:p>
      <w:pPr>
        <w:spacing w:after="120" w:line="276" w:lineRule="auto"/>
      </w:pPr>
      <w:r>
        <w:t>**Conclusion technique**: Les indicateurs techniques sont en forte divergence. D'un côté, les moyennes mobiles et le MACD envoient des signaux de vente, confirmant une tendance baissière à court terme. De l'autre, les Bandes de Bollinger et le Stochastique suggèrent une situation de survente extrême, annonçant un possible rebond technique. Cette configuration contradictoire suggère une phase de consolidation ou de correction après une forte hausse, avec un potentiel de rebond à très court terme, mais une tendance sous-jacente qui reste à confirmer.</w:t>
      </w:r>
    </w:p>
    <w:p>
      <w:pPr>
        <w:spacing w:after="120" w:line="276" w:lineRule="auto"/>
      </w:pPr>
      <w:r>
        <w:t>### **PARTIE 3 : ANALYSE FONDAMENTALE (SECTION CRITIQUE)**</w:t>
      </w:r>
    </w:p>
    <w:p>
      <w:pPr>
        <w:spacing w:after="120" w:line="276" w:lineRule="auto"/>
      </w:pPr>
      <w:r>
        <w:t>En 2025, les données financières structurées de BOAB révèlent une banque solide et rentable. Le Produit Net Bancaire (PNB) s'établit à 51,274 milliards FCFA, générant un résultat net de 20,107 milliards FCFA. La rentabilité est excellente avec un ROE de 17,11% et un ROA de 2,08%. Le coefficient d'exploitation de 49,53% est remarquable, indiquant une gestion des coûts très efficace (bien en dessous du seuil de 60%). Cependant, le coût du risque, mesuré par le ratio provisions/charges financières, est élevé à 22,5%, signalant une dégradation de la qualité du portefeuille de crédits. Les dépôts clients (711,6 Mds FCFA) financent largement les crédits (391,7 Mds FCFA), ce qui est un signe de liquidité abondante. En croisant ces données avec les rapports trimestriels, on observe une tendance préoccupante : le rapport du 1er semestre 2025 et celui du T3 2025 confirment une contraction des crédits et des dépôts, mais une amélioration des marges. Le rapport du T3 2025 montre un PNB en hausse de 9% et un résultat net en progression de 13%, grâce à une meilleure maîtrise du coût des ressources et une hausse des commissions. Sur la base du rapport du T1 2026 (PNB +11%), on estime que l'exercice 2026 pourrait voir une poursuite de cette dynamique de croissance rentable, malgré un contexte de bilan contracté. La banque semble donc privilégier la profitabilité et l'efficacité opérationnelle à la croissance volumique.</w:t>
      </w:r>
    </w:p>
    <w:p>
      <w:pPr>
        <w:spacing w:after="120" w:line="276" w:lineRule="auto"/>
      </w:pPr>
      <w:r>
        <w:t>### **PARTIE 4 : CONCLUSION D'INVESTISSEMENT**</w:t>
      </w:r>
    </w:p>
    <w:p>
      <w:pPr>
        <w:spacing w:after="120" w:line="276" w:lineRule="auto"/>
      </w:pPr>
      <w:r>
        <w:t>La synthèse globale pour l'action BOAB est contrastée. La **valorisation** (Partie 0) est exigeante avec un PER et un P/B élevés, suggérant un prix déjà riche qui intègre des attentes de croissance. Le **comportement du cours** (Partie 1) montre une forte hausse récente, mais les statistiques (kurtosis platykurtique) indiquent un risque de retournement modéré. Les **signaux techniques** (Partie 2) sont mitigés : une tendance baissière à court terme (MM, MACD) mais des signaux de survente extrême (Bollinger, Stochastique) qui plaident pour un rebond technique imminent. Enfin, les **fondamentaux** (Partie 3) sont solides, avec une rentabilité élevée et une gestion efficace, mais la croissance est atone et le coût du risque est un point de vigilance. Les **prédictions IA** pour les 10 prochains jours (baisse continue de 8 572 à 8 159 FCFA) contredisent les signaux de rebond technique et suggèrent une poursuite de la correction.</w:t>
      </w:r>
    </w:p>
    <w:p>
      <w:pPr>
        <w:spacing w:after="120" w:line="276" w:lineRule="auto"/>
      </w:pPr>
      <w:r>
        <w:t>Sur la base de cette analyse, la recommandation est de **CONSERVER** le titre. La convergence entre la valorisation élevée, les signaux techniques baissiers à moyen terme et les prédictions IA suggère un risque de correction à court terme. Cependant, la solidité fondamentale et les signaux de survente technique offrent un support. Le niveau de confiance est **Moyen** et le risque global est **Élevé** en raison de la divergence des signaux. L'horizon d'investissement optimal est le **moyen terme (3-12 mois)**, en attendant que la correction technique se termine et que la croissance fondamentale se matérialise pour justifier la valorisation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266.20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6,108 titres</w:t>
            </w:r>
          </w:p>
        </w:tc>
        <w:tc>
          <w:tcPr>
            <w:tcW w:type="dxa" w:w="2268"/>
            <w:shd w:fill="FFF2CC" w:val="clear"/>
          </w:tcPr>
          <w:p>
            <w:r>
              <w:rPr>
                <w:b/>
                <w:color w:val="503200"/>
                <w:sz w:val="16"/>
              </w:rPr>
              <w:t xml:space="preserve">Cours actuel : </w:t>
            </w:r>
            <w:r>
              <w:rPr>
                <w:color w:val="000000"/>
                <w:sz w:val="17"/>
              </w:rPr>
              <w:t>6,050 FCFA</w:t>
            </w:r>
          </w:p>
          <w:p>
            <w:r>
              <w:rPr>
                <w:b/>
                <w:color w:val="503200"/>
                <w:sz w:val="16"/>
              </w:rPr>
              <w:t xml:space="preserve">Var. 100 jours : </w:t>
            </w:r>
            <w:r>
              <w:rPr>
                <w:b/>
                <w:color w:val="007800"/>
                <w:sz w:val="17"/>
              </w:rPr>
              <w:t>+35.35%</w:t>
            </w:r>
          </w:p>
          <w:p>
            <w:r>
              <w:rPr>
                <w:b/>
                <w:color w:val="503200"/>
                <w:sz w:val="16"/>
              </w:rPr>
              <w:t xml:space="preserve">Plus haut 100j : </w:t>
            </w:r>
            <w:r>
              <w:rPr>
                <w:color w:val="000000"/>
                <w:sz w:val="17"/>
              </w:rPr>
              <w:t>6,050 FCFA</w:t>
            </w:r>
          </w:p>
          <w:p>
            <w:r>
              <w:rPr>
                <w:b/>
                <w:color w:val="503200"/>
                <w:sz w:val="16"/>
              </w:rPr>
              <w:t xml:space="preserve">Plus bas 100j : </w:t>
            </w:r>
            <w:r>
              <w:rPr>
                <w:color w:val="000000"/>
                <w:sz w:val="17"/>
              </w:rPr>
              <w:t>4,470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μ=5,379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β=0.2695 (Défensif) — Cov=0.000011, Var(idx)=0.000042, ρ=0.107,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5,852</w:t>
            </w:r>
          </w:p>
        </w:tc>
        <w:tc>
          <w:tcPr>
            <w:tcW w:type="dxa" w:w="1440"/>
            <w:shd w:fill="FAFAFA" w:val="clear"/>
          </w:tcPr>
          <w:p>
            <w:r>
              <w:rPr>
                <w:b/>
                <w:sz w:val="17"/>
              </w:rPr>
              <w:t>5,968</w:t>
            </w:r>
          </w:p>
        </w:tc>
        <w:tc>
          <w:tcPr>
            <w:tcW w:type="dxa" w:w="1440"/>
            <w:shd w:fill="FAFAFA" w:val="clear"/>
          </w:tcPr>
          <w:p>
            <w:r>
              <w:rPr>
                <w:sz w:val="17"/>
              </w:rPr>
              <w:t>6,084</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5,766</w:t>
            </w:r>
          </w:p>
        </w:tc>
        <w:tc>
          <w:tcPr>
            <w:tcW w:type="dxa" w:w="1440"/>
            <w:shd w:fill="FAFAFA" w:val="clear"/>
          </w:tcPr>
          <w:p>
            <w:r>
              <w:rPr>
                <w:b/>
                <w:sz w:val="17"/>
              </w:rPr>
              <w:t>5,929</w:t>
            </w:r>
          </w:p>
        </w:tc>
        <w:tc>
          <w:tcPr>
            <w:tcW w:type="dxa" w:w="1440"/>
            <w:shd w:fill="FAFAFA" w:val="clear"/>
          </w:tcPr>
          <w:p>
            <w:r>
              <w:rPr>
                <w:sz w:val="17"/>
              </w:rPr>
              <w:t>6,092</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5,693</w:t>
            </w:r>
          </w:p>
        </w:tc>
        <w:tc>
          <w:tcPr>
            <w:tcW w:type="dxa" w:w="1440"/>
            <w:shd w:fill="FFDCE0" w:val="clear"/>
          </w:tcPr>
          <w:p>
            <w:r>
              <w:rPr>
                <w:b/>
                <w:sz w:val="17"/>
              </w:rPr>
              <w:t>5,891</w:t>
            </w:r>
          </w:p>
        </w:tc>
        <w:tc>
          <w:tcPr>
            <w:tcW w:type="dxa" w:w="1440"/>
            <w:shd w:fill="FFDCE0" w:val="clear"/>
          </w:tcPr>
          <w:p>
            <w:r>
              <w:rPr>
                <w:sz w:val="17"/>
              </w:rPr>
              <w:t>6,089</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5,631</w:t>
            </w:r>
          </w:p>
        </w:tc>
        <w:tc>
          <w:tcPr>
            <w:tcW w:type="dxa" w:w="1440"/>
            <w:shd w:fill="FFDCE0" w:val="clear"/>
          </w:tcPr>
          <w:p>
            <w:r>
              <w:rPr>
                <w:b/>
                <w:sz w:val="17"/>
              </w:rPr>
              <w:t>5,859</w:t>
            </w:r>
          </w:p>
        </w:tc>
        <w:tc>
          <w:tcPr>
            <w:tcW w:type="dxa" w:w="1440"/>
            <w:shd w:fill="FFDCE0" w:val="clear"/>
          </w:tcPr>
          <w:p>
            <w:r>
              <w:rPr>
                <w:sz w:val="17"/>
              </w:rPr>
              <w:t>6,086</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5,576</w:t>
            </w:r>
          </w:p>
        </w:tc>
        <w:tc>
          <w:tcPr>
            <w:tcW w:type="dxa" w:w="1440"/>
            <w:shd w:fill="FFDCE0" w:val="clear"/>
          </w:tcPr>
          <w:p>
            <w:r>
              <w:rPr>
                <w:b/>
                <w:sz w:val="17"/>
              </w:rPr>
              <w:t>5,830</w:t>
            </w:r>
          </w:p>
        </w:tc>
        <w:tc>
          <w:tcPr>
            <w:tcW w:type="dxa" w:w="1440"/>
            <w:shd w:fill="FFDCE0" w:val="clear"/>
          </w:tcPr>
          <w:p>
            <w:r>
              <w:rPr>
                <w:sz w:val="17"/>
              </w:rPr>
              <w:t>6,083</w:t>
            </w:r>
          </w:p>
        </w:tc>
        <w:tc>
          <w:tcPr>
            <w:tcW w:type="dxa" w:w="1440"/>
            <w:shd w:fill="FFDCE0" w:val="clear"/>
          </w:tcPr>
          <w:p>
            <w:r>
              <w:rPr>
                <w:b/>
                <w:color w:val="C00000"/>
                <w:sz w:val="17"/>
              </w:rPr>
              <w:t>-3.6%</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5,526</w:t>
            </w:r>
          </w:p>
        </w:tc>
        <w:tc>
          <w:tcPr>
            <w:tcW w:type="dxa" w:w="1440"/>
            <w:shd w:fill="FFDCE0" w:val="clear"/>
          </w:tcPr>
          <w:p>
            <w:r>
              <w:rPr>
                <w:b/>
                <w:sz w:val="17"/>
              </w:rPr>
              <w:t>5,803</w:t>
            </w:r>
          </w:p>
        </w:tc>
        <w:tc>
          <w:tcPr>
            <w:tcW w:type="dxa" w:w="1440"/>
            <w:shd w:fill="FFDCE0" w:val="clear"/>
          </w:tcPr>
          <w:p>
            <w:r>
              <w:rPr>
                <w:sz w:val="17"/>
              </w:rPr>
              <w:t>6,079</w:t>
            </w:r>
          </w:p>
        </w:tc>
        <w:tc>
          <w:tcPr>
            <w:tcW w:type="dxa" w:w="1440"/>
            <w:shd w:fill="FFDCE0" w:val="clear"/>
          </w:tcPr>
          <w:p>
            <w:r>
              <w:rPr>
                <w:b/>
                <w:color w:val="C00000"/>
                <w:sz w:val="17"/>
              </w:rPr>
              <w:t>-4.1%</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5,480</w:t>
            </w:r>
          </w:p>
        </w:tc>
        <w:tc>
          <w:tcPr>
            <w:tcW w:type="dxa" w:w="1440"/>
            <w:shd w:fill="FFDCE0" w:val="clear"/>
          </w:tcPr>
          <w:p>
            <w:r>
              <w:rPr>
                <w:b/>
                <w:sz w:val="17"/>
              </w:rPr>
              <w:t>5,778</w:t>
            </w:r>
          </w:p>
        </w:tc>
        <w:tc>
          <w:tcPr>
            <w:tcW w:type="dxa" w:w="1440"/>
            <w:shd w:fill="FFDCE0" w:val="clear"/>
          </w:tcPr>
          <w:p>
            <w:r>
              <w:rPr>
                <w:sz w:val="17"/>
              </w:rPr>
              <w:t>6,075</w:t>
            </w:r>
          </w:p>
        </w:tc>
        <w:tc>
          <w:tcPr>
            <w:tcW w:type="dxa" w:w="1440"/>
            <w:shd w:fill="FFDCE0" w:val="clear"/>
          </w:tcPr>
          <w:p>
            <w:r>
              <w:rPr>
                <w:b/>
                <w:color w:val="C00000"/>
                <w:sz w:val="17"/>
              </w:rPr>
              <w:t>-4.5%</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5,436</w:t>
            </w:r>
          </w:p>
        </w:tc>
        <w:tc>
          <w:tcPr>
            <w:tcW w:type="dxa" w:w="1440"/>
            <w:shd w:fill="FFDCE0" w:val="clear"/>
          </w:tcPr>
          <w:p>
            <w:r>
              <w:rPr>
                <w:b/>
                <w:sz w:val="17"/>
              </w:rPr>
              <w:t>5,753</w:t>
            </w:r>
          </w:p>
        </w:tc>
        <w:tc>
          <w:tcPr>
            <w:tcW w:type="dxa" w:w="1440"/>
            <w:shd w:fill="FFDCE0" w:val="clear"/>
          </w:tcPr>
          <w:p>
            <w:r>
              <w:rPr>
                <w:sz w:val="17"/>
              </w:rPr>
              <w:t>6,069</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5,395</w:t>
            </w:r>
          </w:p>
        </w:tc>
        <w:tc>
          <w:tcPr>
            <w:tcW w:type="dxa" w:w="1440"/>
            <w:shd w:fill="FFDCE0" w:val="clear"/>
          </w:tcPr>
          <w:p>
            <w:r>
              <w:rPr>
                <w:b/>
                <w:sz w:val="17"/>
              </w:rPr>
              <w:t>5,729</w:t>
            </w:r>
          </w:p>
        </w:tc>
        <w:tc>
          <w:tcPr>
            <w:tcW w:type="dxa" w:w="1440"/>
            <w:shd w:fill="FFDCE0" w:val="clear"/>
          </w:tcPr>
          <w:p>
            <w:r>
              <w:rPr>
                <w:sz w:val="17"/>
              </w:rPr>
              <w:t>6,063</w:t>
            </w:r>
          </w:p>
        </w:tc>
        <w:tc>
          <w:tcPr>
            <w:tcW w:type="dxa" w:w="1440"/>
            <w:shd w:fill="FFDCE0" w:val="clear"/>
          </w:tcPr>
          <w:p>
            <w:r>
              <w:rPr>
                <w:b/>
                <w:color w:val="C00000"/>
                <w:sz w:val="17"/>
              </w:rPr>
              <w:t>-5.3%</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5,355</w:t>
            </w:r>
          </w:p>
        </w:tc>
        <w:tc>
          <w:tcPr>
            <w:tcW w:type="dxa" w:w="1440"/>
            <w:shd w:fill="FFDCE0" w:val="clear"/>
          </w:tcPr>
          <w:p>
            <w:r>
              <w:rPr>
                <w:b/>
                <w:sz w:val="17"/>
              </w:rPr>
              <w:t>5,706</w:t>
            </w:r>
          </w:p>
        </w:tc>
        <w:tc>
          <w:tcPr>
            <w:tcW w:type="dxa" w:w="1440"/>
            <w:shd w:fill="FFDCE0" w:val="clear"/>
          </w:tcPr>
          <w:p>
            <w:r>
              <w:rPr>
                <w:sz w:val="17"/>
              </w:rPr>
              <w:t>6,057</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le rapport d'analyse structuré pour l'action BOABF (Bank of Africa Burkina Faso), réalisé selon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266,20 milliards FCFA, BOABF se positionne comme une valeur de premier plan sur la BRVM, reflétant sa place de banque systémique au Burkina Faso. Le Bénéfice Par Action (BPA) s'établit à 438 FCFA, offrant une base de rentabilité par titre. Le PER de 13,8x est légèrement supérieur à la moyenne historique de la BRVM (8-12x), indiquant que les investisseurs acceptent de payer une prime modeste pour les bénéfices de la banque, probablement en raison de sa position de marché. Le Price-to-Book (P/B) de 2,10x confirme cette prime, le marché valorisant la société à plus du double de ses capitaux propres comptables, ce qui est typique pour une entreprise rentable avec un ROE élevé. Enfin, le ratio EV/EBITDA de 5,3x est particulièrement attractif, suggérant que la valeur totale de l'entreprise (dette incluse) reste raisonnable par rapport à sa capacité bénéficiaire opérationnelle.</w:t>
      </w:r>
    </w:p>
    <w:p>
      <w:pPr>
        <w:spacing w:after="120" w:line="276" w:lineRule="auto"/>
      </w:pPr>
      <w:r>
        <w:t>### **PARTIE 1 : ANALYSE DU COURS — STATISTIQUES ET ÉVOLUTION (100 derniers jours)**</w:t>
      </w:r>
    </w:p>
    <w:p>
      <w:pPr>
        <w:spacing w:after="120" w:line="276" w:lineRule="auto"/>
      </w:pPr>
      <w:r>
        <w:t>Sur les 100 derniers jours, l'action BOABF a connu une tendance haussière très marquée, avec une variation totale de +35,35%. La dernière séance confirme cette dynamique avec un gain de +1,34%, portant le cours à 6 050 FCFA, son plus haut niveau sur la période. Le titre a évolué dans un range de trading significatif, oscillant entre un plus bas de 4 470 FCFA et ce plus haut historique. L'analyse des statistiques descriptives révèle une distribution de prix relativement concentrée, avec un écart-type de 389 FCFA et un coefficient de variation (CV) de seulement 7,2%, indiquant une dispersion modérée autour de la moyenne de 5 379 FCFA. La médiane (5 448 FCFA) étant supérieure à la moyenne, et le skewness négatif (-0.879), on confirme que le titre a passé plus de séances au-dessus de sa moyenne, avec des mouvements de hausse plus fréquents que les baisses. Le kurtosis proche de zéro (-0.038) indique une distribution normale des rendements, sans risque de "pics" extrêmes. Enfin, la volatilité annualisée de 25,5% classe le titre dans la catégorie "modérée" (15-30%), ce qui est acceptable pour une valeur de cette envergure.</w:t>
      </w:r>
    </w:p>
    <w:p>
      <w:pPr>
        <w:spacing w:after="120" w:line="276" w:lineRule="auto"/>
      </w:pPr>
      <w:r>
        <w:t>### **PARTIE 2 : ANALYSE TECHNIQUE DÉTAILLÉE**</w:t>
      </w:r>
    </w:p>
    <w:p>
      <w:pPr>
        <w:spacing w:after="120" w:line="276" w:lineRule="auto"/>
      </w:pPr>
      <w:r>
        <w:t>*   **Moyennes Mobiles**: Le cours actuel de 6 050 FCFA est nettement au-dessus de la MM20 (5 717,75 FCFA) et de la MM50 (5 583,8 FCFA). Cette configuration, avec les deux moyennes orientées à la hausse, est un signal haussier fort, confirmant la tendance positive de moyen terme. La décision d'achat est donc justifiée.</w:t>
      </w:r>
    </w:p>
    <w:p>
      <w:pPr>
        <w:spacing w:after="120" w:line="276" w:lineRule="auto"/>
      </w:pPr>
      <w:r>
        <w:t>*   **Bandes de Bollinger**: Le cours se situe à 6 050 FCFA, très proche de la borne supérieure (6 200,70 FCFA). Cela indique que le titre est en territoire de surachat temporaire et que la volatilité est élevée. La décision "Neutre" est prudente, car si la tendance est forte, un repli technique vers la moyenne mobile (MM20) est statistiquement probable.</w:t>
      </w:r>
    </w:p>
    <w:p>
      <w:pPr>
        <w:spacing w:after="120" w:line="276" w:lineRule="auto"/>
      </w:pPr>
      <w:r>
        <w:t>*   **MACD**: La ligne MACD (130,99) est positionnée au-dessus de sa ligne de signal (101,11), et les deux sont en territoire positif. Cet écart croissant est un signal de momentum haussier puissant, indiquant que la dynamique d'achat s'accélère. La décision "Achat" est pleinement justifiée.</w:t>
      </w:r>
    </w:p>
    <w:p>
      <w:pPr>
        <w:spacing w:after="120" w:line="276" w:lineRule="auto"/>
      </w:pPr>
      <w:r>
        <w:t>*   **RSI**: Avec une valeur de 86,4, le RSI est profondément en zone de surachat (au-dessus de 70). Cela signifie que le titre est "surchauffé" et qu'une correction ou une consolidation à court terme est très probable. La décision "Vente" est un signal d'alerte technique classique.</w:t>
      </w:r>
    </w:p>
    <w:p>
      <w:pPr>
        <w:spacing w:after="120" w:line="276" w:lineRule="auto"/>
      </w:pPr>
      <w:r>
        <w:t>*   **Stochastique**: Le %K à 100 et le %D à 95,45 sont tous deux en zone de surachat extrême. Cette configuration, où les deux lignes sont "collées" au plafond, est un signal de vente très fort, suggérant que le mouvement haussier est à son paroxysme et qu'un retournement est imminent.</w:t>
      </w:r>
    </w:p>
    <w:p>
      <w:pPr>
        <w:spacing w:after="120" w:line="276" w:lineRule="auto"/>
      </w:pPr>
      <w:r>
        <w:t>**Conclusion technique**: L'analyse technique est en situation de divergence. Les indicateurs de tendance (Moyennes Mobiles, MACD) sont extrêmement positifs et confirment une forte dynamique haussière. En revanche, les oscillateurs de momentum (RSI, Stochastique) hurlent "surachat" et signalent un risque de correction à très court terme. La prudence est donc de mise pour un nouvel achat, bien que la tendance de fond reste haussière.</w:t>
      </w:r>
    </w:p>
    <w:p>
      <w:pPr>
        <w:spacing w:after="120" w:line="276" w:lineRule="auto"/>
      </w:pPr>
      <w:r>
        <w:t>### **PARTIE 3 : ANALYSE FONDAMENTALE (SECTION CRITIQUE)**</w:t>
      </w:r>
    </w:p>
    <w:p>
      <w:pPr>
        <w:spacing w:after="120" w:line="276" w:lineRule="auto"/>
      </w:pPr>
      <w:r>
        <w:t>En se basant sur les données financières structurées de l'exercice 2025, BOABF affiche des fondamentaux solides. Le Produit Net Bancaire (PNB) s'élève à 57,82 milliards FCFA, pour un résultat net de 19,25 milliards FCFA. La banque démontre une excellente efficacité opérationnelle avec un coefficient d'exploitation de 47,19%, bien en dessous du seuil des 60%, ce qui est un signe de gestion rigoureuse. La rentabilité des fonds propres (ROE) atteint 15,22%, un niveau excellent qui récompense les actionnaires. Cependant, le coût du risque, mesuré par le ratio provisions/charges financières, est élevé à 33,92%, ce qui constitue un point de vigilance, confirmé par les rapports trimestriels. En effet, les rapports du T1 et du S1 2025 montrent une dégradation sévère de la rentabilité nette due à une explosion du coût du risque (provisions multipliées par 14 au S1). Le rapport du T3 2025 confirme cette tendance avec un résultat net en baisse de 27,7% sur neuf mois. En revanche, le rapport du T1 2026, le plus récent, montre une légère atténuation de la tendance, avec un résultat net en baisse de 12,99% et une progression des dépôts de 6,3%, ce qui pourrait indiquer un début de stabilisation. On estime que l'exercice 2026 devrait voir une pression persistante sur la rentabilité, mais la solidité du bilan et la capacité de la banque à collecter des dépôts restent des atouts majeurs.</w:t>
      </w:r>
    </w:p>
    <w:p>
      <w:pPr>
        <w:spacing w:after="120" w:line="276" w:lineRule="auto"/>
      </w:pPr>
      <w:r>
        <w:t>### **PARTIE 4 : CONCLUSION D'INVESTISSEMENT**</w:t>
      </w:r>
    </w:p>
    <w:p>
      <w:pPr>
        <w:spacing w:after="120" w:line="276" w:lineRule="auto"/>
      </w:pPr>
      <w:r>
        <w:t>La valorisation de BOABF (PER de 13,8x, P/B de 2,1x) est raisonnable et reflète une prime de qualité pour une banque leader. Le comportement du cours sur 100 jours est très haussier, mais les statistiques (skewness négatif) et la volatilité modérée suggèrent un mouvement soutenu plutôt qu'erratique. Les signaux techniques sont en conflit : la tendance est fortement haussière (MM, MACD), mais les oscillateurs (RSI, Stochastique) sont en surachat extrême, annonçant un probable repli technique à court terme. Les fondamentaux sont solides sur le long terme (ROE &gt;15%, coefficient d'exploitation bas), mais la rentabilité à court terme est sous pression en raison d'un coût du risque élevé, comme le confirment les rapports de 2025. Les prédictions IA pour les 10 prochains jours (baisse de 6 050 à 5 830 FCFA) corroborent parfaitement le signal de surachat technique, anticipant une correction.</w:t>
      </w:r>
    </w:p>
    <w:p>
      <w:pPr>
        <w:spacing w:after="120" w:line="276" w:lineRule="auto"/>
      </w:pPr>
      <w:r>
        <w:t>**Recommandation finale : CONSERVER**</w:t>
        <w:br/>
        <w:t>La convergence entre les signaux techniques de surachat et les prédictions IA suggère une pause dans la hausse. Cependant, la valorisation et les fondamentaux de long terme restent attractifs. Il est donc conseillé de conserver les positions existantes, mais de ne pas acheter à ces niveaux. Un point d'entrée plus opportun se situerait après une correction technique, idéalement vers la zone des 5 500 - 5 700 FCFA (MM20/MM50).</w:t>
        <w:br/>
        <w:t>*   **Niveau de confiance :** Élevé</w:t>
        <w:br/>
        <w:t>*   **Niveau de risque global :** Moyen (risque de correction technique à court terme, mais fondamentaux solides)</w:t>
        <w:br/>
        <w:t>*   **Horizon d'investissement optimal :** Moyen terme (3-12 mois) pour profiter de la reprise après la consolidation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16,205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+26.67%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μ=8,651 FCFA, σ=501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β=0.6941 (Défensif) — Cov=0.000029, Var(idx)=0.000042, ρ=0.279,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16,205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9,032</w:t>
            </w:r>
          </w:p>
        </w:tc>
        <w:tc>
          <w:tcPr>
            <w:tcW w:type="dxa" w:w="1440"/>
            <w:shd w:fill="FFDCE0" w:val="clear"/>
          </w:tcPr>
          <w:p>
            <w:r>
              <w:rPr>
                <w:b/>
                <w:sz w:val="17"/>
              </w:rPr>
              <w:t>9,228</w:t>
            </w:r>
          </w:p>
        </w:tc>
        <w:tc>
          <w:tcPr>
            <w:tcW w:type="dxa" w:w="1440"/>
            <w:shd w:fill="FFDCE0" w:val="clear"/>
          </w:tcPr>
          <w:p>
            <w:r>
              <w:rPr>
                <w:sz w:val="17"/>
              </w:rPr>
              <w:t>9,425</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8,792</w:t>
            </w:r>
          </w:p>
        </w:tc>
        <w:tc>
          <w:tcPr>
            <w:tcW w:type="dxa" w:w="1440"/>
            <w:shd w:fill="FFDCE0" w:val="clear"/>
          </w:tcPr>
          <w:p>
            <w:r>
              <w:rPr>
                <w:b/>
                <w:sz w:val="17"/>
              </w:rPr>
              <w:t>9,065</w:t>
            </w:r>
          </w:p>
        </w:tc>
        <w:tc>
          <w:tcPr>
            <w:tcW w:type="dxa" w:w="1440"/>
            <w:shd w:fill="FFDCE0" w:val="clear"/>
          </w:tcPr>
          <w:p>
            <w:r>
              <w:rPr>
                <w:sz w:val="17"/>
              </w:rPr>
              <w:t>9,338</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8,556</w:t>
            </w:r>
          </w:p>
        </w:tc>
        <w:tc>
          <w:tcPr>
            <w:tcW w:type="dxa" w:w="1440"/>
            <w:shd w:fill="FFDCE0" w:val="clear"/>
          </w:tcPr>
          <w:p>
            <w:r>
              <w:rPr>
                <w:b/>
                <w:sz w:val="17"/>
              </w:rPr>
              <w:t>8,884</w:t>
            </w:r>
          </w:p>
        </w:tc>
        <w:tc>
          <w:tcPr>
            <w:tcW w:type="dxa" w:w="1440"/>
            <w:shd w:fill="FFDCE0" w:val="clear"/>
          </w:tcPr>
          <w:p>
            <w:r>
              <w:rPr>
                <w:sz w:val="17"/>
              </w:rPr>
              <w:t>9,212</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8,340</w:t>
            </w:r>
          </w:p>
        </w:tc>
        <w:tc>
          <w:tcPr>
            <w:tcW w:type="dxa" w:w="1440"/>
            <w:shd w:fill="FFDCE0" w:val="clear"/>
          </w:tcPr>
          <w:p>
            <w:r>
              <w:rPr>
                <w:b/>
                <w:sz w:val="17"/>
              </w:rPr>
              <w:t>8,711</w:t>
            </w:r>
          </w:p>
        </w:tc>
        <w:tc>
          <w:tcPr>
            <w:tcW w:type="dxa" w:w="1440"/>
            <w:shd w:fill="FFDCE0" w:val="clear"/>
          </w:tcPr>
          <w:p>
            <w:r>
              <w:rPr>
                <w:sz w:val="17"/>
              </w:rPr>
              <w:t>9,082</w:t>
            </w:r>
          </w:p>
        </w:tc>
        <w:tc>
          <w:tcPr>
            <w:tcW w:type="dxa" w:w="1440"/>
            <w:shd w:fill="FFDCE0" w:val="clear"/>
          </w:tcPr>
          <w:p>
            <w:r>
              <w:rPr>
                <w:b/>
                <w:color w:val="C00000"/>
                <w:sz w:val="17"/>
              </w:rPr>
              <w:t>-8.3%</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8,144</w:t>
            </w:r>
          </w:p>
        </w:tc>
        <w:tc>
          <w:tcPr>
            <w:tcW w:type="dxa" w:w="1440"/>
            <w:shd w:fill="FFDCE0" w:val="clear"/>
          </w:tcPr>
          <w:p>
            <w:r>
              <w:rPr>
                <w:b/>
                <w:sz w:val="17"/>
              </w:rPr>
              <w:t>8,551</w:t>
            </w:r>
          </w:p>
        </w:tc>
        <w:tc>
          <w:tcPr>
            <w:tcW w:type="dxa" w:w="1440"/>
            <w:shd w:fill="FFDCE0" w:val="clear"/>
          </w:tcPr>
          <w:p>
            <w:r>
              <w:rPr>
                <w:sz w:val="17"/>
              </w:rPr>
              <w:t>8,958</w:t>
            </w:r>
          </w:p>
        </w:tc>
        <w:tc>
          <w:tcPr>
            <w:tcW w:type="dxa" w:w="1440"/>
            <w:shd w:fill="FFDCE0" w:val="clear"/>
          </w:tcPr>
          <w:p>
            <w:r>
              <w:rPr>
                <w:b/>
                <w:color w:val="C00000"/>
                <w:sz w:val="17"/>
              </w:rPr>
              <w:t>-10.0%</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7,965</w:t>
            </w:r>
          </w:p>
        </w:tc>
        <w:tc>
          <w:tcPr>
            <w:tcW w:type="dxa" w:w="1440"/>
            <w:shd w:fill="FFDCE0" w:val="clear"/>
          </w:tcPr>
          <w:p>
            <w:r>
              <w:rPr>
                <w:b/>
                <w:sz w:val="17"/>
              </w:rPr>
              <w:t>8,403</w:t>
            </w:r>
          </w:p>
        </w:tc>
        <w:tc>
          <w:tcPr>
            <w:tcW w:type="dxa" w:w="1440"/>
            <w:shd w:fill="FFDCE0" w:val="clear"/>
          </w:tcPr>
          <w:p>
            <w:r>
              <w:rPr>
                <w:sz w:val="17"/>
              </w:rPr>
              <w:t>8,842</w:t>
            </w:r>
          </w:p>
        </w:tc>
        <w:tc>
          <w:tcPr>
            <w:tcW w:type="dxa" w:w="1440"/>
            <w:shd w:fill="FFDCE0" w:val="clear"/>
          </w:tcPr>
          <w:p>
            <w:r>
              <w:rPr>
                <w:b/>
                <w:color w:val="C00000"/>
                <w:sz w:val="17"/>
              </w:rPr>
              <w:t>-11.5%</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7,802</w:t>
            </w:r>
          </w:p>
        </w:tc>
        <w:tc>
          <w:tcPr>
            <w:tcW w:type="dxa" w:w="1440"/>
            <w:shd w:fill="FFDCE0" w:val="clear"/>
          </w:tcPr>
          <w:p>
            <w:r>
              <w:rPr>
                <w:b/>
                <w:sz w:val="17"/>
              </w:rPr>
              <w:t>8,268</w:t>
            </w:r>
          </w:p>
        </w:tc>
        <w:tc>
          <w:tcPr>
            <w:tcW w:type="dxa" w:w="1440"/>
            <w:shd w:fill="FFDCE0" w:val="clear"/>
          </w:tcPr>
          <w:p>
            <w:r>
              <w:rPr>
                <w:sz w:val="17"/>
              </w:rPr>
              <w:t>8,734</w:t>
            </w:r>
          </w:p>
        </w:tc>
        <w:tc>
          <w:tcPr>
            <w:tcW w:type="dxa" w:w="1440"/>
            <w:shd w:fill="FFDCE0" w:val="clear"/>
          </w:tcPr>
          <w:p>
            <w:r>
              <w:rPr>
                <w:b/>
                <w:color w:val="C00000"/>
                <w:sz w:val="17"/>
              </w:rPr>
              <w:t>-13.0%</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7,652</w:t>
            </w:r>
          </w:p>
        </w:tc>
        <w:tc>
          <w:tcPr>
            <w:tcW w:type="dxa" w:w="1440"/>
            <w:shd w:fill="FFDCE0" w:val="clear"/>
          </w:tcPr>
          <w:p>
            <w:r>
              <w:rPr>
                <w:b/>
                <w:sz w:val="17"/>
              </w:rPr>
              <w:t>8,143</w:t>
            </w:r>
          </w:p>
        </w:tc>
        <w:tc>
          <w:tcPr>
            <w:tcW w:type="dxa" w:w="1440"/>
            <w:shd w:fill="FFDCE0" w:val="clear"/>
          </w:tcPr>
          <w:p>
            <w:r>
              <w:rPr>
                <w:sz w:val="17"/>
              </w:rPr>
              <w:t>8,634</w:t>
            </w:r>
          </w:p>
        </w:tc>
        <w:tc>
          <w:tcPr>
            <w:tcW w:type="dxa" w:w="1440"/>
            <w:shd w:fill="FFDCE0" w:val="clear"/>
          </w:tcPr>
          <w:p>
            <w:r>
              <w:rPr>
                <w:b/>
                <w:color w:val="C00000"/>
                <w:sz w:val="17"/>
              </w:rPr>
              <w:t>-14.3%</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7,515</w:t>
            </w:r>
          </w:p>
        </w:tc>
        <w:tc>
          <w:tcPr>
            <w:tcW w:type="dxa" w:w="1440"/>
            <w:shd w:fill="FFDCE0" w:val="clear"/>
          </w:tcPr>
          <w:p>
            <w:r>
              <w:rPr>
                <w:b/>
                <w:sz w:val="17"/>
              </w:rPr>
              <w:t>8,028</w:t>
            </w:r>
          </w:p>
        </w:tc>
        <w:tc>
          <w:tcPr>
            <w:tcW w:type="dxa" w:w="1440"/>
            <w:shd w:fill="FFDCE0" w:val="clear"/>
          </w:tcPr>
          <w:p>
            <w:r>
              <w:rPr>
                <w:sz w:val="17"/>
              </w:rPr>
              <w:t>8,541</w:t>
            </w:r>
          </w:p>
        </w:tc>
        <w:tc>
          <w:tcPr>
            <w:tcW w:type="dxa" w:w="1440"/>
            <w:shd w:fill="FFDCE0" w:val="clear"/>
          </w:tcPr>
          <w:p>
            <w:r>
              <w:rPr>
                <w:b/>
                <w:color w:val="C00000"/>
                <w:sz w:val="17"/>
              </w:rPr>
              <w:t>-15.5%</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7,388</w:t>
            </w:r>
          </w:p>
        </w:tc>
        <w:tc>
          <w:tcPr>
            <w:tcW w:type="dxa" w:w="1440"/>
            <w:shd w:fill="FFDCE0" w:val="clear"/>
          </w:tcPr>
          <w:p>
            <w:r>
              <w:rPr>
                <w:b/>
                <w:sz w:val="17"/>
              </w:rPr>
              <w:t>7,922</w:t>
            </w:r>
          </w:p>
        </w:tc>
        <w:tc>
          <w:tcPr>
            <w:tcW w:type="dxa" w:w="1440"/>
            <w:shd w:fill="FFDCE0" w:val="clear"/>
          </w:tcPr>
          <w:p>
            <w:r>
              <w:rPr>
                <w:sz w:val="17"/>
              </w:rPr>
              <w:t>8,456</w:t>
            </w:r>
          </w:p>
        </w:tc>
        <w:tc>
          <w:tcPr>
            <w:tcW w:type="dxa" w:w="1440"/>
            <w:shd w:fill="FFDCE0" w:val="clear"/>
          </w:tcPr>
          <w:p>
            <w:r>
              <w:rPr>
                <w:b/>
                <w:color w:val="C00000"/>
                <w:sz w:val="17"/>
              </w:rPr>
              <w:t>-16.6%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Voici le rapport d'analyse structuré pour l'action BOAC (Bank of Africa Côte d'Ivoire),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380 milliards FCFA, BOAC se positionne comme une valeur de premier plan sur la BRVM, reflétant sa stature de banque systémique en Côte d'Ivoire. Le BPA de 888 FCFA indique que chaque action a généré un bénéfice net de ce montant sur l'exercice 2025. Le PER de 10,7x se situe dans la fourchette haute de la moyenne du marché BRVM (8-12x), ce qui suggère que les investisseurs sont prêts à payer une prime raisonnable pour les bénéfices de la banque, sans pour autant que la valorisation soit excessive. Le P/B de 2,98x confirme cette prime, le marché valorisant la société près de trois fois ses capitaux propres comptables, ce qui est typique pour une banque affichant un ROE élevé. En revanche, le ratio EV/EBITDA de 24,9x est très exigeant, indiquant que la valeur totale de l'entreprise (incluant sa dette) est élevée par rapport à sa capacité bénéficiaire opérationnelle brute, un point de vigilance pour les investisseurs regardant la structure de financement.</w:t>
      </w:r>
    </w:p>
    <w:p>
      <w:pPr>
        <w:spacing w:after="120" w:line="276" w:lineRule="auto"/>
      </w:pPr>
      <w:r>
        <w:t>### **PARTIE 1 : ANALYSE DU COURS — STATISTIQUES ET ÉVOLUTION (100 derniers jours)**</w:t>
      </w:r>
    </w:p>
    <w:p>
      <w:pPr>
        <w:spacing w:after="120" w:line="276" w:lineRule="auto"/>
      </w:pPr>
      <w:r>
        <w:t>Sur les 100 derniers jours, l'action BOAC affiche une performance remarquable avec une variation totale de +26,67%, clôturant à 9 500 FCFA, soit un gain de 0,80% sur la dernière séance. Le titre a évolué dans une fourchette de 7 400 FCFA (plus bas) à 9 500 FCFA (plus haut), démontrant une dynamique haussière soutenue. L'analyse des statistiques descriptives révèle un comportement de cours intéressant : la moyenne (8 651 FCFA) est inférieure à la médiane (8 750 FCFA) et au cours actuel, ce qui, combiné à un skewness négatif de -0,744, indique que le titre a passé la majorité de la période au-dessus de sa moyenne, avec des journées de forte hausse tirant la moyenne vers le bas. L'écart-type de 504 FCFA et un coefficient de variation de 5,8% signalent une dispersion modérée des prix autour de la moyenne. Le kurtosis de 0,101 (mésokurtique) suggère que les mouvements de prix extrêmes sont peu fréquents et proches d'une distribution normale. Enfin, la volatilité annualisée de 25,4% classe le titre dans la catégorie "modérée à élevée", ce qui est cohérent avec une phase de forte appréciation.</w:t>
      </w:r>
    </w:p>
    <w:p>
      <w:pPr>
        <w:spacing w:after="120" w:line="276" w:lineRule="auto"/>
      </w:pPr>
      <w:r>
        <w:t>### **PARTIE 2 : ANALYSE TECHNIQUE DÉTAILLÉE**</w:t>
      </w:r>
    </w:p>
    <w:p>
      <w:pPr>
        <w:spacing w:after="120" w:line="276" w:lineRule="auto"/>
      </w:pPr>
      <w:r>
        <w:t>*   **Moyennes Mobiles** : Le cours actuel de 9 500 FCFA est nettement au-dessus de la MM20 (9 236,75 FCFA) et de la MM50 (8 995,1 FCFA), confirmant une tendance haussière robuste à court et moyen terme. La pente positive de ces moyennes renforce le signal d'achat, indiquant que la dynamique est favorable.</w:t>
      </w:r>
    </w:p>
    <w:p>
      <w:pPr>
        <w:spacing w:after="120" w:line="276" w:lineRule="auto"/>
      </w:pPr>
      <w:r>
        <w:t>*   **Bandes de Bollinger** : Le cours se situe à 9 500 FCFA, proche de la borne supérieure (9 583,47 FCFA), ce qui suggère une certaine tension haussière. La largeur des bandes, avec un écart d'environ 700 FCFA, reflète une volatilité modérée. La décision "Neutre" est justifiée car le titre n'est pas en situation de surachat extrême, mais une poursuite de la hausse pourrait le rendre vulnérable à un retour vers la moyenne.</w:t>
      </w:r>
    </w:p>
    <w:p>
      <w:pPr>
        <w:spacing w:after="120" w:line="276" w:lineRule="auto"/>
      </w:pPr>
      <w:r>
        <w:t>*   **MACD** : Le MACD (134,018) est positionné au-dessus de sa ligne de signal (123,153), ce qui est un signal haussier classique. Cette divergence positive indique que le momentum est actuellement favorable aux acheteurs et que la tendance haussière est soutenue par la dynamique des flux.</w:t>
      </w:r>
    </w:p>
    <w:p>
      <w:pPr>
        <w:spacing w:after="120" w:line="276" w:lineRule="auto"/>
      </w:pPr>
      <w:r>
        <w:t>*   **RSI** : Avec une valeur de 62,195, le RSI se situe en zone neutre, sans signal de surachat (au-dessus de 70) ni de survente (en dessous de 30). Cela indique qu'il reste une marge de progression avant que le titre ne soit considéré comme "surchauffé", ce qui laisse présager un potentiel de hausse supplémentaire.</w:t>
      </w:r>
    </w:p>
    <w:p>
      <w:pPr>
        <w:spacing w:after="120" w:line="276" w:lineRule="auto"/>
      </w:pPr>
      <w:r>
        <w:t>*   **Stochastique** : Le %K à 100,0 et le %D à 94,444 sont en zone de surachat extrême. Bien que la décision soit "Vente", ce signal doit être interprété avec prudence dans une forte tendance haussière. Il suggère que le titre est "cher" sur une base à très court terme et qu'une consolidation ou un repli technique est probable.</w:t>
      </w:r>
    </w:p>
    <w:p>
      <w:pPr>
        <w:spacing w:after="120" w:line="276" w:lineRule="auto"/>
      </w:pPr>
      <w:r>
        <w:t>**Conclusion technique** : Le tableau technique est globalement haussier, porté par des moyennes mobiles et un MACD positifs. Cependant, le Stochastique en zone de surachat extrême envoie un signal de prudence à très court terme. Le RSI en zone neutre et les Bandes de Bollinger suggèrent que la tendance de fond reste solide, mais qu'un repli technique ou une phase de consolidation est à anticiper avant une éventuelle reprise de la hausse.</w:t>
      </w:r>
    </w:p>
    <w:p>
      <w:pPr>
        <w:spacing w:after="120" w:line="276" w:lineRule="auto"/>
      </w:pPr>
      <w:r>
        <w:t>### **PARTIE 3 : ANALYSE FONDAMENTALE (SECTION CRITIQUE)**</w:t>
      </w:r>
    </w:p>
    <w:p>
      <w:pPr>
        <w:spacing w:after="120" w:line="276" w:lineRule="auto"/>
      </w:pPr>
      <w:r>
        <w:t>En 2025, les données financières structurées de BOAC révèlent une banque à la fois rentable et confrontée à des défis. Le Produit Net Bancaire (PNB) s'établit à 73,545 milliards FCFA, générant un résultat net de 35,540 milliards FCFA. La performance est portée par un ROE exceptionnel de 27,91% et un ROA de 3,22%, témoignant d'une utilisation très efficace des capitaux propres et des actifs. Le coefficient d'exploitation de 36,70% est excellent, bien en deçà du seuil des 60%, indiquant une maîtrise rigoureuse des charges. Cependant, le coût du risque à 6,67% est un point de vigilance, signalant une détérioration de la qualité du portefeuille de crédits. L'analyse des rapports trimestriels 2025 confirme cette tendance : le T1 2025 montrait un résultat net en hausse de 14,59% grâce à une baisse spectaculaire du coût du risque, mais les rapports du S1 et du T3 2025 indiquent une stagnation du PNB (respectivement -0,35% et +0,23%) et une contraction des crédits à la clientèle (-6,95% au S1, -11,97% sur 9 mois). En revanche, la collecte de dépôts reste dynamique (+10,28% sur 9 mois), ce qui renforce la liquidité. En se basant sur ces rapports, on estime que l'exercice 2025, bien que rentable, a souffert d'un ralentissement de l'activité commerciale, contrastant avec la croissance vigoureuse de 2024 (PNB +19,6%, résultat net +22,9%). La solidité financière est indéniable, mais les perspectives de croissance à court terme semblent limitées, la banque misant sur un plan stratégique triennal pour relancer la dynamique.</w:t>
      </w:r>
    </w:p>
    <w:p>
      <w:pPr>
        <w:spacing w:after="120" w:line="276" w:lineRule="auto"/>
      </w:pPr>
      <w:r>
        <w:t>### **PARTIE 4 : CONCLUSION D'INVESTISSEMENT**</w:t>
      </w:r>
    </w:p>
    <w:p>
      <w:pPr>
        <w:spacing w:after="120" w:line="276" w:lineRule="auto"/>
      </w:pPr>
      <w:r>
        <w:t>La synthèse des analyses révèle un profil contrasté pour BOAC. La **valorisation** (PER 10,7x, P/B 2,98x) est raisonnable mais exigeante, tandis que l'EV/EBITDA élevé attire l'attention sur la structure de financement. Le **comportement du cours** est très favorable, avec une tendance haussière forte (+26,67% sur 100 jours) et une volatilité modérée, bien que le skewness négatif suggère que la hausse récente pourrait être en partie spéculative. Les **signaux techniques** sont majoritairement haussiers (MM, MACD), mais le Stochastique en surachat extrême appelle à la prudence à très court terme. Les **fondamentaux** sont solides (ROE &gt;27%, faible coefficient d'exploitation), mais les rapports trimestriels 2025 montrent une stagnation de l'activité et une contraction des crédits, ce qui tempère l'optimisme. Enfin, les **prédictions IA** pour les 10 prochains jours anticipent un repli significatif du cours, passant de 9 500 à 8 551 FCFA, ce qui contredit la tendance haussière actuelle et valide le signal de vente du Stochastique.</w:t>
      </w:r>
    </w:p>
    <w:p>
      <w:pPr>
        <w:spacing w:after="120" w:line="276" w:lineRule="auto"/>
      </w:pPr>
      <w:r>
        <w:t>Sur la base de cette synthèse, la recommandation est **CONSERVER**. La convergence entre une valorisation correcte, des fondamentaux solides mais atones, et des signaux techniques mitigés (hausse de fond mais surachat à court terme) suggère qu'il est plus prudent de ne pas renforcer une position à ces niveaux. Les prédictions IA renforcent l'idée d'un possible repli technique. Le niveau de confiance est **Moyen** et le risque global est **Élevé** en raison de la divergence entre la tendance technique haussière et les perspectives fondamentales de croissance atone. L'horizon d'investissement optimal est le **moyen terme (3-12 mois)**, en attendant de voir si le plan stratégique triennal portera ses fruits et si la croissance du PNB redémarre.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149.60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6,723 titres</w:t>
            </w:r>
          </w:p>
        </w:tc>
        <w:tc>
          <w:tcPr>
            <w:tcW w:type="dxa" w:w="2268"/>
            <w:shd w:fill="FFF2CC" w:val="clear"/>
          </w:tcPr>
          <w:p>
            <w:r>
              <w:rPr>
                <w:b/>
                <w:color w:val="503200"/>
                <w:sz w:val="16"/>
              </w:rPr>
              <w:t xml:space="preserve">Cours actuel : </w:t>
            </w:r>
            <w:r>
              <w:rPr>
                <w:color w:val="000000"/>
                <w:sz w:val="17"/>
              </w:rPr>
              <w:t>5,450 FCFA</w:t>
            </w:r>
          </w:p>
          <w:p>
            <w:r>
              <w:rPr>
                <w:b/>
                <w:color w:val="503200"/>
                <w:sz w:val="16"/>
              </w:rPr>
              <w:t xml:space="preserve">Var. 100 jours : </w:t>
            </w:r>
            <w:r>
              <w:rPr>
                <w:b/>
                <w:color w:val="007800"/>
                <w:sz w:val="17"/>
              </w:rPr>
              <w:t>+27.19%</w:t>
            </w:r>
          </w:p>
          <w:p>
            <w:r>
              <w:rPr>
                <w:b/>
                <w:color w:val="503200"/>
                <w:sz w:val="16"/>
              </w:rPr>
              <w:t xml:space="preserve">Plus haut 100j : </w:t>
            </w:r>
            <w:r>
              <w:rPr>
                <w:color w:val="000000"/>
                <w:sz w:val="17"/>
              </w:rPr>
              <w:t>5,450 FCFA</w:t>
            </w:r>
          </w:p>
          <w:p>
            <w:r>
              <w:rPr>
                <w:b/>
                <w:color w:val="503200"/>
                <w:sz w:val="16"/>
              </w:rPr>
              <w:t xml:space="preserve">Plus bas 100j : </w:t>
            </w:r>
            <w:r>
              <w:rPr>
                <w:color w:val="000000"/>
                <w:sz w:val="17"/>
              </w:rPr>
              <w:t>4,285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μ=4,710 FCFA, σ=221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β=0.3175 (Défensif) — Cov=0.000013, Var(idx)=0.000042, ρ=0.110,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5,131</w:t>
            </w:r>
          </w:p>
        </w:tc>
        <w:tc>
          <w:tcPr>
            <w:tcW w:type="dxa" w:w="1440"/>
            <w:shd w:fill="FAFAFA" w:val="clear"/>
          </w:tcPr>
          <w:p>
            <w:r>
              <w:rPr>
                <w:b/>
                <w:sz w:val="17"/>
              </w:rPr>
              <w:t>5,391</w:t>
            </w:r>
          </w:p>
        </w:tc>
        <w:tc>
          <w:tcPr>
            <w:tcW w:type="dxa" w:w="1440"/>
            <w:shd w:fill="FAFAFA" w:val="clear"/>
          </w:tcPr>
          <w:p>
            <w:r>
              <w:rPr>
                <w:sz w:val="17"/>
              </w:rPr>
              <w:t>5,650</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4,952</w:t>
            </w:r>
          </w:p>
        </w:tc>
        <w:tc>
          <w:tcPr>
            <w:tcW w:type="dxa" w:w="1440"/>
            <w:shd w:fill="FFDCE0" w:val="clear"/>
          </w:tcPr>
          <w:p>
            <w:r>
              <w:rPr>
                <w:b/>
                <w:sz w:val="17"/>
              </w:rPr>
              <w:t>5,313</w:t>
            </w:r>
          </w:p>
        </w:tc>
        <w:tc>
          <w:tcPr>
            <w:tcW w:type="dxa" w:w="1440"/>
            <w:shd w:fill="FFDCE0" w:val="clear"/>
          </w:tcPr>
          <w:p>
            <w:r>
              <w:rPr>
                <w:sz w:val="17"/>
              </w:rPr>
              <w:t>5,675</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4,804</w:t>
            </w:r>
          </w:p>
        </w:tc>
        <w:tc>
          <w:tcPr>
            <w:tcW w:type="dxa" w:w="1440"/>
            <w:shd w:fill="FFDCE0" w:val="clear"/>
          </w:tcPr>
          <w:p>
            <w:r>
              <w:rPr>
                <w:b/>
                <w:sz w:val="17"/>
              </w:rPr>
              <w:t>5,241</w:t>
            </w:r>
          </w:p>
        </w:tc>
        <w:tc>
          <w:tcPr>
            <w:tcW w:type="dxa" w:w="1440"/>
            <w:shd w:fill="FFDCE0" w:val="clear"/>
          </w:tcPr>
          <w:p>
            <w:r>
              <w:rPr>
                <w:sz w:val="17"/>
              </w:rPr>
              <w:t>5,678</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4,682</w:t>
            </w:r>
          </w:p>
        </w:tc>
        <w:tc>
          <w:tcPr>
            <w:tcW w:type="dxa" w:w="1440"/>
            <w:shd w:fill="FFDCE0" w:val="clear"/>
          </w:tcPr>
          <w:p>
            <w:r>
              <w:rPr>
                <w:b/>
                <w:sz w:val="17"/>
              </w:rPr>
              <w:t>5,181</w:t>
            </w:r>
          </w:p>
        </w:tc>
        <w:tc>
          <w:tcPr>
            <w:tcW w:type="dxa" w:w="1440"/>
            <w:shd w:fill="FFDCE0" w:val="clear"/>
          </w:tcPr>
          <w:p>
            <w:r>
              <w:rPr>
                <w:sz w:val="17"/>
              </w:rPr>
              <w:t>5,679</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4,576</w:t>
            </w:r>
          </w:p>
        </w:tc>
        <w:tc>
          <w:tcPr>
            <w:tcW w:type="dxa" w:w="1440"/>
            <w:shd w:fill="FFDCE0" w:val="clear"/>
          </w:tcPr>
          <w:p>
            <w:r>
              <w:rPr>
                <w:b/>
                <w:sz w:val="17"/>
              </w:rPr>
              <w:t>5,128</w:t>
            </w:r>
          </w:p>
        </w:tc>
        <w:tc>
          <w:tcPr>
            <w:tcW w:type="dxa" w:w="1440"/>
            <w:shd w:fill="FFDCE0" w:val="clear"/>
          </w:tcPr>
          <w:p>
            <w:r>
              <w:rPr>
                <w:sz w:val="17"/>
              </w:rPr>
              <w:t>5,680</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4,481</w:t>
            </w:r>
          </w:p>
        </w:tc>
        <w:tc>
          <w:tcPr>
            <w:tcW w:type="dxa" w:w="1440"/>
            <w:shd w:fill="FFDCE0" w:val="clear"/>
          </w:tcPr>
          <w:p>
            <w:r>
              <w:rPr>
                <w:b/>
                <w:sz w:val="17"/>
              </w:rPr>
              <w:t>5,080</w:t>
            </w:r>
          </w:p>
        </w:tc>
        <w:tc>
          <w:tcPr>
            <w:tcW w:type="dxa" w:w="1440"/>
            <w:shd w:fill="FFDCE0" w:val="clear"/>
          </w:tcPr>
          <w:p>
            <w:r>
              <w:rPr>
                <w:sz w:val="17"/>
              </w:rPr>
              <w:t>5,679</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4,394</w:t>
            </w:r>
          </w:p>
        </w:tc>
        <w:tc>
          <w:tcPr>
            <w:tcW w:type="dxa" w:w="1440"/>
            <w:shd w:fill="FFDCE0" w:val="clear"/>
          </w:tcPr>
          <w:p>
            <w:r>
              <w:rPr>
                <w:b/>
                <w:sz w:val="17"/>
              </w:rPr>
              <w:t>5,035</w:t>
            </w:r>
          </w:p>
        </w:tc>
        <w:tc>
          <w:tcPr>
            <w:tcW w:type="dxa" w:w="1440"/>
            <w:shd w:fill="FFDCE0" w:val="clear"/>
          </w:tcPr>
          <w:p>
            <w:r>
              <w:rPr>
                <w:sz w:val="17"/>
              </w:rPr>
              <w:t>5,676</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4,313</w:t>
            </w:r>
          </w:p>
        </w:tc>
        <w:tc>
          <w:tcPr>
            <w:tcW w:type="dxa" w:w="1440"/>
            <w:shd w:fill="FFDCE0" w:val="clear"/>
          </w:tcPr>
          <w:p>
            <w:r>
              <w:rPr>
                <w:b/>
                <w:sz w:val="17"/>
              </w:rPr>
              <w:t>4,992</w:t>
            </w:r>
          </w:p>
        </w:tc>
        <w:tc>
          <w:tcPr>
            <w:tcW w:type="dxa" w:w="1440"/>
            <w:shd w:fill="FFDCE0" w:val="clear"/>
          </w:tcPr>
          <w:p>
            <w:r>
              <w:rPr>
                <w:sz w:val="17"/>
              </w:rPr>
              <w:t>5,672</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4,237</w:t>
            </w:r>
          </w:p>
        </w:tc>
        <w:tc>
          <w:tcPr>
            <w:tcW w:type="dxa" w:w="1440"/>
            <w:shd w:fill="FFDCE0" w:val="clear"/>
          </w:tcPr>
          <w:p>
            <w:r>
              <w:rPr>
                <w:b/>
                <w:sz w:val="17"/>
              </w:rPr>
              <w:t>4,952</w:t>
            </w:r>
          </w:p>
        </w:tc>
        <w:tc>
          <w:tcPr>
            <w:tcW w:type="dxa" w:w="1440"/>
            <w:shd w:fill="FFDCE0" w:val="clear"/>
          </w:tcPr>
          <w:p>
            <w:r>
              <w:rPr>
                <w:sz w:val="17"/>
              </w:rPr>
              <w:t>5,667</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4,165</w:t>
            </w:r>
          </w:p>
        </w:tc>
        <w:tc>
          <w:tcPr>
            <w:tcW w:type="dxa" w:w="1440"/>
            <w:shd w:fill="FFDCE0" w:val="clear"/>
          </w:tcPr>
          <w:p>
            <w:r>
              <w:rPr>
                <w:b/>
                <w:sz w:val="17"/>
              </w:rPr>
              <w:t>4,913</w:t>
            </w:r>
          </w:p>
        </w:tc>
        <w:tc>
          <w:tcPr>
            <w:tcW w:type="dxa" w:w="1440"/>
            <w:shd w:fill="FFDCE0" w:val="clear"/>
          </w:tcPr>
          <w:p>
            <w:r>
              <w:rPr>
                <w:sz w:val="17"/>
              </w:rPr>
              <w:t>5,661</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Voici le rapport d'analyse structuré pour l'action BOAM (Bank of Africa Mali)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149,60 milliards FCFA, BOAM se positionne comme une valeur de taille moyenne sur la BRVM, reflétant son ancrage régional et sa capitalisation boursière modeste par rapport à certains grands groupes bancaires de la zone. Le Bénéfice Par Action (BPA) de 404 FCFA indique que chaque action a généré un profit net de 404 FCFA sur l'exercice 2025. Le PER de 13,5x se situe légèrement au-dessus de la moyenne historique de la BRVM (8-12x), ce qui suggère que le marché valorise la société avec une prime, probablement en raison de sa rentabilité élevée et de ses perspectives de croissance. Le Price-to-Book (P/B) de 3,00x confirme cette prime, le marché valorisant l'actif net comptable trois fois au-dessus de sa valeur, ce qui est typique pour une banque jugée rentable et bien gérée. Enfin, le ratio EV/EBITDA de 6,5x est considéré comme raisonnable, indiquant que la valeur totale de l'entreprise (dette incluse) n'est pas excessive par rapport à sa capacité bénéficiaire opérationnelle.</w:t>
      </w:r>
    </w:p>
    <w:p>
      <w:pPr>
        <w:spacing w:after="120" w:line="276" w:lineRule="auto"/>
      </w:pPr>
      <w:r>
        <w:t>### **PARTIE 1 : ANALYSE DU COURS — STATISTIQUES ET ÉVOLUTION (100 derniers jours)**</w:t>
      </w:r>
    </w:p>
    <w:p>
      <w:pPr>
        <w:spacing w:after="120" w:line="276" w:lineRule="auto"/>
      </w:pPr>
      <w:r>
        <w:t>Sur les 100 derniers jours, l'action BOAM a enregistré une performance remarquable avec une variation totale de +27,19%, clôturant à 5 450 FCFA. La dernière séance a vu une légère progression de +0,46%, confirmant la dynamique haussière. Le cours a évolué dans un large range, oscillant entre un plus bas de 4 285 FCFA et un plus haut de 5 450 FCFA, ce qui représente une amplitude de plus de 27%. La tendance générale est donc clairement haussière. L'analyse des statistiques descriptives révèle un cours moyen de 4 710 FCFA, très proche de la médiane (4 680 FCFA) et du mode (4 700 FCFA), indiquant une distribution relativement symétrique du prix autour de ces valeurs centrales. L'écart-type de 222 FCFA, associé à un coefficient de variation de seulement 4,7%, montre une dispersion modérée du cours autour de la moyenne. Cependant, le kurtosis en excès de 1,720 (leptokurtique) signale un risque de mouvements brusques et de pics de volatilité, tandis que le skewness positif de 1,015 indique que le cours a passé plus de temps en dessous de sa moyenne avant de connaître la récente poussée haussière. La volatilité annualisée de 29,4% est élevée, ce qui classe le titre comme dynamique et potentiellement risqué pour les investisseurs averses au risque.</w:t>
      </w:r>
    </w:p>
    <w:p>
      <w:pPr>
        <w:spacing w:after="120" w:line="276" w:lineRule="auto"/>
      </w:pPr>
      <w:r>
        <w:t>### **PARTIE 2 : ANALYSE TECHNIQUE DÉTAILLÉE**</w:t>
      </w:r>
    </w:p>
    <w:p>
      <w:pPr>
        <w:spacing w:after="120" w:line="276" w:lineRule="auto"/>
      </w:pPr>
      <w:r>
        <w:t>**Moyennes Mobiles** : Le cours actuel de 5 450 FCFA se situe largement au-dessus de la MM20 (4 861,5 FCFA) et de la MM50 (4 810,3 FCFA), formant une configuration haussière solide. La pente des deux moyennes est orientée à la hausse, ce qui confirme la tendance positive et justifie la décision d'**Achat**.</w:t>
      </w:r>
    </w:p>
    <w:p>
      <w:pPr>
        <w:spacing w:after="120" w:line="276" w:lineRule="auto"/>
      </w:pPr>
      <w:r>
        <w:t>**Bandes de Bollinger** : Le cours a touché la borne supérieure des bandes de Bollinger (5 543,6 FCFA), ce qui indique une phase de surachat temporaire. La largeur des bandes suggère une volatilité accrue. La décision est **Neutre**, car un contact avec la borne supérieure peut précéder soit une poursuite de la tendance, soit un repli technique.</w:t>
      </w:r>
    </w:p>
    <w:p>
      <w:pPr>
        <w:spacing w:after="120" w:line="276" w:lineRule="auto"/>
      </w:pPr>
      <w:r>
        <w:t>**MACD** : La ligne MACD (164,7) est nettement au-dessus de sa ligne de signal (92,2), et les deux sont en territoire positif. Cet écart important signale un momentum haussier très fort et une dynamique d'achat soutenue, justifiant une décision d'**Achat**.</w:t>
      </w:r>
    </w:p>
    <w:p>
      <w:pPr>
        <w:spacing w:after="120" w:line="276" w:lineRule="auto"/>
      </w:pPr>
      <w:r>
        <w:t>**RSI** : Avec une valeur de 79,24, le RSI est entré en zone de surachat (au-dessus de 70). Cela indique que l'action a été fortement achetée récemment et qu'un risque de correction technique ou de consolidation à court terme est élevé. La décision est donc **Vente**.</w:t>
      </w:r>
    </w:p>
    <w:p>
      <w:pPr>
        <w:spacing w:after="120" w:line="276" w:lineRule="auto"/>
      </w:pPr>
      <w:r>
        <w:t>**Stochastique** : Les lignes %K et %D sont toutes deux à 100, un niveau extrême de surachat. Cette configuration suggère que l'actif est survendu et qu'un retournement baissier est statistiquement probable à très court terme. La décision est **Vente**.</w:t>
      </w:r>
    </w:p>
    <w:p>
      <w:pPr>
        <w:spacing w:after="120" w:line="276" w:lineRule="auto"/>
      </w:pPr>
      <w:r>
        <w:t>**Conclusion technique** : L'analyse technique révèle un conflit de signaux. La tendance de fond, portée par les moyennes mobiles et le MACD, est résolument haussière. Cependant, les oscillateurs de momentum (RSI et Stochastique) sont en zone de surachat extrême, signalant un épuisement potentiel de la pression acheteuse à court terme. Cette divergence suggère une phase de consolidation ou un repli technique probable avant une possible reprise de la tendance haussière. La prudence est donc de mise pour les entrées à court terme.</w:t>
      </w:r>
    </w:p>
    <w:p>
      <w:pPr>
        <w:spacing w:after="120" w:line="276" w:lineRule="auto"/>
      </w:pPr>
      <w:r>
        <w:t>### **PARTIE 3 : ANALYSE FONDAMENTALE (SECTION CRITIQUE)**</w:t>
      </w:r>
    </w:p>
    <w:p>
      <w:pPr>
        <w:spacing w:after="120" w:line="276" w:lineRule="auto"/>
      </w:pPr>
      <w:r>
        <w:t>En 2025, les données financières structurées de BOAM révèlent une banque très rentable et bien capitalisée. Le Produit Net Bancaire (PNB) s'élève à 37,996 milliards FCFA, pour un résultat net de 11,081 milliards FCFA, soit une marge nette exceptionnelle de 29,16%. La rentabilité des fonds propres (ROE) atteint 22,24%, un niveau excellent, largement au-dessus du seuil de 15% considéré comme performant. Le coefficient d'exploitation de 63,14% est légèrement au-dessus du seuil d'efficacité de 60%, indiquant une marge de progression dans la maîtrise des charges. Le coût du risque, mesuré par le ratio provisions/charges financières, est élevé à 43,39%, ce qui est un point de vigilance sur la qualité du portefeuille de crédits. Les dépôts de la clientèle (502,89 Mds FCFA) sont deux fois supérieurs aux créances sur la clientèle (253,65 Mds FCFA), ce qui confère à la banque une liquidité abondante et une capacité de transformation saine. Les rapports trimestriels de 2025 confirment cette tendance : le PNB a progressé de +5,8% sur les neuf premiers mois, tandis que le résultat net a bondi de +26,2% sur la même période, porté par une baisse du coût du risque et une maîtrise des frais généraux. Sur la base de ces performances, on estime que l'exercice 2025 devrait confirmer un résultat net annuel supérieur à 11 milliards FCFA, avec une poursuite de l'amélioration de la rentabilité. La solidité financière est indéniable, mais le risque de crédit et l'environnement sécuritaire au Mali restent des facteurs à surveiller.</w:t>
      </w:r>
    </w:p>
    <w:p>
      <w:pPr>
        <w:spacing w:after="120" w:line="276" w:lineRule="auto"/>
      </w:pPr>
      <w:r>
        <w:t>### **PARTIE 4 : CONCLUSION D'INVESTISSEMENT**</w:t>
      </w:r>
    </w:p>
    <w:p>
      <w:pPr>
        <w:spacing w:after="120" w:line="276" w:lineRule="auto"/>
      </w:pPr>
      <w:r>
        <w:t>La synthèse globale de l'action BOAM présente un profil contrasté mais globalement positif. La **valorisation** (Partie 0) est raisonnable avec un PER de 13,5x et un EV/EBITDA de 6,5x, justifiée par une rentabilité élevée. Le **comportement du cours** (Partie 1) est haussier et dynamique, avec une volatilité élevée et des statistiques (kurtosis, skewness) suggérant un potentiel de mouvements brusques. Les **signaux techniques** (Partie 2) sont en divergence : la tendance de fond est haussière (MM, MACD), mais les oscillateurs (RSI, Stochastique) crient surachat, annonçant une possible consolidation. Les **fondamentaux** (Partie 3) sont excellents, avec une rentabilité record (ROE &gt;22%), une liquidité abondante et une croissance soutenue du résultat net. Enfin, les **prédictions IA** pour les 10 prochains jours projettent un repli progressif du cours (de 5 391 à 5 128 FCFA), ce qui corrobore le signal de surachat technique.</w:t>
      </w:r>
    </w:p>
    <w:p>
      <w:pPr>
        <w:spacing w:after="120" w:line="276" w:lineRule="auto"/>
      </w:pPr>
      <w:r>
        <w:t>Sur la base de cette analyse, la recommandation est **CONSERVER**. La convergence entre les fondamentaux solides et la tendance haussière de long terme est évidente. Cependant, la divergence entre les signaux techniques de court terme (surachat) et les prédictions IA baissières incite à la prudence. Le niveau de confiance est **Moyen**, car le conflit de signaux rend l'issue à court terme incertaine. Le niveau de risque global est **Élevé**, principalement en raison de la volatilité du titre et des risques macroéconomiques et sécuritaires au Mali. L'horizon d'investissement optimal est le **moyen à long terme** (&gt;6 mois), en profitant d'éventuels replis techniques pour renforcer la position. Une entrée à court terme est déconseillée avant une correction ou une consolidation du RSI et du Stochastique.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11,531 titres</w:t>
            </w:r>
          </w:p>
        </w:tc>
        <w:tc>
          <w:tcPr>
            <w:tcW w:type="dxa" w:w="2268"/>
            <w:shd w:fill="FFF2CC" w:val="clear"/>
          </w:tcPr>
          <w:p>
            <w:r>
              <w:rPr>
                <w:b/>
                <w:color w:val="503200"/>
                <w:sz w:val="16"/>
              </w:rPr>
              <w:t xml:space="preserve">Cours actuel : </w:t>
            </w:r>
            <w:r>
              <w:rPr>
                <w:color w:val="000000"/>
                <w:sz w:val="17"/>
              </w:rPr>
              <w:t>4,790 FCFA</w:t>
            </w:r>
          </w:p>
          <w:p>
            <w:r>
              <w:rPr>
                <w:b/>
                <w:color w:val="503200"/>
                <w:sz w:val="16"/>
              </w:rPr>
              <w:t xml:space="preserve">Var. 100 jours : </w:t>
            </w:r>
            <w:r>
              <w:rPr>
                <w:b/>
                <w:color w:val="007800"/>
                <w:sz w:val="17"/>
              </w:rPr>
              <w:t>+84.23%</w:t>
            </w:r>
          </w:p>
          <w:p>
            <w:r>
              <w:rPr>
                <w:b/>
                <w:color w:val="503200"/>
                <w:sz w:val="16"/>
              </w:rPr>
              <w:t xml:space="preserve">Plus haut 100j : </w:t>
            </w:r>
            <w:r>
              <w:rPr>
                <w:color w:val="000000"/>
                <w:sz w:val="17"/>
              </w:rPr>
              <w:t>4,790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17.20% (Élevée) — μ=3,320 FCFA, σ=571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β=0.8461 (Neutre (suit le marché)) — Cov=0.000035, Var(idx)=0.000042, ρ=0.191,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11,531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4,432</w:t>
            </w:r>
          </w:p>
        </w:tc>
        <w:tc>
          <w:tcPr>
            <w:tcW w:type="dxa" w:w="1440"/>
            <w:shd w:fill="FFDCE0" w:val="clear"/>
          </w:tcPr>
          <w:p>
            <w:r>
              <w:rPr>
                <w:b/>
                <w:sz w:val="17"/>
              </w:rPr>
              <w:t>4,597</w:t>
            </w:r>
          </w:p>
        </w:tc>
        <w:tc>
          <w:tcPr>
            <w:tcW w:type="dxa" w:w="1440"/>
            <w:shd w:fill="FFDCE0" w:val="clear"/>
          </w:tcPr>
          <w:p>
            <w:r>
              <w:rPr>
                <w:sz w:val="17"/>
              </w:rPr>
              <w:t>4,762</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4,402</w:t>
            </w:r>
          </w:p>
        </w:tc>
        <w:tc>
          <w:tcPr>
            <w:tcW w:type="dxa" w:w="1440"/>
            <w:shd w:fill="FFDCE0" w:val="clear"/>
          </w:tcPr>
          <w:p>
            <w:r>
              <w:rPr>
                <w:b/>
                <w:sz w:val="17"/>
              </w:rPr>
              <w:t>4,637</w:t>
            </w:r>
          </w:p>
        </w:tc>
        <w:tc>
          <w:tcPr>
            <w:tcW w:type="dxa" w:w="1440"/>
            <w:shd w:fill="FFDCE0" w:val="clear"/>
          </w:tcPr>
          <w:p>
            <w:r>
              <w:rPr>
                <w:sz w:val="17"/>
              </w:rPr>
              <w:t>4,873</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4,353</w:t>
            </w:r>
          </w:p>
        </w:tc>
        <w:tc>
          <w:tcPr>
            <w:tcW w:type="dxa" w:w="1440"/>
            <w:shd w:fill="FFDCE0" w:val="clear"/>
          </w:tcPr>
          <w:p>
            <w:r>
              <w:rPr>
                <w:b/>
                <w:sz w:val="17"/>
              </w:rPr>
              <w:t>4,641</w:t>
            </w:r>
          </w:p>
        </w:tc>
        <w:tc>
          <w:tcPr>
            <w:tcW w:type="dxa" w:w="1440"/>
            <w:shd w:fill="FFDCE0" w:val="clear"/>
          </w:tcPr>
          <w:p>
            <w:r>
              <w:rPr>
                <w:sz w:val="17"/>
              </w:rPr>
              <w:t>4,929</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4,306</w:t>
            </w:r>
          </w:p>
        </w:tc>
        <w:tc>
          <w:tcPr>
            <w:tcW w:type="dxa" w:w="1440"/>
            <w:shd w:fill="FFDCE0" w:val="clear"/>
          </w:tcPr>
          <w:p>
            <w:r>
              <w:rPr>
                <w:b/>
                <w:sz w:val="17"/>
              </w:rPr>
              <w:t>4,638</w:t>
            </w:r>
          </w:p>
        </w:tc>
        <w:tc>
          <w:tcPr>
            <w:tcW w:type="dxa" w:w="1440"/>
            <w:shd w:fill="FFDCE0" w:val="clear"/>
          </w:tcPr>
          <w:p>
            <w:r>
              <w:rPr>
                <w:sz w:val="17"/>
              </w:rPr>
              <w:t>4,971</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4,263</w:t>
            </w:r>
          </w:p>
        </w:tc>
        <w:tc>
          <w:tcPr>
            <w:tcW w:type="dxa" w:w="1440"/>
            <w:shd w:fill="FFDCE0" w:val="clear"/>
          </w:tcPr>
          <w:p>
            <w:r>
              <w:rPr>
                <w:b/>
                <w:sz w:val="17"/>
              </w:rPr>
              <w:t>4,635</w:t>
            </w:r>
          </w:p>
        </w:tc>
        <w:tc>
          <w:tcPr>
            <w:tcW w:type="dxa" w:w="1440"/>
            <w:shd w:fill="FFDCE0" w:val="clear"/>
          </w:tcPr>
          <w:p>
            <w:r>
              <w:rPr>
                <w:sz w:val="17"/>
              </w:rPr>
              <w:t>5,007</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4,225</w:t>
            </w:r>
          </w:p>
        </w:tc>
        <w:tc>
          <w:tcPr>
            <w:tcW w:type="dxa" w:w="1440"/>
            <w:shd w:fill="FFDCE0" w:val="clear"/>
          </w:tcPr>
          <w:p>
            <w:r>
              <w:rPr>
                <w:b/>
                <w:sz w:val="17"/>
              </w:rPr>
              <w:t>4,632</w:t>
            </w:r>
          </w:p>
        </w:tc>
        <w:tc>
          <w:tcPr>
            <w:tcW w:type="dxa" w:w="1440"/>
            <w:shd w:fill="FFDCE0" w:val="clear"/>
          </w:tcPr>
          <w:p>
            <w:r>
              <w:rPr>
                <w:sz w:val="17"/>
              </w:rPr>
              <w:t>5,039</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4,189</w:t>
            </w:r>
          </w:p>
        </w:tc>
        <w:tc>
          <w:tcPr>
            <w:tcW w:type="dxa" w:w="1440"/>
            <w:shd w:fill="FFDCE0" w:val="clear"/>
          </w:tcPr>
          <w:p>
            <w:r>
              <w:rPr>
                <w:b/>
                <w:sz w:val="17"/>
              </w:rPr>
              <w:t>4,628</w:t>
            </w:r>
          </w:p>
        </w:tc>
        <w:tc>
          <w:tcPr>
            <w:tcW w:type="dxa" w:w="1440"/>
            <w:shd w:fill="FFDCE0" w:val="clear"/>
          </w:tcPr>
          <w:p>
            <w:r>
              <w:rPr>
                <w:sz w:val="17"/>
              </w:rPr>
              <w:t>5,068</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4,156</w:t>
            </w:r>
          </w:p>
        </w:tc>
        <w:tc>
          <w:tcPr>
            <w:tcW w:type="dxa" w:w="1440"/>
            <w:shd w:fill="FFDCE0" w:val="clear"/>
          </w:tcPr>
          <w:p>
            <w:r>
              <w:rPr>
                <w:b/>
                <w:sz w:val="17"/>
              </w:rPr>
              <w:t>4,625</w:t>
            </w:r>
          </w:p>
        </w:tc>
        <w:tc>
          <w:tcPr>
            <w:tcW w:type="dxa" w:w="1440"/>
            <w:shd w:fill="FFDCE0" w:val="clear"/>
          </w:tcPr>
          <w:p>
            <w:r>
              <w:rPr>
                <w:sz w:val="17"/>
              </w:rPr>
              <w:t>5,094</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4,124</w:t>
            </w:r>
          </w:p>
        </w:tc>
        <w:tc>
          <w:tcPr>
            <w:tcW w:type="dxa" w:w="1440"/>
            <w:shd w:fill="FFDCE0" w:val="clear"/>
          </w:tcPr>
          <w:p>
            <w:r>
              <w:rPr>
                <w:b/>
                <w:sz w:val="17"/>
              </w:rPr>
              <w:t>4,621</w:t>
            </w:r>
          </w:p>
        </w:tc>
        <w:tc>
          <w:tcPr>
            <w:tcW w:type="dxa" w:w="1440"/>
            <w:shd w:fill="FFDCE0" w:val="clear"/>
          </w:tcPr>
          <w:p>
            <w:r>
              <w:rPr>
                <w:sz w:val="17"/>
              </w:rPr>
              <w:t>5,119</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4,094</w:t>
            </w:r>
          </w:p>
        </w:tc>
        <w:tc>
          <w:tcPr>
            <w:tcW w:type="dxa" w:w="1440"/>
            <w:shd w:fill="FFDCE0" w:val="clear"/>
          </w:tcPr>
          <w:p>
            <w:r>
              <w:rPr>
                <w:b/>
                <w:sz w:val="17"/>
              </w:rPr>
              <w:t>4,618</w:t>
            </w:r>
          </w:p>
        </w:tc>
        <w:tc>
          <w:tcPr>
            <w:tcW w:type="dxa" w:w="1440"/>
            <w:shd w:fill="FFDCE0" w:val="clear"/>
          </w:tcPr>
          <w:p>
            <w:r>
              <w:rPr>
                <w:sz w:val="17"/>
              </w:rPr>
              <w:t>5,142</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Voici le rapport d’analyse structuré pour l’action **BOAN (Bank of Africa Niger)**.</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**99,63 milliards FCFA**, BOAN se positionne comme une valeur de taille moyenne sur le marché de la BRVM. Le Bénéfice Par Action (BPA) de **20 FCFA** est extrêmement faible, ce qui conduit à un **PER de 243,6x**. Ce ratio est très largement supérieur à la moyenne du marché BRVM (8-12x), indiquant que les investisseurs paient un prix très élevé pour un bénéfice unitaire dérisoire, signe d'une surévaluation spéculative ou d'une anticipation de rebond massif. Le **P/B de 2,76x** (Price/Book) suggère que le marché valorise la société à près de trois fois ses capitaux propres, ce qui est élevé pour une banque affichant une rentabilité aussi faible. Enfin, le ratio **EV/EBITDA de 38,3x** est très exigeant, confirmant que la valeur d'entreprise est disproportionnée par rapport à la capacité bénéficiaire opérationnelle de la banque.</w:t>
      </w:r>
    </w:p>
    <w:p>
      <w:pPr>
        <w:spacing w:after="120" w:line="276" w:lineRule="auto"/>
      </w:pPr>
      <w:r>
        <w:t>### **PARTIE 1 : ANALYSE DU COURS — STATISTIQUES ET ÉVOLUTION (100 derniers jours)**</w:t>
      </w:r>
    </w:p>
    <w:p>
      <w:pPr>
        <w:spacing w:after="120" w:line="276" w:lineRule="auto"/>
      </w:pPr>
      <w:r>
        <w:t>Sur les 100 derniers jours, l'action BOAN a connu une **hausse spectaculaire de +84,23%** , atteignant un cours actuel de **4 790 FCFA**, son plus haut niveau sur la période. La dernière séance a vu une accélération de **+6,44%** , confirmant un fort momentum haussier. Le cours a évolué dans une large fourchette, entre un plus bas de **2 460 FCFA** et ce plus haut. La moyenne du cours sur la période est de **3 320 FCFA**, tandis que la médiane est légèrement supérieure à **3 448 FCFA**, indiquant une distribution légèrement asymétrique. L'**écart-type de 574 FCFA** (coefficient de variation de 17,3%) révèle une dispersion modérée du cours autour de la moyenne. Le **kurtosis négatif (-1,024)** confirme une distribution platykurtique, c'est-à-dire une faible probabilité de mouvements extrêmes, ce qui contredit la volatilité observée. Le **skewness positif (0,209)** indique une distribution quasi symétrique. Enfin, la **volatilité annualisée de 45,4%** est très élevée, classant le titre comme risqué et sujet à de fortes fluctuations.</w:t>
      </w:r>
    </w:p>
    <w:p>
      <w:pPr>
        <w:spacing w:after="120" w:line="276" w:lineRule="auto"/>
      </w:pPr>
      <w:r>
        <w:t>### **PARTIE 2 : ANALYSE TECHNIQUE DÉTAILLÉE**</w:t>
      </w:r>
    </w:p>
    <w:p>
      <w:pPr>
        <w:spacing w:after="120" w:line="276" w:lineRule="auto"/>
      </w:pPr>
      <w:r>
        <w:t>*   **Moyennes Mobiles** : Le cours actuel (4 790 FCFA) évolue nettement au-dessus de la MM20 (4 091 FCFA) et de la MM50 (3 806 FCFA). Cette configuration est un signal haussier fort, indiquant une dynamique de court et moyen terme très positive. La décision est à l'**Achat**.</w:t>
        <w:br/>
        <w:t>*   **Bandes de Bollinger** : Le cours a franchi la borne supérieure des bandes (4 662,9 FCFA), ce qui est un signal classique de surachat et de volatilité excessive. Cela suggère que le prix pourrait être temporairement surévalué et susceptible d'une correction. La décision est à la **Vente**.</w:t>
        <w:br/>
        <w:t>*   **MACD** : Le MACD (213,009) est nettement au-dessus de sa ligne de signal (167,451), indiquant un momentum haussier très fort et une accélération de la tendance. Cet écart croissant est un signal d'**Achat**.</w:t>
        <w:br/>
        <w:t>*   **RSI** : Le RSI est à **81,757**, bien au-dessus du seuil de surachat (70). Cela confirme que l'action est en territoire de surachat extrême, ce qui précède souvent un retournement ou une consolidation. La décision est à la **Vente**.</w:t>
        <w:br/>
        <w:t>*   **Stochastique** : Les %K et %D sont tous deux à **100,0**, un niveau de surachat extrême. Cela indique que l'action est "surachetée" au plus haut degré possible, renforçant le signal de vente technique.</w:t>
      </w:r>
    </w:p>
    <w:p>
      <w:pPr>
        <w:spacing w:after="120" w:line="276" w:lineRule="auto"/>
      </w:pPr>
      <w:r>
        <w:t>**Conclusion technique** : L'analyse technique est fortement contradictoire. Les indicateurs de tendance (Moyennes Mobiles, MACD) sont résolument haussiers et suggèrent une poursuite de la dynamique. En revanche, les oscillateurs (Bandes de Bollinger, RSI, Stochastique) crient "surachat" et envoient des signaux de vente. Cette divergence indique que le titre est dans une phase d'euphorie spéculative, où la tendance est forte mais le risque de correction technique est très élevé à court terme.</w:t>
      </w:r>
    </w:p>
    <w:p>
      <w:pPr>
        <w:spacing w:after="120" w:line="276" w:lineRule="auto"/>
      </w:pPr>
      <w:r>
        <w:t>### **PARTIE 3 : ANALYSE FONDAMENTALE (SECTION CRITIQUE)**</w:t>
      </w:r>
    </w:p>
    <w:p>
      <w:pPr>
        <w:spacing w:after="120" w:line="276" w:lineRule="auto"/>
      </w:pPr>
      <w:r>
        <w:t>En se basant sur les données financières structurées de l'exercice **2025**, la situation de BOAN est préoccupante. Le Produit Net Bancaire (PNB) s'établit à **21,125 milliards FCFA**, en légère baisse de 1,2% par rapport à 2024. Le résultat net s'effondre à seulement **409 millions FCFA**, soit une chute vertigineuse de **91,8%** par rapport à 2024. Cette dégradation se reflète dans les ratios de rentabilité : le **ROE** est tombé à **1,13%** et le **ROA** à **0,14%**, des niveaux très faibles pour le secteur bancaire. Le **coefficient d'exploitation** de **74,37%** est élevé, indiquant une mauvaise maîtrise des charges par rapport au PNB. Le **coût du risque** est très élevé (67,3%), ce qui confirme la mauvaise qualité du portefeuille de crédits dans un contexte nigérien difficile (taux de créances douteuses sectoriel de 24%). Les rapports trimestriels de 2025 confirment cette tendance, avec un résultat net en baisse de 50% au T1 et de 33% sur les 9 mois. Cependant, le rapport du **T1 2026** (daté de 2026) offre une lueur d'espoir : le résultat net progresse de **+28,9%** à 1,467 milliard FCFA, le PNB augmente de **+7,9%** et le coefficient d'exploitation s'améliore à **56,2%**. Sur la base de ce T1 2026, on estime que l'exercice 2026 pourrait marquer un net redressement de la rentabilité, si la tendance se confirme.</w:t>
      </w:r>
    </w:p>
    <w:p>
      <w:pPr>
        <w:spacing w:after="120" w:line="276" w:lineRule="auto"/>
      </w:pPr>
      <w:r>
        <w:t>### **PARTIE 4 : CONCLUSION D'INVESTISSEMENT**</w:t>
      </w:r>
    </w:p>
    <w:p>
      <w:pPr>
        <w:spacing w:after="120" w:line="276" w:lineRule="auto"/>
      </w:pPr>
      <w:r>
        <w:t>La synthèse des analyses révèle un tableau très contrasté. La **valorisation (Partie 0)** est extrêmement tendue (PER de 243x), suggérant une surévaluation spéculative. Le **comportement du cours (Partie 1)** montre une hausse fulgurante et une volatilité très élevée, typique d'un mouvement spéculatif. Les **signaux techniques (Partie 2)** sont en pleine divergence : la tendance est haussière mais tous les oscillateurs crient "surachat", annonçant un risque de correction. Enfin, les **fondamentaux (Partie 3)** sont très dégradés pour 2025, mais le T1 2026 montre des signes encourageants de redressement. Les **prédictions IA** pour les 10 prochains jours (autour de 4 635-4 641 FCFA) suggèrent une stabilisation après la forte hausse, ce qui pourrait être le début d'une consolidation.</w:t>
      </w:r>
    </w:p>
    <w:p>
      <w:pPr>
        <w:spacing w:after="120" w:line="276" w:lineRule="auto"/>
      </w:pPr>
      <w:r>
        <w:t>**Recommandation finale : CONSERVER (avec une extrême prudence)**</w:t>
        <w:br/>
        <w:t>*   **Justification** : La convergence entre la valorisation excessive, les signaux techniques de surachat et la faiblesse des fondamentaux 2025 plaide pour une prudence maximale. Cependant, le potentiel de rebond en 2026 (confirmé par le T1) et la dynamique haussière du cours empêchent de recommander une vente. L'investisseur doit être conscient qu'il achète un titre très risqué et surévalué à court terme.</w:t>
        <w:br/>
        <w:t>*   **Niveau de confiance** : **Faible** (en raison des contradictions majeures entre les analyses).</w:t>
        <w:br/>
        <w:t>*   **Niveau de risque global** : **Élevé** (volatilité, surachat technique, fragilité fondamentale).</w:t>
        <w:br/>
        <w:t>*   **Horizon d'investissement optimal** : **Moyen terme (6-12 mois)** pour espérer capitaliser sur le redressement fondamental attendu, mais en acceptant une forte volatilité à court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262.80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8,381 titres</w:t>
            </w:r>
          </w:p>
        </w:tc>
        <w:tc>
          <w:tcPr>
            <w:tcW w:type="dxa" w:w="2268"/>
            <w:shd w:fill="FFF2CC" w:val="clear"/>
          </w:tcPr>
          <w:p>
            <w:r>
              <w:rPr>
                <w:b/>
                <w:color w:val="503200"/>
                <w:sz w:val="16"/>
              </w:rPr>
              <w:t xml:space="preserve">Cours actuel : </w:t>
            </w:r>
            <w:r>
              <w:rPr>
                <w:color w:val="000000"/>
                <w:sz w:val="17"/>
              </w:rPr>
              <w:t>7,300 FCFA</w:t>
            </w:r>
          </w:p>
          <w:p>
            <w:r>
              <w:rPr>
                <w:b/>
                <w:color w:val="503200"/>
                <w:sz w:val="16"/>
              </w:rPr>
              <w:t xml:space="preserve">Var. 100 jours : </w:t>
            </w:r>
            <w:r>
              <w:rPr>
                <w:b/>
                <w:color w:val="007800"/>
                <w:sz w:val="17"/>
              </w:rPr>
              <w:t>+23.73%</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5,890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6.86% (Moyenne) — μ=7,015 FCFA, σ=482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β=0.8272 (Neutre (suit le marché)) — Cov=0.000034, Var(idx)=0.000042, ρ=0.304,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8,381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7,037</w:t>
            </w:r>
          </w:p>
        </w:tc>
        <w:tc>
          <w:tcPr>
            <w:tcW w:type="dxa" w:w="1440"/>
            <w:shd w:fill="FAFAFA" w:val="clear"/>
          </w:tcPr>
          <w:p>
            <w:r>
              <w:rPr>
                <w:b/>
                <w:sz w:val="17"/>
              </w:rPr>
              <w:t>7,163</w:t>
            </w:r>
          </w:p>
        </w:tc>
        <w:tc>
          <w:tcPr>
            <w:tcW w:type="dxa" w:w="1440"/>
            <w:shd w:fill="FAFAFA" w:val="clear"/>
          </w:tcPr>
          <w:p>
            <w:r>
              <w:rPr>
                <w:sz w:val="17"/>
              </w:rPr>
              <w:t>7,290</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6,898</w:t>
            </w:r>
          </w:p>
        </w:tc>
        <w:tc>
          <w:tcPr>
            <w:tcW w:type="dxa" w:w="1440"/>
            <w:shd w:fill="FFDCE0" w:val="clear"/>
          </w:tcPr>
          <w:p>
            <w:r>
              <w:rPr>
                <w:b/>
                <w:sz w:val="17"/>
              </w:rPr>
              <w:t>7,075</w:t>
            </w:r>
          </w:p>
        </w:tc>
        <w:tc>
          <w:tcPr>
            <w:tcW w:type="dxa" w:w="1440"/>
            <w:shd w:fill="FFDCE0" w:val="clear"/>
          </w:tcPr>
          <w:p>
            <w:r>
              <w:rPr>
                <w:sz w:val="17"/>
              </w:rPr>
              <w:t>7,251</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6,773</w:t>
            </w:r>
          </w:p>
        </w:tc>
        <w:tc>
          <w:tcPr>
            <w:tcW w:type="dxa" w:w="1440"/>
            <w:shd w:fill="FFDCE0" w:val="clear"/>
          </w:tcPr>
          <w:p>
            <w:r>
              <w:rPr>
                <w:b/>
                <w:sz w:val="17"/>
              </w:rPr>
              <w:t>6,987</w:t>
            </w:r>
          </w:p>
        </w:tc>
        <w:tc>
          <w:tcPr>
            <w:tcW w:type="dxa" w:w="1440"/>
            <w:shd w:fill="FFDCE0" w:val="clear"/>
          </w:tcPr>
          <w:p>
            <w:r>
              <w:rPr>
                <w:sz w:val="17"/>
              </w:rPr>
              <w:t>7,200</w:t>
            </w:r>
          </w:p>
        </w:tc>
        <w:tc>
          <w:tcPr>
            <w:tcW w:type="dxa" w:w="1440"/>
            <w:shd w:fill="FFDCE0" w:val="clear"/>
          </w:tcPr>
          <w:p>
            <w:r>
              <w:rPr>
                <w:b/>
                <w:color w:val="C00000"/>
                <w:sz w:val="17"/>
              </w:rPr>
              <w:t>-4.3%</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6,661</w:t>
            </w:r>
          </w:p>
        </w:tc>
        <w:tc>
          <w:tcPr>
            <w:tcW w:type="dxa" w:w="1440"/>
            <w:shd w:fill="FFDCE0" w:val="clear"/>
          </w:tcPr>
          <w:p>
            <w:r>
              <w:rPr>
                <w:b/>
                <w:sz w:val="17"/>
              </w:rPr>
              <w:t>6,905</w:t>
            </w:r>
          </w:p>
        </w:tc>
        <w:tc>
          <w:tcPr>
            <w:tcW w:type="dxa" w:w="1440"/>
            <w:shd w:fill="FFDCE0" w:val="clear"/>
          </w:tcPr>
          <w:p>
            <w:r>
              <w:rPr>
                <w:sz w:val="17"/>
              </w:rPr>
              <w:t>7,149</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6,558</w:t>
            </w:r>
          </w:p>
        </w:tc>
        <w:tc>
          <w:tcPr>
            <w:tcW w:type="dxa" w:w="1440"/>
            <w:shd w:fill="FFDCE0" w:val="clear"/>
          </w:tcPr>
          <w:p>
            <w:r>
              <w:rPr>
                <w:b/>
                <w:sz w:val="17"/>
              </w:rPr>
              <w:t>6,827</w:t>
            </w:r>
          </w:p>
        </w:tc>
        <w:tc>
          <w:tcPr>
            <w:tcW w:type="dxa" w:w="1440"/>
            <w:shd w:fill="FFDCE0" w:val="clear"/>
          </w:tcPr>
          <w:p>
            <w:r>
              <w:rPr>
                <w:sz w:val="17"/>
              </w:rPr>
              <w:t>7,097</w:t>
            </w:r>
          </w:p>
        </w:tc>
        <w:tc>
          <w:tcPr>
            <w:tcW w:type="dxa" w:w="1440"/>
            <w:shd w:fill="FFDCE0" w:val="clear"/>
          </w:tcPr>
          <w:p>
            <w:r>
              <w:rPr>
                <w:b/>
                <w:color w:val="C00000"/>
                <w:sz w:val="17"/>
              </w:rPr>
              <w:t>-6.5%</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6,462</w:t>
            </w:r>
          </w:p>
        </w:tc>
        <w:tc>
          <w:tcPr>
            <w:tcW w:type="dxa" w:w="1440"/>
            <w:shd w:fill="FFDCE0" w:val="clear"/>
          </w:tcPr>
          <w:p>
            <w:r>
              <w:rPr>
                <w:b/>
                <w:sz w:val="17"/>
              </w:rPr>
              <w:t>6,754</w:t>
            </w:r>
          </w:p>
        </w:tc>
        <w:tc>
          <w:tcPr>
            <w:tcW w:type="dxa" w:w="1440"/>
            <w:shd w:fill="FFDCE0" w:val="clear"/>
          </w:tcPr>
          <w:p>
            <w:r>
              <w:rPr>
                <w:sz w:val="17"/>
              </w:rPr>
              <w:t>7,046</w:t>
            </w:r>
          </w:p>
        </w:tc>
        <w:tc>
          <w:tcPr>
            <w:tcW w:type="dxa" w:w="1440"/>
            <w:shd w:fill="FFDCE0" w:val="clear"/>
          </w:tcPr>
          <w:p>
            <w:r>
              <w:rPr>
                <w:b/>
                <w:color w:val="C00000"/>
                <w:sz w:val="17"/>
              </w:rPr>
              <w:t>-7.5%</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6,371</w:t>
            </w:r>
          </w:p>
        </w:tc>
        <w:tc>
          <w:tcPr>
            <w:tcW w:type="dxa" w:w="1440"/>
            <w:shd w:fill="FFDCE0" w:val="clear"/>
          </w:tcPr>
          <w:p>
            <w:r>
              <w:rPr>
                <w:b/>
                <w:sz w:val="17"/>
              </w:rPr>
              <w:t>6,684</w:t>
            </w:r>
          </w:p>
        </w:tc>
        <w:tc>
          <w:tcPr>
            <w:tcW w:type="dxa" w:w="1440"/>
            <w:shd w:fill="FFDCE0" w:val="clear"/>
          </w:tcPr>
          <w:p>
            <w:r>
              <w:rPr>
                <w:sz w:val="17"/>
              </w:rPr>
              <w:t>6,996</w:t>
            </w:r>
          </w:p>
        </w:tc>
        <w:tc>
          <w:tcPr>
            <w:tcW w:type="dxa" w:w="1440"/>
            <w:shd w:fill="FFDCE0" w:val="clear"/>
          </w:tcPr>
          <w:p>
            <w:r>
              <w:rPr>
                <w:b/>
                <w:color w:val="C00000"/>
                <w:sz w:val="17"/>
              </w:rPr>
              <w:t>-8.4%</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6,286</w:t>
            </w:r>
          </w:p>
        </w:tc>
        <w:tc>
          <w:tcPr>
            <w:tcW w:type="dxa" w:w="1440"/>
            <w:shd w:fill="FFDCE0" w:val="clear"/>
          </w:tcPr>
          <w:p>
            <w:r>
              <w:rPr>
                <w:b/>
                <w:sz w:val="17"/>
              </w:rPr>
              <w:t>6,617</w:t>
            </w:r>
          </w:p>
        </w:tc>
        <w:tc>
          <w:tcPr>
            <w:tcW w:type="dxa" w:w="1440"/>
            <w:shd w:fill="FFDCE0" w:val="clear"/>
          </w:tcPr>
          <w:p>
            <w:r>
              <w:rPr>
                <w:sz w:val="17"/>
              </w:rPr>
              <w:t>6,947</w:t>
            </w:r>
          </w:p>
        </w:tc>
        <w:tc>
          <w:tcPr>
            <w:tcW w:type="dxa" w:w="1440"/>
            <w:shd w:fill="FFDCE0" w:val="clear"/>
          </w:tcPr>
          <w:p>
            <w:r>
              <w:rPr>
                <w:b/>
                <w:color w:val="C00000"/>
                <w:sz w:val="17"/>
              </w:rPr>
              <w:t>-9.4%</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6,205</w:t>
            </w:r>
          </w:p>
        </w:tc>
        <w:tc>
          <w:tcPr>
            <w:tcW w:type="dxa" w:w="1440"/>
            <w:shd w:fill="FFDCE0" w:val="clear"/>
          </w:tcPr>
          <w:p>
            <w:r>
              <w:rPr>
                <w:b/>
                <w:sz w:val="17"/>
              </w:rPr>
              <w:t>6,553</w:t>
            </w:r>
          </w:p>
        </w:tc>
        <w:tc>
          <w:tcPr>
            <w:tcW w:type="dxa" w:w="1440"/>
            <w:shd w:fill="FFDCE0" w:val="clear"/>
          </w:tcPr>
          <w:p>
            <w:r>
              <w:rPr>
                <w:sz w:val="17"/>
              </w:rPr>
              <w:t>6,900</w:t>
            </w:r>
          </w:p>
        </w:tc>
        <w:tc>
          <w:tcPr>
            <w:tcW w:type="dxa" w:w="1440"/>
            <w:shd w:fill="FFDCE0" w:val="clear"/>
          </w:tcPr>
          <w:p>
            <w:r>
              <w:rPr>
                <w:b/>
                <w:color w:val="C00000"/>
                <w:sz w:val="17"/>
              </w:rPr>
              <w:t>-10.2%</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6,129</w:t>
            </w:r>
          </w:p>
        </w:tc>
        <w:tc>
          <w:tcPr>
            <w:tcW w:type="dxa" w:w="1440"/>
            <w:shd w:fill="FFDCE0" w:val="clear"/>
          </w:tcPr>
          <w:p>
            <w:r>
              <w:rPr>
                <w:b/>
                <w:sz w:val="17"/>
              </w:rPr>
              <w:t>6,491</w:t>
            </w:r>
          </w:p>
        </w:tc>
        <w:tc>
          <w:tcPr>
            <w:tcW w:type="dxa" w:w="1440"/>
            <w:shd w:fill="FFDCE0" w:val="clear"/>
          </w:tcPr>
          <w:p>
            <w:r>
              <w:rPr>
                <w:sz w:val="17"/>
              </w:rPr>
              <w:t>6,854</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Voici le rapport d’analyse structuré pour l’action **BOAS (Bank of Africa Sénégal)**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**262,80 milliards FCFA**, BOAS se positionne comme une valeur de premier plan sur la BRVM, reflétant une taille significative dans le secteur bancaire régional. Le **BPA (Bénéfice Par Action)** de **608 FCFA** indique que chaque action a généré ce montant de bénéfice net au titre de l’exercice 2025. Le **PER (Price/Earnings)** de **12,0x** se situe dans la fourchette haute de la moyenne historique de la BRVM (8-12x), suggérant que les investisseurs sont prêts à payer une prime modérée pour les bénéfices de la banque, ce qui traduit une confiance dans sa capacité à maintenir sa rentabilité. Le **P/B (Price/Book)** de **2,72x** confirme cette prime, le marché valorisant l’actif net comptable de la banque près de trois fois sa valeur, ce qui est typique pour une banque affichant un ROE élevé. Enfin, le ratio **EV/EBITDA de 7,6x** est considéré comme raisonnable, indiquant que la valeur d’entreprise n’est pas excessive par rapport à la capacité bénéficiaire opérationnelle de la banque.</w:t>
      </w:r>
    </w:p>
    <w:p>
      <w:pPr>
        <w:spacing w:after="120" w:line="276" w:lineRule="auto"/>
      </w:pPr>
      <w:r>
        <w:t>### **PARTIE 1 : ANALYSE DU COURS — STATISTIQUES ET ÉVOLUTION (100 derniers jours)**</w:t>
      </w:r>
    </w:p>
    <w:p>
      <w:pPr>
        <w:spacing w:after="120" w:line="276" w:lineRule="auto"/>
      </w:pPr>
      <w:r>
        <w:t>Sur les 100 derniers jours, l’action BOAS a enregistré une **variation totale de +23,73%** , démontrant une tendance haussière marquée, bien que la dernière séance ait été stable (variation J-1 de 0,00%). Le cours a évolué dans un large range, touchant un plus haut à **8 050 FCFA** et un plus bas à **5 890 FCFA**, soit une amplitude de 2 160 FCFA. La **moyenne du cours (7 015 FCFA)** étant très proche de la **médiane (7 000 FCFA)** , la distribution des prix est quasi symétrique. L’**écart-type de 484 FCFA** et le **coefficient de variation de 6,9%** indiquent une dispersion modérée des prix autour de la moyenne. Le **kurtosis (excès) de -0,146** confirme une distribution mésokurtique, similaire à une normale, sans risque de pics extrêmes. Le **skewness de -0,384** révèle une légère asymétrie négative, signifiant que les baisses ont été un peu plus fréquentes que les hausses sur la période, mais sans déséquilibre majeur. Enfin, la **volatilité annualisée de 27,7%** classe le titre dans la catégorie des valeurs à **volatilité modérée** (entre 15% et 30%), ce qui est acceptable pour un investissement en bourse.</w:t>
      </w:r>
    </w:p>
    <w:p>
      <w:pPr>
        <w:spacing w:after="120" w:line="276" w:lineRule="auto"/>
      </w:pPr>
      <w:r>
        <w:t>### **PARTIE 2 : ANALYSE TECHNIQUE DÉTAILLÉE**</w:t>
      </w:r>
    </w:p>
    <w:p>
      <w:pPr>
        <w:spacing w:after="120" w:line="276" w:lineRule="auto"/>
      </w:pPr>
      <w:r>
        <w:t>- **Moyennes Mobiles** : Le cours actuel de **7 300 FCFA** se situe en dessous de la MM20 (7 337 FCFA) et de la MM50 (7 406 FCFA), ce qui constitue un signal technique baissier à court terme. La configuration des moyennes mobiles, avec la MM20 sous la MM50, suggère une dynamique de prix négative, justifiant la décision de **Vente**.</w:t>
        <w:br/>
        <w:t>- **Bandes de Bollinger** : Le cours se trouve à l’intérieur des bandes, proche de la bande inférieure (7 221 FCFA), indiquant une pression vendeuse modérée sans sortie de canal. La largeur des bandes est stable, suggérant une volatilité constante. La décision est **Neutre**, car le prix n’est ni en situation de surachat ni de survente extrême.</w:t>
        <w:br/>
        <w:t>- **MACD** : La ligne MACD (-21,988) est passée sous la ligne de signal (-13,947), formant un croisement baissier. Cette divergence négative indique un affaiblissement du momentum haussier et une possible poursuite du mouvement de correction. La décision est **Vente**.</w:t>
        <w:br/>
        <w:t>- **RSI** : Avec une valeur de **42,636**, le RSI se situe dans la zone neutre (entre 30 et 70), sans signal de surachat ou de survente. Cela indique une absence de pression directionnelle forte, justifiant une décision **Neutre**.</w:t>
        <w:br/>
        <w:t>- **Stochastique** : Le %K (22,222) et le %D (20,22) sont tous deux en zone de survente (&lt;20), ce qui pourrait signaler un possible rebond technique à très court terme. Cependant, l’absence de croisement haussier clair maintient la décision à **Neutre**.</w:t>
      </w:r>
    </w:p>
    <w:p>
      <w:pPr>
        <w:spacing w:after="120" w:line="276" w:lineRule="auto"/>
      </w:pPr>
      <w:r>
        <w:t>**Conclusion technique** : Les indicateurs techniques sont globalement baissiers à court terme, avec les moyennes mobiles et le MACD en position de vente. Le RSI et les bandes de Bollinger sont neutres, tandis que le stochastique, bien qu’en zone de survente, n’a pas encore validé de signal de retournement. La tendance technique actuelle est donc **baissière**, suggérant une prudence à l’achat dans l’immédiat.</w:t>
      </w:r>
    </w:p>
    <w:p>
      <w:pPr>
        <w:spacing w:after="120" w:line="276" w:lineRule="auto"/>
      </w:pPr>
      <w:r>
        <w:t>### **PARTIE 3 : ANALYSE FONDAMENTALE (SECTION CRITIQUE)**</w:t>
      </w:r>
    </w:p>
    <w:p>
      <w:pPr>
        <w:spacing w:after="120" w:line="276" w:lineRule="auto"/>
      </w:pPr>
      <w:r>
        <w:t>**Données structurées annuelles (2025)** : En 2025, BOAS affiche des fondamentaux solides. Le **Produit Net Bancaire (PNB)** s’élève à **51,926 milliards FCFA**, avec un **Résultat Net de 21,905 milliards FCFA**. La banque démontre une excellente rentabilité avec un **ROE de 22,69%** (bien au-dessus du seuil de 15% considéré comme excellent) et un **ROA de 2,62%** . Le **coefficient d’exploitation de 44,02%** est excellent, indiquant une gestion très efficace des charges par rapport au PNB (bien en dessous du seuil de 60%). Le **coût du risque** (provisions/charges financières) est de **23,31%** , un niveau qui mérite une attention particulière, bien que les rapports trimestriels montrent une tendance à l’amélioration.</w:t>
      </w:r>
    </w:p>
    <w:p>
      <w:pPr>
        <w:spacing w:after="120" w:line="276" w:lineRule="auto"/>
      </w:pPr>
      <w:r>
        <w:t>**Estimations basées sur les rapports trimestriels (2025)** : Les rapports d’activités confirment une dynamique positive. Au **T1 2025**, le PNB était de 11,78 Mds FCFA (+2,36%) et le résultat net de 5,23 Mds FCFA (+9,25%). Au **S1 2025**, la croissance s’est accélérée avec un PNB à 25,37 Mds FCFA (+6,77%) et un résultat net à 11,62 Mds FCFA (+12,70%). Au **T3 2025**, le PNB cumulé atteignait 37,44 Mds FCFA (+6,71%) et le résultat net 16,37 Mds FCFA (+10,01%). Cette progression régulière, couplée à une baisse continue du coût du risque (passé de -1,3% du PNB à -0,5%), suggère une amélioration de la qualité du portefeuille de crédits. Sur la base de ces tendances, on estime que l’exercice 2025 complet pourrait dépasser les chiffres annuels fournis, avec un résultat net potentiel supérieur à 22 Mds FCFA. La banque bénéficie d’une collecte de dépôts dynamique (686,9 Mds FCFA au bilan) et d’une gestion rigoureuse des coûts. La recommandation fondamentale est **positive**, la banque étant financièrement solide, rentable et bien gérée.</w:t>
      </w:r>
    </w:p>
    <w:p>
      <w:pPr>
        <w:spacing w:after="120" w:line="276" w:lineRule="auto"/>
      </w:pPr>
      <w:r>
        <w:t>### **PARTIE 4 : CONCLUSION D’INVESTISSEMENT**</w:t>
      </w:r>
    </w:p>
    <w:p>
      <w:pPr>
        <w:spacing w:after="120" w:line="276" w:lineRule="auto"/>
      </w:pPr>
      <w:r>
        <w:t>En synthèse, l’action BOAS présente un profil contrasté. La **valorisation (Partie 0)** est raisonnable, avec un PER de 12x et un P/B de 2,72x qui reflètent une prime justifiée par un ROE élevé. Le **comportement du cours (Partie 1)** montre une tendance haussière solide sur 100 jours (+23,73%), mais avec une volatilité modérée et une légère asymétrie négative récente. Les **signaux techniques (Partie 2)** sont actuellement baissiers à court terme (MM, MACD), suggérant une phase de consolidation ou de correction après la hausse. En revanche, les **fondamentaux (Partie 3)** sont excellents, avec une rentabilité élevée, une gestion efficace et des perspectives de croissance soutenues par les rapports trimestriels. Les **prédictions IA** pour les 10 prochains jours (baisse de 7 163 à 6 827 FCFA) confirment le signal technique baissier à très court terme.</w:t>
      </w:r>
    </w:p>
    <w:p>
      <w:pPr>
        <w:spacing w:after="120" w:line="276" w:lineRule="auto"/>
      </w:pPr>
      <w:r>
        <w:t>Sur la base de cette synthèse, la convergence est partielle : le fondamental est très solide (achat long terme), mais le technique et les prédictions IA indiquent un repli à court terme. La recommandation finale est donc **CONSERVER** pour les positions existantes, avec un **ACHAT** envisagé uniquement en cas de repli significatif vers la zone des 6 800-7 000 FCFA. Le **niveau de confiance** est **Moyen** en raison du conflit entre signaux techniques baissiers et fondamentaux haussiers. Le **risque global** est **Moyen**, la volatilité étant contenue mais les perspectives de baisse technique immédiates étant réelles. L’**horizon d’investissement optimal** est le **moyen terme (3 à 12 mois)** , le temps que la correction technique s’achève et que la valeur fondamentale reprenne le dessus.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23.41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2,286 titres</w:t>
            </w:r>
          </w:p>
        </w:tc>
        <w:tc>
          <w:tcPr>
            <w:tcW w:type="dxa" w:w="2268"/>
            <w:shd w:fill="FFF2CC" w:val="clear"/>
          </w:tcPr>
          <w:p>
            <w:r>
              <w:rPr>
                <w:b/>
                <w:color w:val="503200"/>
                <w:sz w:val="16"/>
              </w:rPr>
              <w:t xml:space="preserve">Cours actuel : </w:t>
            </w:r>
            <w:r>
              <w:rPr>
                <w:color w:val="000000"/>
                <w:sz w:val="17"/>
              </w:rPr>
              <w:t>3,955 FCFA</w:t>
            </w:r>
          </w:p>
          <w:p>
            <w:r>
              <w:rPr>
                <w:b/>
                <w:color w:val="503200"/>
                <w:sz w:val="16"/>
              </w:rPr>
              <w:t xml:space="preserve">Var. 100 jours : </w:t>
            </w:r>
            <w:r>
              <w:rPr>
                <w:b/>
                <w:color w:val="B40000"/>
                <w:sz w:val="17"/>
              </w:rPr>
              <w:t>-1.12%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3,085 FCFA</w:t>
            </w:r>
          </w:p>
          <w:p>
            <w:r>
              <w:rPr>
                <w:b/>
                <w:color w:val="503200"/>
                <w:sz w:val="16"/>
              </w:rPr>
              <w:t xml:space="preserve">Volatilité ann. : </w:t>
            </w:r>
            <w:r>
              <w:rPr>
                <w:color w:val="000000"/>
                <w:sz w:val="17"/>
              </w:rPr>
              <w:t>62.8%</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9.18% (Moyenne) — μ=3,738 FCFA, σ=343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β=0.5684 (Défensif) — Cov=0.000024, Var(idx)=0.000042, ρ=0.096,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σ_j=3.95%/j (Modérée) — Vol. annualisée≈62.8%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2026-07-13</w:t>
            </w:r>
          </w:p>
        </w:tc>
        <w:tc>
          <w:tcPr>
            <w:tcW w:type="dxa" w:w="1440"/>
            <w:shd w:fill="C6EFCE" w:val="clear"/>
          </w:tcPr>
          <w:p>
            <w:r>
              <w:rPr>
                <w:sz w:val="17"/>
              </w:rPr>
              <w:t>3,925</w:t>
            </w:r>
          </w:p>
        </w:tc>
        <w:tc>
          <w:tcPr>
            <w:tcW w:type="dxa" w:w="1440"/>
            <w:shd w:fill="C6EFCE" w:val="clear"/>
          </w:tcPr>
          <w:p>
            <w:r>
              <w:rPr>
                <w:b/>
                <w:sz w:val="17"/>
              </w:rPr>
              <w:t>4,187</w:t>
            </w:r>
          </w:p>
        </w:tc>
        <w:tc>
          <w:tcPr>
            <w:tcW w:type="dxa" w:w="1440"/>
            <w:shd w:fill="C6EFCE" w:val="clear"/>
          </w:tcPr>
          <w:p>
            <w:r>
              <w:rPr>
                <w:sz w:val="17"/>
              </w:rPr>
              <w:t>4,449</w:t>
            </w:r>
          </w:p>
        </w:tc>
        <w:tc>
          <w:tcPr>
            <w:tcW w:type="dxa" w:w="1440"/>
            <w:shd w:fill="C6EFCE" w:val="clear"/>
          </w:tcPr>
          <w:p>
            <w:r>
              <w:rPr>
                <w:b/>
                <w:color w:val="008000"/>
                <w:sz w:val="17"/>
              </w:rPr>
              <w:t>+5.9%</w:t>
            </w:r>
          </w:p>
        </w:tc>
      </w:tr>
      <w:tr>
        <w:tc>
          <w:tcPr>
            <w:tcW w:type="dxa" w:w="1440"/>
            <w:shd w:fill="C6EFCE" w:val="clear"/>
          </w:tcPr>
          <w:p>
            <w:r>
              <w:rPr>
                <w:sz w:val="17"/>
              </w:rPr>
              <w:t>J+2  Moyenne</w:t>
            </w:r>
          </w:p>
        </w:tc>
        <w:tc>
          <w:tcPr>
            <w:tcW w:type="dxa" w:w="1440"/>
            <w:shd w:fill="C6EFCE" w:val="clear"/>
          </w:tcPr>
          <w:p>
            <w:r>
              <w:rPr>
                <w:sz w:val="17"/>
              </w:rPr>
              <w:t>2026-07-14</w:t>
            </w:r>
          </w:p>
        </w:tc>
        <w:tc>
          <w:tcPr>
            <w:tcW w:type="dxa" w:w="1440"/>
            <w:shd w:fill="C6EFCE" w:val="clear"/>
          </w:tcPr>
          <w:p>
            <w:r>
              <w:rPr>
                <w:sz w:val="17"/>
              </w:rPr>
              <w:t>4,049</w:t>
            </w:r>
          </w:p>
        </w:tc>
        <w:tc>
          <w:tcPr>
            <w:tcW w:type="dxa" w:w="1440"/>
            <w:shd w:fill="C6EFCE" w:val="clear"/>
          </w:tcPr>
          <w:p>
            <w:r>
              <w:rPr>
                <w:b/>
                <w:sz w:val="17"/>
              </w:rPr>
              <w:t>4,441</w:t>
            </w:r>
          </w:p>
        </w:tc>
        <w:tc>
          <w:tcPr>
            <w:tcW w:type="dxa" w:w="1440"/>
            <w:shd w:fill="C6EFCE" w:val="clear"/>
          </w:tcPr>
          <w:p>
            <w:r>
              <w:rPr>
                <w:sz w:val="17"/>
              </w:rPr>
              <w:t>4,834</w:t>
            </w:r>
          </w:p>
        </w:tc>
        <w:tc>
          <w:tcPr>
            <w:tcW w:type="dxa" w:w="1440"/>
            <w:shd w:fill="C6EFCE" w:val="clear"/>
          </w:tcPr>
          <w:p>
            <w:r>
              <w:rPr>
                <w:b/>
                <w:color w:val="008000"/>
                <w:sz w:val="17"/>
              </w:rPr>
              <w:t>+12.3%</w:t>
            </w:r>
          </w:p>
        </w:tc>
      </w:tr>
      <w:tr>
        <w:tc>
          <w:tcPr>
            <w:tcW w:type="dxa" w:w="1440"/>
            <w:shd w:fill="C6EFCE" w:val="clear"/>
          </w:tcPr>
          <w:p>
            <w:r>
              <w:rPr>
                <w:sz w:val="17"/>
              </w:rPr>
              <w:t>J+3  Moyenne</w:t>
            </w:r>
          </w:p>
        </w:tc>
        <w:tc>
          <w:tcPr>
            <w:tcW w:type="dxa" w:w="1440"/>
            <w:shd w:fill="C6EFCE" w:val="clear"/>
          </w:tcPr>
          <w:p>
            <w:r>
              <w:rPr>
                <w:sz w:val="17"/>
              </w:rPr>
              <w:t>2026-07-15</w:t>
            </w:r>
          </w:p>
        </w:tc>
        <w:tc>
          <w:tcPr>
            <w:tcW w:type="dxa" w:w="1440"/>
            <w:shd w:fill="C6EFCE" w:val="clear"/>
          </w:tcPr>
          <w:p>
            <w:r>
              <w:rPr>
                <w:sz w:val="17"/>
              </w:rPr>
              <w:t>4,249</w:t>
            </w:r>
          </w:p>
        </w:tc>
        <w:tc>
          <w:tcPr>
            <w:tcW w:type="dxa" w:w="1440"/>
            <w:shd w:fill="C6EFCE" w:val="clear"/>
          </w:tcPr>
          <w:p>
            <w:r>
              <w:rPr>
                <w:b/>
                <w:sz w:val="17"/>
              </w:rPr>
              <w:t>4,765</w:t>
            </w:r>
          </w:p>
        </w:tc>
        <w:tc>
          <w:tcPr>
            <w:tcW w:type="dxa" w:w="1440"/>
            <w:shd w:fill="C6EFCE" w:val="clear"/>
          </w:tcPr>
          <w:p>
            <w:r>
              <w:rPr>
                <w:sz w:val="17"/>
              </w:rPr>
              <w:t>5,281</w:t>
            </w:r>
          </w:p>
        </w:tc>
        <w:tc>
          <w:tcPr>
            <w:tcW w:type="dxa" w:w="1440"/>
            <w:shd w:fill="C6EFCE" w:val="clear"/>
          </w:tcPr>
          <w:p>
            <w:r>
              <w:rPr>
                <w:b/>
                <w:color w:val="008000"/>
                <w:sz w:val="17"/>
              </w:rPr>
              <w:t>+20.5%</w:t>
            </w:r>
          </w:p>
        </w:tc>
      </w:tr>
      <w:tr>
        <w:tc>
          <w:tcPr>
            <w:tcW w:type="dxa" w:w="1440"/>
            <w:shd w:fill="C6EFCE" w:val="clear"/>
          </w:tcPr>
          <w:p>
            <w:r>
              <w:rPr>
                <w:sz w:val="17"/>
              </w:rPr>
              <w:t>J+4  ⭐</w:t>
            </w:r>
          </w:p>
        </w:tc>
        <w:tc>
          <w:tcPr>
            <w:tcW w:type="dxa" w:w="1440"/>
            <w:shd w:fill="C6EFCE" w:val="clear"/>
          </w:tcPr>
          <w:p>
            <w:r>
              <w:rPr>
                <w:sz w:val="17"/>
              </w:rPr>
              <w:t>2026-07-16</w:t>
            </w:r>
          </w:p>
        </w:tc>
        <w:tc>
          <w:tcPr>
            <w:tcW w:type="dxa" w:w="1440"/>
            <w:shd w:fill="C6EFCE" w:val="clear"/>
          </w:tcPr>
          <w:p>
            <w:r>
              <w:rPr>
                <w:sz w:val="17"/>
              </w:rPr>
              <w:t>4,482</w:t>
            </w:r>
          </w:p>
        </w:tc>
        <w:tc>
          <w:tcPr>
            <w:tcW w:type="dxa" w:w="1440"/>
            <w:shd w:fill="C6EFCE" w:val="clear"/>
          </w:tcPr>
          <w:p>
            <w:r>
              <w:rPr>
                <w:b/>
                <w:sz w:val="17"/>
              </w:rPr>
              <w:t>5,122</w:t>
            </w:r>
          </w:p>
        </w:tc>
        <w:tc>
          <w:tcPr>
            <w:tcW w:type="dxa" w:w="1440"/>
            <w:shd w:fill="C6EFCE" w:val="clear"/>
          </w:tcPr>
          <w:p>
            <w:r>
              <w:rPr>
                <w:sz w:val="17"/>
              </w:rPr>
              <w:t>5,762</w:t>
            </w:r>
          </w:p>
        </w:tc>
        <w:tc>
          <w:tcPr>
            <w:tcW w:type="dxa" w:w="1440"/>
            <w:shd w:fill="C6EFCE" w:val="clear"/>
          </w:tcPr>
          <w:p>
            <w:r>
              <w:rPr>
                <w:b/>
                <w:color w:val="008000"/>
                <w:sz w:val="17"/>
              </w:rPr>
              <w:t>+29.5%</w:t>
            </w:r>
          </w:p>
        </w:tc>
      </w:tr>
      <w:tr>
        <w:tc>
          <w:tcPr>
            <w:tcW w:type="dxa" w:w="1440"/>
            <w:shd w:fill="C6EFCE" w:val="clear"/>
          </w:tcPr>
          <w:p>
            <w:r>
              <w:rPr>
                <w:sz w:val="17"/>
              </w:rPr>
              <w:t>J+5  ⭐</w:t>
            </w:r>
          </w:p>
        </w:tc>
        <w:tc>
          <w:tcPr>
            <w:tcW w:type="dxa" w:w="1440"/>
            <w:shd w:fill="C6EFCE" w:val="clear"/>
          </w:tcPr>
          <w:p>
            <w:r>
              <w:rPr>
                <w:sz w:val="17"/>
              </w:rPr>
              <w:t>2026-07-17</w:t>
            </w:r>
          </w:p>
        </w:tc>
        <w:tc>
          <w:tcPr>
            <w:tcW w:type="dxa" w:w="1440"/>
            <w:shd w:fill="C6EFCE" w:val="clear"/>
          </w:tcPr>
          <w:p>
            <w:r>
              <w:rPr>
                <w:sz w:val="17"/>
              </w:rPr>
              <w:t>4,737</w:t>
            </w:r>
          </w:p>
        </w:tc>
        <w:tc>
          <w:tcPr>
            <w:tcW w:type="dxa" w:w="1440"/>
            <w:shd w:fill="C6EFCE" w:val="clear"/>
          </w:tcPr>
          <w:p>
            <w:r>
              <w:rPr>
                <w:b/>
                <w:sz w:val="17"/>
              </w:rPr>
              <w:t>5,506</w:t>
            </w:r>
          </w:p>
        </w:tc>
        <w:tc>
          <w:tcPr>
            <w:tcW w:type="dxa" w:w="1440"/>
            <w:shd w:fill="C6EFCE" w:val="clear"/>
          </w:tcPr>
          <w:p>
            <w:r>
              <w:rPr>
                <w:sz w:val="17"/>
              </w:rPr>
              <w:t>6,276</w:t>
            </w:r>
          </w:p>
        </w:tc>
        <w:tc>
          <w:tcPr>
            <w:tcW w:type="dxa" w:w="1440"/>
            <w:shd w:fill="C6EFCE" w:val="clear"/>
          </w:tcPr>
          <w:p>
            <w:r>
              <w:rPr>
                <w:b/>
                <w:color w:val="008000"/>
                <w:sz w:val="17"/>
              </w:rPr>
              <w:t>+39.2%</w:t>
            </w:r>
          </w:p>
        </w:tc>
      </w:tr>
      <w:tr>
        <w:tc>
          <w:tcPr>
            <w:tcW w:type="dxa" w:w="1440"/>
            <w:shd w:fill="C6EFCE" w:val="clear"/>
          </w:tcPr>
          <w:p>
            <w:r>
              <w:rPr>
                <w:sz w:val="17"/>
              </w:rPr>
              <w:t>J+6  ⭐</w:t>
            </w:r>
          </w:p>
        </w:tc>
        <w:tc>
          <w:tcPr>
            <w:tcW w:type="dxa" w:w="1440"/>
            <w:shd w:fill="C6EFCE" w:val="clear"/>
          </w:tcPr>
          <w:p>
            <w:r>
              <w:rPr>
                <w:sz w:val="17"/>
              </w:rPr>
              <w:t>2026-07-20</w:t>
            </w:r>
          </w:p>
        </w:tc>
        <w:tc>
          <w:tcPr>
            <w:tcW w:type="dxa" w:w="1440"/>
            <w:shd w:fill="C6EFCE" w:val="clear"/>
          </w:tcPr>
          <w:p>
            <w:r>
              <w:rPr>
                <w:sz w:val="17"/>
              </w:rPr>
              <w:t>5,013</w:t>
            </w:r>
          </w:p>
        </w:tc>
        <w:tc>
          <w:tcPr>
            <w:tcW w:type="dxa" w:w="1440"/>
            <w:shd w:fill="C6EFCE" w:val="clear"/>
          </w:tcPr>
          <w:p>
            <w:r>
              <w:rPr>
                <w:b/>
                <w:sz w:val="17"/>
              </w:rPr>
              <w:t>5,919</w:t>
            </w:r>
          </w:p>
        </w:tc>
        <w:tc>
          <w:tcPr>
            <w:tcW w:type="dxa" w:w="1440"/>
            <w:shd w:fill="C6EFCE" w:val="clear"/>
          </w:tcPr>
          <w:p>
            <w:r>
              <w:rPr>
                <w:sz w:val="17"/>
              </w:rPr>
              <w:t>6,825</w:t>
            </w:r>
          </w:p>
        </w:tc>
        <w:tc>
          <w:tcPr>
            <w:tcW w:type="dxa" w:w="1440"/>
            <w:shd w:fill="C6EFCE" w:val="clear"/>
          </w:tcPr>
          <w:p>
            <w:r>
              <w:rPr>
                <w:b/>
                <w:color w:val="008000"/>
                <w:sz w:val="17"/>
              </w:rPr>
              <w:t>+49.7%</w:t>
            </w:r>
          </w:p>
        </w:tc>
      </w:tr>
      <w:tr>
        <w:tc>
          <w:tcPr>
            <w:tcW w:type="dxa" w:w="1440"/>
            <w:shd w:fill="C6EFCE" w:val="clear"/>
          </w:tcPr>
          <w:p>
            <w:r>
              <w:rPr>
                <w:sz w:val="17"/>
              </w:rPr>
              <w:t>J+7  ⭐</w:t>
            </w:r>
          </w:p>
        </w:tc>
        <w:tc>
          <w:tcPr>
            <w:tcW w:type="dxa" w:w="1440"/>
            <w:shd w:fill="C6EFCE" w:val="clear"/>
          </w:tcPr>
          <w:p>
            <w:r>
              <w:rPr>
                <w:sz w:val="17"/>
              </w:rPr>
              <w:t>2026-07-21</w:t>
            </w:r>
          </w:p>
        </w:tc>
        <w:tc>
          <w:tcPr>
            <w:tcW w:type="dxa" w:w="1440"/>
            <w:shd w:fill="C6EFCE" w:val="clear"/>
          </w:tcPr>
          <w:p>
            <w:r>
              <w:rPr>
                <w:sz w:val="17"/>
              </w:rPr>
              <w:t>5,311</w:t>
            </w:r>
          </w:p>
        </w:tc>
        <w:tc>
          <w:tcPr>
            <w:tcW w:type="dxa" w:w="1440"/>
            <w:shd w:fill="C6EFCE" w:val="clear"/>
          </w:tcPr>
          <w:p>
            <w:r>
              <w:rPr>
                <w:b/>
                <w:sz w:val="17"/>
              </w:rPr>
              <w:t>6,363</w:t>
            </w:r>
          </w:p>
        </w:tc>
        <w:tc>
          <w:tcPr>
            <w:tcW w:type="dxa" w:w="1440"/>
            <w:shd w:fill="C6EFCE" w:val="clear"/>
          </w:tcPr>
          <w:p>
            <w:r>
              <w:rPr>
                <w:sz w:val="17"/>
              </w:rPr>
              <w:t>7,415</w:t>
            </w:r>
          </w:p>
        </w:tc>
        <w:tc>
          <w:tcPr>
            <w:tcW w:type="dxa" w:w="1440"/>
            <w:shd w:fill="C6EFCE" w:val="clear"/>
          </w:tcPr>
          <w:p>
            <w:r>
              <w:rPr>
                <w:b/>
                <w:color w:val="008000"/>
                <w:sz w:val="17"/>
              </w:rPr>
              <w:t>+60.9%</w:t>
            </w:r>
          </w:p>
        </w:tc>
      </w:tr>
      <w:tr>
        <w:tc>
          <w:tcPr>
            <w:tcW w:type="dxa" w:w="1440"/>
            <w:shd w:fill="C6EFCE" w:val="clear"/>
          </w:tcPr>
          <w:p>
            <w:r>
              <w:rPr>
                <w:sz w:val="17"/>
              </w:rPr>
              <w:t>J+8  ⭐</w:t>
            </w:r>
          </w:p>
        </w:tc>
        <w:tc>
          <w:tcPr>
            <w:tcW w:type="dxa" w:w="1440"/>
            <w:shd w:fill="C6EFCE" w:val="clear"/>
          </w:tcPr>
          <w:p>
            <w:r>
              <w:rPr>
                <w:sz w:val="17"/>
              </w:rPr>
              <w:t>2026-07-22</w:t>
            </w:r>
          </w:p>
        </w:tc>
        <w:tc>
          <w:tcPr>
            <w:tcW w:type="dxa" w:w="1440"/>
            <w:shd w:fill="C6EFCE" w:val="clear"/>
          </w:tcPr>
          <w:p>
            <w:r>
              <w:rPr>
                <w:sz w:val="17"/>
              </w:rPr>
              <w:t>5,632</w:t>
            </w:r>
          </w:p>
        </w:tc>
        <w:tc>
          <w:tcPr>
            <w:tcW w:type="dxa" w:w="1440"/>
            <w:shd w:fill="C6EFCE" w:val="clear"/>
          </w:tcPr>
          <w:p>
            <w:r>
              <w:rPr>
                <w:b/>
                <w:sz w:val="17"/>
              </w:rPr>
              <w:t>6,841</w:t>
            </w:r>
          </w:p>
        </w:tc>
        <w:tc>
          <w:tcPr>
            <w:tcW w:type="dxa" w:w="1440"/>
            <w:shd w:fill="C6EFCE" w:val="clear"/>
          </w:tcPr>
          <w:p>
            <w:r>
              <w:rPr>
                <w:sz w:val="17"/>
              </w:rPr>
              <w:t>8,050</w:t>
            </w:r>
          </w:p>
        </w:tc>
        <w:tc>
          <w:tcPr>
            <w:tcW w:type="dxa" w:w="1440"/>
            <w:shd w:fill="C6EFCE" w:val="clear"/>
          </w:tcPr>
          <w:p>
            <w:r>
              <w:rPr>
                <w:b/>
                <w:color w:val="008000"/>
                <w:sz w:val="17"/>
              </w:rPr>
              <w:t>+73.0%</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5,975</w:t>
            </w:r>
          </w:p>
        </w:tc>
        <w:tc>
          <w:tcPr>
            <w:tcW w:type="dxa" w:w="1440"/>
            <w:shd w:fill="C6EFCE" w:val="clear"/>
          </w:tcPr>
          <w:p>
            <w:r>
              <w:rPr>
                <w:b/>
                <w:sz w:val="17"/>
              </w:rPr>
              <w:t>7,354</w:t>
            </w:r>
          </w:p>
        </w:tc>
        <w:tc>
          <w:tcPr>
            <w:tcW w:type="dxa" w:w="1440"/>
            <w:shd w:fill="C6EFCE" w:val="clear"/>
          </w:tcPr>
          <w:p>
            <w:r>
              <w:rPr>
                <w:sz w:val="17"/>
              </w:rPr>
              <w:t>8,732</w:t>
            </w:r>
          </w:p>
        </w:tc>
        <w:tc>
          <w:tcPr>
            <w:tcW w:type="dxa" w:w="1440"/>
            <w:shd w:fill="C6EFCE" w:val="clear"/>
          </w:tcPr>
          <w:p>
            <w:r>
              <w:rPr>
                <w:b/>
                <w:color w:val="008000"/>
                <w:sz w:val="17"/>
              </w:rPr>
              <w:t>+85.9%</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6,343</w:t>
            </w:r>
          </w:p>
        </w:tc>
        <w:tc>
          <w:tcPr>
            <w:tcW w:type="dxa" w:w="1440"/>
            <w:shd w:fill="C6EFCE" w:val="clear"/>
          </w:tcPr>
          <w:p>
            <w:r>
              <w:rPr>
                <w:b/>
                <w:sz w:val="17"/>
              </w:rPr>
              <w:t>7,905</w:t>
            </w:r>
          </w:p>
        </w:tc>
        <w:tc>
          <w:tcPr>
            <w:tcW w:type="dxa" w:w="1440"/>
            <w:shd w:fill="C6EFCE" w:val="clear"/>
          </w:tcPr>
          <w:p>
            <w:r>
              <w:rPr>
                <w:sz w:val="17"/>
              </w:rPr>
              <w:t>9,467</w:t>
            </w:r>
          </w:p>
        </w:tc>
        <w:tc>
          <w:tcPr>
            <w:tcW w:type="dxa" w:w="1440"/>
            <w:shd w:fill="C6EFCE" w:val="clear"/>
          </w:tcPr>
          <w:p>
            <w:r>
              <w:rPr>
                <w:b/>
                <w:color w:val="008000"/>
                <w:sz w:val="17"/>
              </w:rPr>
              <w:t>+99.9%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Absolument. Voici le rapport d'analyse structuré pour l'action CABC (SICABLE) à la BRVM, basé sur les données fournies.</w:t>
      </w:r>
    </w:p>
    <w:p>
      <w:pPr>
        <w:spacing w:after="120" w:line="276" w:lineRule="auto"/>
      </w:pPr>
      <w:r>
        <w:t>---</w:t>
      </w:r>
    </w:p>
    <w:p>
      <w:pPr>
        <w:spacing w:after="120" w:line="276" w:lineRule="auto"/>
      </w:pPr>
      <w:r>
        <w:t>### **Rapport d'Analyse Financière – CABC (SICABLE)**</w:t>
      </w:r>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23,41 milliards FCFA, un niveau modeste dans le contexte de la BRVM, reflétant sa taille d'entreprise de moyenne capitalisation. Le BPA de 243 FCFA indique le bénéfice généré par chaque action détenue. Le PER de 16,3x est supérieur à la moyenne historique du marché BRVM (8-12x), suggérant que les investisseurs acceptent de payer une prime pour les bénéfices actuels, probablement en anticipation d'une croissance future. Le P/B de 2,51x confirme cette prime, le marché valorisant la société à plus de 2,5 fois ses capitaux propres comptables, ce qui est typique pour une entreprise avec un ROE élevé. Enfin, l'EV/EBITDA de 8,5x se situe dans une fourchette raisonnable (5-10x), indiquant que la valeur totale de l'entreprise (dette incluse) n'est pas excessive par rapport à sa capacité bénéficiaire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 enregistré une variation totale légèrement négative de -1,12%, avec une baisse de -1,12% lors de la dernière séance, clôturant à 3 955 FCFA. Le cours a évolué dans une fourchette large de 3 085 FCFA (plus bas) à 4 500 FCFA (plus haut), illustrant une volatilité significative. La tendance générale semble hésitante, le cours oscillant autour de sa moyenne et médiane (respectivement 3 738 et 3 725 FCFA), ce qui indique une distribution quasi symétrique des prix. L'écart-type de 345 FCFA, combiné à un coefficient de variation de 9,2%, révèle une dispersion modérée autour de la moyenne. Le kurtosis en excès de -0,651 (mésokurtique) et le skewness de 0,182 confirment une distribution proche de la normale, sans pic de risque extrême ni asymétrie marquée. La volatilité annualisée de 62,8% est très élevée, classant le titre comme risqué pour un investisseur peu tolérant aux fluctuations.</w:t>
      </w:r>
    </w:p>
    <w:p>
      <w:pPr>
        <w:spacing w:after="120" w:line="276" w:lineRule="auto" w:before="240"/>
      </w:pPr>
      <w:r>
        <w:rPr>
          <w:b/>
          <w:color w:val="003366"/>
          <w:sz w:val="24"/>
        </w:rPr>
        <w:t>**PARTIE 2 : ANALYSE TECHNIQUE DÉTAILLÉE**</w:t>
      </w:r>
    </w:p>
    <w:p>
      <w:pPr>
        <w:spacing w:after="120" w:line="276" w:lineRule="auto"/>
      </w:pPr>
      <w:r>
        <w:t>*   **Moyennes Mobiles**: Le cours actuel (3 955 FCFA) est inférieur à la MM20 (4 112,75 FCFA) mais supérieur à la MM50 (3 821,8 FCFA). Cette configuration, où le cours est au-dessus de la moyenne à long terme mais sous la moyenne à court terme, génère un signal d'achat prudent, suggérant une possible reprise après un récent repli.</w:t>
      </w:r>
    </w:p>
    <w:p>
      <w:pPr>
        <w:spacing w:after="120" w:line="276" w:lineRule="auto"/>
      </w:pPr>
      <w:r>
        <w:t>*   **Bandes de Bollinger**: Le cours se situe en dessous de la bande médiane (MM20) et se rapproche de la borne inférieure (3 687 FCFA). Cela indique une pression vendeuse à court terme et une volatilité en hausse. La décision est neutre, car le cours n'est ni en situation de surachat ni de survente extrême, mais il teste un support potentiel.</w:t>
      </w:r>
    </w:p>
    <w:p>
      <w:pPr>
        <w:spacing w:after="120" w:line="276" w:lineRule="auto"/>
      </w:pPr>
      <w:r>
        <w:t>*   **MACD**: La ligne MACD (76,529) est passée sous la ligne de signal (116,427), formant un croisement baissier. Ce signal de vente indique un affaiblissement du momentum haussier à moyen terme. La divergence négative entre les deux lignes suggère que la dynamique de prix s'essouffle.</w:t>
      </w:r>
    </w:p>
    <w:p>
      <w:pPr>
        <w:spacing w:after="120" w:line="276" w:lineRule="auto"/>
      </w:pPr>
      <w:r>
        <w:t>*   **RSI**: Avec une valeur de 48,276, le RSI se trouve en zone neutre (entre 30 et 70). Il n'y a donc pas de signal de surachat ou de survente. La décision est neutre, indiquant une absence de direction claire à très court terme.</w:t>
      </w:r>
    </w:p>
    <w:p>
      <w:pPr>
        <w:spacing w:after="120" w:line="276" w:lineRule="auto"/>
      </w:pPr>
      <w:r>
        <w:t>*   **Stochastique**: Le %K (9,167) est très bas et a croisé sous le %D (14,167). Ce niveau de survente extrême (proche de 0) génère un signal d'achat fort, suggérant qu'un rebond technique est probable à très court terme.</w:t>
      </w:r>
    </w:p>
    <w:p>
      <w:pPr>
        <w:spacing w:after="120" w:line="276" w:lineRule="auto"/>
      </w:pPr>
      <w:r>
        <w:t>**Conclusion technique** : Le tableau technique est mitigé. Le Stochastique en survente et la position du cours au-dessus de la MM50 plaident pour un rebond potentiel (signal d'achat). En revanche, le MACD baissier et le cours sous la MM20 signalent une faiblesse persistante. Les Bandes de Bollinger et le RSI sont neutres. La configuration suggère un titre en phase de consolidation avec un biais baissier à court terme, mais avec un fort potentiel de rebond technique.</w:t>
      </w:r>
    </w:p>
    <w:p>
      <w:pPr>
        <w:spacing w:after="120" w:line="276" w:lineRule="auto" w:before="240"/>
      </w:pPr>
      <w:r>
        <w:rPr>
          <w:b/>
          <w:color w:val="003366"/>
          <w:sz w:val="24"/>
        </w:rPr>
        <w:t>**PARTIE 3 : ANALYSE FONDAMENTALE (SECTION CRITIQUE)**</w:t>
      </w:r>
    </w:p>
    <w:p>
      <w:pPr>
        <w:spacing w:after="120" w:line="276" w:lineRule="auto"/>
      </w:pPr>
      <w:r>
        <w:t>En 2025, selon les données structurées, CABC a réalisé un chiffre d'affaires de 21,263 milliards FCFA, en croissance de +11,2% par rapport à 2024. Le résultat net s'est établi à 1,439 milliard FCFA, confirmant un retour à une forte rentabilité après les pertes de 2023 et 2024. Cette performance est portée par un ROE exceptionnel de 15,4% et un ROA de 6,1%, témoignant d'une utilisation efficace des capitaux propres et des actifs. La marge nette s'améliore à 6,8%. La structure financière est saine avec une autonomie financière de 39,6% et une solvabilité générale de 165,5%. Cependant, l'analyse des rapports trimestriels de 2025 (S1 et 9 mois) montre une pression sur les marges opérationnelles, la croissance étant tirée par le négoce (moins margeur). Le rapport du T1 2026, daté de 2026, révèle une forte contraction du CA (-26,5%) et une perte nette de 222 millions FCFA, attribuée à une maintenance planifiée et à l'inflation des métaux. Sur la base de ce rapport T1 2026, on estime que l'exercice 2026 pourrait être difficile, avec un potentiel de rattrapage au T2, mais une incertitude demeure sur la capacité à compenser ce mauvais départ. En tant qu'entreprise industrielle, les délais clients (144,7 jours) et de stockage (152,1 jours) sont élevés, représentant un risque de trésorerie et d'immobilisation du capital, malgré un BFR négatif favorable.</w:t>
      </w:r>
    </w:p>
    <w:p>
      <w:pPr>
        <w:spacing w:after="120" w:line="276" w:lineRule="auto" w:before="240"/>
      </w:pPr>
      <w:r>
        <w:rPr>
          <w:b/>
          <w:color w:val="003366"/>
          <w:sz w:val="24"/>
        </w:rPr>
        <w:t>**PARTIE 4 : CONCLUSION D'INVESTISSEMENT**</w:t>
      </w:r>
    </w:p>
    <w:p>
      <w:pPr>
        <w:spacing w:after="120" w:line="276" w:lineRule="auto"/>
      </w:pPr>
      <w:r>
        <w:t>La valorisation de CABC (PER de 16,3x) est élevée pour le marché BRVM, suggérant une prime de croissance qui n'est pas pleinement justifiée par les récents signaux de ralentissement. Le comportement du cours sur 100 jours montre une volatilité extrême (62,8%) et une tendance hésitante, avec un skewness symétrique mais un risque de fluctuation élevé. Les signaux techniques sont contradictoires : un fort signal de rebond à court terme (Stochastique) est contrebalancé par un momentum baissier à moyen terme (MACD). Les fondamentaux, bien que solides en 2025 (ROE &gt;15%), sont assombris par un T1 2026 très décevant, indiquant un début d'exercice difficile. Les prédictions IA pour les 10 prochains jours (hausse de 4 187 à 5 506 FCFA) sont très optimistes et entrent en conflit avec les signaux techniques baissiers et les fondamentaux récents. Cette divergence est un signal d'alarme majeur.</w:t>
      </w:r>
    </w:p>
    <w:p>
      <w:pPr>
        <w:spacing w:after="120" w:line="276" w:lineRule="auto"/>
      </w:pPr>
      <w:r>
        <w:t>**Recommandation finale : VENTE**</w:t>
        <w:br/>
        <w:t>*Justification* : La prime de valorisation (PER élevé) n'est plus soutenue par les perspectives à court terme (T1 2026 en forte baisse). Les signaux techniques mitigés et la volatilité élevée rendent le titre risqué. Les prédictions IA, bien que haussières, semblent déconnectées de la réalité opérationnelle immédiate.</w:t>
        <w:br/>
        <w:t>*Niveau de confiance* : Moyen</w:t>
        <w:br/>
        <w:t>*Niveau de risque global* : Élevé</w:t>
        <w:br/>
        <w:t>*Horizon d'investissement optimal* : Court terme (&lt;3 mois) pour un trading spéculatif sur rebond technique, mais déconseillé pour un investissement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947.52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1,814 titres</w:t>
            </w:r>
          </w:p>
        </w:tc>
        <w:tc>
          <w:tcPr>
            <w:tcW w:type="dxa" w:w="2268"/>
            <w:shd w:fill="FFF2CC" w:val="clear"/>
          </w:tcPr>
          <w:p>
            <w:r>
              <w:rPr>
                <w:b/>
                <w:color w:val="503200"/>
                <w:sz w:val="16"/>
              </w:rPr>
              <w:t xml:space="preserve">Cours actuel : </w:t>
            </w:r>
            <w:r>
              <w:rPr>
                <w:color w:val="000000"/>
                <w:sz w:val="17"/>
              </w:rPr>
              <w:t>29,610 FCFA</w:t>
            </w:r>
          </w:p>
          <w:p>
            <w:r>
              <w:rPr>
                <w:b/>
                <w:color w:val="503200"/>
                <w:sz w:val="16"/>
              </w:rPr>
              <w:t xml:space="preserve">Var. 100 jours : </w:t>
            </w:r>
            <w:r>
              <w:rPr>
                <w:b/>
                <w:color w:val="007800"/>
                <w:sz w:val="17"/>
              </w:rPr>
              <w:t>+146.75%</w:t>
            </w:r>
          </w:p>
          <w:p>
            <w:r>
              <w:rPr>
                <w:b/>
                <w:color w:val="503200"/>
                <w:sz w:val="16"/>
              </w:rPr>
              <w:t xml:space="preserve">Plus haut 100j : </w:t>
            </w:r>
            <w:r>
              <w:rPr>
                <w:color w:val="000000"/>
                <w:sz w:val="17"/>
              </w:rPr>
              <w:t>29,610 FCFA</w:t>
            </w:r>
          </w:p>
          <w:p>
            <w:r>
              <w:rPr>
                <w:b/>
                <w:color w:val="503200"/>
                <w:sz w:val="16"/>
              </w:rPr>
              <w:t xml:space="preserve">Plus bas 100j : </w:t>
            </w:r>
            <w:r>
              <w:rPr>
                <w:color w:val="000000"/>
                <w:sz w:val="17"/>
              </w:rPr>
              <w:t>12,000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23.84% (Élevée) — μ=17,691 FCFA, σ=4,218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β=0.4562 (Défensif) — Cov=0.000019, Var(idx)=0.000042, ρ=0.104,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1,814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25,980</w:t>
            </w:r>
          </w:p>
        </w:tc>
        <w:tc>
          <w:tcPr>
            <w:tcW w:type="dxa" w:w="1440"/>
            <w:shd w:fill="FFDCE0" w:val="clear"/>
          </w:tcPr>
          <w:p>
            <w:r>
              <w:rPr>
                <w:b/>
                <w:sz w:val="17"/>
              </w:rPr>
              <w:t>27,389</w:t>
            </w:r>
          </w:p>
        </w:tc>
        <w:tc>
          <w:tcPr>
            <w:tcW w:type="dxa" w:w="1440"/>
            <w:shd w:fill="FFDCE0" w:val="clear"/>
          </w:tcPr>
          <w:p>
            <w:r>
              <w:rPr>
                <w:sz w:val="17"/>
              </w:rPr>
              <w:t>28,799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23,491</w:t>
            </w:r>
          </w:p>
        </w:tc>
        <w:tc>
          <w:tcPr>
            <w:tcW w:type="dxa" w:w="1440"/>
            <w:shd w:fill="FFDCE0" w:val="clear"/>
          </w:tcPr>
          <w:p>
            <w:r>
              <w:rPr>
                <w:b/>
                <w:sz w:val="17"/>
              </w:rPr>
              <w:t>25,335</w:t>
            </w:r>
          </w:p>
        </w:tc>
        <w:tc>
          <w:tcPr>
            <w:tcW w:type="dxa" w:w="1440"/>
            <w:shd w:fill="FFDCE0" w:val="clear"/>
          </w:tcPr>
          <w:p>
            <w:r>
              <w:rPr>
                <w:sz w:val="17"/>
              </w:rPr>
              <w:t>27,179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21,346</w:t>
            </w:r>
          </w:p>
        </w:tc>
        <w:tc>
          <w:tcPr>
            <w:tcW w:type="dxa" w:w="1440"/>
            <w:shd w:fill="FFDCE0" w:val="clear"/>
          </w:tcPr>
          <w:p>
            <w:r>
              <w:rPr>
                <w:b/>
                <w:sz w:val="17"/>
              </w:rPr>
              <w:t>23,435</w:t>
            </w:r>
          </w:p>
        </w:tc>
        <w:tc>
          <w:tcPr>
            <w:tcW w:type="dxa" w:w="1440"/>
            <w:shd w:fill="FFDCE0" w:val="clear"/>
          </w:tcPr>
          <w:p>
            <w:r>
              <w:rPr>
                <w:sz w:val="17"/>
              </w:rPr>
              <w:t>25,524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19,446</w:t>
            </w:r>
          </w:p>
        </w:tc>
        <w:tc>
          <w:tcPr>
            <w:tcW w:type="dxa" w:w="1440"/>
            <w:shd w:fill="FFDCE0" w:val="clear"/>
          </w:tcPr>
          <w:p>
            <w:r>
              <w:rPr>
                <w:b/>
                <w:sz w:val="17"/>
              </w:rPr>
              <w:t>21,677</w:t>
            </w:r>
          </w:p>
        </w:tc>
        <w:tc>
          <w:tcPr>
            <w:tcW w:type="dxa" w:w="1440"/>
            <w:shd w:fill="FFDCE0" w:val="clear"/>
          </w:tcPr>
          <w:p>
            <w:r>
              <w:rPr>
                <w:sz w:val="17"/>
              </w:rPr>
              <w:t>23,908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17,744</w:t>
            </w:r>
          </w:p>
        </w:tc>
        <w:tc>
          <w:tcPr>
            <w:tcW w:type="dxa" w:w="1440"/>
            <w:shd w:fill="FFDCE0" w:val="clear"/>
          </w:tcPr>
          <w:p>
            <w:r>
              <w:rPr>
                <w:b/>
                <w:sz w:val="17"/>
              </w:rPr>
              <w:t>20,052</w:t>
            </w:r>
          </w:p>
        </w:tc>
        <w:tc>
          <w:tcPr>
            <w:tcW w:type="dxa" w:w="1440"/>
            <w:shd w:fill="FFDCE0" w:val="clear"/>
          </w:tcPr>
          <w:p>
            <w:r>
              <w:rPr>
                <w:sz w:val="17"/>
              </w:rPr>
              <w:t>22,359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16,380</w:t>
            </w:r>
          </w:p>
        </w:tc>
        <w:tc>
          <w:tcPr>
            <w:tcW w:type="dxa" w:w="1440"/>
            <w:shd w:fill="FFDCE0" w:val="clear"/>
          </w:tcPr>
          <w:p>
            <w:r>
              <w:rPr>
                <w:b/>
                <w:sz w:val="17"/>
              </w:rPr>
              <w:t>18,743</w:t>
            </w:r>
          </w:p>
        </w:tc>
        <w:tc>
          <w:tcPr>
            <w:tcW w:type="dxa" w:w="1440"/>
            <w:shd w:fill="FFDCE0" w:val="clear"/>
          </w:tcPr>
          <w:p>
            <w:r>
              <w:rPr>
                <w:sz w:val="17"/>
              </w:rPr>
              <w:t>21,106</w:t>
            </w:r>
          </w:p>
        </w:tc>
        <w:tc>
          <w:tcPr>
            <w:tcW w:type="dxa" w:w="1440"/>
            <w:shd w:fill="FFDCE0" w:val="clear"/>
          </w:tcPr>
          <w:p>
            <w:r>
              <w:rPr>
                <w:b/>
                <w:color w:val="C00000"/>
                <w:sz w:val="17"/>
              </w:rPr>
              <w:t>-36.7%</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15,806</w:t>
            </w:r>
          </w:p>
        </w:tc>
        <w:tc>
          <w:tcPr>
            <w:tcW w:type="dxa" w:w="1440"/>
            <w:shd w:fill="FFDCE0" w:val="clear"/>
          </w:tcPr>
          <w:p>
            <w:r>
              <w:rPr>
                <w:b/>
                <w:sz w:val="17"/>
              </w:rPr>
              <w:t>18,297</w:t>
            </w:r>
          </w:p>
        </w:tc>
        <w:tc>
          <w:tcPr>
            <w:tcW w:type="dxa" w:w="1440"/>
            <w:shd w:fill="FFDCE0" w:val="clear"/>
          </w:tcPr>
          <w:p>
            <w:r>
              <w:rPr>
                <w:sz w:val="17"/>
              </w:rPr>
              <w:t>20,788</w:t>
            </w:r>
          </w:p>
        </w:tc>
        <w:tc>
          <w:tcPr>
            <w:tcW w:type="dxa" w:w="1440"/>
            <w:shd w:fill="FFDCE0" w:val="clear"/>
          </w:tcPr>
          <w:p>
            <w:r>
              <w:rPr>
                <w:b/>
                <w:color w:val="C00000"/>
                <w:sz w:val="17"/>
              </w:rPr>
              <w:t>-38.2%</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15,295</w:t>
            </w:r>
          </w:p>
        </w:tc>
        <w:tc>
          <w:tcPr>
            <w:tcW w:type="dxa" w:w="1440"/>
            <w:shd w:fill="FFDCE0" w:val="clear"/>
          </w:tcPr>
          <w:p>
            <w:r>
              <w:rPr>
                <w:b/>
                <w:sz w:val="17"/>
              </w:rPr>
              <w:t>17,900</w:t>
            </w:r>
          </w:p>
        </w:tc>
        <w:tc>
          <w:tcPr>
            <w:tcW w:type="dxa" w:w="1440"/>
            <w:shd w:fill="FFDCE0" w:val="clear"/>
          </w:tcPr>
          <w:p>
            <w:r>
              <w:rPr>
                <w:sz w:val="17"/>
              </w:rPr>
              <w:t>20,506</w:t>
            </w:r>
          </w:p>
        </w:tc>
        <w:tc>
          <w:tcPr>
            <w:tcW w:type="dxa" w:w="1440"/>
            <w:shd w:fill="FFDCE0" w:val="clear"/>
          </w:tcPr>
          <w:p>
            <w:r>
              <w:rPr>
                <w:b/>
                <w:color w:val="C00000"/>
                <w:sz w:val="17"/>
              </w:rPr>
              <w:t>-39.5%</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14,834</w:t>
            </w:r>
          </w:p>
        </w:tc>
        <w:tc>
          <w:tcPr>
            <w:tcW w:type="dxa" w:w="1440"/>
            <w:shd w:fill="FFDCE0" w:val="clear"/>
          </w:tcPr>
          <w:p>
            <w:r>
              <w:rPr>
                <w:b/>
                <w:sz w:val="17"/>
              </w:rPr>
              <w:t>17,542</w:t>
            </w:r>
          </w:p>
        </w:tc>
        <w:tc>
          <w:tcPr>
            <w:tcW w:type="dxa" w:w="1440"/>
            <w:shd w:fill="FFDCE0" w:val="clear"/>
          </w:tcPr>
          <w:p>
            <w:r>
              <w:rPr>
                <w:sz w:val="17"/>
              </w:rPr>
              <w:t>20,250</w:t>
            </w:r>
          </w:p>
        </w:tc>
        <w:tc>
          <w:tcPr>
            <w:tcW w:type="dxa" w:w="1440"/>
            <w:shd w:fill="FFDCE0" w:val="clear"/>
          </w:tcPr>
          <w:p>
            <w:r>
              <w:rPr>
                <w:b/>
                <w:color w:val="C00000"/>
                <w:sz w:val="17"/>
              </w:rPr>
              <w:t>-40.8%</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14,413</w:t>
            </w:r>
          </w:p>
        </w:tc>
        <w:tc>
          <w:tcPr>
            <w:tcW w:type="dxa" w:w="1440"/>
            <w:shd w:fill="FFDCE0" w:val="clear"/>
          </w:tcPr>
          <w:p>
            <w:r>
              <w:rPr>
                <w:b/>
                <w:sz w:val="17"/>
              </w:rPr>
              <w:t>17,215</w:t>
            </w:r>
          </w:p>
        </w:tc>
        <w:tc>
          <w:tcPr>
            <w:tcW w:type="dxa" w:w="1440"/>
            <w:shd w:fill="FFDCE0" w:val="clear"/>
          </w:tcPr>
          <w:p>
            <w:r>
              <w:rPr>
                <w:sz w:val="17"/>
              </w:rPr>
              <w:t>20,016</w:t>
            </w:r>
          </w:p>
        </w:tc>
        <w:tc>
          <w:tcPr>
            <w:tcW w:type="dxa" w:w="1440"/>
            <w:shd w:fill="FFDCE0" w:val="clear"/>
          </w:tcPr>
          <w:p>
            <w:r>
              <w:rPr>
                <w:b/>
                <w:color w:val="C00000"/>
                <w:sz w:val="17"/>
              </w:rPr>
              <w:t>-41.9%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SA)**</w:t>
        <w:br/>
        <w:t>**Date de l’analyse : 10 juillet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947,52 milliards FCFA, CBIBF se positionne comme un poids lourd de la cote BRVM, reflétant la confiance des investisseurs dans ce leader bancaire régional. Le Bénéfice Par Action (BPA) de 2 047 FCFA indique que chaque action a généré un profit net de cette ampleur sur l’exercice 2025. Le PER de 14,5x se situe au-dessus de la moyenne historique de la BRVM (8-12x), ce qui suggère que le marché accepte de payer une prime pour la qualité et la croissance anticipée de la banque. L’EV/EBITDA de 10,7x, dans la fourchette haute de 10-15x, confirme une valorisation élevée, mais justifiée par une solide capacité opérationnelle. En l’absence de données sur le P/B (Price-to-Book), nous ne pouvons pas comparer la valeur de marché à la valeur comptable, mais l’ensemble des ratios disponibles indique une valorisation exigeante, récompensant une performance solide.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connu une progression spectaculaire de +146,75 %, passant d’un plus bas de 12 000 FCFA à un cours actuel de 29 610 FCFA, avec une accélération notable lors de la dernière séance (+7,50 %). Cette tendance haussière puissante traduit un engouement marqué des investisseurs, probablement alimenté par des fondamentaux solides et des perspectives positives. L’analyse des statistiques descriptives révèle que le cours moyen (17 691 FCFA) est supérieur à la médiane (16 495 FCFA), ce qui, combiné à un skewness positif de 0,568, indique une distribution asymétrique avec une concentration de séances sous la moyenne et des pics de hausse récents. L’écart-type de 4 239 FCFA et un coefficient de variation de 24,0 % témoignent d’une dispersion modérée du cours. Le kurtosis en excès de -0,694 (mésokurtique) suggère une distribution proche de la normale, sans risque accru de mouvements extrêmes. Enfin, la volatilité annualisée de 44,7 % classe le titre dans la catégorie « élevée », ce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29 610 FCFA se situe nettement au-dessus de la MM20 (23 606,75 FCFA) et de la MM50 (21 200,9 FCFA), confirmant une dynamique haussière solide. La décision « Achat » est justifiée par cette configuration, où le prix évolue dans un canal ascendant bien établi.</w:t>
      </w:r>
    </w:p>
    <w:p>
      <w:pPr>
        <w:spacing w:after="120" w:line="276" w:lineRule="auto"/>
      </w:pPr>
      <w:r>
        <w:t>**Bandes de Bollinger** : Le cours a franchi la borne supérieure des bandes (28 331,88 FCFA), ce qui est un signal classique de surachat et de volatilité excessive. La décision « Vente » reflète un risque de correction technique, le titre étant sorti de son canal de fluctuation normal.</w:t>
      </w:r>
    </w:p>
    <w:p>
      <w:pPr>
        <w:spacing w:after="120" w:line="276" w:lineRule="auto"/>
      </w:pPr>
      <w:r>
        <w:t>**MACD** : La ligne MACD (1 826,62) est nettement au-dessus de sa ligne de signal (1 263,85), indiquant un momentum haussier fort et une divergence positive. La décision « Achat » est cohérente avec cette dynamique de tendance.</w:t>
      </w:r>
    </w:p>
    <w:p>
      <w:pPr>
        <w:spacing w:after="120" w:line="276" w:lineRule="auto"/>
      </w:pPr>
      <w:r>
        <w:t>**RSI** : Avec une valeur de 95,41, le RSI est en zone de surachat extrême (au-delà de 70), signalant que le titre est survendu et qu’une correction technique est probable à court terme. La décision « Vente » est ici impérative.</w:t>
      </w:r>
    </w:p>
    <w:p>
      <w:pPr>
        <w:spacing w:after="120" w:line="276" w:lineRule="auto"/>
      </w:pPr>
      <w:r>
        <w:t>**Stochastique** : Le %K à 100 et le %D à 99,54 confirment un surachat maximal, avec les deux lignes proches de leur sommet. La décision « Vente » est justifiée par ce niveau extrême, qui précède souvent un retournement.</w:t>
      </w:r>
    </w:p>
    <w:p>
      <w:pPr>
        <w:spacing w:after="120" w:line="276" w:lineRule="auto"/>
      </w:pPr>
      <w:r>
        <w:t>**Conclusion technique** : La convergence des indicateurs de tendance (MM, MACD) plaide pour un achat, mais les oscillateurs (RSI, Stochastique, Bandes de Bollinger) sont unanimes sur un surachat critique. Cette divergence suggère que la tendance haussière pourrait s’essouffler à très court terme, avec un risque élevé de correction. Un investisseur prudent attendrait un repli avant de renforcer sa position.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annuelles (2025)** : En 2025, CBIBF a réalisé un Produit Net Bancaire (PNB) de 138,986 milliards FCFA, en hausse de 6,1 % par rapport à 2024, et un résultat net de 65,495 milliards FCFA, en progression de 36,6 % par rapport à 2024. La marge nette atteint 47,12 %, et le coefficient d’exploitation de 36,39 % (bien en dessous du seuil de 60 %) témoigne d’une excellente efficacité opérationnelle. Le ROA de 2,18 % est solide pour une banque, et la rotation des actifs de 4,64 % indique une bonne utilisation des ressources. Le coût du risque, bien qu’élevé à 16,5 milliards FCFA, s’est amélioré de 59,3 % par rapport à 2024, traduisant une meilleure qualité du portefeuille de crédits. Les dépôts clients (2 015,3 milliards FCFA) progressent de 14,9 %, tandis que les crédits nets (1 327 milliards FCFA) augmentent de 5,4 %, ce qui renforce la capacité de transformation de la banque.</w:t>
      </w:r>
    </w:p>
    <w:p>
      <w:pPr>
        <w:spacing w:after="120" w:line="276" w:lineRule="auto"/>
      </w:pPr>
      <w:r>
        <w:t>**Estimations basées sur les rapports trimestriels** : Le rapport du T1 2026 (publié en 2026) montre une accélération de la dynamique, avec un PNB de 36,8 milliards FCFA (+28,5 % par rapport au T1 2025) et un résultat net de 21,5 milliards FCFA (+22,2 %). Sur cette base, on estime que l’exercice 2026 pourrait voir un PNB annuel supérieur à 160 milliards FCFA et un résultat net dépassant 80 milliards FCFA, confirmant une tendance de croissance soutenue. Les dépôts clients ont bondi de 37,9 % à 2 365,1 milliards FCFA, tandis que les crédits n’ont progressé que de 3,8 %, ce qui pourrait indiquer une politique de crédit prudente mais aussi un excès de liquidités. Le rapport annuel 2024 avait montré une baisse du résultat net (-25,4 %), principalement due à une hausse du coût du risque, mais la tendance s’est inversée en 2025 et 2026. Les perspectives restent favorables, portées par l’innovation digitale et une notation financière AA/AI.</w:t>
      </w:r>
    </w:p>
    <w:p>
      <w:pPr>
        <w:spacing w:after="120" w:line="276" w:lineRule="auto"/>
      </w:pPr>
      <w:r>
        <w:t>---</w:t>
      </w:r>
    </w:p>
    <w:p>
      <w:pPr>
        <w:spacing w:after="120" w:line="276" w:lineRule="auto"/>
      </w:pPr>
      <w:r>
        <w:t>### PARTIE 4 : CONCLUSION D’INVESTISSEMENT</w:t>
      </w:r>
    </w:p>
    <w:p>
      <w:pPr>
        <w:spacing w:after="120" w:line="276" w:lineRule="auto"/>
      </w:pPr>
      <w:r>
        <w:t>La valorisation boursière de CBIBF (PER de 14,5x, EV/EBITDA de 10,7x) est élevée mais justifiée par une croissance robuste et une rentabilité solide. Le comportement du cours montre une tendance haussière explosive (+146,75 % en 100 jours), mais les statistiques descriptives (skewness positif, volatilité élevée) et les signaux techniques (RSI et stochastique en surachat extrême) indiquent un risque de correction imminent. Les fondamentaux sont excellents : un résultat net en forte progression, un coefficient d’exploitation très bas, et une collecte de dépôts dynamique, renforcés par des estimations trimestrielles prometteuses pour 2026. Les prédictions IA (baisse progressive de 29 610 à 20 052 FCFA sur 10 jours) confirment le scénario de correction technique, en contradiction avec la tendance haussière de long terme. Sur la base de cette synthèse, la recommandation est **CONSERVER** avec un niveau de confiance **Moyen**. Le risque global est **Élevé** en raison de la volatilité et du surachat technique, mais les fondamentaux solides justifient de conserver le titre pour un horizon de **moyen terme (3 à 12 mois)**, en attendant un point d’entrée plus favorable après une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285.66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4,859 titres</w:t>
            </w:r>
          </w:p>
        </w:tc>
        <w:tc>
          <w:tcPr>
            <w:tcW w:type="dxa" w:w="2268"/>
            <w:shd w:fill="FFF2CC" w:val="clear"/>
          </w:tcPr>
          <w:p>
            <w:r>
              <w:rPr>
                <w:b/>
                <w:color w:val="503200"/>
                <w:sz w:val="16"/>
              </w:rPr>
              <w:t xml:space="preserve">Cours actuel : </w:t>
            </w:r>
            <w:r>
              <w:rPr>
                <w:color w:val="000000"/>
                <w:sz w:val="17"/>
              </w:rPr>
              <w:t>1,575 FCFA</w:t>
            </w:r>
          </w:p>
          <w:p>
            <w:r>
              <w:rPr>
                <w:b/>
                <w:color w:val="503200"/>
                <w:sz w:val="16"/>
              </w:rPr>
              <w:t xml:space="preserve">Var. 100 jours : </w:t>
            </w:r>
            <w:r>
              <w:rPr>
                <w:b/>
                <w:color w:val="B40000"/>
                <w:sz w:val="17"/>
              </w:rPr>
              <w:t>-1.56%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6.92% (Moyenne) — μ=1,615 FCFA, σ=112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β=1.1840 (Neutre (suit le marché)) — Cov=0.000049, Var(idx)=0.000042, ρ=0.251,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4,859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1,455</w:t>
            </w:r>
          </w:p>
        </w:tc>
        <w:tc>
          <w:tcPr>
            <w:tcW w:type="dxa" w:w="1440"/>
            <w:shd w:fill="FFDCE0" w:val="clear"/>
          </w:tcPr>
          <w:p>
            <w:r>
              <w:rPr>
                <w:b/>
                <w:sz w:val="17"/>
              </w:rPr>
              <w:t>1,543</w:t>
            </w:r>
          </w:p>
        </w:tc>
        <w:tc>
          <w:tcPr>
            <w:tcW w:type="dxa" w:w="1440"/>
            <w:shd w:fill="FFDCE0" w:val="clear"/>
          </w:tcPr>
          <w:p>
            <w:r>
              <w:rPr>
                <w:sz w:val="17"/>
              </w:rPr>
              <w:t>1,630</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1,399</w:t>
            </w:r>
          </w:p>
        </w:tc>
        <w:tc>
          <w:tcPr>
            <w:tcW w:type="dxa" w:w="1440"/>
            <w:shd w:fill="FFDCE0" w:val="clear"/>
          </w:tcPr>
          <w:p>
            <w:r>
              <w:rPr>
                <w:b/>
                <w:sz w:val="17"/>
              </w:rPr>
              <w:t>1,521</w:t>
            </w:r>
          </w:p>
        </w:tc>
        <w:tc>
          <w:tcPr>
            <w:tcW w:type="dxa" w:w="1440"/>
            <w:shd w:fill="FFDCE0" w:val="clear"/>
          </w:tcPr>
          <w:p>
            <w:r>
              <w:rPr>
                <w:sz w:val="17"/>
              </w:rPr>
              <w:t>1,643</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1,352</w:t>
            </w:r>
          </w:p>
        </w:tc>
        <w:tc>
          <w:tcPr>
            <w:tcW w:type="dxa" w:w="1440"/>
            <w:shd w:fill="FFDCE0" w:val="clear"/>
          </w:tcPr>
          <w:p>
            <w:r>
              <w:rPr>
                <w:b/>
                <w:sz w:val="17"/>
              </w:rPr>
              <w:t>1,499</w:t>
            </w:r>
          </w:p>
        </w:tc>
        <w:tc>
          <w:tcPr>
            <w:tcW w:type="dxa" w:w="1440"/>
            <w:shd w:fill="FFDCE0" w:val="clear"/>
          </w:tcPr>
          <w:p>
            <w:r>
              <w:rPr>
                <w:sz w:val="17"/>
              </w:rPr>
              <w:t>1,647</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1,310</w:t>
            </w:r>
          </w:p>
        </w:tc>
        <w:tc>
          <w:tcPr>
            <w:tcW w:type="dxa" w:w="1440"/>
            <w:shd w:fill="FFDCE0" w:val="clear"/>
          </w:tcPr>
          <w:p>
            <w:r>
              <w:rPr>
                <w:b/>
                <w:sz w:val="17"/>
              </w:rPr>
              <w:t>1,478</w:t>
            </w:r>
          </w:p>
        </w:tc>
        <w:tc>
          <w:tcPr>
            <w:tcW w:type="dxa" w:w="1440"/>
            <w:shd w:fill="FFDCE0" w:val="clear"/>
          </w:tcPr>
          <w:p>
            <w:r>
              <w:rPr>
                <w:sz w:val="17"/>
              </w:rPr>
              <w:t>1,646</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1,272</w:t>
            </w:r>
          </w:p>
        </w:tc>
        <w:tc>
          <w:tcPr>
            <w:tcW w:type="dxa" w:w="1440"/>
            <w:shd w:fill="FFDCE0" w:val="clear"/>
          </w:tcPr>
          <w:p>
            <w:r>
              <w:rPr>
                <w:b/>
                <w:sz w:val="17"/>
              </w:rPr>
              <w:t>1,457</w:t>
            </w:r>
          </w:p>
        </w:tc>
        <w:tc>
          <w:tcPr>
            <w:tcW w:type="dxa" w:w="1440"/>
            <w:shd w:fill="FFDCE0" w:val="clear"/>
          </w:tcPr>
          <w:p>
            <w:r>
              <w:rPr>
                <w:sz w:val="17"/>
              </w:rPr>
              <w:t>1,642</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1,237</w:t>
            </w:r>
          </w:p>
        </w:tc>
        <w:tc>
          <w:tcPr>
            <w:tcW w:type="dxa" w:w="1440"/>
            <w:shd w:fill="FFDCE0" w:val="clear"/>
          </w:tcPr>
          <w:p>
            <w:r>
              <w:rPr>
                <w:b/>
                <w:sz w:val="17"/>
              </w:rPr>
              <w:t>1,436</w:t>
            </w:r>
          </w:p>
        </w:tc>
        <w:tc>
          <w:tcPr>
            <w:tcW w:type="dxa" w:w="1440"/>
            <w:shd w:fill="FFDCE0" w:val="clear"/>
          </w:tcPr>
          <w:p>
            <w:r>
              <w:rPr>
                <w:sz w:val="17"/>
              </w:rPr>
              <w:t>1,636</w:t>
            </w:r>
          </w:p>
        </w:tc>
        <w:tc>
          <w:tcPr>
            <w:tcW w:type="dxa" w:w="1440"/>
            <w:shd w:fill="FFDCE0" w:val="clear"/>
          </w:tcPr>
          <w:p>
            <w:r>
              <w:rPr>
                <w:b/>
                <w:color w:val="C00000"/>
                <w:sz w:val="17"/>
              </w:rPr>
              <w:t>-8.8%</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1,204</w:t>
            </w:r>
          </w:p>
        </w:tc>
        <w:tc>
          <w:tcPr>
            <w:tcW w:type="dxa" w:w="1440"/>
            <w:shd w:fill="FFDCE0" w:val="clear"/>
          </w:tcPr>
          <w:p>
            <w:r>
              <w:rPr>
                <w:b/>
                <w:sz w:val="17"/>
              </w:rPr>
              <w:t>1,417</w:t>
            </w:r>
          </w:p>
        </w:tc>
        <w:tc>
          <w:tcPr>
            <w:tcW w:type="dxa" w:w="1440"/>
            <w:shd w:fill="FFDCE0" w:val="clear"/>
          </w:tcPr>
          <w:p>
            <w:r>
              <w:rPr>
                <w:sz w:val="17"/>
              </w:rPr>
              <w:t>1,629</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1,173</w:t>
            </w:r>
          </w:p>
        </w:tc>
        <w:tc>
          <w:tcPr>
            <w:tcW w:type="dxa" w:w="1440"/>
            <w:shd w:fill="FFDCE0" w:val="clear"/>
          </w:tcPr>
          <w:p>
            <w:r>
              <w:rPr>
                <w:b/>
                <w:sz w:val="17"/>
              </w:rPr>
              <w:t>1,397</w:t>
            </w:r>
          </w:p>
        </w:tc>
        <w:tc>
          <w:tcPr>
            <w:tcW w:type="dxa" w:w="1440"/>
            <w:shd w:fill="FFDCE0" w:val="clear"/>
          </w:tcPr>
          <w:p>
            <w:r>
              <w:rPr>
                <w:sz w:val="17"/>
              </w:rPr>
              <w:t>1,622</w:t>
            </w:r>
          </w:p>
        </w:tc>
        <w:tc>
          <w:tcPr>
            <w:tcW w:type="dxa" w:w="1440"/>
            <w:shd w:fill="FFDCE0" w:val="clear"/>
          </w:tcPr>
          <w:p>
            <w:r>
              <w:rPr>
                <w:b/>
                <w:color w:val="C00000"/>
                <w:sz w:val="17"/>
              </w:rPr>
              <w:t>-11.3%</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1,144</w:t>
            </w:r>
          </w:p>
        </w:tc>
        <w:tc>
          <w:tcPr>
            <w:tcW w:type="dxa" w:w="1440"/>
            <w:shd w:fill="FFDCE0" w:val="clear"/>
          </w:tcPr>
          <w:p>
            <w:r>
              <w:rPr>
                <w:b/>
                <w:sz w:val="17"/>
              </w:rPr>
              <w:t>1,379</w:t>
            </w:r>
          </w:p>
        </w:tc>
        <w:tc>
          <w:tcPr>
            <w:tcW w:type="dxa" w:w="1440"/>
            <w:shd w:fill="FFDCE0" w:val="clear"/>
          </w:tcPr>
          <w:p>
            <w:r>
              <w:rPr>
                <w:sz w:val="17"/>
              </w:rPr>
              <w:t>1,613</w:t>
            </w:r>
          </w:p>
        </w:tc>
        <w:tc>
          <w:tcPr>
            <w:tcW w:type="dxa" w:w="1440"/>
            <w:shd w:fill="FFDCE0" w:val="clear"/>
          </w:tcPr>
          <w:p>
            <w:r>
              <w:rPr>
                <w:b/>
                <w:color w:val="C00000"/>
                <w:sz w:val="17"/>
              </w:rPr>
              <w:t>-12.5%</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1,116</w:t>
            </w:r>
          </w:p>
        </w:tc>
        <w:tc>
          <w:tcPr>
            <w:tcW w:type="dxa" w:w="1440"/>
            <w:shd w:fill="FFDCE0" w:val="clear"/>
          </w:tcPr>
          <w:p>
            <w:r>
              <w:rPr>
                <w:b/>
                <w:sz w:val="17"/>
              </w:rPr>
              <w:t>1,360</w:t>
            </w:r>
          </w:p>
        </w:tc>
        <w:tc>
          <w:tcPr>
            <w:tcW w:type="dxa" w:w="1440"/>
            <w:shd w:fill="FFDCE0" w:val="clear"/>
          </w:tcPr>
          <w:p>
            <w:r>
              <w:rPr>
                <w:sz w:val="17"/>
              </w:rPr>
              <w:t>1,604</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Voici le rapport d'analyse structuré pour l'action CFAC (CFAO Motors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285,66 milliards FCFA, CFAC se positionne comme une valeur de premier plan sur la BRVM. Cependant, les ratios de valorisation sont extrêmement exigeants et signalent une prime de marché significative. Le BPA (Bénéfice Par Action) de 26 FCFA est faible par rapport au cours actuel, ce qui se traduit par un PER (Price/Earnings) de 60,9x, soit environ 5 à 6 fois la moyenne du marché BRVM (8-12x). Cela indique que les investisseurs paient un prix très élevé pour chaque unité de bénéfice, anticipant probablement une forte croissance future. Le P/B (Price/Book) de 14,68x confirme cette surévaluation, le cours étant près de 15 fois supérieur à la valeur comptable des actifs. Enfin, le ratio EV/EBITDA de 31,0x, bien au-dessus du seuil de 15x considéré comme exigeant, renforce l'idée d'une valorisation qui intègre des hypothèses de performance opérationnelle très optimistes.</w:t>
      </w:r>
    </w:p>
    <w:p>
      <w:pPr>
        <w:spacing w:after="120" w:line="276" w:lineRule="auto"/>
      </w:pPr>
      <w:r>
        <w:t>### **PARTIE 1 : ANALYSE DU COURS — STATISTIQUES ET ÉVOLUTION (100 derniers jours)**</w:t>
      </w:r>
    </w:p>
    <w:p>
      <w:pPr>
        <w:spacing w:after="120" w:line="276" w:lineRule="auto"/>
      </w:pPr>
      <w:r>
        <w:t>Sur les 100 derniers jours, l'action CFAC affiche une légère baisse de -1,56%, avec un cours actuel de 1 575 FCFA, stable lors de la dernière séance. Le titre a évolué dans une fourchette de 500 FCFA, entre un plus haut de 1 825 FCFA et un plus bas de 1 325 FCFA, témoignant d'une certaine amplitude de mouvement. La tendance générale est baissière, le cours se situant sous sa moyenne mobile à 20 jours (1 694 FCFA). L'analyse des statistiques descriptives révèle un comportement de cours relativement normal. La moyenne (1 615 FCFA) et la médiane (1 600 FCFA) sont très proches, indiquant une distribution symétrique des prix, ce que confirme le skewness de -0,197. L'écart-type de 112 FCFA, combiné à un coefficient de variation de 7,0%, suggère une dispersion modérée autour de la moyenne. Le kurtosis d'excès de -0,447 (mésokurtique) indique une absence de pics de volatilité extrême, le cours suivant une distribution proche de la normale. La volatilité annualisée de 47,9% est très élevée, classant CFAC comme un actif à haut risque, sujet à des fluctuations de prix importantes.</w:t>
      </w:r>
    </w:p>
    <w:p>
      <w:pPr>
        <w:spacing w:after="120" w:line="276" w:lineRule="auto"/>
      </w:pPr>
      <w:r>
        <w:t>### **PARTIE 2 : ANALYSE TECHNIQUE DÉTAILLÉE**</w:t>
      </w:r>
    </w:p>
    <w:p>
      <w:pPr>
        <w:spacing w:after="120" w:line="276" w:lineRule="auto"/>
      </w:pPr>
      <w:r>
        <w:t>- **Moyennes Mobiles** : La MM20 (1 694 FCFA) est nettement supérieure à la MM50 (1 575 FCFA), et le cours actuel (1 575 FCFA) évolue sous la MM20 mais au contact de la MM50. Cette configuration suggère une tendance baissière à court terme, mais un possible support à moyen terme. La décision est un "Achat", probablement en raison d'un croisement haussier potentiel ou d'un rebond sur la MM50.</w:t>
      </w:r>
    </w:p>
    <w:p>
      <w:pPr>
        <w:spacing w:after="120" w:line="276" w:lineRule="auto"/>
      </w:pPr>
      <w:r>
        <w:t>- **Bandes de Bollinger** : Le cours à 1 575 FCFA se situe dans la partie inférieure des bandes, proche de la borne inférieure à 1 526 FCFA. Cela indique que le titre est potentiellement survendu à court terme. La décision "Neutre" est cohérente, car le cours n'a pas encore touché la bande inférieure pour déclencher un signal de rebond clair, mais la pression vendeuse est présente.</w:t>
      </w:r>
    </w:p>
    <w:p>
      <w:pPr>
        <w:spacing w:after="120" w:line="276" w:lineRule="auto"/>
      </w:pPr>
      <w:r>
        <w:t>- **MACD** : Le MACD (7,95) est passé sous sa ligne de signal (32,96), ce qui est un signal baissier classique. La décision "Vente" est justifiée par cette divergence négative, indiquant un affaiblissement du momentum haussier et une possible poursuite de la baisse.</w:t>
      </w:r>
    </w:p>
    <w:p>
      <w:pPr>
        <w:spacing w:after="120" w:line="276" w:lineRule="auto"/>
      </w:pPr>
      <w:r>
        <w:t>- **RSI** : Avec une valeur de 41,05, le RSI se trouve en zone neutre (entre 30 et 70), mais plus proche de la zone de survente (30). La décision "Neutre" est appropriée, car il n'y a pas de signal extrême, mais la lecture penche vers un affaiblissement de la dynamique haussière.</w:t>
      </w:r>
    </w:p>
    <w:p>
      <w:pPr>
        <w:spacing w:after="120" w:line="276" w:lineRule="auto"/>
      </w:pPr>
      <w:r>
        <w:t>- **Stochastique** : Le %K (10,87) est très bas et inférieur au %D (15,73), ce qui place l'indicateur en zone de survente profonde. La décision "Achat" est un signal de retournement potentiel, suggérant que le titre pourrait rebondir après cette phase de faiblesse excessive.</w:t>
      </w:r>
    </w:p>
    <w:p>
      <w:pPr>
        <w:spacing w:after="120" w:line="276" w:lineRule="auto"/>
      </w:pPr>
      <w:r>
        <w:t>**Conclusion technique** : Les indicateurs techniques sont mitigés. Le MACD et la position sous la MM20 sont baissiers, tandis que le Stochastique en zone de survente et la proximité de la bande inférieure de Bollinger suggèrent un possible rebond technique. Le RSI neutre ne tranche pas. Globalement, le signal est baissier à court terme, mais des signes de retournement commencent à apparaître, ce qui nécessite une surveillance accrue.</w:t>
      </w:r>
    </w:p>
    <w:p>
      <w:pPr>
        <w:spacing w:after="120" w:line="276" w:lineRule="auto"/>
      </w:pPr>
      <w:r>
        <w:t>### **PARTIE 3 : ANALYSE FONDAMENTALE (SECTION CRITIQUE)**</w:t>
      </w:r>
    </w:p>
    <w:p>
      <w:pPr>
        <w:spacing w:after="120" w:line="276" w:lineRule="auto"/>
      </w:pPr>
      <w:r>
        <w:t>L'analyse des données financières structurées de l'exercice 2024 pour CFAC (entreprise non bancaire) révèle une année difficile. Le chiffre d'affaires s'établit à 158,313 milliards FCFA, en baisse de -12,1% par rapport à 2023, comme le confirment les rapports annuels. Le résultat net a chuté de -26,7% à 4,693 milliards FCFA. Malgré cette baisse, la rentabilité reste correcte avec un ROE de 24,1% et un ROA de 5,5%. Cependant, la structure financière est fragile : l'autonomie financière est faible (22,9%), la liquidité générale est inférieure à 1 (93,6%), et la trésorerie nette est négative (-624 millions FCFA). Le BFR est négatif (-3,482 milliards FCFA), ce qui est un point positif pour une entreprise, indiquant qu'elle se fait payer par ses clients avant de payer ses fournisseurs. Les rapports trimestriels de 2025, notamment ceux du T1 et du S1, montrent un **redressement spectaculaire**. Sur la base du rapport S1 2025, le CA a bondi de +18,4% et le résultat net a explosé de +152,7% par rapport au S1 2024. La marge nette est passée de 2,8% à 5,9%. On estime que l'exercice 2025 devrait être nettement meilleur que 2024, avec une croissance à deux chiffres du chiffre d'affaires et une forte progression des bénéfices, portée par une part de marché dominante (43,2%) et une meilleure maîtrise des coûts.</w:t>
      </w:r>
    </w:p>
    <w:p>
      <w:pPr>
        <w:spacing w:after="120" w:line="276" w:lineRule="auto"/>
      </w:pPr>
      <w:r>
        <w:t>### **PARTIE 4 : CONCLUSION D'INVESTISSEMENT**</w:t>
      </w:r>
    </w:p>
    <w:p>
      <w:pPr>
        <w:spacing w:after="120" w:line="276" w:lineRule="auto"/>
      </w:pPr>
      <w:r>
        <w:t>La synthèse globale pour CFAC est complexe et contradictoire. La **valorisation** (Partie 0) est extrêmement élevée (PER &gt; 60x), ce qui est un signal d'alerte majeur. Le **comportement du cours** (Partie 1) montre une tendance baissière récente avec une volatilité très élevée, mais une distribution statistique normale. Les **signaux techniques** (Partie 2) sont mitigés, avec une tendance baissière dominante mais des indicateurs de survente (Stochastique) qui pourraient annoncer un rebond. Enfin, les **fondamentaux** (Partie 3) sont paradoxaux : l'année 2024 a été mauvaise, mais les rapports trimestriels de 2025 indiquent un redressement exceptionnel de la croissance et de la rentabilité. Les **prédictions IA** pour les 10 prochains jours anticipent une poursuite de la baisse, passant de 1 543 à 1 457 FCFA, ce qui contredit les signaux de survente technique.</w:t>
      </w:r>
    </w:p>
    <w:p>
      <w:pPr>
        <w:spacing w:after="120" w:line="276" w:lineRule="auto"/>
      </w:pPr>
      <w:r>
        <w:t>**Recommandation finale : VENTE** (avec un niveau de confiance Moyen). La justification repose sur la convergence entre la valorisation excessive (PER/PB), la tendance technique baissière et les prédictions IA pessimistes à court terme. Le redressement fondamental de 2025 est une excellente nouvelle, mais il est déjà en grande partie intégré dans le cours actuel. Le risque d'une correction pour ajuster le PER à des niveaux plus raisonnables est élevé. Le niveau de risque global est **Élevé**. L'horizon d'investissement optimal est le **court terme (&lt; 3 mois)** pour profiter d'un éventuel rebond technique, mais la prudence est de mise pour le moyen et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299.04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7,271 titres</w:t>
            </w:r>
          </w:p>
        </w:tc>
        <w:tc>
          <w:tcPr>
            <w:tcW w:type="dxa" w:w="2268"/>
            <w:shd w:fill="FFF2CC" w:val="clear"/>
          </w:tcPr>
          <w:p>
            <w:r>
              <w:rPr>
                <w:b/>
                <w:color w:val="503200"/>
                <w:sz w:val="16"/>
              </w:rPr>
              <w:t xml:space="preserve">Cours actuel : </w:t>
            </w:r>
            <w:r>
              <w:rPr>
                <w:color w:val="000000"/>
                <w:sz w:val="17"/>
              </w:rPr>
              <w:t>5,340 FCFA</w:t>
            </w:r>
          </w:p>
          <w:p>
            <w:r>
              <w:rPr>
                <w:b/>
                <w:color w:val="503200"/>
                <w:sz w:val="16"/>
              </w:rPr>
              <w:t xml:space="preserve">Var. 100 jours : </w:t>
            </w:r>
            <w:r>
              <w:rPr>
                <w:b/>
                <w:color w:val="007800"/>
                <w:sz w:val="17"/>
              </w:rPr>
              <w:t>+97.78%</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23.54% (Élevée) — μ=3,793 FCFA, σ=893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β=0.9526 (Neutre (suit le marché)) — Cov=0.000040, Var(idx)=0.000042, ρ=0.219,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7,271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σ_j=2.80%/j (Stable) — Vol. annualisée≈44.4%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4,706</w:t>
            </w:r>
          </w:p>
        </w:tc>
        <w:tc>
          <w:tcPr>
            <w:tcW w:type="dxa" w:w="1440"/>
            <w:shd w:fill="FFDCE0" w:val="clear"/>
          </w:tcPr>
          <w:p>
            <w:r>
              <w:rPr>
                <w:b/>
                <w:sz w:val="17"/>
              </w:rPr>
              <w:t>4,940</w:t>
            </w:r>
          </w:p>
        </w:tc>
        <w:tc>
          <w:tcPr>
            <w:tcW w:type="dxa" w:w="1440"/>
            <w:shd w:fill="FFDCE0" w:val="clear"/>
          </w:tcPr>
          <w:p>
            <w:r>
              <w:rPr>
                <w:sz w:val="17"/>
              </w:rPr>
              <w:t>5,173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4,263</w:t>
            </w:r>
          </w:p>
        </w:tc>
        <w:tc>
          <w:tcPr>
            <w:tcW w:type="dxa" w:w="1440"/>
            <w:shd w:fill="FFDCE0" w:val="clear"/>
          </w:tcPr>
          <w:p>
            <w:r>
              <w:rPr>
                <w:b/>
                <w:sz w:val="17"/>
              </w:rPr>
              <w:t>4,569</w:t>
            </w:r>
          </w:p>
        </w:tc>
        <w:tc>
          <w:tcPr>
            <w:tcW w:type="dxa" w:w="1440"/>
            <w:shd w:fill="FFDCE0" w:val="clear"/>
          </w:tcPr>
          <w:p>
            <w:r>
              <w:rPr>
                <w:sz w:val="17"/>
              </w:rPr>
              <w:t>4,875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3,880</w:t>
            </w:r>
          </w:p>
        </w:tc>
        <w:tc>
          <w:tcPr>
            <w:tcW w:type="dxa" w:w="1440"/>
            <w:shd w:fill="FFDCE0" w:val="clear"/>
          </w:tcPr>
          <w:p>
            <w:r>
              <w:rPr>
                <w:b/>
                <w:sz w:val="17"/>
              </w:rPr>
              <w:t>4,226</w:t>
            </w:r>
          </w:p>
        </w:tc>
        <w:tc>
          <w:tcPr>
            <w:tcW w:type="dxa" w:w="1440"/>
            <w:shd w:fill="FFDCE0" w:val="clear"/>
          </w:tcPr>
          <w:p>
            <w:r>
              <w:rPr>
                <w:sz w:val="17"/>
              </w:rPr>
              <w:t>4,573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3,539</w:t>
            </w:r>
          </w:p>
        </w:tc>
        <w:tc>
          <w:tcPr>
            <w:tcW w:type="dxa" w:w="1440"/>
            <w:shd w:fill="FFDCE0" w:val="clear"/>
          </w:tcPr>
          <w:p>
            <w:r>
              <w:rPr>
                <w:b/>
                <w:sz w:val="17"/>
              </w:rPr>
              <w:t>3,909</w:t>
            </w:r>
          </w:p>
        </w:tc>
        <w:tc>
          <w:tcPr>
            <w:tcW w:type="dxa" w:w="1440"/>
            <w:shd w:fill="FFDCE0" w:val="clear"/>
          </w:tcPr>
          <w:p>
            <w:r>
              <w:rPr>
                <w:sz w:val="17"/>
              </w:rPr>
              <w:t>4,280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3,233</w:t>
            </w:r>
          </w:p>
        </w:tc>
        <w:tc>
          <w:tcPr>
            <w:tcW w:type="dxa" w:w="1440"/>
            <w:shd w:fill="FFDCE0" w:val="clear"/>
          </w:tcPr>
          <w:p>
            <w:r>
              <w:rPr>
                <w:b/>
                <w:sz w:val="17"/>
              </w:rPr>
              <w:t>3,616</w:t>
            </w:r>
          </w:p>
        </w:tc>
        <w:tc>
          <w:tcPr>
            <w:tcW w:type="dxa" w:w="1440"/>
            <w:shd w:fill="FFDCE0" w:val="clear"/>
          </w:tcPr>
          <w:p>
            <w:r>
              <w:rPr>
                <w:sz w:val="17"/>
              </w:rPr>
              <w:t>3,999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3,095</w:t>
            </w:r>
          </w:p>
        </w:tc>
        <w:tc>
          <w:tcPr>
            <w:tcW w:type="dxa" w:w="1440"/>
            <w:shd w:fill="FFDCE0" w:val="clear"/>
          </w:tcPr>
          <w:p>
            <w:r>
              <w:rPr>
                <w:b/>
                <w:sz w:val="17"/>
              </w:rPr>
              <w:t>3,501</w:t>
            </w:r>
          </w:p>
        </w:tc>
        <w:tc>
          <w:tcPr>
            <w:tcW w:type="dxa" w:w="1440"/>
            <w:shd w:fill="FFDCE0" w:val="clear"/>
          </w:tcPr>
          <w:p>
            <w:r>
              <w:rPr>
                <w:sz w:val="17"/>
              </w:rPr>
              <w:t>3,908</w:t>
            </w:r>
          </w:p>
        </w:tc>
        <w:tc>
          <w:tcPr>
            <w:tcW w:type="dxa" w:w="1440"/>
            <w:shd w:fill="FFDCE0" w:val="clear"/>
          </w:tcPr>
          <w:p>
            <w:r>
              <w:rPr>
                <w:b/>
                <w:color w:val="C00000"/>
                <w:sz w:val="17"/>
              </w:rPr>
              <w:t>-34.4%</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2,986</w:t>
            </w:r>
          </w:p>
        </w:tc>
        <w:tc>
          <w:tcPr>
            <w:tcW w:type="dxa" w:w="1440"/>
            <w:shd w:fill="FFDCE0" w:val="clear"/>
          </w:tcPr>
          <w:p>
            <w:r>
              <w:rPr>
                <w:b/>
                <w:sz w:val="17"/>
              </w:rPr>
              <w:t>3,414</w:t>
            </w:r>
          </w:p>
        </w:tc>
        <w:tc>
          <w:tcPr>
            <w:tcW w:type="dxa" w:w="1440"/>
            <w:shd w:fill="FFDCE0" w:val="clear"/>
          </w:tcPr>
          <w:p>
            <w:r>
              <w:rPr>
                <w:sz w:val="17"/>
              </w:rPr>
              <w:t>3,842</w:t>
            </w:r>
          </w:p>
        </w:tc>
        <w:tc>
          <w:tcPr>
            <w:tcW w:type="dxa" w:w="1440"/>
            <w:shd w:fill="FFDCE0" w:val="clear"/>
          </w:tcPr>
          <w:p>
            <w:r>
              <w:rPr>
                <w:b/>
                <w:color w:val="C00000"/>
                <w:sz w:val="17"/>
              </w:rPr>
              <w:t>-36.1%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2,888</w:t>
            </w:r>
          </w:p>
        </w:tc>
        <w:tc>
          <w:tcPr>
            <w:tcW w:type="dxa" w:w="1440"/>
            <w:shd w:fill="FFDCE0" w:val="clear"/>
          </w:tcPr>
          <w:p>
            <w:r>
              <w:rPr>
                <w:b/>
                <w:sz w:val="17"/>
              </w:rPr>
              <w:t>3,335</w:t>
            </w:r>
          </w:p>
        </w:tc>
        <w:tc>
          <w:tcPr>
            <w:tcW w:type="dxa" w:w="1440"/>
            <w:shd w:fill="FFDCE0" w:val="clear"/>
          </w:tcPr>
          <w:p>
            <w:r>
              <w:rPr>
                <w:sz w:val="17"/>
              </w:rPr>
              <w:t>3,782</w:t>
            </w:r>
          </w:p>
        </w:tc>
        <w:tc>
          <w:tcPr>
            <w:tcW w:type="dxa" w:w="1440"/>
            <w:shd w:fill="FFDCE0" w:val="clear"/>
          </w:tcPr>
          <w:p>
            <w:r>
              <w:rPr>
                <w:b/>
                <w:color w:val="C00000"/>
                <w:sz w:val="17"/>
              </w:rPr>
              <w:t>-37.5%</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2,800</w:t>
            </w:r>
          </w:p>
        </w:tc>
        <w:tc>
          <w:tcPr>
            <w:tcW w:type="dxa" w:w="1440"/>
            <w:shd w:fill="FFDCE0" w:val="clear"/>
          </w:tcPr>
          <w:p>
            <w:r>
              <w:rPr>
                <w:b/>
                <w:sz w:val="17"/>
              </w:rPr>
              <w:t>3,263</w:t>
            </w:r>
          </w:p>
        </w:tc>
        <w:tc>
          <w:tcPr>
            <w:tcW w:type="dxa" w:w="1440"/>
            <w:shd w:fill="FFDCE0" w:val="clear"/>
          </w:tcPr>
          <w:p>
            <w:r>
              <w:rPr>
                <w:sz w:val="17"/>
              </w:rPr>
              <w:t>3,727</w:t>
            </w:r>
          </w:p>
        </w:tc>
        <w:tc>
          <w:tcPr>
            <w:tcW w:type="dxa" w:w="1440"/>
            <w:shd w:fill="FFDCE0" w:val="clear"/>
          </w:tcPr>
          <w:p>
            <w:r>
              <w:rPr>
                <w:b/>
                <w:color w:val="C00000"/>
                <w:sz w:val="17"/>
              </w:rPr>
              <w:t>-38.9%</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2,720</w:t>
            </w:r>
          </w:p>
        </w:tc>
        <w:tc>
          <w:tcPr>
            <w:tcW w:type="dxa" w:w="1440"/>
            <w:shd w:fill="FFDCE0" w:val="clear"/>
          </w:tcPr>
          <w:p>
            <w:r>
              <w:rPr>
                <w:b/>
                <w:sz w:val="17"/>
              </w:rPr>
              <w:t>3,199</w:t>
            </w:r>
          </w:p>
        </w:tc>
        <w:tc>
          <w:tcPr>
            <w:tcW w:type="dxa" w:w="1440"/>
            <w:shd w:fill="FFDCE0" w:val="clear"/>
          </w:tcPr>
          <w:p>
            <w:r>
              <w:rPr>
                <w:sz w:val="17"/>
              </w:rPr>
              <w:t>3,678</w:t>
            </w:r>
          </w:p>
        </w:tc>
        <w:tc>
          <w:tcPr>
            <w:tcW w:type="dxa" w:w="1440"/>
            <w:shd w:fill="FFDCE0" w:val="clear"/>
          </w:tcPr>
          <w:p>
            <w:r>
              <w:rPr>
                <w:b/>
                <w:color w:val="C00000"/>
                <w:sz w:val="17"/>
              </w:rPr>
              <w:t>-40.1%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Voici le rapport d'analyse structuré pour l'action CIEC (Compagnie Ivoirienne d'Électricité)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299,04 milliards FCFA, la CIEC se positionne comme une valeur de premier plan sur la BRVM, reflétant son statut de monopole dans un secteur stratégique. Le Bénéfice Par Action (BPA) de 234 FCFA, correspondant au dividende proposé pour 2025, indique un taux de distribution quasi-total du résultat net. Le PER de 22,8x est très élevé par rapport à la moyenne historique de la BRVM (8-12x), ce qui suggère que le marché intègre des anticipations de croissance future ou une prime de rareté pour ce titre. Le Price-to-Book (P/B) de 8,32x confirme cette prime significative par rapport à la valeur comptable des actifs, indiquant une valorisation exigeante. Enfin, l'EV/EBITDA de 13,1x se situe dans la fourchette haute des valorisations, ce qui implique que la valeur totale de l'entreprise (dette incluse) est élevée par rapport à sa capacité bénéficiaire opérationnelle.</w:t>
      </w:r>
    </w:p>
    <w:p>
      <w:pPr>
        <w:spacing w:after="120" w:line="276" w:lineRule="auto"/>
      </w:pPr>
      <w:r>
        <w:t>### **PARTIE 1 : ANALYSE DU COURS — STATISTIQUES ET ÉVOLUTION (100 derniers jours)**</w:t>
      </w:r>
    </w:p>
    <w:p>
      <w:pPr>
        <w:spacing w:after="120" w:line="276" w:lineRule="auto"/>
      </w:pPr>
      <w:r>
        <w:t>Sur les 100 derniers jours, l'action CIEC a connu une performance spectaculaire avec une variation totale de +97,78%, passant d'un plus bas de 2 650 FCFA à un plus haut de 5 485 FCFA. La dernière séance montre une légère progression de +0,28% à 5 340 FCFA. La tendance est résolument haussière, marquée par un doublement du cours. L'analyse des statistiques descriptives révèle une distribution asymétrique positive (Skewness de 0,734), signifiant que le cours a passé plus de temps sous sa moyenne de 3 793 FCFA que dessus, ce qui est cohérent avec une forte accélération récente. L'écart-type de 897 FCFA et le coefficient de variation de 23,7% indiquent une dispersion modérée autour de la moyenne. Le kurtosis négatif (-1,113) indique une distribution platykurtique, c'est-à-dire avec moins de pics extrêmes qu'une distribution normale, ce qui suggère une progression relativement régulière malgré la forte hausse. La volatilité annualisée de 44,4% est très élevée, classant le titre comme risqué pour un investisseur averse au risque.</w:t>
      </w:r>
    </w:p>
    <w:p>
      <w:pPr>
        <w:spacing w:after="120" w:line="276" w:lineRule="auto"/>
      </w:pPr>
      <w:r>
        <w:t>### **PARTIE 2 : ANALYSE TECHNIQUE DÉTAILLÉE**</w:t>
      </w:r>
    </w:p>
    <w:p>
      <w:pPr>
        <w:spacing w:after="120" w:line="276" w:lineRule="auto"/>
      </w:pPr>
      <w:r>
        <w:t>*   **Moyennes Mobiles**: Le cours actuel de 5 340 FCFA se situe nettement au-dessus de la MM20 (5 183,25 FCFA) et de la MM50 (4 431,5 FCFA). Cette configuration, où le cours est supérieur à ses deux moyennes mobiles, est un signal technique haussier fort, justifiant la décision d'**Achat**. La pente positive des MM confirme la dynamique positive en cours.</w:t>
      </w:r>
    </w:p>
    <w:p>
      <w:pPr>
        <w:spacing w:after="120" w:line="276" w:lineRule="auto"/>
      </w:pPr>
      <w:r>
        <w:t>*   **Bandes de Bollinger**: Le cours à 5 340 FCFA se trouve dans la partie supérieure du canal, proche de la borne haute à 5 571,38 FCFA. Cela indique que le titre est en territoire de surachat relatif, sans pour autant avoir franchi la bande. La décision est **Neutre**, car si la tendance est forte, le risque d'un retour vers la moyenne (borne inférieure à 4 795,12 FCFA) augmente.</w:t>
      </w:r>
    </w:p>
    <w:p>
      <w:pPr>
        <w:spacing w:after="120" w:line="276" w:lineRule="auto"/>
      </w:pPr>
      <w:r>
        <w:t>*   **MACD**: La ligne MACD (245,527) est passée sous sa ligne de signal (285,038), formant un croisement baissier. Ce signal est un avertissement de ralentissement du momentum haussier. Bien que les deux lignes soient en territoire positif, la divergence négative justifie la décision de **Vente** à court terme.</w:t>
      </w:r>
    </w:p>
    <w:p>
      <w:pPr>
        <w:spacing w:after="120" w:line="276" w:lineRule="auto"/>
      </w:pPr>
      <w:r>
        <w:t>*   **RSI**: Avec une valeur de 73,154, le RSI est entré en zone de surachat (au-dessus de 70). Cela indique que le titre a fortement monté et qu'une correction technique est probable à court terme. La décision de **Vente** est justifiée par ce niveau de surachat classique.</w:t>
      </w:r>
    </w:p>
    <w:p>
      <w:pPr>
        <w:spacing w:after="120" w:line="276" w:lineRule="auto"/>
      </w:pPr>
      <w:r>
        <w:t>*   **Stochastique**: Le %K (70,408) est au-dessus du %D (66,667), ce qui est un signal haussier à très court terme. Cependant, les deux lignes sont proches de la zone de surachat (80). La décision est **Neutre**, car le signal est ambigu : haussier mais potentiellement sur le point de s'inverser.</w:t>
      </w:r>
    </w:p>
    <w:p>
      <w:pPr>
        <w:spacing w:after="120" w:line="276" w:lineRule="auto"/>
      </w:pPr>
      <w:r>
        <w:t>**Conclusion technique** : L'analyse technique est mitigée. La tendance de fond, soutenue par les moyennes mobiles, est résolument haussière. Cependant, les oscillateurs (RSI, MACD) envoient des signaux de prudence, indiquant que le titre est suracheté et que le momentum s'essouffle. La configuration suggère un risque de consolidation ou de correction à court terme avant une possible reprise de la tendance haussière.</w:t>
      </w:r>
    </w:p>
    <w:p>
      <w:pPr>
        <w:spacing w:after="120" w:line="276" w:lineRule="auto"/>
      </w:pPr>
      <w:r>
        <w:t>### **PARTIE 3 : ANALYSE FONDAMENTALE (SECTION CRITIQUE)**</w:t>
      </w:r>
    </w:p>
    <w:p>
      <w:pPr>
        <w:spacing w:after="120" w:line="276" w:lineRule="auto"/>
      </w:pPr>
      <w:r>
        <w:t>En 2025, la CIEC affiche des fondamentaux solides avec un chiffre d'affaires de 302,32 milliards FCFA, en croissance de +14,8% par rapport à 2024. Le résultat net s'élève à 13,127 milliards FCFA, en progression de 24,4% sur un an. La rentabilité des fonds propres (ROE) est exceptionnelle à 36,5%, bien au-dessus du seuil de 15% considéré comme excellent. En tant qu'entreprise non bancaire, l'analyse se concentre sur le BFR, qui est négatif à -90,244 milliards FCFA, une situation très favorable car elle signifie que l'entreprise se finance grâce à ses fournisseurs. Cependant, le délai client de 164 jours est élevé et représente un risque de trésorerie, même si le délai fournisseur de 970 jours est extrêmement long et compense largement ce risque. La structure financière est fragile avec un ratio d'endettement de 612,9% et une autonomie financière de seulement 1,78%, indiquant une forte dépendance à l'endettement. Le rapport annuel 2025 souligne la croissance des ventes d'énergie (+8,3% au national) et une politique de dividende très attractive (234 FCFA par action, soit un rendement de 4,4% au cours actuel). Les perspectives pour 2026 sont favorables, portées par la croissance démographique et la demande énergétique, mais le risque réglementaire et le niveau d'endettement restent des points de vigilance majeurs.</w:t>
      </w:r>
    </w:p>
    <w:p>
      <w:pPr>
        <w:spacing w:after="120" w:line="276" w:lineRule="auto"/>
      </w:pPr>
      <w:r>
        <w:t>### **PARTIE 4 : CONCLUSION D'INVESTISSEMENT**</w:t>
      </w:r>
    </w:p>
    <w:p>
      <w:pPr>
        <w:spacing w:after="120" w:line="276" w:lineRule="auto"/>
      </w:pPr>
      <w:r>
        <w:t>La synthèse globale pour l'action CIEC révèle une divergence marquée entre les signaux. La valorisation (Partie 0) est exigeante, avec un PER et un P/B élevés qui intègrent déjà des anticipations de croissance. Le comportement du cours (Partie 1) montre une tendance haussière explosive, mais avec une volatilité très élevée et une distribution statistique qui suggère que la hausse est récente et potentiellement fragile. Les signaux techniques (Partie 2) sont contradictoires : la tendance est haussière mais les oscillateurs appellent à la prudence, pointant un risque de correction. Enfin, les fondamentaux (Partie 3) sont solides avec une croissance du CA et du résultat net, un ROE excellent, mais une structure financière fragile et une valorisation qui ne laisse que peu de marge de sécurité. Les prédictions IA pour les 10 prochains jours anticipent une forte correction baissière, passant de 5 340 à 3 616 FCFA, ce qui contredit la tendance haussière récente mais confirme les signaux de surachat technique.</w:t>
      </w:r>
    </w:p>
    <w:p>
      <w:pPr>
        <w:spacing w:after="120" w:line="276" w:lineRule="auto"/>
      </w:pPr>
      <w:r>
        <w:t>**Recommandation finale : VENTE**</w:t>
        <w:br/>
        <w:t>**Justification :** La convergence des signaux de surachat technique (RSI, MACD) et des prédictions IA baissières l'emporte sur la tendance haussière de fond et les fondamentaux solides. Le risque d'une correction à court terme est jugé élevé, et la valorisation actuelle offre un rapport risque/rendement défavorable pour un nouvel investissement.</w:t>
        <w:br/>
        <w:t>**Niveau de confiance :** Moyen</w:t>
        <w:br/>
        <w:t>**Niveau de risque global :** Élevé</w:t>
        <w:br/>
        <w:t>**Horizon d'investissement optimal :** Court terme (&lt; 3 mois) pour profiter d'une éventuelle baisse avant de réévaluer la valeur.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3,658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007800"/>
                <w:sz w:val="17"/>
              </w:rPr>
              <w:t>+1.76%</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2.13% (Faible) — μ=16,432 FCFA, σ=350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β=0.1860 (Défensif) — Cov=0.000008, Var(idx)=0.000042, ρ=0.060,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16,220</w:t>
            </w:r>
          </w:p>
        </w:tc>
        <w:tc>
          <w:tcPr>
            <w:tcW w:type="dxa" w:w="1440"/>
            <w:shd w:fill="FAFAFA" w:val="clear"/>
          </w:tcPr>
          <w:p>
            <w:r>
              <w:rPr>
                <w:b/>
                <w:sz w:val="17"/>
              </w:rPr>
              <w:t>16,724</w:t>
            </w:r>
          </w:p>
        </w:tc>
        <w:tc>
          <w:tcPr>
            <w:tcW w:type="dxa" w:w="1440"/>
            <w:shd w:fill="FAFAFA" w:val="clear"/>
          </w:tcPr>
          <w:p>
            <w:r>
              <w:rPr>
                <w:sz w:val="17"/>
              </w:rPr>
              <w:t>17,228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15,994</w:t>
            </w:r>
          </w:p>
        </w:tc>
        <w:tc>
          <w:tcPr>
            <w:tcW w:type="dxa" w:w="1440"/>
            <w:shd w:fill="FAFAFA" w:val="clear"/>
          </w:tcPr>
          <w:p>
            <w:r>
              <w:rPr>
                <w:b/>
                <w:sz w:val="17"/>
              </w:rPr>
              <w:t>16,706</w:t>
            </w:r>
          </w:p>
        </w:tc>
        <w:tc>
          <w:tcPr>
            <w:tcW w:type="dxa" w:w="1440"/>
            <w:shd w:fill="FAFAFA" w:val="clear"/>
          </w:tcPr>
          <w:p>
            <w:r>
              <w:rPr>
                <w:sz w:val="17"/>
              </w:rPr>
              <w:t>17,417</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15,814</w:t>
            </w:r>
          </w:p>
        </w:tc>
        <w:tc>
          <w:tcPr>
            <w:tcW w:type="dxa" w:w="1440"/>
            <w:shd w:fill="FAFAFA" w:val="clear"/>
          </w:tcPr>
          <w:p>
            <w:r>
              <w:rPr>
                <w:b/>
                <w:sz w:val="17"/>
              </w:rPr>
              <w:t>16,685</w:t>
            </w:r>
          </w:p>
        </w:tc>
        <w:tc>
          <w:tcPr>
            <w:tcW w:type="dxa" w:w="1440"/>
            <w:shd w:fill="FAFAFA" w:val="clear"/>
          </w:tcPr>
          <w:p>
            <w:r>
              <w:rPr>
                <w:sz w:val="17"/>
              </w:rPr>
              <w:t>17,556</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2026-07-16</w:t>
            </w:r>
          </w:p>
        </w:tc>
        <w:tc>
          <w:tcPr>
            <w:tcW w:type="dxa" w:w="1440"/>
            <w:shd w:fill="FAFAFA" w:val="clear"/>
          </w:tcPr>
          <w:p>
            <w:r>
              <w:rPr>
                <w:sz w:val="17"/>
              </w:rPr>
              <w:t>15,662</w:t>
            </w:r>
          </w:p>
        </w:tc>
        <w:tc>
          <w:tcPr>
            <w:tcW w:type="dxa" w:w="1440"/>
            <w:shd w:fill="FAFAFA" w:val="clear"/>
          </w:tcPr>
          <w:p>
            <w:r>
              <w:rPr>
                <w:b/>
                <w:sz w:val="17"/>
              </w:rPr>
              <w:t>16,666</w:t>
            </w:r>
          </w:p>
        </w:tc>
        <w:tc>
          <w:tcPr>
            <w:tcW w:type="dxa" w:w="1440"/>
            <w:shd w:fill="FAFAFA" w:val="clear"/>
          </w:tcPr>
          <w:p>
            <w:r>
              <w:rPr>
                <w:sz w:val="17"/>
              </w:rPr>
              <w:t>17,671</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2026-07-17</w:t>
            </w:r>
          </w:p>
        </w:tc>
        <w:tc>
          <w:tcPr>
            <w:tcW w:type="dxa" w:w="1440"/>
            <w:shd w:fill="FAFAFA" w:val="clear"/>
          </w:tcPr>
          <w:p>
            <w:r>
              <w:rPr>
                <w:sz w:val="17"/>
              </w:rPr>
              <w:t>15,526</w:t>
            </w:r>
          </w:p>
        </w:tc>
        <w:tc>
          <w:tcPr>
            <w:tcW w:type="dxa" w:w="1440"/>
            <w:shd w:fill="FAFAFA" w:val="clear"/>
          </w:tcPr>
          <w:p>
            <w:r>
              <w:rPr>
                <w:b/>
                <w:sz w:val="17"/>
              </w:rPr>
              <w:t>16,648</w:t>
            </w:r>
          </w:p>
        </w:tc>
        <w:tc>
          <w:tcPr>
            <w:tcW w:type="dxa" w:w="1440"/>
            <w:shd w:fill="FAFAFA" w:val="clear"/>
          </w:tcPr>
          <w:p>
            <w:r>
              <w:rPr>
                <w:sz w:val="17"/>
              </w:rPr>
              <w:t>17,770</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2026-07-20</w:t>
            </w:r>
          </w:p>
        </w:tc>
        <w:tc>
          <w:tcPr>
            <w:tcW w:type="dxa" w:w="1440"/>
            <w:shd w:fill="FAFAFA" w:val="clear"/>
          </w:tcPr>
          <w:p>
            <w:r>
              <w:rPr>
                <w:sz w:val="17"/>
              </w:rPr>
              <w:t>15,402</w:t>
            </w:r>
          </w:p>
        </w:tc>
        <w:tc>
          <w:tcPr>
            <w:tcW w:type="dxa" w:w="1440"/>
            <w:shd w:fill="FAFAFA" w:val="clear"/>
          </w:tcPr>
          <w:p>
            <w:r>
              <w:rPr>
                <w:b/>
                <w:sz w:val="17"/>
              </w:rPr>
              <w:t>16,630</w:t>
            </w:r>
          </w:p>
        </w:tc>
        <w:tc>
          <w:tcPr>
            <w:tcW w:type="dxa" w:w="1440"/>
            <w:shd w:fill="FAFAFA" w:val="clear"/>
          </w:tcPr>
          <w:p>
            <w:r>
              <w:rPr>
                <w:sz w:val="17"/>
              </w:rPr>
              <w:t>17,857</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2026-07-21</w:t>
            </w:r>
          </w:p>
        </w:tc>
        <w:tc>
          <w:tcPr>
            <w:tcW w:type="dxa" w:w="1440"/>
            <w:shd w:fill="FAFAFA" w:val="clear"/>
          </w:tcPr>
          <w:p>
            <w:r>
              <w:rPr>
                <w:sz w:val="17"/>
              </w:rPr>
              <w:t>15,287</w:t>
            </w:r>
          </w:p>
        </w:tc>
        <w:tc>
          <w:tcPr>
            <w:tcW w:type="dxa" w:w="1440"/>
            <w:shd w:fill="FAFAFA" w:val="clear"/>
          </w:tcPr>
          <w:p>
            <w:r>
              <w:rPr>
                <w:b/>
                <w:sz w:val="17"/>
              </w:rPr>
              <w:t>16,612</w:t>
            </w:r>
          </w:p>
        </w:tc>
        <w:tc>
          <w:tcPr>
            <w:tcW w:type="dxa" w:w="1440"/>
            <w:shd w:fill="FAFAFA" w:val="clear"/>
          </w:tcPr>
          <w:p>
            <w:r>
              <w:rPr>
                <w:sz w:val="17"/>
              </w:rPr>
              <w:t>17,936</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2026-07-22</w:t>
            </w:r>
          </w:p>
        </w:tc>
        <w:tc>
          <w:tcPr>
            <w:tcW w:type="dxa" w:w="1440"/>
            <w:shd w:fill="FAFAFA" w:val="clear"/>
          </w:tcPr>
          <w:p>
            <w:r>
              <w:rPr>
                <w:sz w:val="17"/>
              </w:rPr>
              <w:t>15,179</w:t>
            </w:r>
          </w:p>
        </w:tc>
        <w:tc>
          <w:tcPr>
            <w:tcW w:type="dxa" w:w="1440"/>
            <w:shd w:fill="FAFAFA" w:val="clear"/>
          </w:tcPr>
          <w:p>
            <w:r>
              <w:rPr>
                <w:b/>
                <w:sz w:val="17"/>
              </w:rPr>
              <w:t>16,594</w:t>
            </w:r>
          </w:p>
        </w:tc>
        <w:tc>
          <w:tcPr>
            <w:tcW w:type="dxa" w:w="1440"/>
            <w:shd w:fill="FAFAFA" w:val="clear"/>
          </w:tcPr>
          <w:p>
            <w:r>
              <w:rPr>
                <w:sz w:val="17"/>
              </w:rPr>
              <w:t>18,008</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2026-07-23</w:t>
            </w:r>
          </w:p>
        </w:tc>
        <w:tc>
          <w:tcPr>
            <w:tcW w:type="dxa" w:w="1440"/>
            <w:shd w:fill="FAFAFA" w:val="clear"/>
          </w:tcPr>
          <w:p>
            <w:r>
              <w:rPr>
                <w:sz w:val="17"/>
              </w:rPr>
              <w:t>15,078</w:t>
            </w:r>
          </w:p>
        </w:tc>
        <w:tc>
          <w:tcPr>
            <w:tcW w:type="dxa" w:w="1440"/>
            <w:shd w:fill="FAFAFA" w:val="clear"/>
          </w:tcPr>
          <w:p>
            <w:r>
              <w:rPr>
                <w:b/>
                <w:sz w:val="17"/>
              </w:rPr>
              <w:t>16,576</w:t>
            </w:r>
          </w:p>
        </w:tc>
        <w:tc>
          <w:tcPr>
            <w:tcW w:type="dxa" w:w="1440"/>
            <w:shd w:fill="FAFAFA" w:val="clear"/>
          </w:tcPr>
          <w:p>
            <w:r>
              <w:rPr>
                <w:sz w:val="17"/>
              </w:rPr>
              <w:t>18,075</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2026-07-24</w:t>
            </w:r>
          </w:p>
        </w:tc>
        <w:tc>
          <w:tcPr>
            <w:tcW w:type="dxa" w:w="1440"/>
            <w:shd w:fill="FAFAFA" w:val="clear"/>
          </w:tcPr>
          <w:p>
            <w:r>
              <w:rPr>
                <w:sz w:val="17"/>
              </w:rPr>
              <w:t>14,981</w:t>
            </w:r>
          </w:p>
        </w:tc>
        <w:tc>
          <w:tcPr>
            <w:tcW w:type="dxa" w:w="1440"/>
            <w:shd w:fill="FAFAFA" w:val="clear"/>
          </w:tcPr>
          <w:p>
            <w:r>
              <w:rPr>
                <w:b/>
                <w:sz w:val="17"/>
              </w:rPr>
              <w:t>16,559</w:t>
            </w:r>
          </w:p>
        </w:tc>
        <w:tc>
          <w:tcPr>
            <w:tcW w:type="dxa" w:w="1440"/>
            <w:shd w:fill="FAFAFA" w:val="clear"/>
          </w:tcPr>
          <w:p>
            <w:r>
              <w:rPr>
                <w:sz w:val="17"/>
              </w:rPr>
              <w:t>18,137</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Voici le rapport d'analyse structuré pour l'action ECOC (Ecobank Côte d'Ivoire),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924,57 milliards FCFA, ECOC se positionne comme un poids lourd de la cote BRVM, reflétant sa stature de leader bancaire régional. Le BPA de 1 153 FCFA indique que chaque action a généré un bénéfice net de ce montant sur l'exercice 2025. Le PER de 14,6x est supérieur à la moyenne historique de la BRVM (8-12x), ce qui suggère que les investisseurs acceptent de payer une prime pour la qualité et la régularité des bénéfices de la banque. Cette prime est confirmée par le P/B de 4,23x, un niveau très élevé qui témoigne d'une valorisation boursière bien au-dessus de la valeur comptable des actifs nets, signe d'une forte confiance du marché dans la capacité future de création de valeur. Enfin, l'EV/EBITDA de 14,2x, situé dans la fourchette haute de la zone de valorisation élevée (10-15x), confirme que le marché intègre déjà des perspectives de croissance solides dans le prix de l'action.</w:t>
      </w:r>
    </w:p>
    <w:p>
      <w:pPr>
        <w:spacing w:after="120" w:line="276" w:lineRule="auto"/>
      </w:pPr>
      <w:r>
        <w:t>### **PARTIE 1 : ANALYSE DU COURS — STATISTIQUES ET ÉVOLUTION (100 derniers jours)**</w:t>
      </w:r>
    </w:p>
    <w:p>
      <w:pPr>
        <w:spacing w:after="120" w:line="276" w:lineRule="auto"/>
      </w:pPr>
      <w:r>
        <w:t>Sur les 100 derniers jours, l'action ECOC affiche une progression modeste de +1,76%, avec une dernière séance en hausse de 0,57% à 16 795 FCFA. Le cours a évolué dans un range de 1 750 FCFA, entre un plus bas de 15 520 FCFA et un plus haut de 17 270 FCFA, indiquant une certaine amplitude de mouvement. La moyenne du cours sur la période (16 432 FCFA) et la médiane (16 400 FCFA) sont très proches, ce qui, combiné à un skewness de -0,102, confirme une distribution quasi symétrique des prix, sans forte tendance directionnelle. L'écart-type de 352 FCFA, associé à un coefficient de variation de seulement 2,1%, révèle une dispersion très faible autour de la moyenne, suggérant une stabilité relative du cours. Le kurtosis proche de zéro (0,111) indique une distribution mésokurtique, c'est-à-dire sans risque de mouvements extrêmes ou de "pics" de volatilité. Enfin, la volatilité annualisée de 31,4% classe le titre dans la catégorie des actifs à volatilité élevée, ce qui est cohérent avec les variations potentielles observées sur la période.</w:t>
      </w:r>
    </w:p>
    <w:p>
      <w:pPr>
        <w:spacing w:after="120" w:line="276" w:lineRule="auto"/>
      </w:pPr>
      <w:r>
        <w:t>### **PARTIE 2 : ANALYSE TECHNIQUE DÉTAILLÉE**</w:t>
      </w:r>
    </w:p>
    <w:p>
      <w:pPr>
        <w:spacing w:after="120" w:line="276" w:lineRule="auto"/>
      </w:pPr>
      <w:r>
        <w:t>*   **Moyennes Mobiles** : Le cours actuel (16 795 FCFA) se situe au-dessus de la MM20 (16 715,5 FCFA) et de la MM50 (16 481 FCFA), ce qui constitue une configuration haussière à court et moyen terme. La pente des deux moyennes est positive, confirmant la tendance ascendante et justifiant un signal d'achat.</w:t>
        <w:br/>
        <w:t>*   **Bandes de Bollinger** : Le cours évolue dans la partie médiane des bandes, loin des bornes supérieure (17 280 FCFA) et inférieure (16 150 FCFA). Cette position neutre indique une volatilité modérée et l'absence de pression excessive à l'achat ou à la vente. Le resserrement des bandes pourrait précéder un mouvement plus ample.</w:t>
        <w:br/>
        <w:t>*   **MACD** : La ligne MACD (81,99) est passée sous sa ligne de signal (93,33), générant un signal de vente. Cette divergence baissière indique un ralentissement du momentum haussier à court terme. Bien que les deux lignes restent en territoire positif, ce croisement est un avertissement technique.</w:t>
        <w:br/>
        <w:t>*   **RSI** : Avec une valeur de 47,87, le RSI se situe en zone neutre (entre 30 et 70). Il n'indique ni une situation de surachat (qui suggérerait une correction) ni de survente (qui signalerait un rebond potentiel). Le titre ne semble donc ni survendu ni suracheté.</w:t>
        <w:br/>
        <w:t>*   **Stochastique** : Le %K (53,43) est inférieur au %D (57,03), indiquant un momentum baissier à très court terme. Les deux lignes évoluant en zone neutre, ce signal est faible mais confirme l'absence de dynamique haussière immédiate.</w:t>
      </w:r>
    </w:p>
    <w:p>
      <w:pPr>
        <w:spacing w:after="120" w:line="276" w:lineRule="auto"/>
      </w:pPr>
      <w:r>
        <w:t>**Conclusion technique** : Le tableau technique est mitigé. Les moyennes mobiles offrent un support solide et une tendance haussière de fond, tandis que le MACD et le Stochastique pointent vers un essoufflement du momentum à court terme. Le RSI et les Bandes de Bollinger sont neutres. En l'absence d'un catalyseur fort, le titre pourrait consolider latéralement avant de décider de sa prochaine direction.</w:t>
      </w:r>
    </w:p>
    <w:p>
      <w:pPr>
        <w:spacing w:after="120" w:line="276" w:lineRule="auto"/>
      </w:pPr>
      <w:r>
        <w:t>### **PARTIE 3 : ANALYSE FONDAMENTALE (SECTION CRITIQUE)**</w:t>
      </w:r>
    </w:p>
    <w:p>
      <w:pPr>
        <w:spacing w:after="120" w:line="276" w:lineRule="auto"/>
      </w:pPr>
      <w:r>
        <w:t>Les données financières structurées pour l'exercice 2025 confirment la solidité d'ECOC. Le Produit Net Bancaire (PNB) s'établit à 132,7 milliards FCFA, pour un résultat net de 63,5 milliards FCFA. La rentabilité est exceptionnelle avec un ROE de 29,04% et un ROA de 3,09%, des niveaux qui placent la banque parmi les plus performantes de la place. Le coefficient d'exploitation de 42,89% témoigne d'une excellente maîtrise des charges opérationnelles, tandis que le coût du risque, à 1,36%, reste modéré, reflétant une bonne qualité du portefeuille de crédits. La structure de bilan est saine, avec des dépôts clientèle (1 626 Mds FCFA) largement supérieurs aux créances sur la clientèle (1 050 Mds FCFA), assurant une liquidité abondante. Les rapports trimestriels de 2025 confirment cette dynamique positive : le PNB a progressé de +11,3% au T3 2025 (96,4 Mds FCFA) et le résultat net de +15,4% (44,4 Mds FCFA) par rapport à la même période en 2024. Sur la base du rapport du T1 2026, qui fait état d'un PNB de 30,8 Mds FCFA (+3,7%) et d'un résultat net de 13,0 Mds FCFA (-1,6% en raison d'une hausse du coût du risque), on estime que l'exercice 2026 pourrait montrer une performance plus modérée, avec une rentabilité potentiellement en léger retrait par rapport aux sommets de 2025. La banque propose un dividende de 888 FCFA brut par action pour 2025, en hausse de 10,4% par rapport à 2024 (804 FCFA), confirmant une politique actionnariale généreuse.</w:t>
      </w:r>
    </w:p>
    <w:p>
      <w:pPr>
        <w:spacing w:after="120" w:line="276" w:lineRule="auto"/>
      </w:pPr>
      <w:r>
        <w:t>### **PARTIE 4 : CONCLUSION D'INVESTISSEMENT**</w:t>
      </w:r>
    </w:p>
    <w:p>
      <w:pPr>
        <w:spacing w:after="120" w:line="276" w:lineRule="auto"/>
      </w:pPr>
      <w:r>
        <w:t>La valorisation d'ECOC (PER de 14,6x, P/B de 4,23x) est exigeante et intègre déjà une prime de qualité, ce qui limite le potentiel de hausse à court terme. Le comportement récent du cours montre une tendance haussière modérée avec une volatilité élevée, mais les statistiques (kurtosis, skewness) suggèrent une distribution normale des prix sans risque de choc. Les signaux techniques sont partagés : les moyennes mobiles sont haussières, mais le MACD et le Stochastique indiquent un essoufflement du momentum, pointant vers une phase de consolidation. En revanche, les fondamentaux sont d'une solidité remarquable, avec une rentabilité (ROE &gt;29%) et une efficacité opérationnelle (coefficient d'exploitation &lt;43%) parmi les meilleures du secteur. Les prédictions IA pour les 10 prochains jours (légère baisse de 16 795 à 16 648 FCFA) confirment l'absence de catalyseur haussier immédiat.</w:t>
      </w:r>
    </w:p>
    <w:p>
      <w:pPr>
        <w:spacing w:after="120" w:line="276" w:lineRule="auto"/>
      </w:pPr>
      <w:r>
        <w:t>**Recommandation finale : CONSERVER**. La convergence entre une valorisation élevée, des signaux techniques mitigés et des fondamentaux excellents justifie une position de conservation. Le titre offre un bon compromis entre sécurité (solidité financière) et rendement (dividende de 888 FCFA, soit un rendement de 5,3%). **Niveau de confiance : Élevé. Risque global : Moyen.** L'horizon d'investissement optimal est le **moyen terme (3 à 12 mois)** pour bénéficier de la croissance des bénéfices et de la politique de dividende attractive, en attendant un point d'entrée plus favorable.</w:t>
      </w:r>
    </w:p>
    <w:p/>
    <w:p/>
    <w:p>
      <w:pPr>
        <w:pStyle w:val="Heading3"/>
      </w:pPr>
      <w:r>
        <w:rPr>
          <w:color w:val="00467F"/>
        </w:rPr>
        <w:t>📎 DOCUMENTS &amp; COMMUNICATIONS OFFICIELS BRVM</w:t>
      </w:r>
    </w:p>
    <w:p>
      <w:r>
        <w:rPr>
          <w:i/>
          <w:color w:val="646464"/>
          <w:sz w:val="18"/>
        </w:rPr>
        <w:t>8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[3]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[4]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Pr>
        <w:ind w:left="400"/>
      </w:pPr>
      <w:r>
        <w:rPr>
          <w:color w:val="B4B4B4"/>
          <w:sz w:val="14"/>
        </w:rPr>
        <w:t xml:space="preserve">· · · · · · · · · · · · · · · · · · · · · · · · · · · · · · </w:t>
      </w:r>
    </w:p>
    <w:p>
      <w:pPr>
        <w:spacing w:before="160"/>
      </w:pPr>
      <w:r>
        <w:rPr>
          <w:b/>
          <w:color w:val="0066CC"/>
          <w:sz w:val="20"/>
        </w:rPr>
        <w:t xml:space="preserve">[5] </w:t>
      </w:r>
      <w:r>
        <w:rPr>
          <w:b/>
          <w:sz w:val="20"/>
        </w:rPr>
        <w:t>20260511   calendrier de paiement des dividendes   exercice 2025</w:t>
      </w:r>
    </w:p>
    <w:p>
      <w:pPr>
        <w:spacing w:before="20"/>
        <w:ind w:left="400"/>
      </w:pPr>
      <w:r>
        <w:rPr>
          <w:color w:val="505050"/>
          <w:sz w:val="17"/>
        </w:rPr>
        <w:t xml:space="preserve">Date : 12/05/2026  |  Catégorie : dividende  |  Impact : </w:t>
      </w:r>
      <w:r>
        <w:rPr>
          <w:b/>
          <w:color w:val="008000"/>
          <w:sz w:val="17"/>
        </w:rPr>
        <w:t>🟢 POSITIF</w:t>
      </w:r>
    </w:p>
    <w:p>
      <w:pPr>
        <w:spacing w:before="40"/>
        <w:ind w:left="400"/>
      </w:pPr>
      <w:r>
        <w:rPr>
          <w:sz w:val="18"/>
        </w:rPr>
        <w:t>Calendrier officiel de paiement des dividendes pour l'exercice 2025 publié par la BRVM le 11 mai 2026. Le document détaille les dates de détachement et de paiement des dividendes pour 7 entreprises cotées. Les montants varient de 305,04 FCFA à 1740 FCFA par action.</w:t>
      </w:r>
    </w:p>
    <w:p>
      <w:pPr>
        <w:spacing w:before="60"/>
        <w:ind w:left="400"/>
      </w:pPr>
      <w:r>
        <w:rPr>
          <w:b/>
          <w:sz w:val="18"/>
        </w:rPr>
        <w:t>Points clés :</w:t>
      </w:r>
    </w:p>
    <w:p>
      <w:pPr>
        <w:pStyle w:val="ListBullet"/>
        <w:spacing w:before="20" w:after="20"/>
        <w:ind w:left="700"/>
      </w:pPr>
      <w:r>
        <w:rPr>
          <w:sz w:val="18"/>
        </w:rPr>
        <w:t>SONATEL SENEGAL verse le plus gros dividende avec 1740 FCFA par action</w:t>
      </w:r>
    </w:p>
    <w:p>
      <w:pPr>
        <w:pStyle w:val="ListBullet"/>
        <w:spacing w:before="20" w:after="20"/>
        <w:ind w:left="700"/>
      </w:pPr>
      <w:r>
        <w:rPr>
          <w:sz w:val="18"/>
        </w:rPr>
        <w:t>BOA CÔTE D'IVOIRE distribue 594,528 FCFA par action avec paiement le 6 mai 2026</w:t>
      </w:r>
    </w:p>
    <w:p>
      <w:pPr>
        <w:pStyle w:val="ListBullet"/>
        <w:spacing w:before="20" w:after="20"/>
        <w:ind w:left="700"/>
      </w:pPr>
      <w:r>
        <w:rPr>
          <w:sz w:val="18"/>
        </w:rPr>
        <w:t>ECOBANK CI verse un dividende brut de 888 FCFA soumis à l'IRVM</w:t>
      </w:r>
    </w:p>
    <w:p>
      <w:pPr>
        <w:pStyle w:val="ListBullet"/>
        <w:spacing w:before="20" w:after="20"/>
        <w:ind w:left="700"/>
      </w:pPr>
      <w:r>
        <w:rPr>
          <w:sz w:val="18"/>
        </w:rPr>
        <w:t>Les dates de paiement s'étalent du 23 avril au 3 juin 2026</w:t>
      </w:r>
    </w:p>
    <w:p>
      <w:pPr>
        <w:pStyle w:val="ListBullet"/>
        <w:spacing w:before="20" w:after="20"/>
        <w:ind w:left="700"/>
      </w:pPr>
      <w:r>
        <w:rPr>
          <w:sz w:val="18"/>
        </w:rPr>
        <w:t>Sept entreprises du groupe BOA et assimilées distribuent des dividendes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1157.38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1,292,294 titres</w:t>
            </w:r>
          </w:p>
        </w:tc>
        <w:tc>
          <w:tcPr>
            <w:tcW w:type="dxa" w:w="2268"/>
            <w:shd w:fill="FFF2CC" w:val="clear"/>
          </w:tcPr>
          <w:p>
            <w:r>
              <w:rPr>
                <w:b/>
                <w:color w:val="503200"/>
                <w:sz w:val="16"/>
              </w:rPr>
              <w:t xml:space="preserve">Cours actuel : </w:t>
            </w:r>
            <w:r>
              <w:rPr>
                <w:color w:val="000000"/>
                <w:sz w:val="17"/>
              </w:rPr>
              <w:t>64 FCFA</w:t>
            </w:r>
          </w:p>
          <w:p>
            <w:r>
              <w:rPr>
                <w:b/>
                <w:color w:val="503200"/>
                <w:sz w:val="16"/>
              </w:rPr>
              <w:t xml:space="preserve">Var. 100 jours : </w:t>
            </w:r>
            <w:r>
              <w:rPr>
                <w:b/>
                <w:color w:val="007800"/>
                <w:sz w:val="17"/>
              </w:rPr>
              <w:t>+146.15%</w:t>
            </w:r>
          </w:p>
          <w:p>
            <w:r>
              <w:rPr>
                <w:b/>
                <w:color w:val="503200"/>
                <w:sz w:val="16"/>
              </w:rPr>
              <w:t xml:space="preserve">Plus haut 100j : </w:t>
            </w:r>
            <w:r>
              <w:rPr>
                <w:color w:val="000000"/>
                <w:sz w:val="17"/>
              </w:rPr>
              <w:t>64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54.8%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19.25% (Élevée) — μ=33 FCFA, σ=6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β=1.5112 (Agressif) — Cov=0.000063, Var(idx)=0.000042, ρ=0.286,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1,292,294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σ_j=3.45%/j (Modérée) — Vol. annualisée≈54.8%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56</w:t>
            </w:r>
          </w:p>
        </w:tc>
        <w:tc>
          <w:tcPr>
            <w:tcW w:type="dxa" w:w="1440"/>
            <w:shd w:fill="FFDCE0" w:val="clear"/>
          </w:tcPr>
          <w:p>
            <w:r>
              <w:rPr>
                <w:b/>
                <w:sz w:val="17"/>
              </w:rPr>
              <w:t>59</w:t>
            </w:r>
          </w:p>
        </w:tc>
        <w:tc>
          <w:tcPr>
            <w:tcW w:type="dxa" w:w="1440"/>
            <w:shd w:fill="FFDCE0" w:val="clear"/>
          </w:tcPr>
          <w:p>
            <w:r>
              <w:rPr>
                <w:sz w:val="17"/>
              </w:rPr>
              <w:t>63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50</w:t>
            </w:r>
          </w:p>
        </w:tc>
        <w:tc>
          <w:tcPr>
            <w:tcW w:type="dxa" w:w="1440"/>
            <w:shd w:fill="FFDCE0" w:val="clear"/>
          </w:tcPr>
          <w:p>
            <w:r>
              <w:rPr>
                <w:b/>
                <w:sz w:val="17"/>
              </w:rPr>
              <w:t>55</w:t>
            </w:r>
          </w:p>
        </w:tc>
        <w:tc>
          <w:tcPr>
            <w:tcW w:type="dxa" w:w="1440"/>
            <w:shd w:fill="FFDCE0" w:val="clear"/>
          </w:tcPr>
          <w:p>
            <w:r>
              <w:rPr>
                <w:sz w:val="17"/>
              </w:rPr>
              <w:t>59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46</w:t>
            </w:r>
          </w:p>
        </w:tc>
        <w:tc>
          <w:tcPr>
            <w:tcW w:type="dxa" w:w="1440"/>
            <w:shd w:fill="FFDCE0" w:val="clear"/>
          </w:tcPr>
          <w:p>
            <w:r>
              <w:rPr>
                <w:b/>
                <w:sz w:val="17"/>
              </w:rPr>
              <w:t>51</w:t>
            </w:r>
          </w:p>
        </w:tc>
        <w:tc>
          <w:tcPr>
            <w:tcW w:type="dxa" w:w="1440"/>
            <w:shd w:fill="FFDCE0" w:val="clear"/>
          </w:tcPr>
          <w:p>
            <w:r>
              <w:rPr>
                <w:sz w:val="17"/>
              </w:rPr>
              <w:t>56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41</w:t>
            </w:r>
          </w:p>
        </w:tc>
        <w:tc>
          <w:tcPr>
            <w:tcW w:type="dxa" w:w="1440"/>
            <w:shd w:fill="FFDCE0" w:val="clear"/>
          </w:tcPr>
          <w:p>
            <w:r>
              <w:rPr>
                <w:b/>
                <w:sz w:val="17"/>
              </w:rPr>
              <w:t>47</w:t>
            </w:r>
          </w:p>
        </w:tc>
        <w:tc>
          <w:tcPr>
            <w:tcW w:type="dxa" w:w="1440"/>
            <w:shd w:fill="FFDCE0" w:val="clear"/>
          </w:tcPr>
          <w:p>
            <w:r>
              <w:rPr>
                <w:sz w:val="17"/>
              </w:rPr>
              <w:t>52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38</w:t>
            </w:r>
          </w:p>
        </w:tc>
        <w:tc>
          <w:tcPr>
            <w:tcW w:type="dxa" w:w="1440"/>
            <w:shd w:fill="FFDCE0" w:val="clear"/>
          </w:tcPr>
          <w:p>
            <w:r>
              <w:rPr>
                <w:b/>
                <w:sz w:val="17"/>
              </w:rPr>
              <w:t>43</w:t>
            </w:r>
          </w:p>
        </w:tc>
        <w:tc>
          <w:tcPr>
            <w:tcW w:type="dxa" w:w="1440"/>
            <w:shd w:fill="FFDCE0" w:val="clear"/>
          </w:tcPr>
          <w:p>
            <w:r>
              <w:rPr>
                <w:sz w:val="17"/>
              </w:rPr>
              <w:t>49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34</w:t>
            </w:r>
          </w:p>
        </w:tc>
        <w:tc>
          <w:tcPr>
            <w:tcW w:type="dxa" w:w="1440"/>
            <w:shd w:fill="FFDCE0" w:val="clear"/>
          </w:tcPr>
          <w:p>
            <w:r>
              <w:rPr>
                <w:b/>
                <w:sz w:val="17"/>
              </w:rPr>
              <w:t>40</w:t>
            </w:r>
          </w:p>
        </w:tc>
        <w:tc>
          <w:tcPr>
            <w:tcW w:type="dxa" w:w="1440"/>
            <w:shd w:fill="FFDCE0" w:val="clear"/>
          </w:tcPr>
          <w:p>
            <w:r>
              <w:rPr>
                <w:sz w:val="17"/>
              </w:rPr>
              <w:t>46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31</w:t>
            </w:r>
          </w:p>
        </w:tc>
        <w:tc>
          <w:tcPr>
            <w:tcW w:type="dxa" w:w="1440"/>
            <w:shd w:fill="FFDCE0" w:val="clear"/>
          </w:tcPr>
          <w:p>
            <w:r>
              <w:rPr>
                <w:b/>
                <w:sz w:val="17"/>
              </w:rPr>
              <w:t>37</w:t>
            </w:r>
          </w:p>
        </w:tc>
        <w:tc>
          <w:tcPr>
            <w:tcW w:type="dxa" w:w="1440"/>
            <w:shd w:fill="FFDCE0" w:val="clear"/>
          </w:tcPr>
          <w:p>
            <w:r>
              <w:rPr>
                <w:sz w:val="17"/>
              </w:rPr>
              <w:t>43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29</w:t>
            </w:r>
          </w:p>
        </w:tc>
        <w:tc>
          <w:tcPr>
            <w:tcW w:type="dxa" w:w="1440"/>
            <w:shd w:fill="FFDCE0" w:val="clear"/>
          </w:tcPr>
          <w:p>
            <w:r>
              <w:rPr>
                <w:b/>
                <w:sz w:val="17"/>
              </w:rPr>
              <w:t>34</w:t>
            </w:r>
          </w:p>
        </w:tc>
        <w:tc>
          <w:tcPr>
            <w:tcW w:type="dxa" w:w="1440"/>
            <w:shd w:fill="FFDCE0" w:val="clear"/>
          </w:tcPr>
          <w:p>
            <w:r>
              <w:rPr>
                <w:sz w:val="17"/>
              </w:rPr>
              <w:t>40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26</w:t>
            </w:r>
          </w:p>
        </w:tc>
        <w:tc>
          <w:tcPr>
            <w:tcW w:type="dxa" w:w="1440"/>
            <w:shd w:fill="FFDCE0" w:val="clear"/>
          </w:tcPr>
          <w:p>
            <w:r>
              <w:rPr>
                <w:b/>
                <w:sz w:val="17"/>
              </w:rPr>
              <w:t>32</w:t>
            </w:r>
          </w:p>
        </w:tc>
        <w:tc>
          <w:tcPr>
            <w:tcW w:type="dxa" w:w="1440"/>
            <w:shd w:fill="FFDCE0" w:val="clear"/>
          </w:tcPr>
          <w:p>
            <w:r>
              <w:rPr>
                <w:sz w:val="17"/>
              </w:rPr>
              <w:t>37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24</w:t>
            </w:r>
          </w:p>
        </w:tc>
        <w:tc>
          <w:tcPr>
            <w:tcW w:type="dxa" w:w="1440"/>
            <w:shd w:fill="FFDCE0" w:val="clear"/>
          </w:tcPr>
          <w:p>
            <w:r>
              <w:rPr>
                <w:b/>
                <w:sz w:val="17"/>
              </w:rPr>
              <w:t>30</w:t>
            </w:r>
          </w:p>
        </w:tc>
        <w:tc>
          <w:tcPr>
            <w:tcW w:type="dxa" w:w="1440"/>
            <w:shd w:fill="FFDCE0" w:val="clear"/>
          </w:tcPr>
          <w:p>
            <w:r>
              <w:rPr>
                <w:sz w:val="17"/>
              </w:rPr>
              <w:t>35</w:t>
            </w:r>
          </w:p>
        </w:tc>
        <w:tc>
          <w:tcPr>
            <w:tcW w:type="dxa" w:w="1440"/>
            <w:shd w:fill="FFDCE0" w:val="clear"/>
          </w:tcPr>
          <w:p>
            <w:r>
              <w:rPr>
                <w:b/>
                <w:color w:val="C00000"/>
                <w:sz w:val="17"/>
              </w:rPr>
              <w:t>-53.5%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Voici le rapport d'analyse structuré pour l'action ETIT (Ecobank Transnational Incorporated)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1 157,38 milliards FCFA, ETIT se positionne comme un poids lourd de la cote BRVM, reflétant son statut de groupe bancaire panafricain de premier plan. Le Bénéfice Par Action (BPA) de 19 FCFA indique que chaque action a généré un profit de 19 FCFA sur l'exercice 2025. Le PER de 3,3x est particulièrement bas, suggérant que le marché valorise la société à seulement 3,3 fois ses bénéfices annuels, un niveau très inférieur à la moyenne du marché BRVM (8-12x), ce qui pourrait signaler une sous-évaluation significative. Le ratio P/B de 0,72x, inférieur à 1, confirme cette hypothèse en indiquant que le cours de bourse est inférieur à la valeur comptable des capitaux propres, une situation souvent perçue comme une opportunité de valeur. Enfin, l'EV/EBITDA de 4,9x, inférieur à 5x, renforce l'idée d'une valorisation très attractive par rapport à la capacité bénéficiaire opérationnelle de la banque.</w:t>
      </w:r>
    </w:p>
    <w:p>
      <w:pPr>
        <w:spacing w:after="120" w:line="276" w:lineRule="auto"/>
      </w:pPr>
      <w:r>
        <w:t>### **PARTIE 1 : ANALYSE DU COURS — STATISTIQUES ET ÉVOLUTION (100 derniers jours)**</w:t>
      </w:r>
    </w:p>
    <w:p>
      <w:pPr>
        <w:spacing w:after="120" w:line="276" w:lineRule="auto"/>
      </w:pPr>
      <w:r>
        <w:t>Sur les 100 derniers jours, l'action ETIT a connu une progression fulgurante de +146,15%, atteignant un cours actuel de 64 FCFA, soit son plus haut niveau sur la période, contre un plus bas de 26 FCFA. Cette performance remarquable s'est accompagnée d'une hausse de +6,67% lors de la dernière séance, témoignant d'un momentum acheteur toujours très fort. L'analyse des statistiques descriptives révèle une distribution très atypique : la moyenne (33 FCFA) et la médiane (32 FCFA) sont très proches, mais le cours actuel (64 FCFA) s'en écarte massivement. Le skewness de 2,890 (asymétrie positive) indique que la majorité des séances se sont déroulées sous la moyenne, avec une poussée récente et violente à la hausse. Le kurtosis excessif de 8,928 (leptokurtique) confirme un risque de pics extrêmes, ce qui est exactement ce qui s'est produit. Enfin, la volatilité annualisée de 54,8% est très élevée (&gt;30%), classant ETIT comme un actif à haut risque, où les mouvements de prix peuvent être amples et rapides.</w:t>
      </w:r>
    </w:p>
    <w:p>
      <w:pPr>
        <w:spacing w:after="120" w:line="276" w:lineRule="auto"/>
      </w:pPr>
      <w:r>
        <w:t>### **PARTIE 2 : ANALYSE TECHNIQUE DÉTAILLÉE**</w:t>
      </w:r>
    </w:p>
    <w:p>
      <w:pPr>
        <w:spacing w:after="120" w:line="276" w:lineRule="auto"/>
      </w:pPr>
      <w:r>
        <w:t>**Moyennes Mobiles** : Le cours actuel de 64 FCFA est très largement au-dessus de la MM20 (42,1 FCFA) et de la MM50 (35,02 FCFA), confirmant une tendance haussière extrêmement forte. La décision d'achat est justifiée par cette configuration haussière, bien que l'écart soit devenu excessif, signalant une possible correction à venir.</w:t>
      </w:r>
    </w:p>
    <w:p>
      <w:pPr>
        <w:spacing w:after="120" w:line="276" w:lineRule="auto"/>
      </w:pPr>
      <w:r>
        <w:t>**Bandes de Bollinger** : Le cours a franchi la borne supérieure de la bande (61,8 FCFA) pour s'établir à 64 FCFA, ce qui est un signal classique de surachat et de volatilité extrême. La décision de vente est justifiée par cette sortie de canal, qui précède souvent un retour vers la moyenne mobile ou la bande inférieure.</w:t>
      </w:r>
    </w:p>
    <w:p>
      <w:pPr>
        <w:spacing w:after="120" w:line="276" w:lineRule="auto"/>
      </w:pPr>
      <w:r>
        <w:t>**MACD** : La ligne MACD (6,958) est nettement au-dessus de sa ligne de signal (4,525), indiquant un momentum haussier toujours très puissant. La décision d'achat est cohérente avec cette dynamique positive, mais l'écart important entre les deux lignes suggère que la tendance pourrait arriver à maturité.</w:t>
      </w:r>
    </w:p>
    <w:p>
      <w:pPr>
        <w:spacing w:after="120" w:line="276" w:lineRule="auto"/>
      </w:pPr>
      <w:r>
        <w:t>**RSI** : Avec une valeur de 96,774, le RSI est en zone de surachat extrême (bien au-dessus du seuil de 70). Cela indique que l'action est survendue d'un point de vue technique et qu'un retournement ou une consolidation est statistiquement très probable. La décision de vente est ici impérative.</w:t>
      </w:r>
    </w:p>
    <w:p>
      <w:pPr>
        <w:spacing w:after="120" w:line="276" w:lineRule="auto"/>
      </w:pPr>
      <w:r>
        <w:t>**Stochastique** : Les valeurs %K et %D sont toutes deux à 100,0, un niveau de surachat maximal. Cette configuration indique que la pression acheteuse a été totale et continue, mais qu'elle atteint une limite technique extrême. La décision de vente est la plus prudente.</w:t>
      </w:r>
    </w:p>
    <w:p>
      <w:pPr>
        <w:spacing w:after="120" w:line="276" w:lineRule="auto"/>
      </w:pPr>
      <w:r>
        <w:t>**Conclusion technique** : L'analyse technique est unanime sur le fait que l'action est en situation de surachat extrême. Tous les oscillateurs (RSI, Stochastique) et les bandes de Bollinger crient "Vente", tandis que les indicateurs de tendance (MM, MACD) sont encore en mode "Achat". Cette divergence entre la force de la tendance et les signaux de retournement crée un risque élevé de correction brutale à court terme. La prudence est donc de mise pour tout nouvel achat.</w:t>
      </w:r>
    </w:p>
    <w:p>
      <w:pPr>
        <w:spacing w:after="120" w:line="276" w:lineRule="auto"/>
      </w:pPr>
      <w:r>
        <w:t>### **PARTIE 3 : ANALYSE FONDAMENTALE (SECTION CRITIQUE)**</w:t>
      </w:r>
    </w:p>
    <w:p>
      <w:pPr>
        <w:spacing w:after="120" w:line="276" w:lineRule="auto"/>
      </w:pPr>
      <w:r>
        <w:t>Les données structurées pour l'exercice 2025 confirment la solidité financière d'ETIT. Le Produit Net Bancaire (PNB), équivalent du chiffre d'affaires pour une banque, s'élève à 1 424,26 milliards FCFA, pour un résultat net de 345,52 milliards FCFA. La rentabilité est excellente avec un ROE de 21,62% (bien au-dessus du seuil de 15%) et un ROA de 1,80%. Le coefficient d'exploitation de 27,35% est exceptionnellement bas, bien en dessous du seuil d'efficacité de 60%, témoignant d'une maîtrise des coûts remarquable. Le coût du risque, à 18,97%, est un point de vigilance car il est élevé, indiquant un risque de crédit significatif sur le portefeuille de prêts. En complément, les rapports trimestriels montrent une dynamique très positive. Le rapport du T3 2025 indique un PNB en hausse de 15% et un résultat net en progression de 30% sur 9 mois. Le rapport du S1 2025 confirme cette tendance avec un PNB à 671,3 milliards FCFA (+12%) et un résultat net à 167,6 milliards FCFA (+23%). Enfin, le rapport du T1 2026, le plus récent, montre une accélération avec un PNB en hausse de 23% à 636,2 millions $EU et un résultat net en hausse de 16%. Sur la base de ces rapports trimestriels, on estime que l'exercice 2026 pourrait voir une nouvelle progression significative des bénéfices, malgré une hausse du coût du risque (+73% au T1 2026) qui nécessite une surveillance. Les fondamentaux sont donc très solides, avec une croissance rentable et une efficacité opérationnelle de premier ordre.</w:t>
      </w:r>
    </w:p>
    <w:p>
      <w:pPr>
        <w:spacing w:after="120" w:line="276" w:lineRule="auto"/>
      </w:pPr>
      <w:r>
        <w:t>### **PARTIE 4 : CONCLUSION D'INVESTISSEMENT**</w:t>
      </w:r>
    </w:p>
    <w:p>
      <w:pPr>
        <w:spacing w:after="120" w:line="276" w:lineRule="auto"/>
      </w:pPr>
      <w:r>
        <w:t>La synthèse globale d'ETIT est marquée par un conflit majeur entre des fondamentaux exceptionnels et une situation technique extrême. La valorisation (Partie 0) est très attractive (PER de 3,3x, P/B de 0,72x), indiquant une sous-évaluation potentielle. Les fondamentaux (Partie 3) sont robustes, avec une croissance à deux chiffres du PNB et du résultat net, une rentabilité élevée (ROE &gt; 20%) et une efficacité opérationnelle record. Cependant, le comportement du cours (Partie 1) et les signaux techniques (Partie 2) sont unanimes : l'action est en surachat extrême, avec une volatilité élevée et des indicateurs de retournement qui clignotent au rouge. Les prédictions IA pour les 10 prochains jours (de 59 à 43 FCFA) confirment cette analyse en projetant une correction brutale de -33% par rapport au cours actuel. Face à cette divergence, la recommandation est **VENTE** à court terme pour profiter d'une probable correction technique. Le niveau de confiance est **Élevé** en raison de la convergence entre les signaux techniques et les prédictions IA. Le niveau de risque global est **Élevé** à court terme. L'horizon d'investissement optimal est le **court terme (&lt; 3 mois)** pour les traders cherchant à capitaliser sur la baisse attendue. Pour un investisseur de long terme, une entrée après une correction significative (vers 40-45 FCFA) serait une opportunité d'achat sur des fondamentaux solides.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3,926 titres</w:t>
            </w:r>
          </w:p>
        </w:tc>
        <w:tc>
          <w:tcPr>
            <w:tcW w:type="dxa" w:w="2268"/>
            <w:shd w:fill="FFF2CC" w:val="clear"/>
          </w:tcPr>
          <w:p>
            <w:r>
              <w:rPr>
                <w:b/>
                <w:color w:val="503200"/>
                <w:sz w:val="16"/>
              </w:rPr>
              <w:t xml:space="preserve">Cours actuel : </w:t>
            </w:r>
            <w:r>
              <w:rPr>
                <w:color w:val="000000"/>
                <w:sz w:val="17"/>
              </w:rPr>
              <w:t>1,975 FCFA</w:t>
            </w:r>
          </w:p>
          <w:p>
            <w:r>
              <w:rPr>
                <w:b/>
                <w:color w:val="503200"/>
                <w:sz w:val="16"/>
              </w:rPr>
              <w:t xml:space="preserve">Var. 100 jours : </w:t>
            </w:r>
            <w:r>
              <w:rPr>
                <w:b/>
                <w:color w:val="B40000"/>
                <w:sz w:val="17"/>
              </w:rPr>
              <w:t>-14.13%</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1,955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5.67% (Moyenne) — μ=2,246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β=0.8302 (Neutre (suit le marché)) — Cov=0.000035, Var(idx)=0.000042, ρ=0.238,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81/100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1,919</w:t>
            </w:r>
          </w:p>
        </w:tc>
        <w:tc>
          <w:tcPr>
            <w:tcW w:type="dxa" w:w="1440"/>
            <w:shd w:fill="FAFAFA" w:val="clear"/>
          </w:tcPr>
          <w:p>
            <w:r>
              <w:rPr>
                <w:b/>
                <w:sz w:val="17"/>
              </w:rPr>
              <w:t>1,987</w:t>
            </w:r>
          </w:p>
        </w:tc>
        <w:tc>
          <w:tcPr>
            <w:tcW w:type="dxa" w:w="1440"/>
            <w:shd w:fill="FAFAFA" w:val="clear"/>
          </w:tcPr>
          <w:p>
            <w:r>
              <w:rPr>
                <w:sz w:val="17"/>
              </w:rPr>
              <w:t>2,056</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1,899</w:t>
            </w:r>
          </w:p>
        </w:tc>
        <w:tc>
          <w:tcPr>
            <w:tcW w:type="dxa" w:w="1440"/>
            <w:shd w:fill="FAFAFA" w:val="clear"/>
          </w:tcPr>
          <w:p>
            <w:r>
              <w:rPr>
                <w:b/>
                <w:sz w:val="17"/>
              </w:rPr>
              <w:t>1,996</w:t>
            </w:r>
          </w:p>
        </w:tc>
        <w:tc>
          <w:tcPr>
            <w:tcW w:type="dxa" w:w="1440"/>
            <w:shd w:fill="FAFAFA" w:val="clear"/>
          </w:tcPr>
          <w:p>
            <w:r>
              <w:rPr>
                <w:sz w:val="17"/>
              </w:rPr>
              <w:t>2,093</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1,886</w:t>
            </w:r>
          </w:p>
        </w:tc>
        <w:tc>
          <w:tcPr>
            <w:tcW w:type="dxa" w:w="1440"/>
            <w:shd w:fill="FAFAFA" w:val="clear"/>
          </w:tcPr>
          <w:p>
            <w:r>
              <w:rPr>
                <w:b/>
                <w:sz w:val="17"/>
              </w:rPr>
              <w:t>2,005</w:t>
            </w:r>
          </w:p>
        </w:tc>
        <w:tc>
          <w:tcPr>
            <w:tcW w:type="dxa" w:w="1440"/>
            <w:shd w:fill="FAFAFA" w:val="clear"/>
          </w:tcPr>
          <w:p>
            <w:r>
              <w:rPr>
                <w:sz w:val="17"/>
              </w:rPr>
              <w:t>2,125</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1,876</w:t>
            </w:r>
          </w:p>
        </w:tc>
        <w:tc>
          <w:tcPr>
            <w:tcW w:type="dxa" w:w="1440"/>
            <w:shd w:fill="FAFAFA" w:val="clear"/>
          </w:tcPr>
          <w:p>
            <w:r>
              <w:rPr>
                <w:b/>
                <w:sz w:val="17"/>
              </w:rPr>
              <w:t>2,014</w:t>
            </w:r>
          </w:p>
        </w:tc>
        <w:tc>
          <w:tcPr>
            <w:tcW w:type="dxa" w:w="1440"/>
            <w:shd w:fill="FAFAFA" w:val="clear"/>
          </w:tcPr>
          <w:p>
            <w:r>
              <w:rPr>
                <w:sz w:val="17"/>
              </w:rPr>
              <w:t>2,153</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2026-07-17</w:t>
            </w:r>
          </w:p>
        </w:tc>
        <w:tc>
          <w:tcPr>
            <w:tcW w:type="dxa" w:w="1440"/>
            <w:shd w:fill="C6EFCE" w:val="clear"/>
          </w:tcPr>
          <w:p>
            <w:r>
              <w:rPr>
                <w:sz w:val="17"/>
              </w:rPr>
              <w:t>1,867</w:t>
            </w:r>
          </w:p>
        </w:tc>
        <w:tc>
          <w:tcPr>
            <w:tcW w:type="dxa" w:w="1440"/>
            <w:shd w:fill="C6EFCE" w:val="clear"/>
          </w:tcPr>
          <w:p>
            <w:r>
              <w:rPr>
                <w:b/>
                <w:sz w:val="17"/>
              </w:rPr>
              <w:t>2,023</w:t>
            </w:r>
          </w:p>
        </w:tc>
        <w:tc>
          <w:tcPr>
            <w:tcW w:type="dxa" w:w="1440"/>
            <w:shd w:fill="C6EFCE" w:val="clear"/>
          </w:tcPr>
          <w:p>
            <w:r>
              <w:rPr>
                <w:sz w:val="17"/>
              </w:rPr>
              <w:t>2,179</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2026-07-20</w:t>
            </w:r>
          </w:p>
        </w:tc>
        <w:tc>
          <w:tcPr>
            <w:tcW w:type="dxa" w:w="1440"/>
            <w:shd w:fill="C6EFCE" w:val="clear"/>
          </w:tcPr>
          <w:p>
            <w:r>
              <w:rPr>
                <w:sz w:val="17"/>
              </w:rPr>
              <w:t>1,861</w:t>
            </w:r>
          </w:p>
        </w:tc>
        <w:tc>
          <w:tcPr>
            <w:tcW w:type="dxa" w:w="1440"/>
            <w:shd w:fill="C6EFCE" w:val="clear"/>
          </w:tcPr>
          <w:p>
            <w:r>
              <w:rPr>
                <w:b/>
                <w:sz w:val="17"/>
              </w:rPr>
              <w:t>2,032</w:t>
            </w:r>
          </w:p>
        </w:tc>
        <w:tc>
          <w:tcPr>
            <w:tcW w:type="dxa" w:w="1440"/>
            <w:shd w:fill="C6EFCE" w:val="clear"/>
          </w:tcPr>
          <w:p>
            <w:r>
              <w:rPr>
                <w:sz w:val="17"/>
              </w:rPr>
              <w:t>2,203</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2026-07-21</w:t>
            </w:r>
          </w:p>
        </w:tc>
        <w:tc>
          <w:tcPr>
            <w:tcW w:type="dxa" w:w="1440"/>
            <w:shd w:fill="C6EFCE" w:val="clear"/>
          </w:tcPr>
          <w:p>
            <w:r>
              <w:rPr>
                <w:sz w:val="17"/>
              </w:rPr>
              <w:t>1,855</w:t>
            </w:r>
          </w:p>
        </w:tc>
        <w:tc>
          <w:tcPr>
            <w:tcW w:type="dxa" w:w="1440"/>
            <w:shd w:fill="C6EFCE" w:val="clear"/>
          </w:tcPr>
          <w:p>
            <w:r>
              <w:rPr>
                <w:b/>
                <w:sz w:val="17"/>
              </w:rPr>
              <w:t>2,040</w:t>
            </w:r>
          </w:p>
        </w:tc>
        <w:tc>
          <w:tcPr>
            <w:tcW w:type="dxa" w:w="1440"/>
            <w:shd w:fill="C6EFCE" w:val="clear"/>
          </w:tcPr>
          <w:p>
            <w:r>
              <w:rPr>
                <w:sz w:val="17"/>
              </w:rPr>
              <w:t>2,226</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2026-07-22</w:t>
            </w:r>
          </w:p>
        </w:tc>
        <w:tc>
          <w:tcPr>
            <w:tcW w:type="dxa" w:w="1440"/>
            <w:shd w:fill="C6EFCE" w:val="clear"/>
          </w:tcPr>
          <w:p>
            <w:r>
              <w:rPr>
                <w:sz w:val="17"/>
              </w:rPr>
              <w:t>1,850</w:t>
            </w:r>
          </w:p>
        </w:tc>
        <w:tc>
          <w:tcPr>
            <w:tcW w:type="dxa" w:w="1440"/>
            <w:shd w:fill="C6EFCE" w:val="clear"/>
          </w:tcPr>
          <w:p>
            <w:r>
              <w:rPr>
                <w:b/>
                <w:sz w:val="17"/>
              </w:rPr>
              <w:t>2,049</w:t>
            </w:r>
          </w:p>
        </w:tc>
        <w:tc>
          <w:tcPr>
            <w:tcW w:type="dxa" w:w="1440"/>
            <w:shd w:fill="C6EFCE" w:val="clear"/>
          </w:tcPr>
          <w:p>
            <w:r>
              <w:rPr>
                <w:sz w:val="17"/>
              </w:rPr>
              <w:t>2,249</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1,845</w:t>
            </w:r>
          </w:p>
        </w:tc>
        <w:tc>
          <w:tcPr>
            <w:tcW w:type="dxa" w:w="1440"/>
            <w:shd w:fill="C6EFCE" w:val="clear"/>
          </w:tcPr>
          <w:p>
            <w:r>
              <w:rPr>
                <w:b/>
                <w:sz w:val="17"/>
              </w:rPr>
              <w:t>2,058</w:t>
            </w:r>
          </w:p>
        </w:tc>
        <w:tc>
          <w:tcPr>
            <w:tcW w:type="dxa" w:w="1440"/>
            <w:shd w:fill="C6EFCE" w:val="clear"/>
          </w:tcPr>
          <w:p>
            <w:r>
              <w:rPr>
                <w:sz w:val="17"/>
              </w:rPr>
              <w:t>2,270</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1,842</w:t>
            </w:r>
          </w:p>
        </w:tc>
        <w:tc>
          <w:tcPr>
            <w:tcW w:type="dxa" w:w="1440"/>
            <w:shd w:fill="C6EFCE" w:val="clear"/>
          </w:tcPr>
          <w:p>
            <w:r>
              <w:rPr>
                <w:b/>
                <w:sz w:val="17"/>
              </w:rPr>
              <w:t>2,067</w:t>
            </w:r>
          </w:p>
        </w:tc>
        <w:tc>
          <w:tcPr>
            <w:tcW w:type="dxa" w:w="1440"/>
            <w:shd w:fill="C6EFCE" w:val="clear"/>
          </w:tcPr>
          <w:p>
            <w:r>
              <w:rPr>
                <w:sz w:val="17"/>
              </w:rPr>
              <w:t>2,291</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Absolument. Voici le rapport d'analyse structuré pour l'action FTSC (FILTISAC CI), conforme à vos instructions.</w:t>
      </w:r>
    </w:p>
    <w:p>
      <w:pPr>
        <w:spacing w:after="120" w:line="276" w:lineRule="auto"/>
      </w:pPr>
      <w:r>
        <w:t>---</w:t>
      </w:r>
    </w:p>
    <w:p>
      <w:pPr>
        <w:spacing w:after="120" w:line="276" w:lineRule="auto"/>
      </w:pPr>
      <w:r>
        <w:t>### **RAPPORT D'ANALYSE FINANCIÈRE – FTSC (FILTISAC CI)**</w:t>
      </w:r>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27,85 milliards FCFA, un niveau modeste sur la BRVM, reflétant une entreprise de taille moyenne. Le BPA (Bénéfice Par Action) de 33 FCFA est particulièrement faible, ce qui conduit à un PER (Price/Earnings) de 59,8x. Ce ratio est extrêmement élevé, très au-dessus de la moyenne historique de la BRVM (8-12x), indiquant que le marché valorise l'action à un prix très supérieur à ses bénéfices actuels. Le P/B (Price/Book) de 1,77x est plus raisonnable, suggérant que le marché valorise l'actif net à 1,77 fois sa valeur comptable. Enfin, le ratio EV/EBITDA de 36,4x est très exigeant, signifiant que la valeur totale de l'entreprise (dette incluse) est 36 fois sa capacité opérationnelle brute. Ces ratios, dans leur ensemble, pointent vers une surévaluation boursière significative par rapport aux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subi une forte correction de -14,13%, avec une nouvelle baisse de -1,25% lors de la dernière séance, confirmant une tendance baissière marquée. Le cours a oscillé entre un plus haut de 2 480 FCFA et un plus bas de 1 955 FCFA, soit une fourchette de 525 FCFA. La moyenne du cours sur la période est de 2 246 FCFA, tandis que la médiane est de 2 260 FCFA. La très faible différence entre ces deux valeurs indique une distribution relativement symétrique des prix autour de la moyenne. L'écart-type de 128 FCFA, associé à un coefficient de variation (CV) de 5,7%, révèle une dispersion modérée du cours autour de sa moyenne. Le kurtosis (excès) de 0,033 indique une distribution mésokurtique, c'est-à-dire proche d'une distribution normale, sans risque accru de mouvements extrêmes. En revanche, le skewness de -0,695 est négatif, ce qui signifie que l'action a passé plus de journées au-dessus de sa moyenne qu'en dessous, mais que les journées de baisse ont été plus violentes. Enfin, la volatilité annualisée de 35,5% est élevée (&gt;30%), classant FTSC comme un titre risqué et imprévisible à court terme.</w:t>
      </w:r>
    </w:p>
    <w:p>
      <w:pPr>
        <w:spacing w:after="120" w:line="276" w:lineRule="auto" w:before="240"/>
      </w:pPr>
      <w:r>
        <w:rPr>
          <w:b/>
          <w:color w:val="003366"/>
          <w:sz w:val="24"/>
        </w:rPr>
        <w:t>**PARTIE 2 : ANALYSE TECHNIQUE DÉTAILLÉE**</w:t>
      </w:r>
    </w:p>
    <w:p>
      <w:pPr>
        <w:spacing w:after="120" w:line="276" w:lineRule="auto"/>
      </w:pPr>
      <w:r>
        <w:t>*   **Moyennes Mobiles:** Le cours actuel de 1 975 FCFA se situe nettement en dessous de la MM20 (2 046 FCFA) et de la MM50 (2 183,1 FCFA). Cette configuration, où le cours est inférieur aux deux moyennes mobiles, est un signal baissier classique. La décision de "Vente" est donc justifiée, indiquant une tendance sous-jacente défavorable.</w:t>
      </w:r>
    </w:p>
    <w:p>
      <w:pPr>
        <w:spacing w:after="120" w:line="276" w:lineRule="auto"/>
      </w:pPr>
      <w:r>
        <w:t>*   **Bandes de Bollinger:** Le cours à 1 975 FCFA se trouve dans la partie inférieure des bandes, entre la borne inférieure (1 871 FCFA) et la moyenne mobile (2 046 FCFA). La décision "Neutre" est cohérente car, bien que le titre soit en territoire baissier, il n'a pas encore touché la borne inférieure pour signaler une potentielle zone de surachat à la baisse. La largeur des bandes suggère une volatilité persistante.</w:t>
      </w:r>
    </w:p>
    <w:p>
      <w:pPr>
        <w:spacing w:after="120" w:line="276" w:lineRule="auto"/>
      </w:pPr>
      <w:r>
        <w:t>*   **MACD:** La valeur du MACD (-64,742) est inférieure à celle du Signal (-67,052). Bien que les deux soient négatives, le fait que la ligne MACD soit au-dessus du Signal génère une décision d'"Achat". Ce croisement haussier, bien que précoce, indique un affaiblissement du momentum baissier et une possible inversion de tendance à très court terme.</w:t>
      </w:r>
    </w:p>
    <w:p>
      <w:pPr>
        <w:spacing w:after="120" w:line="276" w:lineRule="auto"/>
      </w:pPr>
      <w:r>
        <w:t>*   **RSI:** Avec une valeur de 27,848, le RSI est en territoire de survente (&lt;30). Cela suggère que le titre est potentiellement survendu et pourrait subir un rebond technique à court terme. La décision d'"Achat" est donc justifiée, mais il faut rester prudent car un RSI peut rester en zone de survente pendant une période prolongée dans une forte tendance baissière.</w:t>
      </w:r>
    </w:p>
    <w:p>
      <w:pPr>
        <w:spacing w:after="120" w:line="276" w:lineRule="auto"/>
      </w:pPr>
      <w:r>
        <w:t>*   **Stochastique:** Le %K (16,0) est inférieur au %D (18,717), tous deux en zone de survente (&lt;20). Cette configuration, avec les deux lignes en dessous de 20, est un signal d'achat fort, indiquant que le titre est extrêmement survendu et qu'un rebond technique est statistiquement probable.</w:t>
      </w:r>
    </w:p>
    <w:p>
      <w:pPr>
        <w:spacing w:after="120" w:line="276" w:lineRule="auto"/>
      </w:pPr>
      <w:r>
        <w:t>**Conclusion technique :** Les indicateurs techniques sont en divergence. Les moyennes mobiles et les bandes de Bollinger confirment une tendance baissière sous-jacente. Cependant, le MACD, le RSI et le Stochastique envoient tous des signaux d'achat, indiquant que le titre est en situation de survente extrême. Cette configuration suggère un potentiel de rebond technique à très court terme, mais il ne faut pas confondre ce rebond avec un retournement de tendance durable.</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l'exercice 2025 révèlent une situation contrastée. Le chiffre d'affaires s'élève à 32,109 milliards FCFA, mais la rentabilité opérationnelle est très faible avec un résultat d'exploitation de seulement 275 millions FCFA, soit une marge opérationnelle de 0,86%. Le résultat net, à 465,98 millions FCFA, est également modeste, ce qui se traduit par un ROE de 2,97% et un ROA de 1,19%, des niveaux très faibles. L'analyse sectorielle (Entreprise) montre des signaux d'alerte : un délai clients de 214 jours est extrêmement élevé, indiquant un risque de trésorerie majeur, tandis que le BFR de 11,529 milliards FCFA est positif et donc défavorable (immobilisation de capital). L'endettement est également préoccupant avec un ratio d'endettement de 97,6%.</w:t>
      </w:r>
    </w:p>
    <w:p>
      <w:pPr>
        <w:spacing w:after="120" w:line="276" w:lineRule="auto"/>
      </w:pPr>
      <w:r>
        <w:t>Les rapports narratifs confirment et précisent cette tendance. Le rapport annuel 2024 montrait un bénéfice net exceptionnel de 18,6 milliards FCFA, mais entièrement dû à des produits financiers non récurrents (cession de filiales), masquant une chute du CA de -19,7% et un EBE en baisse de 84%. Le rapport du 1er semestre 2025 indique un CA en croissance de 11% à 13,4 milliards FCFA, mais un résultat net en chute de 97% à 105 millions FCFA, toujours à cause de l'absence des produits exceptionnels de 2024. Le rapport du 3e trimestre 2025 montre un résultat courant avant impôt négatif de -216 millions FCFA. Sur la base de ces rapports trimestriels, on estime que l'exercice 2025 sera structurellement déficitaire sur le plan opérationnel, le bénéfice net annuel (465 millions FCFA) étant artificiellement soutenu par des éléments non récurrents. La dépendance à la campagne cacaoyère et l'absence de perspectives stratégiques claires renforcent le profil de risque élevé.</w:t>
      </w:r>
    </w:p>
    <w:p>
      <w:pPr>
        <w:spacing w:after="120" w:line="276" w:lineRule="auto" w:before="240"/>
      </w:pPr>
      <w:r>
        <w:rPr>
          <w:b/>
          <w:color w:val="003366"/>
          <w:sz w:val="24"/>
        </w:rPr>
        <w:t>**PARTIE 4 : CONCLUSION D'INVESTISSEMENT**</w:t>
      </w:r>
    </w:p>
    <w:p>
      <w:pPr>
        <w:spacing w:after="120" w:line="276" w:lineRule="auto"/>
      </w:pPr>
      <w:r>
        <w:t>En synthèse, l'action FTSC présente une divergence profonde entre ses signaux de marché et sa réalité fondamentale. La valorisation boursière (Partie 0) est extrêmement exigeante avec un PER de 59,8x, totalement décorrélé de la faible rentabilité actuelle. Le comportement du cours (Partie 1) montre une tendance baissière forte et une volatilité élevée, mais avec une asymétrie négative (skewness) qui a piégé les acheteurs. Les signaux techniques (Partie 2) sont contradictoires : une tendance baissière solide mais des indicateurs de survente (RSI, Stochastique) qui laissent présager un possible rebond technique. Enfin, les fondamentaux (Partie 3) sont très fragiles, avec une rentabilité opérationnelle anémique, un endettement élevé et des risques de trésorerie importants, malgré un récent recentrage des activités. Les prédictions IA, qui anticipent une légère hausse à 2 023 FCFA en 10 jours, semblent refléter ce potentiel de rebond technique à court terme, mais ne changent pas la donne fondamentale.</w:t>
      </w:r>
    </w:p>
    <w:p>
      <w:pPr>
        <w:spacing w:after="120" w:line="276" w:lineRule="auto"/>
      </w:pPr>
      <w:r>
        <w:t>**Recommandation finale : VENTE**</w:t>
        <w:br/>
        <w:t>La convergence entre la valorisation excessive, la tendance baissière et les fondamentaux dégradés l'emporte sur les signaux techniques de survente. Le niveau de confiance est **Élevé**. Le risque global est **Élevé**, principalement lié à la faiblesse opérationnelle et à la dépendance aux cycles agricoles. L'horizon d'investissement optimal est la **vente à court terme (&lt;3 mois)** pour profiter d'un éventuel rebond technique avant une probable poursuite de la baisse. Un investissement de long terme n'est pas justifié tant que la rentabilité opérationnelle ne s'améliore pas structurellement.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2,444 titres</w:t>
            </w:r>
          </w:p>
        </w:tc>
        <w:tc>
          <w:tcPr>
            <w:tcW w:type="dxa" w:w="2268"/>
            <w:shd w:fill="FFF2CC" w:val="clear"/>
          </w:tcPr>
          <w:p>
            <w:r>
              <w:rPr>
                <w:b/>
                <w:color w:val="503200"/>
                <w:sz w:val="16"/>
              </w:rPr>
              <w:t xml:space="preserve">Cours actuel : </w:t>
            </w:r>
            <w:r>
              <w:rPr>
                <w:color w:val="000000"/>
                <w:sz w:val="17"/>
              </w:rPr>
              <w:t>4,415 FCFA</w:t>
            </w:r>
          </w:p>
          <w:p>
            <w:r>
              <w:rPr>
                <w:b/>
                <w:color w:val="503200"/>
                <w:sz w:val="16"/>
              </w:rPr>
              <w:t xml:space="preserve">Var. 100 jours : </w:t>
            </w:r>
            <w:r>
              <w:rPr>
                <w:b/>
                <w:color w:val="007800"/>
                <w:sz w:val="17"/>
              </w:rPr>
              <w:t>+12.20%</w:t>
            </w:r>
          </w:p>
          <w:p>
            <w:r>
              <w:rPr>
                <w:b/>
                <w:color w:val="503200"/>
                <w:sz w:val="16"/>
              </w:rPr>
              <w:t xml:space="preserve">Plus haut 100j : </w:t>
            </w:r>
            <w:r>
              <w:rPr>
                <w:color w:val="000000"/>
                <w:sz w:val="17"/>
              </w:rPr>
              <w:t>4,440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3.77% (Faible) — μ=3,936 FCFA, σ=148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β=-0.0912 (Contre-cyclique) — Cov=-0.000004, Var(idx)=0.000042, ρ=-0.031,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2,444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3,942</w:t>
            </w:r>
          </w:p>
        </w:tc>
        <w:tc>
          <w:tcPr>
            <w:tcW w:type="dxa" w:w="1440"/>
            <w:shd w:fill="FFDCE0" w:val="clear"/>
          </w:tcPr>
          <w:p>
            <w:r>
              <w:rPr>
                <w:b/>
                <w:sz w:val="17"/>
              </w:rPr>
              <w:t>4,122</w:t>
            </w:r>
          </w:p>
        </w:tc>
        <w:tc>
          <w:tcPr>
            <w:tcW w:type="dxa" w:w="1440"/>
            <w:shd w:fill="FFDCE0" w:val="clear"/>
          </w:tcPr>
          <w:p>
            <w:r>
              <w:rPr>
                <w:sz w:val="17"/>
              </w:rPr>
              <w:t>4,302</w:t>
            </w:r>
          </w:p>
        </w:tc>
        <w:tc>
          <w:tcPr>
            <w:tcW w:type="dxa" w:w="1440"/>
            <w:shd w:fill="FFDCE0" w:val="clear"/>
          </w:tcPr>
          <w:p>
            <w:r>
              <w:rPr>
                <w:b/>
                <w:color w:val="C00000"/>
                <w:sz w:val="17"/>
              </w:rPr>
              <w:t>-6.6%</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3,854</w:t>
            </w:r>
          </w:p>
        </w:tc>
        <w:tc>
          <w:tcPr>
            <w:tcW w:type="dxa" w:w="1440"/>
            <w:shd w:fill="FFDCE0" w:val="clear"/>
          </w:tcPr>
          <w:p>
            <w:r>
              <w:rPr>
                <w:b/>
                <w:sz w:val="17"/>
              </w:rPr>
              <w:t>4,108</w:t>
            </w:r>
          </w:p>
        </w:tc>
        <w:tc>
          <w:tcPr>
            <w:tcW w:type="dxa" w:w="1440"/>
            <w:shd w:fill="FFDCE0" w:val="clear"/>
          </w:tcPr>
          <w:p>
            <w:r>
              <w:rPr>
                <w:sz w:val="17"/>
              </w:rPr>
              <w:t>4,362</w:t>
            </w:r>
          </w:p>
        </w:tc>
        <w:tc>
          <w:tcPr>
            <w:tcW w:type="dxa" w:w="1440"/>
            <w:shd w:fill="FFDCE0" w:val="clear"/>
          </w:tcPr>
          <w:p>
            <w:r>
              <w:rPr>
                <w:b/>
                <w:color w:val="C00000"/>
                <w:sz w:val="17"/>
              </w:rPr>
              <w:t>-7.0%</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3,782</w:t>
            </w:r>
          </w:p>
        </w:tc>
        <w:tc>
          <w:tcPr>
            <w:tcW w:type="dxa" w:w="1440"/>
            <w:shd w:fill="FFDCE0" w:val="clear"/>
          </w:tcPr>
          <w:p>
            <w:r>
              <w:rPr>
                <w:b/>
                <w:sz w:val="17"/>
              </w:rPr>
              <w:t>4,092</w:t>
            </w:r>
          </w:p>
        </w:tc>
        <w:tc>
          <w:tcPr>
            <w:tcW w:type="dxa" w:w="1440"/>
            <w:shd w:fill="FFDCE0" w:val="clear"/>
          </w:tcPr>
          <w:p>
            <w:r>
              <w:rPr>
                <w:sz w:val="17"/>
              </w:rPr>
              <w:t>4,402</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3,720</w:t>
            </w:r>
          </w:p>
        </w:tc>
        <w:tc>
          <w:tcPr>
            <w:tcW w:type="dxa" w:w="1440"/>
            <w:shd w:fill="FFDCE0" w:val="clear"/>
          </w:tcPr>
          <w:p>
            <w:r>
              <w:rPr>
                <w:b/>
                <w:sz w:val="17"/>
              </w:rPr>
              <w:t>4,077</w:t>
            </w:r>
          </w:p>
        </w:tc>
        <w:tc>
          <w:tcPr>
            <w:tcW w:type="dxa" w:w="1440"/>
            <w:shd w:fill="FFDCE0" w:val="clear"/>
          </w:tcPr>
          <w:p>
            <w:r>
              <w:rPr>
                <w:sz w:val="17"/>
              </w:rPr>
              <w:t>4,433</w:t>
            </w:r>
          </w:p>
        </w:tc>
        <w:tc>
          <w:tcPr>
            <w:tcW w:type="dxa" w:w="1440"/>
            <w:shd w:fill="FFDCE0" w:val="clear"/>
          </w:tcPr>
          <w:p>
            <w:r>
              <w:rPr>
                <w:b/>
                <w:color w:val="C00000"/>
                <w:sz w:val="17"/>
              </w:rPr>
              <w:t>-7.7%</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3,660</w:t>
            </w:r>
          </w:p>
        </w:tc>
        <w:tc>
          <w:tcPr>
            <w:tcW w:type="dxa" w:w="1440"/>
            <w:shd w:fill="FFDCE0" w:val="clear"/>
          </w:tcPr>
          <w:p>
            <w:r>
              <w:rPr>
                <w:b/>
                <w:sz w:val="17"/>
              </w:rPr>
              <w:t>4,056</w:t>
            </w:r>
          </w:p>
        </w:tc>
        <w:tc>
          <w:tcPr>
            <w:tcW w:type="dxa" w:w="1440"/>
            <w:shd w:fill="FFDCE0" w:val="clear"/>
          </w:tcPr>
          <w:p>
            <w:r>
              <w:rPr>
                <w:sz w:val="17"/>
              </w:rPr>
              <w:t>4,453</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3,611</w:t>
            </w:r>
          </w:p>
        </w:tc>
        <w:tc>
          <w:tcPr>
            <w:tcW w:type="dxa" w:w="1440"/>
            <w:shd w:fill="FFDCE0" w:val="clear"/>
          </w:tcPr>
          <w:p>
            <w:r>
              <w:rPr>
                <w:b/>
                <w:sz w:val="17"/>
              </w:rPr>
              <w:t>4,044</w:t>
            </w:r>
          </w:p>
        </w:tc>
        <w:tc>
          <w:tcPr>
            <w:tcW w:type="dxa" w:w="1440"/>
            <w:shd w:fill="FFDCE0" w:val="clear"/>
          </w:tcPr>
          <w:p>
            <w:r>
              <w:rPr>
                <w:sz w:val="17"/>
              </w:rPr>
              <w:t>4,477</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3,568</w:t>
            </w:r>
          </w:p>
        </w:tc>
        <w:tc>
          <w:tcPr>
            <w:tcW w:type="dxa" w:w="1440"/>
            <w:shd w:fill="FFDCE0" w:val="clear"/>
          </w:tcPr>
          <w:p>
            <w:r>
              <w:rPr>
                <w:b/>
                <w:sz w:val="17"/>
              </w:rPr>
              <w:t>4,034</w:t>
            </w:r>
          </w:p>
        </w:tc>
        <w:tc>
          <w:tcPr>
            <w:tcW w:type="dxa" w:w="1440"/>
            <w:shd w:fill="FFDCE0" w:val="clear"/>
          </w:tcPr>
          <w:p>
            <w:r>
              <w:rPr>
                <w:sz w:val="17"/>
              </w:rPr>
              <w:t>4,501</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3,529</w:t>
            </w:r>
          </w:p>
        </w:tc>
        <w:tc>
          <w:tcPr>
            <w:tcW w:type="dxa" w:w="1440"/>
            <w:shd w:fill="FFDCE0" w:val="clear"/>
          </w:tcPr>
          <w:p>
            <w:r>
              <w:rPr>
                <w:b/>
                <w:sz w:val="17"/>
              </w:rPr>
              <w:t>4,027</w:t>
            </w:r>
          </w:p>
        </w:tc>
        <w:tc>
          <w:tcPr>
            <w:tcW w:type="dxa" w:w="1440"/>
            <w:shd w:fill="FFDCE0" w:val="clear"/>
          </w:tcPr>
          <w:p>
            <w:r>
              <w:rPr>
                <w:sz w:val="17"/>
              </w:rPr>
              <w:t>4,526</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3,488</w:t>
            </w:r>
          </w:p>
        </w:tc>
        <w:tc>
          <w:tcPr>
            <w:tcW w:type="dxa" w:w="1440"/>
            <w:shd w:fill="FFDCE0" w:val="clear"/>
          </w:tcPr>
          <w:p>
            <w:r>
              <w:rPr>
                <w:b/>
                <w:sz w:val="17"/>
              </w:rPr>
              <w:t>4,015</w:t>
            </w:r>
          </w:p>
        </w:tc>
        <w:tc>
          <w:tcPr>
            <w:tcW w:type="dxa" w:w="1440"/>
            <w:shd w:fill="FFDCE0" w:val="clear"/>
          </w:tcPr>
          <w:p>
            <w:r>
              <w:rPr>
                <w:sz w:val="17"/>
              </w:rPr>
              <w:t>4,542</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3,451</w:t>
            </w:r>
          </w:p>
        </w:tc>
        <w:tc>
          <w:tcPr>
            <w:tcW w:type="dxa" w:w="1440"/>
            <w:shd w:fill="FFDCE0" w:val="clear"/>
          </w:tcPr>
          <w:p>
            <w:r>
              <w:rPr>
                <w:b/>
                <w:sz w:val="17"/>
              </w:rPr>
              <w:t>4,005</w:t>
            </w:r>
          </w:p>
        </w:tc>
        <w:tc>
          <w:tcPr>
            <w:tcW w:type="dxa" w:w="1440"/>
            <w:shd w:fill="FFDCE0" w:val="clear"/>
          </w:tcPr>
          <w:p>
            <w:r>
              <w:rPr>
                <w:sz w:val="17"/>
              </w:rPr>
              <w:t>4,558</w:t>
            </w:r>
          </w:p>
        </w:tc>
        <w:tc>
          <w:tcPr>
            <w:tcW w:type="dxa" w:w="1440"/>
            <w:shd w:fill="FFDCE0" w:val="clear"/>
          </w:tcPr>
          <w:p>
            <w:r>
              <w:rPr>
                <w:b/>
                <w:color w:val="C00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Voici le rapport d'analyse structuré pour l'action LNBB (Loterie Nationale du Bénin).</w:t>
      </w:r>
    </w:p>
    <w:p>
      <w:pPr>
        <w:spacing w:after="120" w:line="276" w:lineRule="auto"/>
      </w:pPr>
      <w:r>
        <w:t>---</w:t>
      </w:r>
    </w:p>
    <w:p>
      <w:pPr>
        <w:spacing w:after="120" w:line="276" w:lineRule="auto"/>
      </w:pPr>
      <w:r>
        <w:t>### **Rapport d'Analyse Financière – LNBB (Loterie Nationale du Bénin)**</w:t>
      </w:r>
    </w:p>
    <w:p>
      <w:pPr>
        <w:spacing w:after="120" w:line="276" w:lineRule="auto"/>
      </w:pPr>
      <w:r>
        <w:t>**Date de l'analyse :** 26 mai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88,30 milliards FCFA, LNBB se positionne comme une valeur de taille moyenne sur le marché de la BRVM, reflétant son statut d'entreprise publique stratégique au Bénin. Le BPA de 231 FCFA indique que chaque action a généré un bénéfice net de ce montant en 2025. Le PER de 19,1x est significativement supérieur à la moyenne historique de la BRVM (8-12x), ce qui suggère que les investisseurs acceptent de payer une prime pour détenir le titre, probablement en raison de sa position de monopole historique et de ses marges élevées. Cependant, le P/B de 4,02x confirme cette prime, le marché valorisant l'entreprise à plus de quatre fois sa valeur comptable, un niveau exigeant qui implique des attentes de croissance future. Enfin, l'EV/EBITDA de 11,3x, bien que dans une fourchette élevée (10-15x), indique que la valeur totale de l'entreprise (dette incluse) reste cohérente avec sa capacité à générer des bénéfices opérationnels.</w:t>
      </w:r>
    </w:p>
    <w:p>
      <w:pPr>
        <w:spacing w:after="120" w:line="276" w:lineRule="auto"/>
      </w:pPr>
      <w:r>
        <w:t>### PARTIE 1 : ANALYSE DU COURS — STATISTIQUES ET ÉVOLUTION (100 derniers jours)</w:t>
      </w:r>
    </w:p>
    <w:p>
      <w:pPr>
        <w:spacing w:after="120" w:line="276" w:lineRule="auto"/>
      </w:pPr>
      <w:r>
        <w:t>Sur les 100 derniers jours, l'action LNBB a affiché une performance haussière remarquable de +12,20%, avec une accélération notable lors de la dernière séance (+7,42%), portant le cours à 4 415 FCFA. Le titre a évolué dans une fourchette de 3 765 FCFA (plus bas) à 4 440 FCFA (plus haut), soit un range de 675 FCFA, témoignant d'une dynamique positive soutenue. L'analyse des statistiques descriptives révèle que le cours moyen (3 936 FCFA) est inférieur à la médiane (3 895 FCFA) et au mode (3 900 FCFA), ce qui, combiné à un skewness très positif de 2,058, indique une distribution asymétrique avec une concentration des séances sous la moyenne et des pics de hausse récents. Le kurtosis en excès de 3,519 confirme un risque de pics de volatilité, ce qui est cohérent avec la forte variation de la dernière séance. L'écart-type de 149 FCFA (CV=3,8%) suggère une dispersion relative modérée, mais la volatilité annualisée de 30,4% classe le titre dans la catégorie "élevée", signalant un risque de fluctuation important pour l'investisseur.</w:t>
      </w:r>
    </w:p>
    <w:p>
      <w:pPr>
        <w:spacing w:after="120" w:line="276" w:lineRule="auto"/>
      </w:pPr>
      <w:r>
        <w:t>### PARTIE 2 : ANALYSE TECHNIQUE DÉTAILLÉE</w:t>
      </w:r>
    </w:p>
    <w:p>
      <w:pPr>
        <w:spacing w:after="120" w:line="276" w:lineRule="auto"/>
      </w:pPr>
      <w:r>
        <w:t>**Moyennes Mobiles :** Le cours actuel de 4 415 FCFA se situe nettement au-dessus de la MM20 (4 168,5 FCFA) et de la MM50 (3 996,1 FCFA), confirmant une tendance haussière solide à court et moyen terme. La pente positive de ces moyennes valide la dynamique d'achat, justifiant la décision "Achat".</w:t>
      </w:r>
    </w:p>
    <w:p>
      <w:pPr>
        <w:spacing w:after="120" w:line="276" w:lineRule="auto"/>
      </w:pPr>
      <w:r>
        <w:t>**Bandes de Bollinger :** Le cours évolue à 4 415 FCFA, proche de la borne supérieure (4 542,5 FCFA) mais sans la toucher. Cela indique une pression acheteuse soutenue sans que le titre ne soit en situation de surachat extrême. La largeur des bandes suggère une volatilité en hausse, ce qui justifie une position "Neutre" en attendant un éventuel breakout ou un retour vers la moyenne.</w:t>
      </w:r>
    </w:p>
    <w:p>
      <w:pPr>
        <w:spacing w:after="120" w:line="276" w:lineRule="auto"/>
      </w:pPr>
      <w:r>
        <w:t>**MACD :** Le MACD (94,7) est passé sous sa ligne de signal (96,8), générant un signal de vente. Cette divergence baissière indique un ralentissement du momentum haussier, ce qui pourrait précéder une correction à court terme. C'est un signal d'alerte technique important.</w:t>
      </w:r>
    </w:p>
    <w:p>
      <w:pPr>
        <w:spacing w:after="120" w:line="276" w:lineRule="auto"/>
      </w:pPr>
      <w:r>
        <w:t>**RSI :** Avec une valeur de 63,5, le RSI se situe en zone neutre (entre 30 et 70), indiquant que le titre n'est ni suracheté ni survendu. Il n'y a pas de signal directionnel fort de cet indicateur, justifiant une position "Neutre".</w:t>
      </w:r>
    </w:p>
    <w:p>
      <w:pPr>
        <w:spacing w:after="120" w:line="276" w:lineRule="auto"/>
      </w:pPr>
      <w:r>
        <w:t>**Stochastique :** Le %K (94,3) est très élevé et largement au-dessus du %D (44,3), ce qui place le titre en zone de surachat. Bien qu'il n'y ait pas de croisement baissier confirmé, cette configuration est un signal de vente précoce, suggérant un risque de retournement imminent.</w:t>
      </w:r>
    </w:p>
    <w:p>
      <w:pPr>
        <w:spacing w:after="120" w:line="276" w:lineRule="auto"/>
      </w:pPr>
      <w:r>
        <w:t>**Conclusion technique :** La tendance de fond reste haussière, soutenue par les moyennes mobiles. Cependant, les oscillateurs (MACD et Stochastique) envoient des signaux de vente, indiquant un essoufflement du momentum et un risque de correction à court terme. Le RSI neutre et les Bandes de Bollinger offrent une marge de manœuvre, mais la prudence est de mise. La configuration technique est donc mitigée, avec une divergence entre la tendance (haussière) et les indicateurs de momentum (baissiers).</w:t>
      </w:r>
    </w:p>
    <w:p>
      <w:pPr>
        <w:spacing w:after="120" w:line="276" w:lineRule="auto"/>
      </w:pPr>
      <w:r>
        <w:t>### PARTIE 3 : ANALYSE FONDAMENTALE (SECTION CRITIQUE)</w:t>
      </w:r>
    </w:p>
    <w:p>
      <w:pPr>
        <w:spacing w:after="120" w:line="276" w:lineRule="auto"/>
      </w:pPr>
      <w:r>
        <w:t>En 2025, selon les états financiers structurés, LNBB a réalisé un chiffre d'affaires de 98,60 milliards FCFA, en baisse de -3,85% par rapport à 2024. Le résultat net s'établit à 4,62 milliards FCFA, en recul de -36% par rapport à 2024 (7,18 milliards FCFA). Cette baisse est attribuée à l'intensification de la concurrence déloyale et à l'absence de produits exceptionnels. Malgré cela, la rentabilité des fonds propres (ROE) reste excellente à 21,05%, et la rentabilité des actifs (ROA) est solide à 14,17%. La structure financière est très saine avec un ratio d'autonomie financière de 67,32% et une trésorerie nette positive de 7,98 milliards FCFA. En tant qu'entreprise non bancaire, on note un BFR négatif de 217 millions FCFA, ce qui est favorable, et un délai clients très court (4,8 jours), indiquant une bonne gestion du cycle d'exploitation. Sur la base du rapport T1 2026 (daté de mai 2026), on estime que le chiffre d'affaires a progressé de +6% à 25,52 milliards FCFA, porté par le pari sportif en ligne (+28%). Cependant, le résultat net a chuté de -46% à 848 millions FCFA en raison d'un mix produit défavorable (faible marge du pari sportif). Les perspectives pour 2026 restent prudentes, la direction misant sur le lancement de nouveaux produits de loterie à plus forte marge pour rééquilibrer la rentabilité. La recommandation fondamentale est "Conserver", la société présentant des fondamentaux solides mais une visibilité réduite sur l'amélioration de la rentabilité à court terme.</w:t>
      </w:r>
    </w:p>
    <w:p>
      <w:pPr>
        <w:spacing w:after="120" w:line="276" w:lineRule="auto"/>
      </w:pPr>
      <w:r>
        <w:t>### PARTIE 4 : CONCLUSION D'INVESTISSEMENT</w:t>
      </w:r>
    </w:p>
    <w:p>
      <w:pPr>
        <w:spacing w:after="120" w:line="276" w:lineRule="auto"/>
      </w:pPr>
      <w:r>
        <w:t>La synthèse globale pour LNBB est contrastée. La valorisation (Partie 0) est exigeante avec un PER de 19,1x et un P/B de 4,02x, suggérant que le titre n'est pas bon marché. Le comportement du cours (Partie 1) est haussier sur les 100 jours (+12,2%) mais avec une volatilité élevée (30,4%) et une distribution asymétrique qui expose à des risques de pics. Les signaux techniques (Partie 2) sont divergents : la tendance est haussière (MM) mais les oscillateurs (MACD, Stochastique) signalent un essoufflement et un risque de correction. Les fondamentaux (Partie 3) sont solides (ROE &gt;20%, trésorerie nette positive) mais la rentabilité est sous pression en raison de la concurrence et du mix produit défavorable, comme le montre la chute du résultat net au T1 2026. Enfin, les prédictions IA pour les 10 prochains jours (de 4 122 à 4 056 FCFA) anticipent une correction baissière, en ligne avec les signaux techniques de vente. Sur la base de cette synthèse, la recommandation est **CONSERVER**. La convergence entre les signaux techniques baissiers, les prédictions IA et la valorisation élevée incite à la prudence, tandis que la solidité fondamentale et la tendance haussière de long terme empêchent une vente. Le niveau de confiance est **Moyen**, le risque global est **Élevé** (volatilité et incertitude sur la rentabilité), et l'horizon d'investissement optimal est le **moyen terme (3-12 mois)** pour observer l'impact des nouvelles stratégies commerciales sur la rentabilité.</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25.53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6,036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+49.81%</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20.37% (Élevée) — μ=1,736 FCFA, σ=354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β=-0.0367 (Contre-cyclique) — Cov=-0.000002, Var(idx)=0.000042, ρ=-0.008,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1,795</w:t>
            </w:r>
          </w:p>
        </w:tc>
        <w:tc>
          <w:tcPr>
            <w:tcW w:type="dxa" w:w="1440"/>
            <w:shd w:fill="FFDCE0" w:val="clear"/>
          </w:tcPr>
          <w:p>
            <w:r>
              <w:rPr>
                <w:b/>
                <w:sz w:val="17"/>
              </w:rPr>
              <w:t>1,875</w:t>
            </w:r>
          </w:p>
        </w:tc>
        <w:tc>
          <w:tcPr>
            <w:tcW w:type="dxa" w:w="1440"/>
            <w:shd w:fill="FFDCE0" w:val="clear"/>
          </w:tcPr>
          <w:p>
            <w:r>
              <w:rPr>
                <w:sz w:val="17"/>
              </w:rPr>
              <w:t>1,954</w:t>
            </w:r>
          </w:p>
        </w:tc>
        <w:tc>
          <w:tcPr>
            <w:tcW w:type="dxa" w:w="1440"/>
            <w:shd w:fill="FFDCE0" w:val="clear"/>
          </w:tcPr>
          <w:p>
            <w:r>
              <w:rPr>
                <w:b/>
                <w:color w:val="C00000"/>
                <w:sz w:val="17"/>
              </w:rPr>
              <w:t>-6.3%</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1,668</w:t>
            </w:r>
          </w:p>
        </w:tc>
        <w:tc>
          <w:tcPr>
            <w:tcW w:type="dxa" w:w="1440"/>
            <w:shd w:fill="FFDCE0" w:val="clear"/>
          </w:tcPr>
          <w:p>
            <w:r>
              <w:rPr>
                <w:b/>
                <w:sz w:val="17"/>
              </w:rPr>
              <w:t>1,774</w:t>
            </w:r>
          </w:p>
        </w:tc>
        <w:tc>
          <w:tcPr>
            <w:tcW w:type="dxa" w:w="1440"/>
            <w:shd w:fill="FFDCE0" w:val="clear"/>
          </w:tcPr>
          <w:p>
            <w:r>
              <w:rPr>
                <w:sz w:val="17"/>
              </w:rPr>
              <w:t>1,881</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1,562</w:t>
            </w:r>
          </w:p>
        </w:tc>
        <w:tc>
          <w:tcPr>
            <w:tcW w:type="dxa" w:w="1440"/>
            <w:shd w:fill="FFDCE0" w:val="clear"/>
          </w:tcPr>
          <w:p>
            <w:r>
              <w:rPr>
                <w:b/>
                <w:sz w:val="17"/>
              </w:rPr>
              <w:t>1,686</w:t>
            </w:r>
          </w:p>
        </w:tc>
        <w:tc>
          <w:tcPr>
            <w:tcW w:type="dxa" w:w="1440"/>
            <w:shd w:fill="FFDCE0" w:val="clear"/>
          </w:tcPr>
          <w:p>
            <w:r>
              <w:rPr>
                <w:sz w:val="17"/>
              </w:rPr>
              <w:t>1,810</w:t>
            </w:r>
          </w:p>
        </w:tc>
        <w:tc>
          <w:tcPr>
            <w:tcW w:type="dxa" w:w="1440"/>
            <w:shd w:fill="FFDCE0" w:val="clear"/>
          </w:tcPr>
          <w:p>
            <w:r>
              <w:rPr>
                <w:b/>
                <w:color w:val="C00000"/>
                <w:sz w:val="17"/>
              </w:rPr>
              <w:t>-15.7%</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1,476</w:t>
            </w:r>
          </w:p>
        </w:tc>
        <w:tc>
          <w:tcPr>
            <w:tcW w:type="dxa" w:w="1440"/>
            <w:shd w:fill="FFDCE0" w:val="clear"/>
          </w:tcPr>
          <w:p>
            <w:r>
              <w:rPr>
                <w:b/>
                <w:sz w:val="17"/>
              </w:rPr>
              <w:t>1,613</w:t>
            </w:r>
          </w:p>
        </w:tc>
        <w:tc>
          <w:tcPr>
            <w:tcW w:type="dxa" w:w="1440"/>
            <w:shd w:fill="FFDCE0" w:val="clear"/>
          </w:tcPr>
          <w:p>
            <w:r>
              <w:rPr>
                <w:sz w:val="17"/>
              </w:rPr>
              <w:t>1,749</w:t>
            </w:r>
          </w:p>
        </w:tc>
        <w:tc>
          <w:tcPr>
            <w:tcW w:type="dxa" w:w="1440"/>
            <w:shd w:fill="FFDCE0" w:val="clear"/>
          </w:tcPr>
          <w:p>
            <w:r>
              <w:rPr>
                <w:b/>
                <w:color w:val="C00000"/>
                <w:sz w:val="17"/>
              </w:rPr>
              <w:t>-19.4%</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1,402</w:t>
            </w:r>
          </w:p>
        </w:tc>
        <w:tc>
          <w:tcPr>
            <w:tcW w:type="dxa" w:w="1440"/>
            <w:shd w:fill="FFDCE0" w:val="clear"/>
          </w:tcPr>
          <w:p>
            <w:r>
              <w:rPr>
                <w:b/>
                <w:sz w:val="17"/>
              </w:rPr>
              <w:t>1,549</w:t>
            </w:r>
          </w:p>
        </w:tc>
        <w:tc>
          <w:tcPr>
            <w:tcW w:type="dxa" w:w="1440"/>
            <w:shd w:fill="FFDCE0" w:val="clear"/>
          </w:tcPr>
          <w:p>
            <w:r>
              <w:rPr>
                <w:sz w:val="17"/>
              </w:rPr>
              <w:t>1,696</w:t>
            </w:r>
          </w:p>
        </w:tc>
        <w:tc>
          <w:tcPr>
            <w:tcW w:type="dxa" w:w="1440"/>
            <w:shd w:fill="FFDCE0" w:val="clear"/>
          </w:tcPr>
          <w:p>
            <w:r>
              <w:rPr>
                <w:b/>
                <w:color w:val="C00000"/>
                <w:sz w:val="17"/>
              </w:rPr>
              <w:t>-22.5%</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1,339</w:t>
            </w:r>
          </w:p>
        </w:tc>
        <w:tc>
          <w:tcPr>
            <w:tcW w:type="dxa" w:w="1440"/>
            <w:shd w:fill="FFDCE0" w:val="clear"/>
          </w:tcPr>
          <w:p>
            <w:r>
              <w:rPr>
                <w:b/>
                <w:sz w:val="17"/>
              </w:rPr>
              <w:t>1,494</w:t>
            </w:r>
          </w:p>
        </w:tc>
        <w:tc>
          <w:tcPr>
            <w:tcW w:type="dxa" w:w="1440"/>
            <w:shd w:fill="FFDCE0" w:val="clear"/>
          </w:tcPr>
          <w:p>
            <w:r>
              <w:rPr>
                <w:sz w:val="17"/>
              </w:rPr>
              <w:t>1,649</w:t>
            </w:r>
          </w:p>
        </w:tc>
        <w:tc>
          <w:tcPr>
            <w:tcW w:type="dxa" w:w="1440"/>
            <w:shd w:fill="FFDCE0" w:val="clear"/>
          </w:tcPr>
          <w:p>
            <w:r>
              <w:rPr>
                <w:b/>
                <w:color w:val="C00000"/>
                <w:sz w:val="17"/>
              </w:rPr>
              <w:t>-25.3%</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1,282</w:t>
            </w:r>
          </w:p>
        </w:tc>
        <w:tc>
          <w:tcPr>
            <w:tcW w:type="dxa" w:w="1440"/>
            <w:shd w:fill="FFDCE0" w:val="clear"/>
          </w:tcPr>
          <w:p>
            <w:r>
              <w:rPr>
                <w:b/>
                <w:sz w:val="17"/>
              </w:rPr>
              <w:t>1,444</w:t>
            </w:r>
          </w:p>
        </w:tc>
        <w:tc>
          <w:tcPr>
            <w:tcW w:type="dxa" w:w="1440"/>
            <w:shd w:fill="FFDCE0" w:val="clear"/>
          </w:tcPr>
          <w:p>
            <w:r>
              <w:rPr>
                <w:sz w:val="17"/>
              </w:rPr>
              <w:t>1,606</w:t>
            </w:r>
          </w:p>
        </w:tc>
        <w:tc>
          <w:tcPr>
            <w:tcW w:type="dxa" w:w="1440"/>
            <w:shd w:fill="FFDCE0" w:val="clear"/>
          </w:tcPr>
          <w:p>
            <w:r>
              <w:rPr>
                <w:b/>
                <w:color w:val="C00000"/>
                <w:sz w:val="17"/>
              </w:rPr>
              <w:t>-27.8%</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1,231</w:t>
            </w:r>
          </w:p>
        </w:tc>
        <w:tc>
          <w:tcPr>
            <w:tcW w:type="dxa" w:w="1440"/>
            <w:shd w:fill="FFDCE0" w:val="clear"/>
          </w:tcPr>
          <w:p>
            <w:r>
              <w:rPr>
                <w:b/>
                <w:sz w:val="17"/>
              </w:rPr>
              <w:t>1,399</w:t>
            </w:r>
          </w:p>
        </w:tc>
        <w:tc>
          <w:tcPr>
            <w:tcW w:type="dxa" w:w="1440"/>
            <w:shd w:fill="FFDCE0" w:val="clear"/>
          </w:tcPr>
          <w:p>
            <w:r>
              <w:rPr>
                <w:sz w:val="17"/>
              </w:rPr>
              <w:t>1,567</w:t>
            </w:r>
          </w:p>
        </w:tc>
        <w:tc>
          <w:tcPr>
            <w:tcW w:type="dxa" w:w="1440"/>
            <w:shd w:fill="FFDCE0" w:val="clear"/>
          </w:tcPr>
          <w:p>
            <w:r>
              <w:rPr>
                <w:b/>
                <w:color w:val="C00000"/>
                <w:sz w:val="17"/>
              </w:rPr>
              <w:t>-30.1%</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1,185</w:t>
            </w:r>
          </w:p>
        </w:tc>
        <w:tc>
          <w:tcPr>
            <w:tcW w:type="dxa" w:w="1440"/>
            <w:shd w:fill="FFDCE0" w:val="clear"/>
          </w:tcPr>
          <w:p>
            <w:r>
              <w:rPr>
                <w:b/>
                <w:sz w:val="17"/>
              </w:rPr>
              <w:t>1,358</w:t>
            </w:r>
          </w:p>
        </w:tc>
        <w:tc>
          <w:tcPr>
            <w:tcW w:type="dxa" w:w="1440"/>
            <w:shd w:fill="FFDCE0" w:val="clear"/>
          </w:tcPr>
          <w:p>
            <w:r>
              <w:rPr>
                <w:sz w:val="17"/>
              </w:rPr>
              <w:t>1,530</w:t>
            </w:r>
          </w:p>
        </w:tc>
        <w:tc>
          <w:tcPr>
            <w:tcW w:type="dxa" w:w="1440"/>
            <w:shd w:fill="FFDCE0" w:val="clear"/>
          </w:tcPr>
          <w:p>
            <w:r>
              <w:rPr>
                <w:b/>
                <w:color w:val="C00000"/>
                <w:sz w:val="17"/>
              </w:rPr>
              <w:t>-32.1%</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1,143</w:t>
            </w:r>
          </w:p>
        </w:tc>
        <w:tc>
          <w:tcPr>
            <w:tcW w:type="dxa" w:w="1440"/>
            <w:shd w:fill="FFDCE0" w:val="clear"/>
          </w:tcPr>
          <w:p>
            <w:r>
              <w:rPr>
                <w:b/>
                <w:sz w:val="17"/>
              </w:rPr>
              <w:t>1,320</w:t>
            </w:r>
          </w:p>
        </w:tc>
        <w:tc>
          <w:tcPr>
            <w:tcW w:type="dxa" w:w="1440"/>
            <w:shd w:fill="FFDCE0" w:val="clear"/>
          </w:tcPr>
          <w:p>
            <w:r>
              <w:rPr>
                <w:sz w:val="17"/>
              </w:rPr>
              <w:t>1,497</w:t>
            </w:r>
          </w:p>
        </w:tc>
        <w:tc>
          <w:tcPr>
            <w:tcW w:type="dxa" w:w="1440"/>
            <w:shd w:fill="FFDCE0" w:val="clear"/>
          </w:tcPr>
          <w:p>
            <w:r>
              <w:rPr>
                <w:b/>
                <w:color w:val="C00000"/>
                <w:sz w:val="17"/>
              </w:rPr>
              <w:t>-34.0%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Voici le rapport d'analyse structuré pour l'action NEIC (NEI-CEDA)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25,53 milliards FCFA, NEIC se positionne comme une valeur de taille moyenne sur la BRVM. Le Bénéfice Par Action (BPA) de 160 FCFA indique que chaque action a généré un profit net de 160 FCFA sur l'exercice 2025. Le PER de 12,5x est légèrement supérieur à la moyenne historique de la BRVM (8-12x), suggérant que le marché valorise le titre avec une prime modeste par rapport à ses bénéfices actuels. En revanche, le Price-to-Book (P/B) de 4,44x est très élevé, signifiant que les investisseurs paient plus de quatre fois la valeur comptable des actifs, ce qui traduit une valorisation exigeante et une forte confiance dans la croissance future. Enfin, le ratio EV/EBITDA de 18,4x, bien au-dessus du seuil de 15x, confirme une valorisation tendue par rapport à la capacité bénéficiaire opérationnelle de l'entreprise.</w:t>
      </w:r>
    </w:p>
    <w:p>
      <w:pPr>
        <w:spacing w:after="120" w:line="276" w:lineRule="auto"/>
      </w:pPr>
      <w:r>
        <w:t>### **PARTIE 1 : ANALYSE DU COURS — STATISTIQUES ET ÉVOLUTION (100 derniers jours)**</w:t>
      </w:r>
    </w:p>
    <w:p>
      <w:pPr>
        <w:spacing w:after="120" w:line="276" w:lineRule="auto"/>
      </w:pPr>
      <w:r>
        <w:t>Sur les 100 derniers jours, l'action NEIC a enregistré une performance spectaculaire de +49,81%, passant d'un plus bas de 1 300 FCFA à un plus haut de 2 400 FCFA, avant de clôturer à 2 000 FCFA. Cette tendance haussière a été brutalement interrompue lors de la dernière séance avec une chute de -4,53%, suggérant une prise de bénéfices ou un retournement de sentiment. L'analyse des statistiques descriptives révèle que le cours moyen (1 736 FCFA) est proche de la médiane (1 705 FCFA), indiquant une distribution relativement symétrique, confirmée par un skewness de 0,408. L'écart-type de 355 FCFA (coefficient de variation de 20,5%) témoigne d'une dispersion modérée des prix autour de la moyenne. Le kurtosis négatif (-1,302) indique une distribution platykurtique, signifiant que les mouvements extrêmes sont moins fréquents que dans une distribution normale. Enfin, la volatilité annualisée de 45,1% classe le titre comme très volatil, ce qui est cohérent avec la forte amplitude de variation observée sur la période.</w:t>
      </w:r>
    </w:p>
    <w:p>
      <w:pPr>
        <w:spacing w:after="120" w:line="276" w:lineRule="auto"/>
      </w:pPr>
      <w:r>
        <w:t>### **PARTIE 2 : ANALYSE TECHNIQUE DÉTAILLÉE**</w:t>
      </w:r>
    </w:p>
    <w:p>
      <w:pPr>
        <w:spacing w:after="120" w:line="276" w:lineRule="auto"/>
      </w:pPr>
      <w:r>
        <w:t>*   **Moyennes Mobiles** : Le cours actuel de 2 000 FCFA est inférieur à la MM20 (2 269 FCFA) et à la MM50 (2 057,9 FCFA), ce qui est un signal baissier à court terme. Cependant, la décision globale est un "Achat", probablement basée sur une tendance haussière de long terme ou un croisement antérieur.</w:t>
        <w:br/>
        <w:t>*   **Bandes de Bollinger** : Le cours se situe en dessous de la borne inférieure (2 056,75 FCFA), ce qui est un signal de "sous-vente" extrême. Cela indique une forte pression vendeuse récente et suggère un possible rebond technique, d'où la décision d'"Achat".</w:t>
        <w:br/>
        <w:t>*   **MACD** : La valeur du MACD (17,015) est inférieure à sa ligne de signal (67,625), ce qui constitue un signal de "Vente". Le momentum haussier s'est considérablement affaibli, indiquant un potentiel de baisse supplémentaire à court terme.</w:t>
        <w:br/>
        <w:t>*   **RSI** : Avec une valeur de 19,828, le RSI est profondément en zone de survente (&lt;30). Cela indique que le titre est techniquement survendu et pourrait être proche d'un rebond, justifiant la décision d'"Achat".</w:t>
        <w:br/>
        <w:t>*   **Stochastique** : Les valeurs %K et %D sont toutes deux à 0,0, ce qui est un cas extrême de survente. Cela renforce le signal du RSI et indique une probabilité élevée de retournement haussier à très court terme, d'où la décision d'"Achat".</w:t>
      </w:r>
    </w:p>
    <w:p>
      <w:pPr>
        <w:spacing w:after="120" w:line="276" w:lineRule="auto"/>
      </w:pPr>
      <w:r>
        <w:t>**Conclusion technique** : Les indicateurs techniques sont fortement divergents. D'un côté, le MACD et la position du cours sous les moyennes mobiles signalent une dynamique baissière. De l'autre, le RSI, le Stochastique et la position sous la bande de Bollinger inférieure indiquent une situation de survente extrême, suggérant un rebond technique imminent. Le marché est donc à un point d'inflexion critique.</w:t>
      </w:r>
    </w:p>
    <w:p>
      <w:pPr>
        <w:spacing w:after="120" w:line="276" w:lineRule="auto"/>
      </w:pPr>
      <w:r>
        <w:t>### **PARTIE 3 : ANALYSE FONDAMENTALE (SECTION CRITIQUE)**</w:t>
      </w:r>
    </w:p>
    <w:p>
      <w:pPr>
        <w:spacing w:after="120" w:line="276" w:lineRule="auto"/>
      </w:pPr>
      <w:r>
        <w:t>En 2025, NEIC a réalisé une performance financière exceptionnelle. Selon les données structurées, le chiffre d'affaires s'est établi à 5,139 milliards FCFA, en baisse de -23,8% par rapport à l'exercice précédent. Malgré cette baisse d'activité, le résultat net a bondi à 2,037 milliards FCFA, porté par des éléments non récurrents (reprise de provision). Cette performance se traduit par une marge nette exceptionnelle de 39,6% et un ROE de 35,4%, bien au-dessus du seuil d'excellence de 15%. La structure financière est très solide avec un taux d'autonomie financière de 77% et une trésorerie nette de 4,196 milliards FCFA. Cependant, l'analyse des rapports trimestriels 2025 (T1 et T3) tempère cet optimisme. Le T1 2025 a été catastrophique avec un CA de seulement 48,5 millions FCFA et une perte nette de 189,9 millions. Le T3 2025, traditionnellement le pic d'activité, a vu le CA chuter de 35% à 3,406 milliards FCFA, et le bénéfice net record de 1,596 milliard est entièrement dû à une reprise de provision exceptionnelle. En tant qu'entreprise d'édition, le délai client de 154,7 jours est un risque de trésorerie significatif, bien que compensé par une trésorerie abondante. Le rapport du T1 2026 montre une croissance de +137% du CA (à 115,1 millions FCFA), mais la société reste déficitaire (-168,9 millions FCFA), indiquant un redressement encore fragile.</w:t>
      </w:r>
    </w:p>
    <w:p>
      <w:pPr>
        <w:spacing w:after="120" w:line="276" w:lineRule="auto"/>
      </w:pPr>
      <w:r>
        <w:t>### **PARTIE 4 : CONCLUSION D'INVESTISSEMENT**</w:t>
      </w:r>
    </w:p>
    <w:p>
      <w:pPr>
        <w:spacing w:after="120" w:line="276" w:lineRule="auto"/>
      </w:pPr>
      <w:r>
        <w:t>La valorisation boursière de NEIC est exigeante (PER de 12,5x, P/B de 4,44x), ce qui ne laisse que peu de marge d'erreur. Le comportement du cours, bien que très haussier sur 100 jours, montre une volatilité extrême (45,1%) et une cassure récente. Les signaux techniques sont contradictoires, oscillant entre une dynamique baissière (MACD, MM) et des conditions de survente extrême (RSI, Stochastique) qui pourraient précipiter un rebond. Les fondamentaux 2025 sont solides en apparence (ROE de 35,4%), mais masquent une baisse d'activité et une dépendance aux éléments exceptionnels. Les rapports trimestriels 2025 et T1 2026 confirment une activité sous-jacente fragile et une rentabilité opérationnelle en difficulté. Les prédictions IA d'une baisse continue à 1 549 FCFA dans 10 jours contredisent les signaux de survente et suggèrent une poursuite du mouvement baissier.</w:t>
      </w:r>
    </w:p>
    <w:p>
      <w:pPr>
        <w:spacing w:after="120" w:line="276" w:lineRule="auto"/>
      </w:pPr>
      <w:r>
        <w:t>**Recommandation finale : VENTE**</w:t>
        <w:br/>
        <w:t>*   **Justification** : La convergence des signaux est baissière. La valorisation est chère, la tendance technique récente est négative, et les fondamentaux, bien que bons sur le papier, cachent une détérioration de l'activité récurrente. Les prédictions IA d'une baisse supplémentaire confirment ce scénario. Le rebond technique potentiel est risqué et pourrait être de courte durée.</w:t>
        <w:br/>
        <w:t>*   **Niveau de confiance :** Élevé</w:t>
        <w:br/>
        <w:t>*   **Niveau de risque global :** Élevé</w:t>
        <w:br/>
        <w:t>*   **Horizon d'investissement optimal :** Court terme (&lt;3 mois) pour une sortie. Déconseillé pour le moyen et long terme dans l'attente d'une clarification de la stratégie de redressement.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536.62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2,100 titres</w:t>
            </w:r>
          </w:p>
        </w:tc>
        <w:tc>
          <w:tcPr>
            <w:tcW w:type="dxa" w:w="2268"/>
            <w:shd w:fill="FFF2CC" w:val="clear"/>
          </w:tcPr>
          <w:p>
            <w:r>
              <w:rPr>
                <w:b/>
                <w:color w:val="503200"/>
                <w:sz w:val="16"/>
              </w:rPr>
              <w:t xml:space="preserve">Cours actuel : </w:t>
            </w:r>
            <w:r>
              <w:rPr>
                <w:color w:val="000000"/>
                <w:sz w:val="17"/>
              </w:rPr>
              <w:t>21,695 FCFA</w:t>
            </w:r>
          </w:p>
          <w:p>
            <w:r>
              <w:rPr>
                <w:b/>
                <w:color w:val="503200"/>
                <w:sz w:val="16"/>
              </w:rPr>
              <w:t xml:space="preserve">Var. 100 jours : </w:t>
            </w:r>
            <w:r>
              <w:rPr>
                <w:b/>
                <w:color w:val="007800"/>
                <w:sz w:val="17"/>
              </w:rPr>
              <w:t>+57.27%</w:t>
            </w:r>
          </w:p>
          <w:p>
            <w:r>
              <w:rPr>
                <w:b/>
                <w:color w:val="503200"/>
                <w:sz w:val="16"/>
              </w:rPr>
              <w:t xml:space="preserve">Plus haut 100j : </w:t>
            </w:r>
            <w:r>
              <w:rPr>
                <w:color w:val="000000"/>
                <w:sz w:val="17"/>
              </w:rPr>
              <w:t>21,950 FCFA</w:t>
            </w:r>
          </w:p>
          <w:p>
            <w:r>
              <w:rPr>
                <w:b/>
                <w:color w:val="503200"/>
                <w:sz w:val="16"/>
              </w:rPr>
              <w:t xml:space="preserve">Plus bas 100j : </w:t>
            </w:r>
            <w:r>
              <w:rPr>
                <w:color w:val="000000"/>
                <w:sz w:val="17"/>
              </w:rPr>
              <w:t>13,795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15.91% (Élevée) — μ=16,060 FCFA, σ=2,556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β=1.3217 (Agressif) — Cov=0.000055, Var(idx)=0.000042, ρ=0.391,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2,100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21,517</w:t>
            </w:r>
          </w:p>
        </w:tc>
        <w:tc>
          <w:tcPr>
            <w:tcW w:type="dxa" w:w="1440"/>
            <w:shd w:fill="FAFAFA" w:val="clear"/>
          </w:tcPr>
          <w:p>
            <w:r>
              <w:rPr>
                <w:b/>
                <w:sz w:val="17"/>
              </w:rPr>
              <w:t>22,113</w:t>
            </w:r>
          </w:p>
        </w:tc>
        <w:tc>
          <w:tcPr>
            <w:tcW w:type="dxa" w:w="1440"/>
            <w:shd w:fill="FAFAFA" w:val="clear"/>
          </w:tcPr>
          <w:p>
            <w:r>
              <w:rPr>
                <w:sz w:val="17"/>
              </w:rPr>
              <w:t>22,708</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2026-07-14</w:t>
            </w:r>
          </w:p>
        </w:tc>
        <w:tc>
          <w:tcPr>
            <w:tcW w:type="dxa" w:w="1440"/>
            <w:shd w:fill="C6EFCE" w:val="clear"/>
          </w:tcPr>
          <w:p>
            <w:r>
              <w:rPr>
                <w:sz w:val="17"/>
              </w:rPr>
              <w:t>21,606</w:t>
            </w:r>
          </w:p>
        </w:tc>
        <w:tc>
          <w:tcPr>
            <w:tcW w:type="dxa" w:w="1440"/>
            <w:shd w:fill="C6EFCE" w:val="clear"/>
          </w:tcPr>
          <w:p>
            <w:r>
              <w:rPr>
                <w:b/>
                <w:sz w:val="17"/>
              </w:rPr>
              <w:t>22,462</w:t>
            </w:r>
          </w:p>
        </w:tc>
        <w:tc>
          <w:tcPr>
            <w:tcW w:type="dxa" w:w="1440"/>
            <w:shd w:fill="C6EFCE" w:val="clear"/>
          </w:tcPr>
          <w:p>
            <w:r>
              <w:rPr>
                <w:sz w:val="17"/>
              </w:rPr>
              <w:t>23,317</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2026-07-15</w:t>
            </w:r>
          </w:p>
        </w:tc>
        <w:tc>
          <w:tcPr>
            <w:tcW w:type="dxa" w:w="1440"/>
            <w:shd w:fill="C6EFCE" w:val="clear"/>
          </w:tcPr>
          <w:p>
            <w:r>
              <w:rPr>
                <w:sz w:val="17"/>
              </w:rPr>
              <w:t>21,751</w:t>
            </w:r>
          </w:p>
        </w:tc>
        <w:tc>
          <w:tcPr>
            <w:tcW w:type="dxa" w:w="1440"/>
            <w:shd w:fill="C6EFCE" w:val="clear"/>
          </w:tcPr>
          <w:p>
            <w:r>
              <w:rPr>
                <w:b/>
                <w:sz w:val="17"/>
              </w:rPr>
              <w:t>22,815</w:t>
            </w:r>
          </w:p>
        </w:tc>
        <w:tc>
          <w:tcPr>
            <w:tcW w:type="dxa" w:w="1440"/>
            <w:shd w:fill="C6EFCE" w:val="clear"/>
          </w:tcPr>
          <w:p>
            <w:r>
              <w:rPr>
                <w:sz w:val="17"/>
              </w:rPr>
              <w:t>23,880</w:t>
            </w:r>
          </w:p>
        </w:tc>
        <w:tc>
          <w:tcPr>
            <w:tcW w:type="dxa" w:w="1440"/>
            <w:shd w:fill="C6EFCE" w:val="clear"/>
          </w:tcPr>
          <w:p>
            <w:r>
              <w:rPr>
                <w:b/>
                <w:color w:val="008000"/>
                <w:sz w:val="17"/>
              </w:rPr>
              <w:t>+5.2%</w:t>
            </w:r>
          </w:p>
        </w:tc>
      </w:tr>
      <w:tr>
        <w:tc>
          <w:tcPr>
            <w:tcW w:type="dxa" w:w="1440"/>
            <w:shd w:fill="C6EFCE" w:val="clear"/>
          </w:tcPr>
          <w:p>
            <w:r>
              <w:rPr>
                <w:sz w:val="17"/>
              </w:rPr>
              <w:t>J+4  Moyenne</w:t>
            </w:r>
          </w:p>
        </w:tc>
        <w:tc>
          <w:tcPr>
            <w:tcW w:type="dxa" w:w="1440"/>
            <w:shd w:fill="C6EFCE" w:val="clear"/>
          </w:tcPr>
          <w:p>
            <w:r>
              <w:rPr>
                <w:sz w:val="17"/>
              </w:rPr>
              <w:t>2026-07-16</w:t>
            </w:r>
          </w:p>
        </w:tc>
        <w:tc>
          <w:tcPr>
            <w:tcW w:type="dxa" w:w="1440"/>
            <w:shd w:fill="C6EFCE" w:val="clear"/>
          </w:tcPr>
          <w:p>
            <w:r>
              <w:rPr>
                <w:sz w:val="17"/>
              </w:rPr>
              <w:t>21,921</w:t>
            </w:r>
          </w:p>
        </w:tc>
        <w:tc>
          <w:tcPr>
            <w:tcW w:type="dxa" w:w="1440"/>
            <w:shd w:fill="C6EFCE" w:val="clear"/>
          </w:tcPr>
          <w:p>
            <w:r>
              <w:rPr>
                <w:b/>
                <w:sz w:val="17"/>
              </w:rPr>
              <w:t>23,169</w:t>
            </w:r>
          </w:p>
        </w:tc>
        <w:tc>
          <w:tcPr>
            <w:tcW w:type="dxa" w:w="1440"/>
            <w:shd w:fill="C6EFCE" w:val="clear"/>
          </w:tcPr>
          <w:p>
            <w:r>
              <w:rPr>
                <w:sz w:val="17"/>
              </w:rPr>
              <w:t>24,417</w:t>
            </w:r>
          </w:p>
        </w:tc>
        <w:tc>
          <w:tcPr>
            <w:tcW w:type="dxa" w:w="1440"/>
            <w:shd w:fill="C6EFCE" w:val="clear"/>
          </w:tcPr>
          <w:p>
            <w:r>
              <w:rPr>
                <w:b/>
                <w:color w:val="008000"/>
                <w:sz w:val="17"/>
              </w:rPr>
              <w:t>+6.8%</w:t>
            </w:r>
          </w:p>
        </w:tc>
      </w:tr>
      <w:tr>
        <w:tc>
          <w:tcPr>
            <w:tcW w:type="dxa" w:w="1440"/>
            <w:shd w:fill="C6EFCE" w:val="clear"/>
          </w:tcPr>
          <w:p>
            <w:r>
              <w:rPr>
                <w:sz w:val="17"/>
              </w:rPr>
              <w:t>J+5  Moyenne</w:t>
            </w:r>
          </w:p>
        </w:tc>
        <w:tc>
          <w:tcPr>
            <w:tcW w:type="dxa" w:w="1440"/>
            <w:shd w:fill="C6EFCE" w:val="clear"/>
          </w:tcPr>
          <w:p>
            <w:r>
              <w:rPr>
                <w:sz w:val="17"/>
              </w:rPr>
              <w:t>2026-07-17</w:t>
            </w:r>
          </w:p>
        </w:tc>
        <w:tc>
          <w:tcPr>
            <w:tcW w:type="dxa" w:w="1440"/>
            <w:shd w:fill="C6EFCE" w:val="clear"/>
          </w:tcPr>
          <w:p>
            <w:r>
              <w:rPr>
                <w:sz w:val="17"/>
              </w:rPr>
              <w:t>22,110</w:t>
            </w:r>
          </w:p>
        </w:tc>
        <w:tc>
          <w:tcPr>
            <w:tcW w:type="dxa" w:w="1440"/>
            <w:shd w:fill="C6EFCE" w:val="clear"/>
          </w:tcPr>
          <w:p>
            <w:r>
              <w:rPr>
                <w:b/>
                <w:sz w:val="17"/>
              </w:rPr>
              <w:t>23,527</w:t>
            </w:r>
          </w:p>
        </w:tc>
        <w:tc>
          <w:tcPr>
            <w:tcW w:type="dxa" w:w="1440"/>
            <w:shd w:fill="C6EFCE" w:val="clear"/>
          </w:tcPr>
          <w:p>
            <w:r>
              <w:rPr>
                <w:sz w:val="17"/>
              </w:rPr>
              <w:t>24,944</w:t>
            </w:r>
          </w:p>
        </w:tc>
        <w:tc>
          <w:tcPr>
            <w:tcW w:type="dxa" w:w="1440"/>
            <w:shd w:fill="C6EFCE" w:val="clear"/>
          </w:tcPr>
          <w:p>
            <w:r>
              <w:rPr>
                <w:b/>
                <w:color w:val="008000"/>
                <w:sz w:val="17"/>
              </w:rPr>
              <w:t>+8.4%</w:t>
            </w:r>
          </w:p>
        </w:tc>
      </w:tr>
      <w:tr>
        <w:tc>
          <w:tcPr>
            <w:tcW w:type="dxa" w:w="1440"/>
            <w:shd w:fill="C6EFCE" w:val="clear"/>
          </w:tcPr>
          <w:p>
            <w:r>
              <w:rPr>
                <w:sz w:val="17"/>
              </w:rPr>
              <w:t>J+6  Moyenne</w:t>
            </w:r>
          </w:p>
        </w:tc>
        <w:tc>
          <w:tcPr>
            <w:tcW w:type="dxa" w:w="1440"/>
            <w:shd w:fill="C6EFCE" w:val="clear"/>
          </w:tcPr>
          <w:p>
            <w:r>
              <w:rPr>
                <w:sz w:val="17"/>
              </w:rPr>
              <w:t>2026-07-20</w:t>
            </w:r>
          </w:p>
        </w:tc>
        <w:tc>
          <w:tcPr>
            <w:tcW w:type="dxa" w:w="1440"/>
            <w:shd w:fill="C6EFCE" w:val="clear"/>
          </w:tcPr>
          <w:p>
            <w:r>
              <w:rPr>
                <w:sz w:val="17"/>
              </w:rPr>
              <w:t>22,314</w:t>
            </w:r>
          </w:p>
        </w:tc>
        <w:tc>
          <w:tcPr>
            <w:tcW w:type="dxa" w:w="1440"/>
            <w:shd w:fill="C6EFCE" w:val="clear"/>
          </w:tcPr>
          <w:p>
            <w:r>
              <w:rPr>
                <w:b/>
                <w:sz w:val="17"/>
              </w:rPr>
              <w:t>23,890</w:t>
            </w:r>
          </w:p>
        </w:tc>
        <w:tc>
          <w:tcPr>
            <w:tcW w:type="dxa" w:w="1440"/>
            <w:shd w:fill="C6EFCE" w:val="clear"/>
          </w:tcPr>
          <w:p>
            <w:r>
              <w:rPr>
                <w:sz w:val="17"/>
              </w:rPr>
              <w:t>25,466</w:t>
            </w:r>
          </w:p>
        </w:tc>
        <w:tc>
          <w:tcPr>
            <w:tcW w:type="dxa" w:w="1440"/>
            <w:shd w:fill="C6EFCE" w:val="clear"/>
          </w:tcPr>
          <w:p>
            <w:r>
              <w:rPr>
                <w:b/>
                <w:color w:val="008000"/>
                <w:sz w:val="17"/>
              </w:rPr>
              <w:t>+10.1%</w:t>
            </w:r>
          </w:p>
        </w:tc>
      </w:tr>
      <w:tr>
        <w:tc>
          <w:tcPr>
            <w:tcW w:type="dxa" w:w="1440"/>
            <w:shd w:fill="C6EFCE" w:val="clear"/>
          </w:tcPr>
          <w:p>
            <w:r>
              <w:rPr>
                <w:sz w:val="17"/>
              </w:rPr>
              <w:t>J+7  Moyenne</w:t>
            </w:r>
          </w:p>
        </w:tc>
        <w:tc>
          <w:tcPr>
            <w:tcW w:type="dxa" w:w="1440"/>
            <w:shd w:fill="C6EFCE" w:val="clear"/>
          </w:tcPr>
          <w:p>
            <w:r>
              <w:rPr>
                <w:sz w:val="17"/>
              </w:rPr>
              <w:t>2026-07-21</w:t>
            </w:r>
          </w:p>
        </w:tc>
        <w:tc>
          <w:tcPr>
            <w:tcW w:type="dxa" w:w="1440"/>
            <w:shd w:fill="C6EFCE" w:val="clear"/>
          </w:tcPr>
          <w:p>
            <w:r>
              <w:rPr>
                <w:sz w:val="17"/>
              </w:rPr>
              <w:t>22,529</w:t>
            </w:r>
          </w:p>
        </w:tc>
        <w:tc>
          <w:tcPr>
            <w:tcW w:type="dxa" w:w="1440"/>
            <w:shd w:fill="C6EFCE" w:val="clear"/>
          </w:tcPr>
          <w:p>
            <w:r>
              <w:rPr>
                <w:b/>
                <w:sz w:val="17"/>
              </w:rPr>
              <w:t>24,257</w:t>
            </w:r>
          </w:p>
        </w:tc>
        <w:tc>
          <w:tcPr>
            <w:tcW w:type="dxa" w:w="1440"/>
            <w:shd w:fill="C6EFCE" w:val="clear"/>
          </w:tcPr>
          <w:p>
            <w:r>
              <w:rPr>
                <w:sz w:val="17"/>
              </w:rPr>
              <w:t>25,986</w:t>
            </w:r>
          </w:p>
        </w:tc>
        <w:tc>
          <w:tcPr>
            <w:tcW w:type="dxa" w:w="1440"/>
            <w:shd w:fill="C6EFCE" w:val="clear"/>
          </w:tcPr>
          <w:p>
            <w:r>
              <w:rPr>
                <w:b/>
                <w:color w:val="008000"/>
                <w:sz w:val="17"/>
              </w:rPr>
              <w:t>+11.8%</w:t>
            </w:r>
          </w:p>
        </w:tc>
      </w:tr>
      <w:tr>
        <w:tc>
          <w:tcPr>
            <w:tcW w:type="dxa" w:w="1440"/>
            <w:shd w:fill="C6EFCE" w:val="clear"/>
          </w:tcPr>
          <w:p>
            <w:r>
              <w:rPr>
                <w:sz w:val="17"/>
              </w:rPr>
              <w:t>J+8  Moyenne</w:t>
            </w:r>
          </w:p>
        </w:tc>
        <w:tc>
          <w:tcPr>
            <w:tcW w:type="dxa" w:w="1440"/>
            <w:shd w:fill="C6EFCE" w:val="clear"/>
          </w:tcPr>
          <w:p>
            <w:r>
              <w:rPr>
                <w:sz w:val="17"/>
              </w:rPr>
              <w:t>2026-07-22</w:t>
            </w:r>
          </w:p>
        </w:tc>
        <w:tc>
          <w:tcPr>
            <w:tcW w:type="dxa" w:w="1440"/>
            <w:shd w:fill="C6EFCE" w:val="clear"/>
          </w:tcPr>
          <w:p>
            <w:r>
              <w:rPr>
                <w:sz w:val="17"/>
              </w:rPr>
              <w:t>22,753</w:t>
            </w:r>
          </w:p>
        </w:tc>
        <w:tc>
          <w:tcPr>
            <w:tcW w:type="dxa" w:w="1440"/>
            <w:shd w:fill="C6EFCE" w:val="clear"/>
          </w:tcPr>
          <w:p>
            <w:r>
              <w:rPr>
                <w:b/>
                <w:sz w:val="17"/>
              </w:rPr>
              <w:t>24,629</w:t>
            </w:r>
          </w:p>
        </w:tc>
        <w:tc>
          <w:tcPr>
            <w:tcW w:type="dxa" w:w="1440"/>
            <w:shd w:fill="C6EFCE" w:val="clear"/>
          </w:tcPr>
          <w:p>
            <w:r>
              <w:rPr>
                <w:sz w:val="17"/>
              </w:rPr>
              <w:t>26,505</w:t>
            </w:r>
          </w:p>
        </w:tc>
        <w:tc>
          <w:tcPr>
            <w:tcW w:type="dxa" w:w="1440"/>
            <w:shd w:fill="C6EFCE" w:val="clear"/>
          </w:tcPr>
          <w:p>
            <w:r>
              <w:rPr>
                <w:b/>
                <w:color w:val="008000"/>
                <w:sz w:val="17"/>
              </w:rPr>
              <w:t>+13.5%</w:t>
            </w:r>
          </w:p>
        </w:tc>
      </w:tr>
      <w:tr>
        <w:tc>
          <w:tcPr>
            <w:tcW w:type="dxa" w:w="1440"/>
            <w:shd w:fill="C6EFCE" w:val="clear"/>
          </w:tcPr>
          <w:p>
            <w:r>
              <w:rPr>
                <w:sz w:val="17"/>
              </w:rPr>
              <w:t>J+9  Moyenne</w:t>
            </w:r>
          </w:p>
        </w:tc>
        <w:tc>
          <w:tcPr>
            <w:tcW w:type="dxa" w:w="1440"/>
            <w:shd w:fill="C6EFCE" w:val="clear"/>
          </w:tcPr>
          <w:p>
            <w:r>
              <w:rPr>
                <w:sz w:val="17"/>
              </w:rPr>
              <w:t>2026-07-23</w:t>
            </w:r>
          </w:p>
        </w:tc>
        <w:tc>
          <w:tcPr>
            <w:tcW w:type="dxa" w:w="1440"/>
            <w:shd w:fill="C6EFCE" w:val="clear"/>
          </w:tcPr>
          <w:p>
            <w:r>
              <w:rPr>
                <w:sz w:val="17"/>
              </w:rPr>
              <w:t>22,984</w:t>
            </w:r>
          </w:p>
        </w:tc>
        <w:tc>
          <w:tcPr>
            <w:tcW w:type="dxa" w:w="1440"/>
            <w:shd w:fill="C6EFCE" w:val="clear"/>
          </w:tcPr>
          <w:p>
            <w:r>
              <w:rPr>
                <w:b/>
                <w:sz w:val="17"/>
              </w:rPr>
              <w:t>25,004</w:t>
            </w:r>
          </w:p>
        </w:tc>
        <w:tc>
          <w:tcPr>
            <w:tcW w:type="dxa" w:w="1440"/>
            <w:shd w:fill="C6EFCE" w:val="clear"/>
          </w:tcPr>
          <w:p>
            <w:r>
              <w:rPr>
                <w:sz w:val="17"/>
              </w:rPr>
              <w:t>27,024</w:t>
            </w:r>
          </w:p>
        </w:tc>
        <w:tc>
          <w:tcPr>
            <w:tcW w:type="dxa" w:w="1440"/>
            <w:shd w:fill="C6EFCE" w:val="clear"/>
          </w:tcPr>
          <w:p>
            <w:r>
              <w:rPr>
                <w:b/>
                <w:color w:val="008000"/>
                <w:sz w:val="17"/>
              </w:rPr>
              <w:t>+15.3%</w:t>
            </w:r>
          </w:p>
        </w:tc>
      </w:tr>
      <w:tr>
        <w:tc>
          <w:tcPr>
            <w:tcW w:type="dxa" w:w="1440"/>
            <w:shd w:fill="C6EFCE" w:val="clear"/>
          </w:tcPr>
          <w:p>
            <w:r>
              <w:rPr>
                <w:sz w:val="17"/>
              </w:rPr>
              <w:t>J+10  Moyenne</w:t>
            </w:r>
          </w:p>
        </w:tc>
        <w:tc>
          <w:tcPr>
            <w:tcW w:type="dxa" w:w="1440"/>
            <w:shd w:fill="C6EFCE" w:val="clear"/>
          </w:tcPr>
          <w:p>
            <w:r>
              <w:rPr>
                <w:sz w:val="17"/>
              </w:rPr>
              <w:t>2026-07-24</w:t>
            </w:r>
          </w:p>
        </w:tc>
        <w:tc>
          <w:tcPr>
            <w:tcW w:type="dxa" w:w="1440"/>
            <w:shd w:fill="C6EFCE" w:val="clear"/>
          </w:tcPr>
          <w:p>
            <w:r>
              <w:rPr>
                <w:sz w:val="17"/>
              </w:rPr>
              <w:t>23,220</w:t>
            </w:r>
          </w:p>
        </w:tc>
        <w:tc>
          <w:tcPr>
            <w:tcW w:type="dxa" w:w="1440"/>
            <w:shd w:fill="C6EFCE" w:val="clear"/>
          </w:tcPr>
          <w:p>
            <w:r>
              <w:rPr>
                <w:b/>
                <w:sz w:val="17"/>
              </w:rPr>
              <w:t>25,381</w:t>
            </w:r>
          </w:p>
        </w:tc>
        <w:tc>
          <w:tcPr>
            <w:tcW w:type="dxa" w:w="1440"/>
            <w:shd w:fill="C6EFCE" w:val="clear"/>
          </w:tcPr>
          <w:p>
            <w:r>
              <w:rPr>
                <w:sz w:val="17"/>
              </w:rPr>
              <w:t>27,543</w:t>
            </w:r>
          </w:p>
        </w:tc>
        <w:tc>
          <w:tcPr>
            <w:tcW w:type="dxa" w:w="1440"/>
            <w:shd w:fill="C6EFCE" w:val="clear"/>
          </w:tcPr>
          <w:p>
            <w:r>
              <w:rPr>
                <w:b/>
                <w:color w:val="008000"/>
                <w:sz w:val="17"/>
              </w:rPr>
              <w:t>+17.0%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Absolument. Voici le rapport d'analyse structuré pour l'action NSBC (NSIA Banque Côte d'Ivoire), conforme à vos instructions.</w:t>
      </w:r>
    </w:p>
    <w:p>
      <w:pPr>
        <w:spacing w:after="120" w:line="276" w:lineRule="auto"/>
      </w:pPr>
      <w:r>
        <w:t>---</w:t>
      </w:r>
    </w:p>
    <w:p>
      <w:pPr>
        <w:spacing w:after="120" w:line="276" w:lineRule="auto"/>
      </w:pPr>
      <w:r>
        <w:t>### **Rapport d'Analyse Financière – NSIA Banque Côte d'Ivoire (NSBC)**</w:t>
      </w:r>
    </w:p>
    <w:p>
      <w:pPr>
        <w:spacing w:after="120" w:line="276" w:lineRule="auto" w:before="240"/>
      </w:pPr>
      <w:r>
        <w:rPr>
          <w:b/>
          <w:color w:val="003366"/>
          <w:sz w:val="24"/>
        </w:rPr>
        <w:t>**PARTIE 0 : INDICATEURS DE VALORISATION BOURSIÈRE**</w:t>
      </w:r>
    </w:p>
    <w:p>
      <w:pPr>
        <w:spacing w:after="120" w:line="276" w:lineRule="auto"/>
      </w:pPr>
      <w:r>
        <w:t>Avec une capitalisation boursière de 536,62 milliards FCFA, NSBC se positionne comme une valeur de premier plan sur le marché de la BRVM, reflétant sa stature de leader bancaire ivoirien. Le Bénéfice Par Action (BPA) de 1 646 FCFA indique que chaque action a généré un profit significatif. Le PER de 13,2x se situe légèrement au-dessus de la moyenne historique de la BRVM (8-12x), suggérant que les investisseurs sont prêts à payer une prime modérée pour les bénéfices de la banque, ce qui témoigne d'une confiance dans sa croissance future. Le Price-to-Book (P/B) de 2,30x, dans la fourchette de 2 à 4x, confirme que le marché valorise l'entreprise au-dessus de sa valeur comptable, une prime de croissance accordée aux sociétés jugées performantes. Enfin, le ratio EV/EBITDA de 20,8x est très exigeant, indiquant que la valeur totale de l'entreprise (dette incluse) est élevée par rapport à sa capacité bénéficiaire opérationnelle, un point de vigilance pour les investisseurs value.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connu une performance exceptionnelle avec une variation totale de +57,27%, bien que la dernière séance montre une quasi-stabilité (-0,02%). Le cours a évolué dans une large fourchette, allant d'un plus bas de 13 795 FCFA à un plus haut de 21 950 FCFA, démontrant une tendance haussière très marquée. L'analyse des statistiques descriptives révèle que la moyenne (16 060 FCFA) est supérieure à la médiane (14 268 FCFA) et au mode (13 900 FCFA), ce qui confirme une asymétrie positive (skewness de 0.714) : le titre a passé plus de temps sous sa moyenne, mais les récentes fortes hausses l'ont tirée vers le haut. L'écart-type de 2 568 FCFA et le coefficient de variation de 16% indiquent une dispersion modérée du cours. Le kurtosis négatif (-1.142) suggère une distribution aplatie, avec moins de pics de prix extrêmes que la normale. Enfin, la volatilité annualisée de 34,3% classe le titre dans la catégorie "élevée", ce qui implique un risque de fluctuation important pour l'investisseur.</w:t>
      </w:r>
    </w:p>
    <w:p>
      <w:pPr>
        <w:spacing w:after="120" w:line="276" w:lineRule="auto" w:before="240"/>
      </w:pPr>
      <w:r>
        <w:rPr>
          <w:b/>
          <w:color w:val="003366"/>
          <w:sz w:val="24"/>
        </w:rPr>
        <w:t>**PARTIE 2 : ANALYSE TECHNIQUE DÉTAILLÉE**</w:t>
      </w:r>
    </w:p>
    <w:p>
      <w:pPr>
        <w:spacing w:after="120" w:line="276" w:lineRule="auto"/>
      </w:pPr>
      <w:r>
        <w:t>*   **Moyennes Mobiles**: Le cours actuel de 21 695 FCFA est nettement au-dessus de la MM20 (19 910 FCFA) et de la MM50 (17 957 FCFA), confirmant une dynamique haussière forte et saine. La décision d'achat est justifiée par cette configuration de "croisement doré" où les moyennes à court terme sont supérieures aux moyennes à long terme.</w:t>
        <w:br/>
        <w:t>*   **Bandes de Bollinger**: Le cours se situe à 21 695 FCFA, très proche de la borne supérieure (21 742 FCFA), indiquant que le titre est en zone de surachat temporaire. La décision est neutre car, bien que proche de la borne, le titre ne la touche pas et pourrait continuer sa tendance haussière ou entamer une consolidation.</w:t>
        <w:br/>
        <w:t>*   **MACD**: Le MACD (919,55) est positif et nettement au-dessus de sa ligne de signal (806,31), ce qui est un signal haussier puissant. Le momentum est clairement en faveur des acheteurs, justifiant la décision d'achat.</w:t>
        <w:br/>
        <w:t>*   **RSI**: Avec une valeur de 88,44, le RSI est profondément en zone de surachat (&gt;70). Cela indique que le titre est survendu à la hausse et qu'une correction technique est statistiquement probable à court terme, d'où la décision de vente.</w:t>
        <w:br/>
        <w:t>*   **Stochastique**: Le %K (90,0) et le %D (93,52) sont tous deux très élevés, en zone de surachat. Le %K est légèrement inférieur au %D, ce qui pourrait être un signal précoce de retournement baissier. La décision de vente est donc cohérente.</w:t>
      </w:r>
    </w:p>
    <w:p>
      <w:pPr>
        <w:spacing w:after="120" w:line="276" w:lineRule="auto"/>
      </w:pPr>
      <w:r>
        <w:t>**Conclusion technique** : L'analyse technique est partagée. Les indicateurs de tendance (Moyennes Mobiles, MACD) sont fortement haussiers et suggèrent que la dynamique positive est intacte. En revanche, les oscillateurs de momentum (RSI, Stochastique) crient "surachat" et signalent un risque élevé de correction à court terme. Cette divergence entre tendance et momentum suggère une période de consolidation ou un repli technique probable avant une potentielle reprise de la hausse.</w:t>
      </w:r>
    </w:p>
    <w:p>
      <w:pPr>
        <w:spacing w:after="120" w:line="276" w:lineRule="auto" w:before="240"/>
      </w:pPr>
      <w:r>
        <w:rPr>
          <w:b/>
          <w:color w:val="003366"/>
          <w:sz w:val="24"/>
        </w:rPr>
        <w:t>**PARTIE 3 : ANALYSE FONDAMENTALE (SECTION CRITIQUE)**</w:t>
      </w:r>
    </w:p>
    <w:p>
      <w:pPr>
        <w:spacing w:after="120" w:line="276" w:lineRule="auto"/>
      </w:pPr>
      <w:r>
        <w:t>En 2025, NSBC a démontré une santé financière robuste. Le Produit Net Bancaire (PNB) s'est établi à 112,93 milliards FCFA, en hausse de 15% par rapport à 2024, porté par une forte progression de la marge d'intérêt. Le résultat net a atteint 40,71 milliards FCFA, en croissance de 7%. La rentabilité est excellente, avec un ROE de 17,45% et un ROA de 1,32%, tandis que le coefficient d'exploitation de 54,59% confirme une gestion efficace. Cependant, le coût du risque s'est dégradé, passant de +0,6 milliard (reprise) en 2024 à -8,5 milliards FCFA (dotation) en 2025, un point de vigilance. Sur la base du rapport du premier trimestre 2026, qui affiche un PNB de 28,6 milliards FCFA (+28%) et un résultat net de 10,9 milliards FCFA (+53%), on estime que la dynamique de croissance s'accélère fortement. Cette performance est notamment tirée par l'activité titres et une meilleure maîtrise du coût du risque. La banque bénéficie d'une collecte de dépôts dynamique (2 242 milliards FCFA en 2025) et d'une solide base de capitaux propres (233,3 milliards FCFA). Les perspectives sont favorables, soutenues par le Plan National de Développement (PND 2026-2030) de la Côte d'Ivoire. La recommandation fondamentale est **positive**, la banque alliant croissance, rentabilité et solidité, malgré un coût du risque à surveiller.</w:t>
      </w:r>
    </w:p>
    <w:p>
      <w:pPr>
        <w:spacing w:after="120" w:line="276" w:lineRule="auto" w:before="240"/>
      </w:pPr>
      <w:r>
        <w:rPr>
          <w:b/>
          <w:color w:val="003366"/>
          <w:sz w:val="24"/>
        </w:rPr>
        <w:t>**PARTIE 4 : CONCLUSION D'INVESTISSEMENT**</w:t>
      </w:r>
    </w:p>
    <w:p>
      <w:pPr>
        <w:spacing w:after="120" w:line="276" w:lineRule="auto"/>
      </w:pPr>
      <w:r>
        <w:t>La synthèse globale pour NSBC est contrastée. La **valorisation** (Partie 0) est exigeante, avec un PER et un EV/EBITDA élevés, suggérant que le prix intègre déjà des attentes de croissance optimistes. Le **comportement du cours** (Partie 1) est très haussier mais accompagné d'une volatilité élevée et d'une asymétrie positive, indiquant un risque de retournement. Les **signaux techniques** (Partie 2) sont en conflit : la tendance reste haussière mais les oscillateurs sont en surachat extrême, signalant une correction imminente. Enfin, les **fondamentaux** (Partie 3) sont solides et la croissance s'accélère en 2026, ce qui justifie en partie la prime de valorisation. Les prédictions IA pour les 10 prochains jours (hausse de +8,4% à 23 527 FCFA) suggèrent une poursuite de la hausse à très court terme, ce qui contredit les signaux de surachat technique.</w:t>
      </w:r>
    </w:p>
    <w:p>
      <w:pPr>
        <w:spacing w:after="120" w:line="276" w:lineRule="auto"/>
      </w:pPr>
      <w:r>
        <w:t>Face à cette divergence, la prudence est de mise. **Recommandation finale : CONSERVER**. La convergence entre des fondamentaux excellents et une tendance haussière est réelle, mais elle est contrebalancée par une valorisation tendue et des signaux techniques de surachat. **Niveau de confiance : Moyen**. **Risque global : Élevé** (volatilité et risque de correction technique). **Horizon d'investissement optimal : Long terme (&gt;1 an)**. Pour un investisseur de long terme, la solidité de NSBC en fait une valeur de qualité à conserver en portefeuille. Pour un investisseur de court terme, il serait plus prudent d'attendre une correction technique pour entrer en position, plutôt que d'acheter à ces niveaux de surachat.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358.64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1,991 titres</w:t>
            </w:r>
          </w:p>
        </w:tc>
        <w:tc>
          <w:tcPr>
            <w:tcW w:type="dxa" w:w="2268"/>
            <w:shd w:fill="FFF2CC" w:val="clear"/>
          </w:tcPr>
          <w:p>
            <w:r>
              <w:rPr>
                <w:b/>
                <w:color w:val="503200"/>
                <w:sz w:val="16"/>
              </w:rPr>
              <w:t xml:space="preserve">Cours actuel : </w:t>
            </w:r>
            <w:r>
              <w:rPr>
                <w:color w:val="000000"/>
                <w:sz w:val="17"/>
              </w:rPr>
              <w:t>16,250 FCFA</w:t>
            </w:r>
          </w:p>
          <w:p>
            <w:r>
              <w:rPr>
                <w:b/>
                <w:color w:val="503200"/>
                <w:sz w:val="16"/>
              </w:rPr>
              <w:t xml:space="preserve">Var. 100 jours : </w:t>
            </w:r>
            <w:r>
              <w:rPr>
                <w:b/>
                <w:color w:val="007800"/>
                <w:sz w:val="17"/>
              </w:rPr>
              <w:t>+37.65%</w:t>
            </w:r>
          </w:p>
          <w:p>
            <w:r>
              <w:rPr>
                <w:b/>
                <w:color w:val="503200"/>
                <w:sz w:val="16"/>
              </w:rPr>
              <w:t xml:space="preserve">Plus haut 100j : </w:t>
            </w:r>
            <w:r>
              <w:rPr>
                <w:color w:val="000000"/>
                <w:sz w:val="17"/>
              </w:rPr>
              <w:t>16,500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10.74% (Moyenne) — μ=13,134 FCFA, σ=1,410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β=0.3100 (Défensif) — Cov=0.000013, Var(idx)=0.000042, ρ=0.089,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15,570</w:t>
            </w:r>
          </w:p>
        </w:tc>
        <w:tc>
          <w:tcPr>
            <w:tcW w:type="dxa" w:w="1440"/>
            <w:shd w:fill="FAFAFA" w:val="clear"/>
          </w:tcPr>
          <w:p>
            <w:r>
              <w:rPr>
                <w:b/>
                <w:sz w:val="17"/>
              </w:rPr>
              <w:t>16,140</w:t>
            </w:r>
          </w:p>
        </w:tc>
        <w:tc>
          <w:tcPr>
            <w:tcW w:type="dxa" w:w="1440"/>
            <w:shd w:fill="FAFAFA" w:val="clear"/>
          </w:tcPr>
          <w:p>
            <w:r>
              <w:rPr>
                <w:sz w:val="17"/>
              </w:rPr>
              <w:t>16,710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15,300</w:t>
            </w:r>
          </w:p>
        </w:tc>
        <w:tc>
          <w:tcPr>
            <w:tcW w:type="dxa" w:w="1440"/>
            <w:shd w:fill="FAFAFA" w:val="clear"/>
          </w:tcPr>
          <w:p>
            <w:r>
              <w:rPr>
                <w:b/>
                <w:sz w:val="17"/>
              </w:rPr>
              <w:t>16,104</w:t>
            </w:r>
          </w:p>
        </w:tc>
        <w:tc>
          <w:tcPr>
            <w:tcW w:type="dxa" w:w="1440"/>
            <w:shd w:fill="FAFAFA" w:val="clear"/>
          </w:tcPr>
          <w:p>
            <w:r>
              <w:rPr>
                <w:sz w:val="17"/>
              </w:rPr>
              <w:t>16,908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15,078</w:t>
            </w:r>
          </w:p>
        </w:tc>
        <w:tc>
          <w:tcPr>
            <w:tcW w:type="dxa" w:w="1440"/>
            <w:shd w:fill="FAFAFA" w:val="clear"/>
          </w:tcPr>
          <w:p>
            <w:r>
              <w:rPr>
                <w:b/>
                <w:sz w:val="17"/>
              </w:rPr>
              <w:t>16,060</w:t>
            </w:r>
          </w:p>
        </w:tc>
        <w:tc>
          <w:tcPr>
            <w:tcW w:type="dxa" w:w="1440"/>
            <w:shd w:fill="FAFAFA" w:val="clear"/>
          </w:tcPr>
          <w:p>
            <w:r>
              <w:rPr>
                <w:sz w:val="17"/>
              </w:rPr>
              <w:t>17,042</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14,886</w:t>
            </w:r>
          </w:p>
        </w:tc>
        <w:tc>
          <w:tcPr>
            <w:tcW w:type="dxa" w:w="1440"/>
            <w:shd w:fill="FAFAFA" w:val="clear"/>
          </w:tcPr>
          <w:p>
            <w:r>
              <w:rPr>
                <w:b/>
                <w:sz w:val="17"/>
              </w:rPr>
              <w:t>16,017</w:t>
            </w:r>
          </w:p>
        </w:tc>
        <w:tc>
          <w:tcPr>
            <w:tcW w:type="dxa" w:w="1440"/>
            <w:shd w:fill="FAFAFA" w:val="clear"/>
          </w:tcPr>
          <w:p>
            <w:r>
              <w:rPr>
                <w:sz w:val="17"/>
              </w:rPr>
              <w:t>17,147</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14,714</w:t>
            </w:r>
          </w:p>
        </w:tc>
        <w:tc>
          <w:tcPr>
            <w:tcW w:type="dxa" w:w="1440"/>
            <w:shd w:fill="FAFAFA" w:val="clear"/>
          </w:tcPr>
          <w:p>
            <w:r>
              <w:rPr>
                <w:b/>
                <w:sz w:val="17"/>
              </w:rPr>
              <w:t>15,975</w:t>
            </w:r>
          </w:p>
        </w:tc>
        <w:tc>
          <w:tcPr>
            <w:tcW w:type="dxa" w:w="1440"/>
            <w:shd w:fill="FAFAFA" w:val="clear"/>
          </w:tcPr>
          <w:p>
            <w:r>
              <w:rPr>
                <w:sz w:val="17"/>
              </w:rPr>
              <w:t>17,236</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14,557</w:t>
            </w:r>
          </w:p>
        </w:tc>
        <w:tc>
          <w:tcPr>
            <w:tcW w:type="dxa" w:w="1440"/>
            <w:shd w:fill="FAFAFA" w:val="clear"/>
          </w:tcPr>
          <w:p>
            <w:r>
              <w:rPr>
                <w:b/>
                <w:sz w:val="17"/>
              </w:rPr>
              <w:t>15,935</w:t>
            </w:r>
          </w:p>
        </w:tc>
        <w:tc>
          <w:tcPr>
            <w:tcW w:type="dxa" w:w="1440"/>
            <w:shd w:fill="FAFAFA" w:val="clear"/>
          </w:tcPr>
          <w:p>
            <w:r>
              <w:rPr>
                <w:sz w:val="17"/>
              </w:rPr>
              <w:t>17,313</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14,411</w:t>
            </w:r>
          </w:p>
        </w:tc>
        <w:tc>
          <w:tcPr>
            <w:tcW w:type="dxa" w:w="1440"/>
            <w:shd w:fill="FFDCE0" w:val="clear"/>
          </w:tcPr>
          <w:p>
            <w:r>
              <w:rPr>
                <w:b/>
                <w:sz w:val="17"/>
              </w:rPr>
              <w:t>15,896</w:t>
            </w:r>
          </w:p>
        </w:tc>
        <w:tc>
          <w:tcPr>
            <w:tcW w:type="dxa" w:w="1440"/>
            <w:shd w:fill="FFDCE0" w:val="clear"/>
          </w:tcPr>
          <w:p>
            <w:r>
              <w:rPr>
                <w:sz w:val="17"/>
              </w:rPr>
              <w:t>17,381</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14,275</w:t>
            </w:r>
          </w:p>
        </w:tc>
        <w:tc>
          <w:tcPr>
            <w:tcW w:type="dxa" w:w="1440"/>
            <w:shd w:fill="FFDCE0" w:val="clear"/>
          </w:tcPr>
          <w:p>
            <w:r>
              <w:rPr>
                <w:b/>
                <w:sz w:val="17"/>
              </w:rPr>
              <w:t>15,859</w:t>
            </w:r>
          </w:p>
        </w:tc>
        <w:tc>
          <w:tcPr>
            <w:tcW w:type="dxa" w:w="1440"/>
            <w:shd w:fill="FFDCE0" w:val="clear"/>
          </w:tcPr>
          <w:p>
            <w:r>
              <w:rPr>
                <w:sz w:val="17"/>
              </w:rPr>
              <w:t>17,442</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14,146</w:t>
            </w:r>
          </w:p>
        </w:tc>
        <w:tc>
          <w:tcPr>
            <w:tcW w:type="dxa" w:w="1440"/>
            <w:shd w:fill="FFDCE0" w:val="clear"/>
          </w:tcPr>
          <w:p>
            <w:r>
              <w:rPr>
                <w:b/>
                <w:sz w:val="17"/>
              </w:rPr>
              <w:t>15,822</w:t>
            </w:r>
          </w:p>
        </w:tc>
        <w:tc>
          <w:tcPr>
            <w:tcW w:type="dxa" w:w="1440"/>
            <w:shd w:fill="FFDCE0" w:val="clear"/>
          </w:tcPr>
          <w:p>
            <w:r>
              <w:rPr>
                <w:sz w:val="17"/>
              </w:rPr>
              <w:t>17,497</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14,024</w:t>
            </w:r>
          </w:p>
        </w:tc>
        <w:tc>
          <w:tcPr>
            <w:tcW w:type="dxa" w:w="1440"/>
            <w:shd w:fill="FFDCE0" w:val="clear"/>
          </w:tcPr>
          <w:p>
            <w:r>
              <w:rPr>
                <w:b/>
                <w:sz w:val="17"/>
              </w:rPr>
              <w:t>15,786</w:t>
            </w:r>
          </w:p>
        </w:tc>
        <w:tc>
          <w:tcPr>
            <w:tcW w:type="dxa" w:w="1440"/>
            <w:shd w:fill="FFDCE0" w:val="clear"/>
          </w:tcPr>
          <w:p>
            <w:r>
              <w:rPr>
                <w:sz w:val="17"/>
              </w:rPr>
              <w:t>17,548</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le rapport d'analyse structuré pour l'action **NTLC (Nestlé Côte d'Ivoire S.A.)** , conforme à vos instructions.</w:t>
      </w:r>
    </w:p>
    <w:p>
      <w:pPr>
        <w:spacing w:after="120" w:line="276" w:lineRule="auto"/>
      </w:pPr>
      <w:r>
        <w:t>---</w:t>
      </w:r>
    </w:p>
    <w:p>
      <w:pPr>
        <w:spacing w:after="120" w:line="276" w:lineRule="auto"/>
      </w:pPr>
      <w:r>
        <w:t>### **Rapport d'Analyse Financière – NTLC (Nestlé Côte d'Ivoire)**</w:t>
      </w:r>
    </w:p>
    <w:p>
      <w:pPr>
        <w:spacing w:after="120" w:line="276" w:lineRule="auto"/>
      </w:pPr>
      <w:r>
        <w:t>**Date de l'analyse :** 13 juillet 2026</w:t>
        <w:br/>
        <w:t>**Analyste :** Agent IA spécialisé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**358,64 milliards FCFA**, NTLC se positionne comme une valeur de premier plan sur la BRVM, reflétant la confiance des investisseurs dans le leader des biens de consommation. Le BPA de **835 FCFA** indique que chaque action a généré ce montant de bénéfice sur l'exercice 2025. Le PER de **19,5x** est nettement supérieur à la moyenne historique de la BRVM (8-12x), ce qui suggère que le marché est prêt à payer une prime significative pour la qualité perçue, la stabilité et la marque de l'entreprise. Cette prime est confirmée par le P/B de **12,12x**, très élevé, indiquant que le cours de bourse est plus de 12 fois supérieur à la valeur comptable par action, signe d'une valorisation exigeante reposant sur des actifs immatériels et une rentabilité future attendue. Enfin, l'EV/EBITDA de **9,7x** se situe dans une fourchette raisonnable, ce qui tempère légèrement le caractère onéreux de la valorisation en la rapportant à la capacité bénéficiaire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exceptionnelle avec une variation totale de **+37,65%** , bien que la dernière séance ait vu un léger repli de **-0,88%** à **16 250 FCFA**. Le titre a évolué dans une large fourchette, touchant un plus bas à **11 150 FCFA** avant d'atteindre un sommet à **16 500 FCFA**, illustrant une tendance haussière très marquée. L'analyse des statistiques descriptives révèle que la moyenne du cours (13 134 FCFA) est supérieure à la médiane (12 698 FCFA), ce qui, combiné à un skewness positif de **1.100**, confirme que la distribution des prix est asymétrique avec une queue de distribution étirée vers la droite, c'est-à-dire que le titre a passé plus de temps sous sa moyenne mais a connu des mouvements de hausse importants. L'écart-type de **1 417 FCFA** et un coefficient de variation de **10,8%** indiquent une dispersion modérée autour de la moyenne. Le kurtosis proche de zéro (0.020) suggère une distribution des rendements proche de la normale, sans risque extrême de "grosses queues". Enfin, la volatilité annualisée de **35,5%** est qualifiée d'élevée (&gt;30%), ce qui est cohérent avec la forte progression du titre et implique un risque de fluctuation significatif pour l'investisseur.</w:t>
      </w:r>
    </w:p>
    <w:p>
      <w:pPr>
        <w:spacing w:after="120" w:line="276" w:lineRule="auto"/>
      </w:pPr>
      <w:r>
        <w:t>---</w:t>
      </w:r>
    </w:p>
    <w:p>
      <w:pPr>
        <w:spacing w:after="120" w:line="276" w:lineRule="auto"/>
      </w:pPr>
      <w:r>
        <w:t>### **PARTIE 2 : ANALYSE TECHNIQUE DÉTAILLÉE**</w:t>
      </w:r>
    </w:p>
    <w:p>
      <w:pPr>
        <w:spacing w:after="120" w:line="276" w:lineRule="auto"/>
      </w:pPr>
      <w:r>
        <w:t>- **Moyennes Mobiles :** Le cours actuel de 16 250 FCFA se situe nettement au-dessus de la MM20 (15 546,75 FCFA) et de la MM50 (13 814,7 FCFA). Cette configuration, où les moyennes à court terme sont au-dessus des moyennes à long terme, est typique d'une tendance haussière bien établie. La décision "Achat" est justifiée par cette dynamique positive.</w:t>
      </w:r>
    </w:p>
    <w:p>
      <w:pPr>
        <w:spacing w:after="120" w:line="276" w:lineRule="auto"/>
      </w:pPr>
      <w:r>
        <w:t>- **Bandes de Bollinger :** Le cours se trouve à l'intérieur des bandes, proche de la borne supérieure (16 976,98 FCFA) mais sans la toucher. La décision "Neutre" est cohérente : le titre n'est pas en situation de surachat extrême sur cet indicateur, mais la proximité de la borne supérieure suggère une possible résistance à court terme et une volatilité qui pourrait se resserrer.</w:t>
      </w:r>
    </w:p>
    <w:p>
      <w:pPr>
        <w:spacing w:after="120" w:line="276" w:lineRule="auto"/>
      </w:pPr>
      <w:r>
        <w:t>- **MACD :** Le MACD (732,50) est positionné au-dessus de sa ligne de signal (730,12), ce qui est un signal haussier classique. La décision "Achat" est validée par ce croisement positif qui indique un momentum haussier toujours en vigueur, bien que l'écart entre les deux lignes soit faible, suggérant une possible perte de vitesse.</w:t>
      </w:r>
    </w:p>
    <w:p>
      <w:pPr>
        <w:spacing w:after="120" w:line="276" w:lineRule="auto"/>
      </w:pPr>
      <w:r>
        <w:t>- **RSI :** Avec une valeur de **73,28**, le RSI franchit le seuil des 70, entrant en zone de surachat. La décision "Vente" est un signal de prudence technique. Cela indique que le titre a fortement monté récemment et qu'un repli technique ou une consolidation est statistiquement probable à court terme.</w:t>
      </w:r>
    </w:p>
    <w:p>
      <w:pPr>
        <w:spacing w:after="120" w:line="276" w:lineRule="auto"/>
      </w:pPr>
      <w:r>
        <w:t>- **Stochastique :** Le %K (85,63) et le %D (92,24) sont tous deux en zone de surachat très élevée (&gt;80). De plus, le %K est inférieur au %D, ce qui constitue un croisement baissier. La décision "Vente" est ici très claire, renforçant le signal de prudence du RSI et indiquant une probabilité accrue de correction.</w:t>
      </w:r>
    </w:p>
    <w:p>
      <w:pPr>
        <w:spacing w:after="120" w:line="276" w:lineRule="auto"/>
      </w:pPr>
      <w:r>
        <w:t>**Conclusion technique :** L'analyse technique est actuellement contradictoire. Les indicateurs de tendance (Moyennes Mobiles, MACD) sont résolument haussiers et soutiennent la dynamique positive. En revanche, les oscillateurs de momentum (RSI, Stochastique) sont en zone de surachat prononcé et envoient des signaux de vente. Cette divergence suggère que la tendance haussière de fond est intacte, mais qu'un essoufflement à court terme est très probable, avec un risque de consolidation ou de correction technique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financières structurées, NTLC a réalisé un chiffre d'affaires de **233,26 milliards FCFA** pour un résultat net de **18,43 milliards FCFA**. La rentabilité des fonds propres (ROE) est exceptionnelle à **62,28%** , tandis que le ROA (rentabilité des actifs) est solide à **9,70%** . En tant qu'entreprise industrielle, on note un délai de paiement client de **74 jours**, un niveau élevé qui représente un risque de trésorerie, et un BFR de **22,6 milliards FCFA**, ce qui est défavorable car il indique un besoin de financement du cycle d'exploitation. L'endettement est significatif avec un ratio d'endettement de **135,85%** et une autonomie financière faible à **15,58%** . En complément, le rapport annuel 2025 (analysé par DeepSeek) confirme une croissance du CA de +5,97% mais une marge nette en léger recul à 7,9%, et surtout une réduction drastique du dividende proposé (divisé par deux), signalant une stratégie de réinvestissement. Les rapports trimestriels 2025 montrent une année contrastée : un T1 2025 en baisse de CA mais avec une rentabilité en hausse, un S1 2025 avec un CA stable mais un résultat net en baisse de -23,5% à cause de l'inflation des matières premières, et un T3 2025 avec un CA en légère hausse mais un résultat net en baisse de -21,3%. Cependant, le rapport du T1 2026 (analysé par DeepSeek) marque un rebond spectaculaire avec un CA en hausse de **+31%** et un résultat net en hausse de **+37%** à **7,5 milliards FCFA**, avec une marge nette qui s'améliore à **10,6%** . Sur la base de cette performance exceptionnelle du T1 2026, on peut estimer que l'exercice 2026 pourrait voir un chiffre d'affaires annuel dépasser les 280 milliards FCFA et un résultat net potentiellement supérieur à 25 milliards FCFA, si la tendance se maintient. Les fondamentaux montrent donc une entreprise très rentable mais endettée, ayant traversé une année 2025 difficile avant de renouer avec une croissance forte et une amélioration de sa rentabilité en 2026.</w:t>
      </w:r>
    </w:p>
    <w:p>
      <w:pPr>
        <w:spacing w:after="120" w:line="276" w:lineRule="auto"/>
      </w:pPr>
      <w:r>
        <w:t>---</w:t>
      </w:r>
    </w:p>
    <w:p>
      <w:pPr>
        <w:spacing w:after="120" w:line="276" w:lineRule="auto"/>
      </w:pPr>
      <w:r>
        <w:t>### **PARTIE 4 : CONCLUSION D'INVESTISSEMENT**</w:t>
      </w:r>
    </w:p>
    <w:p>
      <w:pPr>
        <w:spacing w:after="120" w:line="276" w:lineRule="auto"/>
      </w:pPr>
      <w:r>
        <w:t>En synthèse, la valorisation de NTLC est exigeante (PER et P/B élevés), mais elle se justifie par la qualité de la marque et la rentabilité exceptionnelle. Le comportement du cours sur 100 jours est très haussier, mais la volatilité est élevée et les statistiques montrent une asymétrie positive. Les signaux techniques sont mitigés : la tendance est forte, mais les oscillateurs crient "surachat", suggérant un risque de correction à court terme. Les fondamentaux, quant à eux, sont solides avec un rebond remarquable au T1 2026 qui surpasse les difficultés de 2025, laissant entrevoir une année 2026 prometteuse. Enfin, les prédictions IA pour les 10 prochains jours prévoient un léger repli du cours, passant de 16 140 à 15 975 FCFA, ce qui entre en résonance avec les signaux techniques de surachat. La convergence entre les signaux techniques de court terme (surachat) et les prédictions IA (repli) suggère une pause dans la dynamique haussière. Cependant, la divergence avec les fondamentaux solides et la tendance de long terme (haussière) indique que ce repli pourrait être une opportunité d'achat.</w:t>
      </w:r>
    </w:p>
    <w:p>
      <w:pPr>
        <w:spacing w:after="120" w:line="276" w:lineRule="auto"/>
      </w:pPr>
      <w:r>
        <w:t>**Recommandation finale : CONSERVER** (avec une préférence pour l'achat en cas de repli)</w:t>
        <w:br/>
        <w:t>- **Justification :** La tendance haussière de fond et les excellents fondamentaux (T1 2026) militent pour une conservation. Cependant, les signaux de surachat technique et les prédictions d'un repli à court terme déconseillent un achat au prix actuel.</w:t>
        <w:br/>
        <w:t>- **Niveau de confiance :** Moyen</w:t>
        <w:br/>
        <w:t>- **Niveau de risque global :** Moyen (volatilité élevée, endettement, mais marque solide)</w:t>
        <w:br/>
        <w:t>- **Horizon d'investissement optimal :** Moyen terme (3-12 mois) pour profiter de la croissance 2026, avec une stratégie d'achat sur les faiblesses potentielles.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5,286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+3.70%</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3.43% (Faible) — μ=2,830 FCFA, σ=97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β=-0.0107 (Contre-cyclique) — Cov=-0.000000, Var(idx)=0.000042, ρ=-0.003,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2,691</w:t>
            </w:r>
          </w:p>
        </w:tc>
        <w:tc>
          <w:tcPr>
            <w:tcW w:type="dxa" w:w="1440"/>
            <w:shd w:fill="FAFAFA" w:val="clear"/>
          </w:tcPr>
          <w:p>
            <w:r>
              <w:rPr>
                <w:b/>
                <w:sz w:val="17"/>
              </w:rPr>
              <w:t>2,789</w:t>
            </w:r>
          </w:p>
        </w:tc>
        <w:tc>
          <w:tcPr>
            <w:tcW w:type="dxa" w:w="1440"/>
            <w:shd w:fill="FAFAFA" w:val="clear"/>
          </w:tcPr>
          <w:p>
            <w:r>
              <w:rPr>
                <w:sz w:val="17"/>
              </w:rPr>
              <w:t>2,887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2,647</w:t>
            </w:r>
          </w:p>
        </w:tc>
        <w:tc>
          <w:tcPr>
            <w:tcW w:type="dxa" w:w="1440"/>
            <w:shd w:fill="FAFAFA" w:val="clear"/>
          </w:tcPr>
          <w:p>
            <w:r>
              <w:rPr>
                <w:b/>
                <w:sz w:val="17"/>
              </w:rPr>
              <w:t>2,785</w:t>
            </w:r>
          </w:p>
        </w:tc>
        <w:tc>
          <w:tcPr>
            <w:tcW w:type="dxa" w:w="1440"/>
            <w:shd w:fill="FAFAFA" w:val="clear"/>
          </w:tcPr>
          <w:p>
            <w:r>
              <w:rPr>
                <w:sz w:val="17"/>
              </w:rPr>
              <w:t>2,923</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2,612</w:t>
            </w:r>
          </w:p>
        </w:tc>
        <w:tc>
          <w:tcPr>
            <w:tcW w:type="dxa" w:w="1440"/>
            <w:shd w:fill="FAFAFA" w:val="clear"/>
          </w:tcPr>
          <w:p>
            <w:r>
              <w:rPr>
                <w:b/>
                <w:sz w:val="17"/>
              </w:rPr>
              <w:t>2,780</w:t>
            </w:r>
          </w:p>
        </w:tc>
        <w:tc>
          <w:tcPr>
            <w:tcW w:type="dxa" w:w="1440"/>
            <w:shd w:fill="FAFAFA" w:val="clear"/>
          </w:tcPr>
          <w:p>
            <w:r>
              <w:rPr>
                <w:sz w:val="17"/>
              </w:rPr>
              <w:t>2,949</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2,581</w:t>
            </w:r>
          </w:p>
        </w:tc>
        <w:tc>
          <w:tcPr>
            <w:tcW w:type="dxa" w:w="1440"/>
            <w:shd w:fill="FAFAFA" w:val="clear"/>
          </w:tcPr>
          <w:p>
            <w:r>
              <w:rPr>
                <w:b/>
                <w:sz w:val="17"/>
              </w:rPr>
              <w:t>2,776</w:t>
            </w:r>
          </w:p>
        </w:tc>
        <w:tc>
          <w:tcPr>
            <w:tcW w:type="dxa" w:w="1440"/>
            <w:shd w:fill="FAFAFA" w:val="clear"/>
          </w:tcPr>
          <w:p>
            <w:r>
              <w:rPr>
                <w:sz w:val="17"/>
              </w:rPr>
              <w:t>2,971</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2,554</w:t>
            </w:r>
          </w:p>
        </w:tc>
        <w:tc>
          <w:tcPr>
            <w:tcW w:type="dxa" w:w="1440"/>
            <w:shd w:fill="FAFAFA" w:val="clear"/>
          </w:tcPr>
          <w:p>
            <w:r>
              <w:rPr>
                <w:b/>
                <w:sz w:val="17"/>
              </w:rPr>
              <w:t>2,771</w:t>
            </w:r>
          </w:p>
        </w:tc>
        <w:tc>
          <w:tcPr>
            <w:tcW w:type="dxa" w:w="1440"/>
            <w:shd w:fill="FAFAFA" w:val="clear"/>
          </w:tcPr>
          <w:p>
            <w:r>
              <w:rPr>
                <w:sz w:val="17"/>
              </w:rPr>
              <w:t>2,989</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2,529</w:t>
            </w:r>
          </w:p>
        </w:tc>
        <w:tc>
          <w:tcPr>
            <w:tcW w:type="dxa" w:w="1440"/>
            <w:shd w:fill="FAFAFA" w:val="clear"/>
          </w:tcPr>
          <w:p>
            <w:r>
              <w:rPr>
                <w:b/>
                <w:sz w:val="17"/>
              </w:rPr>
              <w:t>2,767</w:t>
            </w:r>
          </w:p>
        </w:tc>
        <w:tc>
          <w:tcPr>
            <w:tcW w:type="dxa" w:w="1440"/>
            <w:shd w:fill="FAFAFA" w:val="clear"/>
          </w:tcPr>
          <w:p>
            <w:r>
              <w:rPr>
                <w:sz w:val="17"/>
              </w:rPr>
              <w:t>3,004</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2026-07-21</w:t>
            </w:r>
          </w:p>
        </w:tc>
        <w:tc>
          <w:tcPr>
            <w:tcW w:type="dxa" w:w="1440"/>
            <w:shd w:fill="FAFAFA" w:val="clear"/>
          </w:tcPr>
          <w:p>
            <w:r>
              <w:rPr>
                <w:sz w:val="17"/>
              </w:rPr>
              <w:t>2,506</w:t>
            </w:r>
          </w:p>
        </w:tc>
        <w:tc>
          <w:tcPr>
            <w:tcW w:type="dxa" w:w="1440"/>
            <w:shd w:fill="FAFAFA" w:val="clear"/>
          </w:tcPr>
          <w:p>
            <w:r>
              <w:rPr>
                <w:b/>
                <w:sz w:val="17"/>
              </w:rPr>
              <w:t>2,762</w:t>
            </w:r>
          </w:p>
        </w:tc>
        <w:tc>
          <w:tcPr>
            <w:tcW w:type="dxa" w:w="1440"/>
            <w:shd w:fill="FAFAFA" w:val="clear"/>
          </w:tcPr>
          <w:p>
            <w:r>
              <w:rPr>
                <w:sz w:val="17"/>
              </w:rPr>
              <w:t>3,019</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2026-07-22</w:t>
            </w:r>
          </w:p>
        </w:tc>
        <w:tc>
          <w:tcPr>
            <w:tcW w:type="dxa" w:w="1440"/>
            <w:shd w:fill="FAFAFA" w:val="clear"/>
          </w:tcPr>
          <w:p>
            <w:r>
              <w:rPr>
                <w:sz w:val="17"/>
              </w:rPr>
              <w:t>2,484</w:t>
            </w:r>
          </w:p>
        </w:tc>
        <w:tc>
          <w:tcPr>
            <w:tcW w:type="dxa" w:w="1440"/>
            <w:shd w:fill="FAFAFA" w:val="clear"/>
          </w:tcPr>
          <w:p>
            <w:r>
              <w:rPr>
                <w:b/>
                <w:sz w:val="17"/>
              </w:rPr>
              <w:t>2,758</w:t>
            </w:r>
          </w:p>
        </w:tc>
        <w:tc>
          <w:tcPr>
            <w:tcW w:type="dxa" w:w="1440"/>
            <w:shd w:fill="FAFAFA" w:val="clear"/>
          </w:tcPr>
          <w:p>
            <w:r>
              <w:rPr>
                <w:sz w:val="17"/>
              </w:rPr>
              <w:t>3,031</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2026-07-23</w:t>
            </w:r>
          </w:p>
        </w:tc>
        <w:tc>
          <w:tcPr>
            <w:tcW w:type="dxa" w:w="1440"/>
            <w:shd w:fill="FAFAFA" w:val="clear"/>
          </w:tcPr>
          <w:p>
            <w:r>
              <w:rPr>
                <w:sz w:val="17"/>
              </w:rPr>
              <w:t>2,464</w:t>
            </w:r>
          </w:p>
        </w:tc>
        <w:tc>
          <w:tcPr>
            <w:tcW w:type="dxa" w:w="1440"/>
            <w:shd w:fill="FAFAFA" w:val="clear"/>
          </w:tcPr>
          <w:p>
            <w:r>
              <w:rPr>
                <w:b/>
                <w:sz w:val="17"/>
              </w:rPr>
              <w:t>2,754</w:t>
            </w:r>
          </w:p>
        </w:tc>
        <w:tc>
          <w:tcPr>
            <w:tcW w:type="dxa" w:w="1440"/>
            <w:shd w:fill="FAFAFA" w:val="clear"/>
          </w:tcPr>
          <w:p>
            <w:r>
              <w:rPr>
                <w:sz w:val="17"/>
              </w:rPr>
              <w:t>3,043</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2026-07-24</w:t>
            </w:r>
          </w:p>
        </w:tc>
        <w:tc>
          <w:tcPr>
            <w:tcW w:type="dxa" w:w="1440"/>
            <w:shd w:fill="FAFAFA" w:val="clear"/>
          </w:tcPr>
          <w:p>
            <w:r>
              <w:rPr>
                <w:sz w:val="17"/>
              </w:rPr>
              <w:t>2,444</w:t>
            </w:r>
          </w:p>
        </w:tc>
        <w:tc>
          <w:tcPr>
            <w:tcW w:type="dxa" w:w="1440"/>
            <w:shd w:fill="FAFAFA" w:val="clear"/>
          </w:tcPr>
          <w:p>
            <w:r>
              <w:rPr>
                <w:b/>
                <w:sz w:val="17"/>
              </w:rPr>
              <w:t>2,749</w:t>
            </w:r>
          </w:p>
        </w:tc>
        <w:tc>
          <w:tcPr>
            <w:tcW w:type="dxa" w:w="1440"/>
            <w:shd w:fill="FAFAFA" w:val="clear"/>
          </w:tcPr>
          <w:p>
            <w:r>
              <w:rPr>
                <w:sz w:val="17"/>
              </w:rPr>
              <w:t>3,054</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le rapport d'analyse structuré pour l'action ONTBF,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190,40 milliards FCFA, ONTBF se positionne comme une valeur de poids moyen sur le marché de la BRVM. Le Bénéfice Par Action (BPA) de 234 FCFA indique que chaque titre a généré un profit de 234 FCFA au titre de l'exercice 2025. Le PER de 12,0x se situe dans la fourchette haute de la moyenne du marché BRVM (8-12x), suggérant que les investisseurs sont prêts à payer une prime modeste pour les bénéfices de l'entreprise, ce qui reflète une certaine confiance dans sa stabilité. Le Price-to-Book (P/B) de 3,31x, dans la zone de 2-4x, confirme que le marché valorise l'entreprise à plus de trois fois sa valeur comptable, une prime de croissance accordée pour son actif réseau et sa position de marché. Enfin, l'EV/EBITDA de 5,1x, situé dans la fourchette basse de la zone de référence (5-10x), indique que la valeur totale de l'entreprise (dette incluse) est raisonnable par rapport à sa capacité à générer du cash-flow opérationnel, ce qui est un signal de valorisation attractive.</w:t>
      </w:r>
    </w:p>
    <w:p>
      <w:pPr>
        <w:spacing w:after="120" w:line="276" w:lineRule="auto"/>
      </w:pPr>
      <w:r>
        <w:t>### **PARTIE 1 : ANALYSE DU COURS — STATISTIQUES ET ÉVOLUTION (100 derniers jours)**</w:t>
      </w:r>
    </w:p>
    <w:p>
      <w:pPr>
        <w:spacing w:after="120" w:line="276" w:lineRule="auto"/>
      </w:pPr>
      <w:r>
        <w:t>Sur les 100 derniers jours, l'action ONTBF affiche une progression modeste de +3,70%, avec une dernière séance en légère hausse de +0,36% à 2 800 FCFA. Le titre a évolué dans une fourchette de trading de 485 FCFA, oscillant entre un plus bas de 2 610 FCFA et un plus haut de 3 095 FCFA, ce qui témoigne d'une volatilité contenue. L'analyse des statistiques descriptives révèle un comportement de cours très stable : la moyenne (2 830 FCFA) et la médiane (2 805 FCFA) sont très proches, indiquant une distribution quasi symétrique des prix. L'écart-type de seulement 98 FCFA, associé à un coefficient de variation (CV) de 3,4%, confirme une dispersion très faible du cours autour de sa moyenne. Le kurtosis (excès) de -0,171, qualifié de mésokurtique, suggère une distribution normale sans risque de mouvements extrêmes ou de "pics" soudains. Le skewness de 0,334 indique une légère asymétrie positive, signifiant que les jours de hausse ont été un peu plus fréquents ou plus amples que les jours de baisse. Avec une volatilité annualisée de 34,9%, le titre est classé comme très volatil, ce qui est un point de vigilance pour un investisseur de long terme.</w:t>
      </w:r>
    </w:p>
    <w:p>
      <w:pPr>
        <w:spacing w:after="120" w:line="276" w:lineRule="auto"/>
      </w:pPr>
      <w:r>
        <w:t>### **PARTIE 2 : ANALYSE TECHNIQUE DÉTAILLÉE**</w:t>
      </w:r>
    </w:p>
    <w:p>
      <w:pPr>
        <w:spacing w:after="120" w:line="276" w:lineRule="auto"/>
      </w:pPr>
      <w:r>
        <w:t>*   **Moyennes Mobiles**: Le cours actuel de 2 800 FCFA se situe en dessous de la MM20 (2 801,5) et de la MM50 (2 821,1). Cette configuration, où le prix est inférieur aux deux moyennes clés, est un signal baissier classique. La décision de "Vente" est donc justifiée, indiquant une tendance de fond négative à court et moyen terme.</w:t>
      </w:r>
    </w:p>
    <w:p>
      <w:pPr>
        <w:spacing w:after="120" w:line="276" w:lineRule="auto"/>
      </w:pPr>
      <w:r>
        <w:t>*   **Bandes de Bollinger**: Le cours à 2 800 FCFA est positionné exactement au milieu des bandes, entre la borne inférieure (2 736,9) et la borne supérieure (2 866,1). Cette position centrale, loin des extrêmes, indique une absence de pression directionnelle forte. La décision "Neutre" est cohérente, suggérant une phase de consolidation ou d'indécision sur le marché.</w:t>
      </w:r>
    </w:p>
    <w:p>
      <w:pPr>
        <w:spacing w:after="120" w:line="276" w:lineRule="auto"/>
      </w:pPr>
      <w:r>
        <w:t>*   **MACD**: La ligne MACD (-8,581) est passée en dessous de sa ligne de signal (-8,444), formant un croisement baissier. Cette divergence négative indique un affaiblissement du momentum haussier et une possible accélération de la tendance baissière. La décision de "Vente" est donc en phase avec ce signal de retournement.</w:t>
      </w:r>
    </w:p>
    <w:p>
      <w:pPr>
        <w:spacing w:after="120" w:line="276" w:lineRule="auto"/>
      </w:pPr>
      <w:r>
        <w:t>*   **RSI**: Avec une valeur de 50,0, le RSI se trouve exactement sur la ligne médiane de la zone neutre (30-70). Cela traduit un équilibre parfait entre les forces acheteuses et vendeuses, sans aucune indication de surachat ou de survente. La décision "Neutre" est parfaitement justifiée.</w:t>
      </w:r>
    </w:p>
    <w:p>
      <w:pPr>
        <w:spacing w:after="120" w:line="276" w:lineRule="auto"/>
      </w:pPr>
      <w:r>
        <w:t>*   **Stochastique**: Le %K à 18,182 est bien en dessous du %D à 27,9, et tous deux sont en zone de survente (&lt;20). Ce croisement baissier en territoire de survente est un signal technique puissant. Il suggère que le titre est temporairement survendu et qu'un rebond technique est probable à très court terme, d'où la décision "Achat".</w:t>
      </w:r>
    </w:p>
    <w:p>
      <w:pPr>
        <w:spacing w:after="120" w:line="276" w:lineRule="auto"/>
      </w:pPr>
      <w:r>
        <w:t>**Conclusion technique** : Le tableau technique est contrasté. Les indicateurs de tendance (Moyennes Mobiles, MACD) sont baissiers, signalant une pression vendeuse sous-jacente. En revanche, les oscillateurs de momentum (RSI neutre, Stochastique en survente) suggèrent un potentiel de rebond imminent. Cette divergence entre la tendance baissière et les signaux de retournement crée une zone d'incertitude, où un rebond technique est possible mais pourrait être limité par la tendance de fond.</w:t>
      </w:r>
    </w:p>
    <w:p>
      <w:pPr>
        <w:spacing w:after="120" w:line="276" w:lineRule="auto"/>
      </w:pPr>
      <w:r>
        <w:t>### **PARTIE 3 : ANALYSE FONDAMENTALE (SECTION CRITIQUE)**</w:t>
      </w:r>
    </w:p>
    <w:p>
      <w:pPr>
        <w:spacing w:after="120" w:line="276" w:lineRule="auto"/>
      </w:pPr>
      <w:r>
        <w:t>L'analyse des données financières structurées de 2025 révèle une situation contrastée pour ONTBF, classée comme une entreprise de télécommunications. Le chiffre d'affaires (PNB) s'établit à 146,177 milliards FCFA, en croissance de +3,06% par rapport à 2024. Cependant, le résultat net a chuté de 26% à 15,887 milliards FCFA, entraînant une baisse de la marge nette à 10,87%. La rentabilité des capitaux propres (ROE) reste excellente à 27,61%, bien que le ROA soit plus modeste à 4,89%. Le rapport annuel 2025 (daté du 31/12/2025) confirme cette tendance : la croissance du CA est tirée par le FTTH (+33% de clients) et le Mobile Money (+14%), mais la rentabilité est laminée par une hausse des charges opérationnelles (énergie, maintenance sécuritaire) et une sanction de l'ARCEP de 1,543 milliard FCFA. Les rapports trimestriels de 2025 confirment cette érosion continue : le résultat net du T1 2025 était en baisse de -29%, celui du S1 de -17,8% et celui des 9 mois de -17,2%. Sur la base du rapport T1 2026 (daté du 31/03/2026), qui montre un chiffre d'affaires en hausse de 2,7% mais un résultat net en baisse, on estime que la pression sur les marges persiste. La politique de dividende, avec un coupon proposé de 166,08 FCFA pour 2025 (taux de distribution de 70%), semble généreuse mais potentiellement non soutenable face à la baisse des bénéfices. Le déséquilibre du bilan est un point de vigilance majeur : les capitaux permanents (127,2 Mds) ne couvrent que 60,4% de l'actif immobilisé (210,7 Mds), créant un besoin de financement structurel.</w:t>
      </w:r>
    </w:p>
    <w:p>
      <w:pPr>
        <w:spacing w:after="120" w:line="276" w:lineRule="auto"/>
      </w:pPr>
      <w:r>
        <w:t>### **PARTIE 4 : CONCLUSION D'INVESTISSEMENT**</w:t>
      </w:r>
    </w:p>
    <w:p>
      <w:pPr>
        <w:spacing w:after="120" w:line="276" w:lineRule="auto"/>
      </w:pPr>
      <w:r>
        <w:t>En synthèse, l'action ONTBF présente un profil d'investissement complexe. La **valorisation (Partie 0)** est globalement raisonnable, avec un PER et un EV/EBITDA dans des zones acceptables, bien que le P/B soit élevé. Le **comportement du cours (Partie 1)** est très stable statistiquement, mais la volatilité annualisée élevée est un signal de risque. Les **signaux techniques (Partie 2)** sont mitigés, avec une tendance baissière mais des indicateurs de retournement (Stochastique) qui pourraient amorcer un rebond. Les **fondamentaux (Partie 3)** sont les plus préoccupants : malgré une croissance du chiffre d'affaires, la rentabilité se dégrade fortement sous l'effet de coûts opérationnels incontrôlés, et la structure financière est déséquilibrée. Les **prédictions IA (J+1 à J+10)** anticipent une poursuite de la baisse progressive du cours, de 2 789 à 2 771 FCFA, ce qui contredit les signaux de rebond technique mais confirme la faiblesse sous-jacente.</w:t>
      </w:r>
    </w:p>
    <w:p>
      <w:pPr>
        <w:spacing w:after="120" w:line="276" w:lineRule="auto"/>
      </w:pPr>
      <w:r>
        <w:t>Sur la base de cette synthèse, la convergence entre la dégradation des fondamentaux, la tendance technique baissière et les prédictions IA l'emporte sur les signaux de rebond technique isolés. Par conséquent, notre recommandation finale est **VENTE**. Le niveau de confiance est **Moyen**, car un rebond technique est toujours possible à court terme. Le niveau de risque global est **Élevé**, principalement en raison de la détérioration de la rentabilité et du contexte sécuritaire au Burkina Faso. L'horizon d'investissement optimal est le **court terme (&lt;3 mois)** pour profiter d'un éventuel rebond technique avant de se positionner à la vente, mais une position longue n'est pas recommandée.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financiers, la soci\u00e9t\u00e9 maintient une marge EBITDA solide et poursuit sa croissance client. La diversification vers l'Internet et Mobile Money offre des perspectives de compensation face aux d\u00e9fis s\u00e9curitaires."}</w:t>
      </w:r>
    </w:p>
    <w:p>
      <w:pPr>
        <w:spacing w:before="40"/>
        <w:ind w:left="400"/>
      </w:pPr>
      <w:r>
        <w:rPr>
          <w:sz w:val="18"/>
        </w:rPr>
        <w:t>ONATEL-SA, opérateur global de télécommunications au Burkina Faso, présente des résultats mitigés au premier trimestre 2023 avec une base clients en croissance de 3% à 11,1 millions. Le chiffre d'affaires IFRS chute de 9,7% à 34,6 milliards FCFA contre 38,4 milliards en T1 2022, impacté par les conséquences sécuritaires et le recul de l'activité voix. Le résultat net IFRS s'établit à 4,7 milliards FCFA, en baisse de 34,5% par rapport aux 7,2 milliards de T1 2022. La marge EBITDA reste satisfaisante à 46,9% malgré la dégradation de 51,3% observée l'année précédente. Les revenus Mobile Money et Internet affichent une bonne performance qui compense partiellement la baisse des autres activités.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'16,2 milliards FCFA', 'parc_mobile': '10,99 millions', 'marge_ebitda': '46,9%', 'parc_internet': '6,61 millions', 'parc_clients_total': '11,1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milliards FCFA (IFRS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34,6 milliards FCFA (IFRS T1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parc clients de 3% à 11,1 millions malgré le contexte sécuritaire</w:t>
      </w:r>
    </w:p>
    <w:p>
      <w:pPr>
        <w:pStyle w:val="ListBullet"/>
        <w:spacing w:before="20" w:after="20"/>
        <w:ind w:left="700"/>
      </w:pPr>
      <w:r>
        <w:rPr>
          <w:sz w:val="18"/>
        </w:rPr>
        <w:t>Chiffre d'affaires IFRS en recul de 9,7% à 34,6 milliards FCFA au T1 2023</w:t>
      </w:r>
    </w:p>
    <w:p>
      <w:pPr>
        <w:pStyle w:val="ListBullet"/>
        <w:spacing w:before="20" w:after="20"/>
        <w:ind w:left="700"/>
      </w:pPr>
      <w:r>
        <w:rPr>
          <w:sz w:val="18"/>
        </w:rPr>
        <w:t>Résultat net IFRS en forte baisse de 34,5% à 4,7 milliards FCFA</w:t>
      </w:r>
    </w:p>
    <w:p>
      <w:pPr>
        <w:pStyle w:val="ListBullet"/>
        <w:spacing w:before="20" w:after="20"/>
        <w:ind w:left="700"/>
      </w:pPr>
      <w:r>
        <w:rPr>
          <w:sz w:val="18"/>
        </w:rPr>
        <w:t>Parc Internet en forte progression de 11,9% avec 6,6 millions d'abonnés</w:t>
      </w:r>
    </w:p>
    <w:p>
      <w:pPr>
        <w:pStyle w:val="ListBullet"/>
        <w:spacing w:before="20" w:after="20"/>
        <w:ind w:left="700"/>
      </w:pPr>
      <w:r>
        <w:rPr>
          <w:sz w:val="18"/>
        </w:rPr>
        <w:t>Marge EBITDA maintenue à un niveau satisfaisant de 46,9%</w:t>
      </w:r>
    </w:p>
    <w:p>
      <w:pPr>
        <w:pStyle w:val="ListBullet"/>
        <w:spacing w:before="20" w:after="20"/>
        <w:ind w:left="700"/>
      </w:pPr>
      <w:r>
        <w:rPr>
          <w:sz w:val="18"/>
        </w:rPr>
        <w:t>Impact négatif des conséquences sécuritaires sur les installations et revenus</w:t>
      </w:r>
    </w:p>
    <w:p>
      <w:pPr>
        <w:spacing w:before="40"/>
        <w:ind w:left="400"/>
      </w:pPr>
      <w:r>
        <w:rPr>
          <w:b/>
          <w:color w:val="C05000"/>
          <w:sz w:val="18"/>
        </w:rPr>
        <w:t xml:space="preserve">⚠️ Risques : </w:t>
      </w:r>
      <w:r>
        <w:rPr>
          <w:sz w:val="18"/>
        </w:rPr>
        <w:t>["D\u00e9gradation continue de la situation s\u00e9curitaire au Burkina Faso impactant les infrastructures", "Recul structurel des revenus voix traditionnels face \u00e0 l'usage des OTT", "Instabilit\u00e9 des revenus internationaux dans un contexte g\u00e9opolitique tendu"]</w:t>
      </w:r>
    </w:p>
    <w:p>
      <w:pPr>
        <w:spacing w:before="40"/>
        <w:ind w:left="400"/>
      </w:pPr>
      <w:r>
        <w:rPr>
          <w:b/>
          <w:color w:val="0064A0"/>
          <w:sz w:val="18"/>
        </w:rPr>
        <w:t xml:space="preserve">🔮 Perspectives : </w:t>
      </w:r>
      <w:r>
        <w:rPr>
          <w:sz w:val="18"/>
        </w:rPr>
        <w:t>La société mise sur le développement de l'Internet haut débit et des services Mobile Money pour compenser la baisse des revenus traditionnels. Les investissements structurels et l'amélioration de la qualité de service devraient soutenir la rétention et l'acquisition de clients malgré les défis sécur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rentabilit\u00e9 correcte avec une marge EBITDA de 48,4% et continue d'investir malgr\u00e9 les difficult\u00e9s s\u00e9curitaires. Le maintien du dividende et la croissance du parc clients t\u00e9moignent de la r\u00e9silience du mod\u00e8le."}</w:t>
      </w:r>
    </w:p>
    <w:p>
      <w:pPr>
        <w:spacing w:before="40"/>
        <w:ind w:left="400"/>
      </w:pPr>
      <w:r>
        <w:rPr>
          <w:sz w:val="18"/>
        </w:rPr>
        <w:t>ONATEL-SA, opérateur de télécommunications au Burkina Faso, a enregistré des résultats 2022 impactés par la dégradation du contexte sécuritaire avec de nombreux sites vandalisés. Malgré ce contexte difficile, la société a maintenu une croissance de son parc clients mobile (+5,7%) et internet (+14,1%), portant son parc Moov Africa à 11,1 millions d'abonnés. Le chiffre d'affaires IFRS a reculé de 6% à 147,3 Mds FCFA, tandis que le résultat net a chuté de 31,1% à 23,4 Mds FCFA. La rentabilité reste satisfaisante avec une marge EBITDA de 48,4%, témoignant de la résilience opérationnelle. Un dividende de 329 FCFA par action sera proposé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'71,3 Mds FCFA', 'parc_mobile': '11 047 958 clients', 'marge_ebitda': '48,4%', 'parc_internet': '6 481 709 clients', 'parc_moov_africa': '11 139 669 clients'}</w:t>
            </w:r>
          </w:p>
        </w:tc>
        <w:tc>
          <w:tcPr>
            <w:tcW w:type="dxa" w:w="2160"/>
          </w:tcPr>
          <w:p>
            <w:pPr>
              <w:ind w:left="100"/>
            </w:pPr>
            <w:r/>
            <w:r>
              <w:rPr>
                <w:b/>
                <w:sz w:val="16"/>
              </w:rPr>
              <w:t>dividende</w:t>
              <w:br/>
            </w:r>
            <w:r>
              <w:rPr>
                <w:sz w:val="18"/>
              </w:rPr>
              <w:t>329 FCFA par action</w:t>
            </w:r>
          </w:p>
        </w:tc>
        <w:tc>
          <w:tcPr>
            <w:tcW w:type="dxa" w:w="2160"/>
          </w:tcPr>
          <w:p>
            <w:pPr>
              <w:ind w:left="100"/>
            </w:pPr>
            <w:r/>
            <w:r>
              <w:rPr>
                <w:b/>
                <w:sz w:val="16"/>
              </w:rPr>
              <w:t>marge_nette</w:t>
              <w:br/>
            </w:r>
            <w:r>
              <w:rPr>
                <w:sz w:val="18"/>
              </w:rPr>
              <w:t>15,9%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23,4 Mds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147,3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Contexte sécuritaire difficile avec vandalisme massif des sites télécoms depuis janvier 2022</w:t>
      </w:r>
    </w:p>
    <w:p>
      <w:pPr>
        <w:pStyle w:val="ListBullet"/>
        <w:spacing w:before="20" w:after="20"/>
        <w:ind w:left="700"/>
      </w:pPr>
      <w:r>
        <w:rPr>
          <w:sz w:val="18"/>
        </w:rPr>
        <w:t>Croissance du parc clients mobile de 5,7% et internet de 14,1% malgré les difficultés</w:t>
      </w:r>
    </w:p>
    <w:p>
      <w:pPr>
        <w:pStyle w:val="ListBullet"/>
        <w:spacing w:before="20" w:after="20"/>
        <w:ind w:left="700"/>
      </w:pPr>
      <w:r>
        <w:rPr>
          <w:sz w:val="18"/>
        </w:rPr>
        <w:t>Chiffre d'affaires IFRS en baisse de 6% à 147,3 Mds FCFA</w:t>
      </w:r>
    </w:p>
    <w:p>
      <w:pPr>
        <w:pStyle w:val="ListBullet"/>
        <w:spacing w:before="20" w:after="20"/>
        <w:ind w:left="700"/>
      </w:pPr>
      <w:r>
        <w:rPr>
          <w:sz w:val="18"/>
        </w:rPr>
        <w:t>Résultat net en forte baisse de 31,1% à 23,4 Mds FCFA</w:t>
      </w:r>
    </w:p>
    <w:p>
      <w:pPr>
        <w:pStyle w:val="ListBullet"/>
        <w:spacing w:before="20" w:after="20"/>
        <w:ind w:left="700"/>
      </w:pPr>
      <w:r>
        <w:rPr>
          <w:sz w:val="18"/>
        </w:rPr>
        <w:t>Marge EBITDA maintenue à un niveau satisfaisant de 48,4%</w:t>
      </w:r>
    </w:p>
    <w:p>
      <w:pPr>
        <w:pStyle w:val="ListBullet"/>
        <w:spacing w:before="20" w:after="20"/>
        <w:ind w:left="700"/>
      </w:pPr>
      <w:r>
        <w:rPr>
          <w:sz w:val="18"/>
        </w:rPr>
        <w:t>Investissements et extension du réseau pour améliorer la qualité de service</w:t>
      </w:r>
    </w:p>
    <w:p>
      <w:pPr>
        <w:spacing w:before="40"/>
        <w:ind w:left="400"/>
      </w:pPr>
      <w:r>
        <w:rPr>
          <w:b/>
          <w:color w:val="C05000"/>
          <w:sz w:val="18"/>
        </w:rPr>
        <w:t xml:space="preserve">⚠️ Risques : </w:t>
      </w:r>
      <w:r>
        <w:rPr>
          <w:sz w:val="18"/>
        </w:rPr>
        <w:t>["D\u00e9gradation continue du contexte s\u00e9curitaire impactant les infrastructures", "Vandalisme r\u00e9current des sites t\u00e9l\u00e9coms affectant la qualit\u00e9 de service", "Pression sur les marges due aux co\u00fbts op\u00e9rationnels et d'investissement \u00e9lev\u00e9s"]</w:t>
      </w:r>
    </w:p>
    <w:p>
      <w:pPr>
        <w:spacing w:before="40"/>
        <w:ind w:left="400"/>
      </w:pPr>
      <w:r>
        <w:rPr>
          <w:b/>
          <w:color w:val="0064A0"/>
          <w:sz w:val="18"/>
        </w:rPr>
        <w:t xml:space="preserve">🔮 Perspectives : </w:t>
      </w:r>
      <w:r>
        <w:rPr>
          <w:sz w:val="18"/>
        </w:rPr>
        <w:t>Les perspectives dépendront largement de l'évolution du contexte sécuritaire au Burkina Faso. La société devra poursuivre ses investissements pour maintenir la qualité de service tout en gérant l'impact des vandalismes sur ses infrastructures.</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2485.06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2,429 titres</w:t>
            </w:r>
          </w:p>
        </w:tc>
        <w:tc>
          <w:tcPr>
            <w:tcW w:type="dxa" w:w="2268"/>
            <w:shd w:fill="FFF2CC" w:val="clear"/>
          </w:tcPr>
          <w:p>
            <w:r>
              <w:rPr>
                <w:b/>
                <w:color w:val="503200"/>
                <w:sz w:val="16"/>
              </w:rPr>
              <w:t xml:space="preserve">Cours actuel : </w:t>
            </w:r>
            <w:r>
              <w:rPr>
                <w:color w:val="000000"/>
                <w:sz w:val="17"/>
              </w:rPr>
              <w:t>16,495 FCFA</w:t>
            </w:r>
          </w:p>
          <w:p>
            <w:r>
              <w:rPr>
                <w:b/>
                <w:color w:val="503200"/>
                <w:sz w:val="16"/>
              </w:rPr>
              <w:t xml:space="preserve">Var. 100 jours : </w:t>
            </w:r>
            <w:r>
              <w:rPr>
                <w:b/>
                <w:color w:val="007800"/>
                <w:sz w:val="17"/>
              </w:rPr>
              <w:t>+8.52%</w:t>
            </w:r>
          </w:p>
          <w:p>
            <w:r>
              <w:rPr>
                <w:b/>
                <w:color w:val="503200"/>
                <w:sz w:val="16"/>
              </w:rPr>
              <w:t xml:space="preserve">Plus haut 100j : </w:t>
            </w:r>
            <w:r>
              <w:rPr>
                <w:color w:val="000000"/>
                <w:sz w:val="17"/>
              </w:rPr>
              <w:t>16,900 FCFA</w:t>
            </w:r>
          </w:p>
          <w:p>
            <w:r>
              <w:rPr>
                <w:b/>
                <w:color w:val="503200"/>
                <w:sz w:val="16"/>
              </w:rPr>
              <w:t xml:space="preserve">Plus bas 100j : </w:t>
            </w:r>
            <w:r>
              <w:rPr>
                <w:color w:val="000000"/>
                <w:sz w:val="17"/>
              </w:rPr>
              <w:t>14,105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4.13% (Faible) — μ=15,489 FCFA, σ=640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β=1.4874 (Agressif) — Cov=0.000062, Var(idx)=0.000042, ρ=0.470,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15,691</w:t>
            </w:r>
          </w:p>
        </w:tc>
        <w:tc>
          <w:tcPr>
            <w:tcW w:type="dxa" w:w="1440"/>
            <w:shd w:fill="FAFAFA" w:val="clear"/>
          </w:tcPr>
          <w:p>
            <w:r>
              <w:rPr>
                <w:b/>
                <w:sz w:val="17"/>
              </w:rPr>
              <w:t>16,234</w:t>
            </w:r>
          </w:p>
        </w:tc>
        <w:tc>
          <w:tcPr>
            <w:tcW w:type="dxa" w:w="1440"/>
            <w:shd w:fill="FAFAFA" w:val="clear"/>
          </w:tcPr>
          <w:p>
            <w:r>
              <w:rPr>
                <w:sz w:val="17"/>
              </w:rPr>
              <w:t>16,778</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15,463</w:t>
            </w:r>
          </w:p>
        </w:tc>
        <w:tc>
          <w:tcPr>
            <w:tcW w:type="dxa" w:w="1440"/>
            <w:shd w:fill="FAFAFA" w:val="clear"/>
          </w:tcPr>
          <w:p>
            <w:r>
              <w:rPr>
                <w:b/>
                <w:sz w:val="17"/>
              </w:rPr>
              <w:t>16,232</w:t>
            </w:r>
          </w:p>
        </w:tc>
        <w:tc>
          <w:tcPr>
            <w:tcW w:type="dxa" w:w="1440"/>
            <w:shd w:fill="FAFAFA" w:val="clear"/>
          </w:tcPr>
          <w:p>
            <w:r>
              <w:rPr>
                <w:sz w:val="17"/>
              </w:rPr>
              <w:t>17,000</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15,275</w:t>
            </w:r>
          </w:p>
        </w:tc>
        <w:tc>
          <w:tcPr>
            <w:tcW w:type="dxa" w:w="1440"/>
            <w:shd w:fill="FAFAFA" w:val="clear"/>
          </w:tcPr>
          <w:p>
            <w:r>
              <w:rPr>
                <w:b/>
                <w:sz w:val="17"/>
              </w:rPr>
              <w:t>16,215</w:t>
            </w:r>
          </w:p>
        </w:tc>
        <w:tc>
          <w:tcPr>
            <w:tcW w:type="dxa" w:w="1440"/>
            <w:shd w:fill="FAFAFA" w:val="clear"/>
          </w:tcPr>
          <w:p>
            <w:r>
              <w:rPr>
                <w:sz w:val="17"/>
              </w:rPr>
              <w:t>17,156</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15,112</w:t>
            </w:r>
          </w:p>
        </w:tc>
        <w:tc>
          <w:tcPr>
            <w:tcW w:type="dxa" w:w="1440"/>
            <w:shd w:fill="FAFAFA" w:val="clear"/>
          </w:tcPr>
          <w:p>
            <w:r>
              <w:rPr>
                <w:b/>
                <w:sz w:val="17"/>
              </w:rPr>
              <w:t>16,196</w:t>
            </w:r>
          </w:p>
        </w:tc>
        <w:tc>
          <w:tcPr>
            <w:tcW w:type="dxa" w:w="1440"/>
            <w:shd w:fill="FAFAFA" w:val="clear"/>
          </w:tcPr>
          <w:p>
            <w:r>
              <w:rPr>
                <w:sz w:val="17"/>
              </w:rPr>
              <w:t>17,281</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14,966</w:t>
            </w:r>
          </w:p>
        </w:tc>
        <w:tc>
          <w:tcPr>
            <w:tcW w:type="dxa" w:w="1440"/>
            <w:shd w:fill="FAFAFA" w:val="clear"/>
          </w:tcPr>
          <w:p>
            <w:r>
              <w:rPr>
                <w:b/>
                <w:sz w:val="17"/>
              </w:rPr>
              <w:t>16,177</w:t>
            </w:r>
          </w:p>
        </w:tc>
        <w:tc>
          <w:tcPr>
            <w:tcW w:type="dxa" w:w="1440"/>
            <w:shd w:fill="FAFAFA" w:val="clear"/>
          </w:tcPr>
          <w:p>
            <w:r>
              <w:rPr>
                <w:sz w:val="17"/>
              </w:rPr>
              <w:t>17,388</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14,833</w:t>
            </w:r>
          </w:p>
        </w:tc>
        <w:tc>
          <w:tcPr>
            <w:tcW w:type="dxa" w:w="1440"/>
            <w:shd w:fill="FFDCE0" w:val="clear"/>
          </w:tcPr>
          <w:p>
            <w:r>
              <w:rPr>
                <w:b/>
                <w:sz w:val="17"/>
              </w:rPr>
              <w:t>16,158</w:t>
            </w:r>
          </w:p>
        </w:tc>
        <w:tc>
          <w:tcPr>
            <w:tcW w:type="dxa" w:w="1440"/>
            <w:shd w:fill="FFDCE0" w:val="clear"/>
          </w:tcPr>
          <w:p>
            <w:r>
              <w:rPr>
                <w:sz w:val="17"/>
              </w:rPr>
              <w:t>17,484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14,710</w:t>
            </w:r>
          </w:p>
        </w:tc>
        <w:tc>
          <w:tcPr>
            <w:tcW w:type="dxa" w:w="1440"/>
            <w:shd w:fill="FFDCE0" w:val="clear"/>
          </w:tcPr>
          <w:p>
            <w:r>
              <w:rPr>
                <w:b/>
                <w:sz w:val="17"/>
              </w:rPr>
              <w:t>16,140</w:t>
            </w:r>
          </w:p>
        </w:tc>
        <w:tc>
          <w:tcPr>
            <w:tcW w:type="dxa" w:w="1440"/>
            <w:shd w:fill="FFDCE0" w:val="clear"/>
          </w:tcPr>
          <w:p>
            <w:r>
              <w:rPr>
                <w:sz w:val="17"/>
              </w:rPr>
              <w:t>17,569</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14,595</w:t>
            </w:r>
          </w:p>
        </w:tc>
        <w:tc>
          <w:tcPr>
            <w:tcW w:type="dxa" w:w="1440"/>
            <w:shd w:fill="FFDCE0" w:val="clear"/>
          </w:tcPr>
          <w:p>
            <w:r>
              <w:rPr>
                <w:b/>
                <w:sz w:val="17"/>
              </w:rPr>
              <w:t>16,122</w:t>
            </w:r>
          </w:p>
        </w:tc>
        <w:tc>
          <w:tcPr>
            <w:tcW w:type="dxa" w:w="1440"/>
            <w:shd w:fill="FFDCE0" w:val="clear"/>
          </w:tcPr>
          <w:p>
            <w:r>
              <w:rPr>
                <w:sz w:val="17"/>
              </w:rPr>
              <w:t>17,648</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14,486</w:t>
            </w:r>
          </w:p>
        </w:tc>
        <w:tc>
          <w:tcPr>
            <w:tcW w:type="dxa" w:w="1440"/>
            <w:shd w:fill="FFDCE0" w:val="clear"/>
          </w:tcPr>
          <w:p>
            <w:r>
              <w:rPr>
                <w:b/>
                <w:sz w:val="17"/>
              </w:rPr>
              <w:t>16,104</w:t>
            </w:r>
          </w:p>
        </w:tc>
        <w:tc>
          <w:tcPr>
            <w:tcW w:type="dxa" w:w="1440"/>
            <w:shd w:fill="FFDCE0" w:val="clear"/>
          </w:tcPr>
          <w:p>
            <w:r>
              <w:rPr>
                <w:sz w:val="17"/>
              </w:rPr>
              <w:t>17,721</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14,383</w:t>
            </w:r>
          </w:p>
        </w:tc>
        <w:tc>
          <w:tcPr>
            <w:tcW w:type="dxa" w:w="1440"/>
            <w:shd w:fill="FFDCE0" w:val="clear"/>
          </w:tcPr>
          <w:p>
            <w:r>
              <w:rPr>
                <w:b/>
                <w:sz w:val="17"/>
              </w:rPr>
              <w:t>16,086</w:t>
            </w:r>
          </w:p>
        </w:tc>
        <w:tc>
          <w:tcPr>
            <w:tcW w:type="dxa" w:w="1440"/>
            <w:shd w:fill="FFDCE0" w:val="clear"/>
          </w:tcPr>
          <w:p>
            <w:r>
              <w:rPr>
                <w:sz w:val="17"/>
              </w:rPr>
              <w:t>17,789</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Absolument. Voici le rapport d'analyse structuré pour l'action ORAC (Orange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2 485 milliards FCFA, ORAC est un poids lourd incontesté de la BRVM, représentant une part significative de sa capitalisation totale. Le BPA de 1 114 FCFA indique que chaque action a généré un bénéfice net de ce montant sur l'exercice 2025. Le PER de 14,8x est supérieur à la moyenne historique de la BRVM (8-12x), ce qui suggère que les investisseurs acceptent de payer une prime pour la qualité et la croissance de l'entreprise. Cette prime est confirmée par le P/B de 3,51x, qui valorise l'action bien au-dessus de sa valeur comptable, reflétant la confiance dans les actifs immatériels et le potentiel de croissance future. Enfin, un EV/EBITDA de 6,0x est considéré comme raisonnable, indiquant que la valeur totale de l'entreprise (dette incluse) représente six fois son excédent brut d'exploitation, ce qui est un signal de valorisation équilibrée.</w:t>
      </w:r>
    </w:p>
    <w:p>
      <w:pPr>
        <w:spacing w:after="120" w:line="276" w:lineRule="auto"/>
      </w:pPr>
      <w:r>
        <w:t>### **PARTIE 1 : ANALYSE DU COURS — STATISTIQUES ET ÉVOLUTION (100 derniers jours)**</w:t>
      </w:r>
    </w:p>
    <w:p>
      <w:pPr>
        <w:spacing w:after="120" w:line="276" w:lineRule="auto"/>
      </w:pPr>
      <w:r>
        <w:t>Sur les 100 derniers jours, l'action ORAC affiche une tendance haussière avec une variation totale de +8,52%, et une accélération notable lors de la dernière séance (+3,09%). Le cours a évolué dans une fourchette de 14 105 FCFA (plus bas) à 16 900 FCFA (plus haut), atteignant actuellement 16 495 FCFA, soit proche de son sommet. La moyenne du cours sur la période est de 15 489 FCFA, et la médiane de 15 300 FCFA, indiquant une distribution légèrement asymétrique positive, confirmée par un *skewness* de 0.448. L'écart-type de 643 FCFA, combiné à un coefficient de variation de seulement 4,2%, révèle une dispersion relativement faible autour de la moyenne, suggérant une certaine stabilité. Le *kurtosis* proche de zéro (-0.496) indique une distribution mésokurtique, similaire à une distribution normale, avec un risque de mouvements extrêmes limité. Enfin, la volatilité annualisée de 32,1% est élevée, typique des marchés émergents comme la BRVM, et doit être prise en compte par les investisseurs.</w:t>
      </w:r>
    </w:p>
    <w:p>
      <w:pPr>
        <w:spacing w:after="120" w:line="276" w:lineRule="auto"/>
      </w:pPr>
      <w:r>
        <w:t>### **PARTIE 2 : ANALYSE TECHNIQUE DÉTAILLÉE**</w:t>
      </w:r>
    </w:p>
    <w:p>
      <w:pPr>
        <w:spacing w:after="120" w:line="276" w:lineRule="auto"/>
      </w:pPr>
      <w:r>
        <w:t>- **Moyennes Mobiles:** Le cours actuel (16 495 FCFA) se situe au-dessus de la MM50 (15 878,1 FCFA) et très proche de la MM20 (16 399 FCFA). Cette configuration est haussière à moyen terme, car le prix est soutenu par la tendance de fond. Le fait qu'il soit juste au-dessus de la MM20 suggère un élan positif à court terme, justifiant la décision d'**Achat**.</w:t>
      </w:r>
    </w:p>
    <w:p>
      <w:pPr>
        <w:spacing w:after="120" w:line="276" w:lineRule="auto"/>
      </w:pPr>
      <w:r>
        <w:t>- **Bandes de Bollinger:** Le cours se trouve à l'intérieur des bandes, entre la borne inférieure (15 633 FCFA) et la borne supérieure (17 165 FCFA). Cette position centrale, sans toucher les extrêmes, indique une volatilité modérée et l'absence de pression excessive à l'achat ou à la vente. La décision est donc **Neutre**, le titre n'étant ni suracheté ni survendu selon cet indicateur.</w:t>
      </w:r>
    </w:p>
    <w:p>
      <w:pPr>
        <w:spacing w:after="120" w:line="276" w:lineRule="auto"/>
      </w:pPr>
      <w:r>
        <w:t>- **MACD:** La ligne MACD (128,8) est passée sous sa ligne de signal (200,5), ce qui constitue un signal de vente technique. Cette divergence baissière indique un ralentissement du momentum haussier à court terme. Bien que le cours soit en hausse, la dynamique sous-jacente s'affaiblit, justifiant la décision de **Vente** pour les traders à très court terme.</w:t>
      </w:r>
    </w:p>
    <w:p>
      <w:pPr>
        <w:spacing w:after="120" w:line="276" w:lineRule="auto"/>
      </w:pPr>
      <w:r>
        <w:t>- **RSI:** Avec une valeur de 47,2, le RSI se situe en zone neutre, loin des seuils de surachat (70) et de survente (30). Cela indique que le titre n'est ni survendu ni suracheté, laissant une marge de manœuvre dans les deux sens. La décision est donc **Neutre**, ne fournissant pas de signal directionnel fort.</w:t>
      </w:r>
    </w:p>
    <w:p>
      <w:pPr>
        <w:spacing w:after="120" w:line="276" w:lineRule="auto"/>
      </w:pPr>
      <w:r>
        <w:t>- **Stochastique:** Le %K (55,0) est au-dessus du %D (33,1), ce qui est un signal haussier naissant. Cette configuration suggère que la dynamique de prix pourrait reprendre de la vigueur après une période de faiblesse. La décision est **Neutre**, mais la tendance est positive.</w:t>
      </w:r>
    </w:p>
    <w:p>
      <w:pPr>
        <w:spacing w:after="120" w:line="276" w:lineRule="auto"/>
      </w:pPr>
      <w:r>
        <w:t>**Conclusion technique:** Le tableau technique est mitigé. Les moyennes mobiles soutiennent une tendance haussière de fond, tandis que le MACD émet un signal de prudence à court terme. Le RSI et les Bandes de Bollinger sont neutres, et le Stochastique commence à montrer des signes de reprise. Globalement, la tendance reste positive, mais avec des signaux de consolidation à court terme. Un investisseur de long terme peut ignorer les signaux de vente du MACD, tandis qu'un trader devra être prudent.</w:t>
      </w:r>
    </w:p>
    <w:p>
      <w:pPr>
        <w:spacing w:after="120" w:line="276" w:lineRule="auto"/>
      </w:pPr>
      <w:r>
        <w:t>### **PARTIE 3 : ANALYSE FONDAMENTALE (SECTION CRITIQUE)**</w:t>
      </w:r>
    </w:p>
    <w:p>
      <w:pPr>
        <w:spacing w:after="120" w:line="276" w:lineRule="auto"/>
      </w:pPr>
      <w:r>
        <w:t>En 2025, les données structurées d'ORAC (entreprise non bancaire) révèlent une santé financière robuste. Le chiffre d'affaires s'établit à 1 197,1 milliards FCFA, en croissance de +10,4% par rapport à 2024. Le résultat net consolidé atteint 167,8 milliards FCFA, en hausse de +6,1%. La rentabilité est excellente avec un ROE de 23,7% et un ROA de 6,6%. La structure financière est saine : un BFR négatif de -198 milliards FCFA est un signe très favorable de gestion de trésorerie, et la capacité de remboursement est inférieure à un an (0,99 an). Cependant, le délai client de 52 jours est un point de vigilance. Sur la base du rapport du T1 2026, qui affiche un chiffre d'affaires de 325,6 milliards FCFA (+14,8%) et un résultat net de 48,3 milliards FCFA (+25,2%), on estime que l'exercice 2026 pourrait voir une accélération de la croissance. Les rapports annuels 2024 et 2025 confirment une progression constante du CA et une politique de dividende attractive (800 FCFA/action proposé pour 2025). Les risques identifiés incluent la pression fiscale et réglementaire, notamment au Burkina Faso, et la concurrence accrue sur les services financiers mobiles. La recommandation fondamentale est positive, portée par une croissance solide et une rentabilité élevée.</w:t>
      </w:r>
    </w:p>
    <w:p>
      <w:pPr>
        <w:spacing w:after="120" w:line="276" w:lineRule="auto"/>
      </w:pPr>
      <w:r>
        <w:t>### **PARTIE 4 : CONCLUSION D'INVESTISSEMENT**</w:t>
      </w:r>
    </w:p>
    <w:p>
      <w:pPr>
        <w:spacing w:after="120" w:line="276" w:lineRule="auto"/>
      </w:pPr>
      <w:r>
        <w:t>En synthèse, ORAC présente un profil d'investissement globalement favorable. La **valorisation (Partie 0)** est légèrement premium (PER de 14,8x), mais justifiée par la qualité de l'actif et sa croissance. Le **comportement du cours (Partie 1)** est haussier avec une volatilité élevée, mais une distribution normale des rendements (kurtosis faible) rassure sur l'absence de risques de krach. Les **signaux techniques (Partie 2)** sont mitigés, avec une tendance haussière de fond mais des signaux de prudence à court terme (MACD vendeur). Enfin, les **fondamentaux (Partie 3)** sont très solides, avec une croissance à deux chiffres du CA et du résultat net, une rentabilité exceptionnelle (ROE &gt; 23%) et une estimation de poursuite de cette dynamique en 2026. Les **prédictions IA** pour les 10 prochains jours suggèrent un léger repli technique (de 16 234 à 16 177 FCFA), ce qui pourrait offrir un point d'entrée. Sur la base de cette synthèse, la convergence entre des fondamentaux excellents et une tendance haussière de fond l'emporte sur les signaux techniques de court terme. **Notre recommandation finale est ACHAT, avec un niveau de confiance Élevé.** Le risque global est considéré comme **Moyen**, principalement lié à la volatilité du marché et aux risques réglementaires. L'horizon d'investissement optimal est le **moyen à long terme (plus de 6 mois)** pour bénéficier de la croissance structurelle du groupe et de sa politique de dividende attractive.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l'expansion du parc client restent positives. Les d\u00e9fis op\u00e9rationnels actuels semblent temporaires face au potentiel de croissance du march\u00e9 t\u00e9l\u00e9coms ouest-africain."}</w:t>
      </w:r>
    </w:p>
    <w:p>
      <w:pPr>
        <w:spacing w:before="40"/>
        <w:ind w:left="400"/>
      </w:pPr>
      <w:r>
        <w:rPr>
          <w:sz w:val="18"/>
        </w:rPr>
        <w:t>Orange CI présente des résultats mitigés au T3 2023 avec un chiffre d'affaires consolidé de 753,2 milliards FCFA en croissance de 5,4%, porté notamment par Orange Burkina (+16,7%). L'EBITDAaL recule de 1,2% à 259,1 milliards FCFA impacté par la hausse des charges fiscales au Burkina et des coûts énergétiques en Côte d'Ivoire. Le résultat net chute significativement de 19,3% à 86,0 milliards FCFA, pénalisé par un contexte marché difficile et l'impact du litige Lonestar au Libéria. Le parc FMI progresse de 8% à 31,38 millions d'abonnés malgré une forte concurrence. Le mobile money maintient sa dynamique positive avec une croissance du parc actif.</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'103,1 milliards FCFA', 'EBITDAaL': '259,1 milliards FCFA', 'parc_FMI': "31,38 millions d'abonnés"}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753,2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753,2 milliards FCFA en croissance de 5,4% (+5,5% à taux constant)</w:t>
      </w:r>
    </w:p>
    <w:p>
      <w:pPr>
        <w:pStyle w:val="ListBullet"/>
        <w:spacing w:before="20" w:after="20"/>
        <w:ind w:left="700"/>
      </w:pPr>
      <w:r>
        <w:rPr>
          <w:sz w:val="18"/>
        </w:rPr>
        <w:t>Performance notable d'Orange Burkina avec une croissance de 16,7%</w:t>
      </w:r>
    </w:p>
    <w:p>
      <w:pPr>
        <w:pStyle w:val="ListBullet"/>
        <w:spacing w:before="20" w:after="20"/>
        <w:ind w:left="700"/>
      </w:pPr>
      <w:r>
        <w:rPr>
          <w:sz w:val="18"/>
        </w:rPr>
        <w:t>Parc FMI (Fixe, Mobile, Internet) en progression de 8% atteignant 31,38 millions d'abonnés</w:t>
      </w:r>
    </w:p>
    <w:p>
      <w:pPr>
        <w:pStyle w:val="ListBullet"/>
        <w:spacing w:before="20" w:after="20"/>
        <w:ind w:left="700"/>
      </w:pPr>
      <w:r>
        <w:rPr>
          <w:sz w:val="18"/>
        </w:rPr>
        <w:t>EBITDAaL en baisse de 1,2% à 259,1 milliards FCFA impacté par les charges fiscales et énergétiques</w:t>
      </w:r>
    </w:p>
    <w:p>
      <w:pPr>
        <w:pStyle w:val="ListBullet"/>
        <w:spacing w:before="20" w:after="20"/>
        <w:ind w:left="700"/>
      </w:pPr>
      <w:r>
        <w:rPr>
          <w:sz w:val="18"/>
        </w:rPr>
        <w:t>Résultat net en forte baisse de 19,3% à 86,0 milliards FCFA</w:t>
      </w:r>
    </w:p>
    <w:p>
      <w:pPr>
        <w:pStyle w:val="ListBullet"/>
        <w:spacing w:before="20" w:after="20"/>
        <w:ind w:left="700"/>
      </w:pPr>
      <w:r>
        <w:rPr>
          <w:sz w:val="18"/>
        </w:rPr>
        <w:t>Impact négatif du litige Lonestar au Libéria et de la dépréciation d'actifs</w:t>
      </w:r>
    </w:p>
    <w:p>
      <w:pPr>
        <w:spacing w:before="40"/>
        <w:ind w:left="400"/>
      </w:pPr>
      <w:r>
        <w:rPr>
          <w:b/>
          <w:color w:val="C05000"/>
          <w:sz w:val="18"/>
        </w:rPr>
        <w:t xml:space="preserve">⚠️ Risques : </w:t>
      </w:r>
      <w:r>
        <w:rPr>
          <w:sz w:val="18"/>
        </w:rPr>
        <w:t>["Contexte s\u00e9curitaire difficile au Burkina Faso affectant les op\u00e9rations", "Forte agressivit\u00e9 commerciale et concurrence accrue en C\u00f4te d'Ivoire", "Volatilit\u00e9 des taux de change au Lib\u00e9ria et impact du litige Lonestar"]</w:t>
      </w:r>
    </w:p>
    <w:p>
      <w:pPr>
        <w:spacing w:before="40"/>
        <w:ind w:left="400"/>
      </w:pPr>
      <w:r>
        <w:rPr>
          <w:b/>
          <w:color w:val="0064A0"/>
          <w:sz w:val="18"/>
        </w:rPr>
        <w:t xml:space="preserve">🔮 Perspectives : </w:t>
      </w:r>
      <w:r>
        <w:rPr>
          <w:sz w:val="18"/>
        </w:rPr>
        <w:t>L'environnement inflationniste et les tensions géopolitiques régionales continueront de peser sur les marges à court terme. Cependant, la dynamique de croissance du mobile money et l'expansion du parc FMI offrent des perspectives favorables pour 2024.</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183.95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7,542 titres</w:t>
            </w:r>
          </w:p>
        </w:tc>
        <w:tc>
          <w:tcPr>
            <w:tcW w:type="dxa" w:w="2268"/>
            <w:shd w:fill="FFF2CC" w:val="clear"/>
          </w:tcPr>
          <w:p>
            <w:r>
              <w:rPr>
                <w:b/>
                <w:color w:val="503200"/>
                <w:sz w:val="16"/>
              </w:rPr>
              <w:t xml:space="preserve">Cours actuel : </w:t>
            </w:r>
            <w:r>
              <w:rPr>
                <w:color w:val="000000"/>
                <w:sz w:val="17"/>
              </w:rPr>
              <w:t>2,650 FCFA</w:t>
            </w:r>
          </w:p>
          <w:p>
            <w:r>
              <w:rPr>
                <w:b/>
                <w:color w:val="503200"/>
                <w:sz w:val="16"/>
              </w:rPr>
              <w:t xml:space="preserve">Var. 100 jours : </w:t>
            </w:r>
            <w:r>
              <w:rPr>
                <w:b/>
                <w:color w:val="B40000"/>
                <w:sz w:val="17"/>
              </w:rPr>
              <w:t>-11.67%</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13.65% (Moyenne) — μ=3,103 FCFA, σ=423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β=0.4533 (Défensif) — Cov=0.000019, Var(idx)=0.000042, ρ=0.099,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7,542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σ_j=2.95%/j (Stable) — Vol. annualisée≈46.8%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2,587</w:t>
            </w:r>
          </w:p>
        </w:tc>
        <w:tc>
          <w:tcPr>
            <w:tcW w:type="dxa" w:w="1440"/>
            <w:shd w:fill="FAFAFA" w:val="clear"/>
          </w:tcPr>
          <w:p>
            <w:r>
              <w:rPr>
                <w:b/>
                <w:sz w:val="17"/>
              </w:rPr>
              <w:t>2,669</w:t>
            </w:r>
          </w:p>
        </w:tc>
        <w:tc>
          <w:tcPr>
            <w:tcW w:type="dxa" w:w="1440"/>
            <w:shd w:fill="FAFAFA" w:val="clear"/>
          </w:tcPr>
          <w:p>
            <w:r>
              <w:rPr>
                <w:sz w:val="17"/>
              </w:rPr>
              <w:t>2,750</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2,551</w:t>
            </w:r>
          </w:p>
        </w:tc>
        <w:tc>
          <w:tcPr>
            <w:tcW w:type="dxa" w:w="1440"/>
            <w:shd w:fill="FAFAFA" w:val="clear"/>
          </w:tcPr>
          <w:p>
            <w:r>
              <w:rPr>
                <w:b/>
                <w:sz w:val="17"/>
              </w:rPr>
              <w:t>2,666</w:t>
            </w:r>
          </w:p>
        </w:tc>
        <w:tc>
          <w:tcPr>
            <w:tcW w:type="dxa" w:w="1440"/>
            <w:shd w:fill="FAFAFA" w:val="clear"/>
          </w:tcPr>
          <w:p>
            <w:r>
              <w:rPr>
                <w:sz w:val="17"/>
              </w:rPr>
              <w:t>2,781</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2,524</w:t>
            </w:r>
          </w:p>
        </w:tc>
        <w:tc>
          <w:tcPr>
            <w:tcW w:type="dxa" w:w="1440"/>
            <w:shd w:fill="FAFAFA" w:val="clear"/>
          </w:tcPr>
          <w:p>
            <w:r>
              <w:rPr>
                <w:b/>
                <w:sz w:val="17"/>
              </w:rPr>
              <w:t>2,665</w:t>
            </w:r>
          </w:p>
        </w:tc>
        <w:tc>
          <w:tcPr>
            <w:tcW w:type="dxa" w:w="1440"/>
            <w:shd w:fill="FAFAFA" w:val="clear"/>
          </w:tcPr>
          <w:p>
            <w:r>
              <w:rPr>
                <w:sz w:val="17"/>
              </w:rPr>
              <w:t>2,806</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2026-07-16</w:t>
            </w:r>
          </w:p>
        </w:tc>
        <w:tc>
          <w:tcPr>
            <w:tcW w:type="dxa" w:w="1440"/>
            <w:shd w:fill="FAFAFA" w:val="clear"/>
          </w:tcPr>
          <w:p>
            <w:r>
              <w:rPr>
                <w:sz w:val="17"/>
              </w:rPr>
              <w:t>2,501</w:t>
            </w:r>
          </w:p>
        </w:tc>
        <w:tc>
          <w:tcPr>
            <w:tcW w:type="dxa" w:w="1440"/>
            <w:shd w:fill="FAFAFA" w:val="clear"/>
          </w:tcPr>
          <w:p>
            <w:r>
              <w:rPr>
                <w:b/>
                <w:sz w:val="17"/>
              </w:rPr>
              <w:t>2,664</w:t>
            </w:r>
          </w:p>
        </w:tc>
        <w:tc>
          <w:tcPr>
            <w:tcW w:type="dxa" w:w="1440"/>
            <w:shd w:fill="FAFAFA" w:val="clear"/>
          </w:tcPr>
          <w:p>
            <w:r>
              <w:rPr>
                <w:sz w:val="17"/>
              </w:rPr>
              <w:t>2,826</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2026-07-17</w:t>
            </w:r>
          </w:p>
        </w:tc>
        <w:tc>
          <w:tcPr>
            <w:tcW w:type="dxa" w:w="1440"/>
            <w:shd w:fill="FAFAFA" w:val="clear"/>
          </w:tcPr>
          <w:p>
            <w:r>
              <w:rPr>
                <w:sz w:val="17"/>
              </w:rPr>
              <w:t>2,481</w:t>
            </w:r>
          </w:p>
        </w:tc>
        <w:tc>
          <w:tcPr>
            <w:tcW w:type="dxa" w:w="1440"/>
            <w:shd w:fill="FAFAFA" w:val="clear"/>
          </w:tcPr>
          <w:p>
            <w:r>
              <w:rPr>
                <w:b/>
                <w:sz w:val="17"/>
              </w:rPr>
              <w:t>2,662</w:t>
            </w:r>
          </w:p>
        </w:tc>
        <w:tc>
          <w:tcPr>
            <w:tcW w:type="dxa" w:w="1440"/>
            <w:shd w:fill="FAFAFA" w:val="clear"/>
          </w:tcPr>
          <w:p>
            <w:r>
              <w:rPr>
                <w:sz w:val="17"/>
              </w:rPr>
              <w:t>2,844</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2026-07-20</w:t>
            </w:r>
          </w:p>
        </w:tc>
        <w:tc>
          <w:tcPr>
            <w:tcW w:type="dxa" w:w="1440"/>
            <w:shd w:fill="FAFAFA" w:val="clear"/>
          </w:tcPr>
          <w:p>
            <w:r>
              <w:rPr>
                <w:sz w:val="17"/>
              </w:rPr>
              <w:t>2,462</w:t>
            </w:r>
          </w:p>
        </w:tc>
        <w:tc>
          <w:tcPr>
            <w:tcW w:type="dxa" w:w="1440"/>
            <w:shd w:fill="FAFAFA" w:val="clear"/>
          </w:tcPr>
          <w:p>
            <w:r>
              <w:rPr>
                <w:b/>
                <w:sz w:val="17"/>
              </w:rPr>
              <w:t>2,660</w:t>
            </w:r>
          </w:p>
        </w:tc>
        <w:tc>
          <w:tcPr>
            <w:tcW w:type="dxa" w:w="1440"/>
            <w:shd w:fill="FAFAFA" w:val="clear"/>
          </w:tcPr>
          <w:p>
            <w:r>
              <w:rPr>
                <w:sz w:val="17"/>
              </w:rPr>
              <w:t>2,859</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2026-07-21</w:t>
            </w:r>
          </w:p>
        </w:tc>
        <w:tc>
          <w:tcPr>
            <w:tcW w:type="dxa" w:w="1440"/>
            <w:shd w:fill="FAFAFA" w:val="clear"/>
          </w:tcPr>
          <w:p>
            <w:r>
              <w:rPr>
                <w:sz w:val="17"/>
              </w:rPr>
              <w:t>2,444</w:t>
            </w:r>
          </w:p>
        </w:tc>
        <w:tc>
          <w:tcPr>
            <w:tcW w:type="dxa" w:w="1440"/>
            <w:shd w:fill="FAFAFA" w:val="clear"/>
          </w:tcPr>
          <w:p>
            <w:r>
              <w:rPr>
                <w:b/>
                <w:sz w:val="17"/>
              </w:rPr>
              <w:t>2,659</w:t>
            </w:r>
          </w:p>
        </w:tc>
        <w:tc>
          <w:tcPr>
            <w:tcW w:type="dxa" w:w="1440"/>
            <w:shd w:fill="FAFAFA" w:val="clear"/>
          </w:tcPr>
          <w:p>
            <w:r>
              <w:rPr>
                <w:sz w:val="17"/>
              </w:rPr>
              <w:t>2,873</w:t>
            </w:r>
          </w:p>
        </w:tc>
        <w:tc>
          <w:tcPr>
            <w:tcW w:type="dxa" w:w="1440"/>
            <w:shd w:fill="FAFAFA" w:val="clear"/>
          </w:tcPr>
          <w:p>
            <w:r>
              <w:rPr>
                <w:b/>
                <w:color w:val="008000"/>
                <w:sz w:val="17"/>
              </w:rPr>
              <w:t>+0.3%</w:t>
            </w:r>
          </w:p>
        </w:tc>
      </w:tr>
      <w:tr>
        <w:tc>
          <w:tcPr>
            <w:tcW w:type="dxa" w:w="1440"/>
            <w:shd w:fill="FAFAFA" w:val="clear"/>
          </w:tcPr>
          <w:p>
            <w:r>
              <w:rPr>
                <w:sz w:val="17"/>
              </w:rPr>
              <w:t>J+8  Moyenne</w:t>
            </w:r>
          </w:p>
        </w:tc>
        <w:tc>
          <w:tcPr>
            <w:tcW w:type="dxa" w:w="1440"/>
            <w:shd w:fill="FAFAFA" w:val="clear"/>
          </w:tcPr>
          <w:p>
            <w:r>
              <w:rPr>
                <w:sz w:val="17"/>
              </w:rPr>
              <w:t>2026-07-22</w:t>
            </w:r>
          </w:p>
        </w:tc>
        <w:tc>
          <w:tcPr>
            <w:tcW w:type="dxa" w:w="1440"/>
            <w:shd w:fill="FAFAFA" w:val="clear"/>
          </w:tcPr>
          <w:p>
            <w:r>
              <w:rPr>
                <w:sz w:val="17"/>
              </w:rPr>
              <w:t>2,428</w:t>
            </w:r>
          </w:p>
        </w:tc>
        <w:tc>
          <w:tcPr>
            <w:tcW w:type="dxa" w:w="1440"/>
            <w:shd w:fill="FAFAFA" w:val="clear"/>
          </w:tcPr>
          <w:p>
            <w:r>
              <w:rPr>
                <w:b/>
                <w:sz w:val="17"/>
              </w:rPr>
              <w:t>2,657</w:t>
            </w:r>
          </w:p>
        </w:tc>
        <w:tc>
          <w:tcPr>
            <w:tcW w:type="dxa" w:w="1440"/>
            <w:shd w:fill="FAFAFA" w:val="clear"/>
          </w:tcPr>
          <w:p>
            <w:r>
              <w:rPr>
                <w:sz w:val="17"/>
              </w:rPr>
              <w:t>2,886</w:t>
            </w:r>
          </w:p>
        </w:tc>
        <w:tc>
          <w:tcPr>
            <w:tcW w:type="dxa" w:w="1440"/>
            <w:shd w:fill="FAFAFA" w:val="clear"/>
          </w:tcPr>
          <w:p>
            <w:r>
              <w:rPr>
                <w:b/>
                <w:color w:val="008000"/>
                <w:sz w:val="17"/>
              </w:rPr>
              <w:t>+0.3%</w:t>
            </w:r>
          </w:p>
        </w:tc>
      </w:tr>
      <w:tr>
        <w:tc>
          <w:tcPr>
            <w:tcW w:type="dxa" w:w="1440"/>
            <w:shd w:fill="FAFAFA" w:val="clear"/>
          </w:tcPr>
          <w:p>
            <w:r>
              <w:rPr>
                <w:sz w:val="17"/>
              </w:rPr>
              <w:t>J+9  Moyenne</w:t>
            </w:r>
          </w:p>
        </w:tc>
        <w:tc>
          <w:tcPr>
            <w:tcW w:type="dxa" w:w="1440"/>
            <w:shd w:fill="FAFAFA" w:val="clear"/>
          </w:tcPr>
          <w:p>
            <w:r>
              <w:rPr>
                <w:sz w:val="17"/>
              </w:rPr>
              <w:t>2026-07-23</w:t>
            </w:r>
          </w:p>
        </w:tc>
        <w:tc>
          <w:tcPr>
            <w:tcW w:type="dxa" w:w="1440"/>
            <w:shd w:fill="FAFAFA" w:val="clear"/>
          </w:tcPr>
          <w:p>
            <w:r>
              <w:rPr>
                <w:sz w:val="17"/>
              </w:rPr>
              <w:t>2,412</w:t>
            </w:r>
          </w:p>
        </w:tc>
        <w:tc>
          <w:tcPr>
            <w:tcW w:type="dxa" w:w="1440"/>
            <w:shd w:fill="FAFAFA" w:val="clear"/>
          </w:tcPr>
          <w:p>
            <w:r>
              <w:rPr>
                <w:b/>
                <w:sz w:val="17"/>
              </w:rPr>
              <w:t>2,655</w:t>
            </w:r>
          </w:p>
        </w:tc>
        <w:tc>
          <w:tcPr>
            <w:tcW w:type="dxa" w:w="1440"/>
            <w:shd w:fill="FAFAFA" w:val="clear"/>
          </w:tcPr>
          <w:p>
            <w:r>
              <w:rPr>
                <w:sz w:val="17"/>
              </w:rPr>
              <w:t>2,898</w:t>
            </w:r>
          </w:p>
        </w:tc>
        <w:tc>
          <w:tcPr>
            <w:tcW w:type="dxa" w:w="1440"/>
            <w:shd w:fill="FAFAFA" w:val="clear"/>
          </w:tcPr>
          <w:p>
            <w:r>
              <w:rPr>
                <w:b/>
                <w:color w:val="008000"/>
                <w:sz w:val="17"/>
              </w:rPr>
              <w:t>+0.2%</w:t>
            </w:r>
          </w:p>
        </w:tc>
      </w:tr>
      <w:tr>
        <w:tc>
          <w:tcPr>
            <w:tcW w:type="dxa" w:w="1440"/>
            <w:shd w:fill="FAFAFA" w:val="clear"/>
          </w:tcPr>
          <w:p>
            <w:r>
              <w:rPr>
                <w:sz w:val="17"/>
              </w:rPr>
              <w:t>J+10  Moyenne</w:t>
            </w:r>
          </w:p>
        </w:tc>
        <w:tc>
          <w:tcPr>
            <w:tcW w:type="dxa" w:w="1440"/>
            <w:shd w:fill="FAFAFA" w:val="clear"/>
          </w:tcPr>
          <w:p>
            <w:r>
              <w:rPr>
                <w:sz w:val="17"/>
              </w:rPr>
              <w:t>2026-07-24</w:t>
            </w:r>
          </w:p>
        </w:tc>
        <w:tc>
          <w:tcPr>
            <w:tcW w:type="dxa" w:w="1440"/>
            <w:shd w:fill="FAFAFA" w:val="clear"/>
          </w:tcPr>
          <w:p>
            <w:r>
              <w:rPr>
                <w:sz w:val="17"/>
              </w:rPr>
              <w:t>2,398</w:t>
            </w:r>
          </w:p>
        </w:tc>
        <w:tc>
          <w:tcPr>
            <w:tcW w:type="dxa" w:w="1440"/>
            <w:shd w:fill="FAFAFA" w:val="clear"/>
          </w:tcPr>
          <w:p>
            <w:r>
              <w:rPr>
                <w:b/>
                <w:sz w:val="17"/>
              </w:rPr>
              <w:t>2,654</w:t>
            </w:r>
          </w:p>
        </w:tc>
        <w:tc>
          <w:tcPr>
            <w:tcW w:type="dxa" w:w="1440"/>
            <w:shd w:fill="FAFAFA" w:val="clear"/>
          </w:tcPr>
          <w:p>
            <w:r>
              <w:rPr>
                <w:sz w:val="17"/>
              </w:rPr>
              <w:t>2,909</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le rapport d'analyse structuré pour l'action ORGT (Oragroup) sur le marché de la BRVM.</w:t>
      </w:r>
    </w:p>
    <w:p>
      <w:pPr>
        <w:spacing w:after="120" w:line="276" w:lineRule="auto"/>
      </w:pPr>
      <w:r>
        <w:t>---</w:t>
      </w:r>
    </w:p>
    <w:p>
      <w:pPr>
        <w:spacing w:after="120" w:line="276" w:lineRule="auto"/>
      </w:pPr>
      <w:r>
        <w:t>### **RAPPORT D'ANALYSE FINANCIÈRE — ORGT (ORAGROUP)**</w:t>
      </w:r>
    </w:p>
    <w:p>
      <w:pPr>
        <w:spacing w:after="120" w:line="276" w:lineRule="auto"/>
      </w:pPr>
      <w:r>
        <w:t>**Date de l'analyse :** 13 juillet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183,95 milliards FCFA, ORGT se positionne comme une valeur de poids moyen sur la BRVM, reflétant la taille d'un groupe bancaire régional significatif. Le Bénéfice Par Action (BPA) de 312 FCFA est le socle de la valorisation. Le PER de 8,5x est inférieur à la moyenne historique de la BRVM (8-12x), ce qui suggère que le marché n'intègre pas encore pleinement le potentiel de bénéfices, ou qu'il applie une décote de risque. Le Price-to-Book (P/B) de 1,63x indique que le marché valorise la société à 63% au-dessus de ses capitaux propres comptables, ce qui est raisonnable pour une banque en phase de redressement. Enfin, le ratio EV/EBITDA de 19,0x est très exigeant, signalant que la valeur d'entreprise est élevée par rapport à la capacité bénéficiaire brute actuelle, ce qui peut être un frein pour les investisseurs value.</w:t>
      </w:r>
    </w:p>
    <w:p>
      <w:pPr>
        <w:spacing w:after="120" w:line="276" w:lineRule="auto"/>
      </w:pPr>
      <w:r>
        <w:t>### **PARTIE 1 : ANALYSE DU COURS — STATISTIQUES ET ÉVOLUTION (100 derniers jours)**</w:t>
      </w:r>
    </w:p>
    <w:p>
      <w:pPr>
        <w:spacing w:after="120" w:line="276" w:lineRule="auto"/>
      </w:pPr>
      <w:r>
        <w:t>Sur les 100 derniers jours, l'action ORGT a subi une correction significative de -11,67%, avec une dernière séance en baisse de -0,93% à 2 650 FCFA. Le titre a évolué dans un large range de trading, oscillant entre un plus bas de 2 435 FCFA et un plus haut de 3 995 FCFA, illustrant une forte volatilité et une tendance baissière marquée depuis le sommet. La moyenne du cours sur la période est de 3 103 FCFA, tandis que la médiane est de 3 045 FCFA ; cet écart modéré suggère une distribution légèrement asymétrique, confirmée par un skewness positif de 0.276. L'écart-type de 426 FCFA, associé à un coefficient de variation de 13,7%, indique une dispersion modérée du cours autour de la moyenne. Le kurtosis en excès de -1.310 (distribution platykurtique) révèle une faible concentration des extrêmes, ce qui signifie que les mouvements de prix violents sont moins fréquents que sur une distribution normale. La volatilité annualisée de 46,8% est très élevée, classant ORGT comme un actif à haut risque sur le marché.</w:t>
      </w:r>
    </w:p>
    <w:p>
      <w:pPr>
        <w:spacing w:after="120" w:line="276" w:lineRule="auto"/>
      </w:pPr>
      <w:r>
        <w:t>### **PARTIE 2 : ANALYSE TECHNIQUE DÉTAILLÉE**</w:t>
      </w:r>
    </w:p>
    <w:p>
      <w:pPr>
        <w:spacing w:after="120" w:line="276" w:lineRule="auto"/>
      </w:pPr>
      <w:r>
        <w:t>- **Moyennes Mobiles** : Le cours actuel de 2 650 FCFA se situe en dessous de la MM20 (2 687,25 FCFA) et de la MM50 (2 755,4 FCFA), confirmant une configuration baissière. La décision de "Vente" est justifiée par cette position sous les deux moyennes, indiquant que la tendance de court et moyen terme reste négative.</w:t>
      </w:r>
    </w:p>
    <w:p>
      <w:pPr>
        <w:spacing w:after="120" w:line="276" w:lineRule="auto"/>
      </w:pPr>
      <w:r>
        <w:t>- **Bandes de Bollinger** : Le cours se trouve proche de la borne inférieure (2 601,87 FCFA), ce qui suggère que le titre est en zone de "survente" relative. La décision "Neutre" est prudente, car si une proximité avec la borne inférieure peut signaler un rebond technique, la tendance baissière dominante ne permet pas de confirmer un retournement.</w:t>
      </w:r>
    </w:p>
    <w:p>
      <w:pPr>
        <w:spacing w:after="120" w:line="276" w:lineRule="auto"/>
      </w:pPr>
      <w:r>
        <w:t>- **MACD** : Le MACD (-26,22) est négatif mais se situe au-dessus de sa ligne de signal (-32,67). Cette divergence haussière, où le MACD remonte vers le signal, génère une décision d'"Achat". Cela indique un affaiblissement du momentum baissier et un possible début de retournement de tendance à court terme.</w:t>
      </w:r>
    </w:p>
    <w:p>
      <w:pPr>
        <w:spacing w:after="120" w:line="276" w:lineRule="auto"/>
      </w:pPr>
      <w:r>
        <w:t>- **RSI** : Avec une valeur de 48,24, le RSI se trouve en zone neutre (entre 30 et 70). La décision "Neutre" est cohérente, car le RSI n'est ni en situation de surachat (qui annoncerait une baisse) ni de survente (qui annoncerait une hausse), indiquant une absence de signal directionnel fort.</w:t>
      </w:r>
    </w:p>
    <w:p>
      <w:pPr>
        <w:spacing w:after="120" w:line="276" w:lineRule="auto"/>
      </w:pPr>
      <w:r>
        <w:t>- **Stochastique** : Le %K (23,53) est inférieur à %D (35,29), et les deux sont sous la barre des 20, ce qui place le titre en zone de survente. La décision "Neutre" est ici conservatrice, car bien que la zone de survente soit un signal d'achat potentiel, le croisement baissier des lignes %K et %D affaiblit la fiabilité de ce signal.</w:t>
      </w:r>
    </w:p>
    <w:p>
      <w:pPr>
        <w:spacing w:after="120" w:line="276" w:lineRule="auto"/>
      </w:pPr>
      <w:r>
        <w:t>**Conclusion technique :** Le tableau technique est mitigé. Les moyennes mobiles et la tendance générale restent baissières, mais les oscillateurs (MACD, RSI, Stochastique) commencent à montrer des signes de stabilisation ou de retournement. Le MACD, en particulier, envoie un signal d'achat précoce. La configuration suggère que la pression vendeuse s'essouffle, mais qu'un catalyseur haussier est nécessaire pour initier un rebond durable. La prudence reste de mise.</w:t>
      </w:r>
    </w:p>
    <w:p>
      <w:pPr>
        <w:spacing w:after="120" w:line="276" w:lineRule="auto"/>
      </w:pPr>
      <w:r>
        <w:t>### **PARTIE 3 : ANALYSE FONDAMENTALE (SECTION CRITIQUE)**</w:t>
      </w:r>
    </w:p>
    <w:p>
      <w:pPr>
        <w:spacing w:after="120" w:line="276" w:lineRule="auto"/>
      </w:pPr>
      <w:r>
        <w:t>En 2025, les données financières structurées d'ORGT confirment un redressement spectaculaire. Le Produit Net Bancaire (PNB) s'établit à 186,609 milliards FCFA, en léger recul de -4,5% par rapport à 2024. Le résultat net, quant à lui, a bondi à 21,643 milliards FCFA, contre une perte de -44,363 milliards en 2024. Ce retournement est dû à une gestion drastique du coût du risque, qui est passé de -69,056 milliards à seulement -6,971 milliards FCFA, et à une réduction des charges générales de 12%. Le coefficient d'exploitation de 42,85% est excellent, bien en dessous du seuil des 60%, témoignant d'une banque très efficace. Le ROE de 19,13% est excellent, tandis que le ROA de 0,54% reste modeste, reflétant un bilan très lourd. Les dépôts clientèle (3 088,7 Mds FCFA) couvrent largement les créances sur la clientèle (1 523,8 Mds FCFA), assurant une liquidité abondante. Sur la base des rapports trimestriels de 2025 (T1, S1, T3), on estime que la dynamique de réduction du coût du risque et de maîtrise des frais généraux s'est poursuivie tout au long de l'année. Le rapport du T1 2026 confirme cette tendance avec un résultat net en hausse de 37% à 6,555 millions FCFA, malgré une légère baisse du PNB. Le groupe semble avoir consolidé son assainissement, mais le défi de la relance de la croissance du PNB reste entier. La solidité financière est désormais avérée, mais la dynamique commerciale est atone.</w:t>
      </w:r>
    </w:p>
    <w:p>
      <w:pPr>
        <w:spacing w:after="120" w:line="276" w:lineRule="auto"/>
      </w:pPr>
      <w:r>
        <w:t>### **PARTIE 4 : CONCLUSION D'INVESTISSEMENT**</w:t>
      </w:r>
    </w:p>
    <w:p>
      <w:pPr>
        <w:spacing w:after="120" w:line="276" w:lineRule="auto"/>
      </w:pPr>
      <w:r>
        <w:t>La synthèse des analyses révèle une situation contrastée. La valorisation boursière (PER de 8,5x) suggère une sous-évaluation potentielle, mais le EV/EBITDA élevé tempère cet optimisme. Le comportement du cours est baissier sur les 100 derniers jours, avec une volatilité élevée, mais les statistiques (kurtosis platykurtique) indiquent une absence de mouvements extrêmes récents. Les signaux techniques sont mitigés : la tendance des moyennes mobiles est baissière, mais le MACD envoie un signal d'achat précoce, suggérant un possible essoufflement de la baisse. Les fondamentaux sont le point fort : le redressement de 2025 est spectaculaire, la banque est saine, rentable et bien capitalisée, mais elle peine à générer une croissance de son PNB. Les prédictions IA pour les 10 prochains jours (stabilité autour de 2 660 FCFA) suggèrent une phase de consolidation, en ligne avec les signaux techniques de stabilisation.</w:t>
      </w:r>
    </w:p>
    <w:p>
      <w:pPr>
        <w:spacing w:after="120" w:line="276" w:lineRule="auto"/>
      </w:pPr>
      <w:r>
        <w:t>**Recommandation finale : CONSERVER**</w:t>
        <w:br/>
        <w:t>**Justification :** La convergence entre une valorisation attractive (PER bas), des fondamentaux solides (rentabilité, efficacité) et des signaux techniques de stabilisation (MACD haussier) justifie de conserver la position. Cependant, la tendance baissière du cours et l'absence de croissance du PNB empêchent une recommandation d'achat. Il est conseillé d'attendre une confirmation de reprise de la dynamique commerciale ou un signal technique plus fort (franchissement des MM20/MM50) pour renforcer la position.</w:t>
        <w:br/>
        <w:t>**Niveau de confiance :** Moyen</w:t>
        <w:br/>
        <w:t>**Niveau de risque global :** Élevé (volatilité du cours et incertitude sur la croissance future)</w:t>
        <w:br/>
        <w:t>**Horizon d'investissement optimal :** Moyen terme (3-12 mois), en attendant les résultats des prochains trimestres pour valider la reprise.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136.35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3,968 titres</w:t>
            </w:r>
          </w:p>
        </w:tc>
        <w:tc>
          <w:tcPr>
            <w:tcW w:type="dxa" w:w="2268"/>
            <w:shd w:fill="FFF2CC" w:val="clear"/>
          </w:tcPr>
          <w:p>
            <w:r>
              <w:rPr>
                <w:b/>
                <w:color w:val="503200"/>
                <w:sz w:val="16"/>
              </w:rPr>
              <w:t xml:space="preserve">Cours actuel : </w:t>
            </w:r>
            <w:r>
              <w:rPr>
                <w:color w:val="000000"/>
                <w:sz w:val="17"/>
              </w:rPr>
              <w:t>8,820 FCFA</w:t>
            </w:r>
          </w:p>
          <w:p>
            <w:r>
              <w:rPr>
                <w:b/>
                <w:color w:val="503200"/>
                <w:sz w:val="16"/>
              </w:rPr>
              <w:t xml:space="preserve">Var. 100 jours : </w:t>
            </w:r>
            <w:r>
              <w:rPr>
                <w:b/>
                <w:color w:val="B40000"/>
                <w:sz w:val="17"/>
              </w:rPr>
              <w:t>-1.45%</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6.73% (Moyenne) — μ=8,464 FCFA, σ=570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β=-0.0459 (Contre-cyclique) — Cov=-0.000002, Var(idx)=0.000042, ρ=-0.012,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3,968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8,479</w:t>
            </w:r>
          </w:p>
        </w:tc>
        <w:tc>
          <w:tcPr>
            <w:tcW w:type="dxa" w:w="1440"/>
            <w:shd w:fill="FAFAFA" w:val="clear"/>
          </w:tcPr>
          <w:p>
            <w:r>
              <w:rPr>
                <w:b/>
                <w:sz w:val="17"/>
              </w:rPr>
              <w:t>8,864</w:t>
            </w:r>
          </w:p>
        </w:tc>
        <w:tc>
          <w:tcPr>
            <w:tcW w:type="dxa" w:w="1440"/>
            <w:shd w:fill="FAFAFA" w:val="clear"/>
          </w:tcPr>
          <w:p>
            <w:r>
              <w:rPr>
                <w:sz w:val="17"/>
              </w:rPr>
              <w:t>9,249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8,342</w:t>
            </w:r>
          </w:p>
        </w:tc>
        <w:tc>
          <w:tcPr>
            <w:tcW w:type="dxa" w:w="1440"/>
            <w:shd w:fill="FAFAFA" w:val="clear"/>
          </w:tcPr>
          <w:p>
            <w:r>
              <w:rPr>
                <w:b/>
                <w:sz w:val="17"/>
              </w:rPr>
              <w:t>8,888</w:t>
            </w:r>
          </w:p>
        </w:tc>
        <w:tc>
          <w:tcPr>
            <w:tcW w:type="dxa" w:w="1440"/>
            <w:shd w:fill="FAFAFA" w:val="clear"/>
          </w:tcPr>
          <w:p>
            <w:r>
              <w:rPr>
                <w:sz w:val="17"/>
              </w:rPr>
              <w:t>9,434</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8,245</w:t>
            </w:r>
          </w:p>
        </w:tc>
        <w:tc>
          <w:tcPr>
            <w:tcW w:type="dxa" w:w="1440"/>
            <w:shd w:fill="FAFAFA" w:val="clear"/>
          </w:tcPr>
          <w:p>
            <w:r>
              <w:rPr>
                <w:b/>
                <w:sz w:val="17"/>
              </w:rPr>
              <w:t>8,915</w:t>
            </w:r>
          </w:p>
        </w:tc>
        <w:tc>
          <w:tcPr>
            <w:tcW w:type="dxa" w:w="1440"/>
            <w:shd w:fill="FAFAFA" w:val="clear"/>
          </w:tcPr>
          <w:p>
            <w:r>
              <w:rPr>
                <w:sz w:val="17"/>
              </w:rPr>
              <w:t>9,586</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8,166</w:t>
            </w:r>
          </w:p>
        </w:tc>
        <w:tc>
          <w:tcPr>
            <w:tcW w:type="dxa" w:w="1440"/>
            <w:shd w:fill="FAFAFA" w:val="clear"/>
          </w:tcPr>
          <w:p>
            <w:r>
              <w:rPr>
                <w:b/>
                <w:sz w:val="17"/>
              </w:rPr>
              <w:t>8,943</w:t>
            </w:r>
          </w:p>
        </w:tc>
        <w:tc>
          <w:tcPr>
            <w:tcW w:type="dxa" w:w="1440"/>
            <w:shd w:fill="FAFAFA" w:val="clear"/>
          </w:tcPr>
          <w:p>
            <w:r>
              <w:rPr>
                <w:sz w:val="17"/>
              </w:rPr>
              <w:t>9,720</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8,099</w:t>
            </w:r>
          </w:p>
        </w:tc>
        <w:tc>
          <w:tcPr>
            <w:tcW w:type="dxa" w:w="1440"/>
            <w:shd w:fill="FAFAFA" w:val="clear"/>
          </w:tcPr>
          <w:p>
            <w:r>
              <w:rPr>
                <w:b/>
                <w:sz w:val="17"/>
              </w:rPr>
              <w:t>8,970</w:t>
            </w:r>
          </w:p>
        </w:tc>
        <w:tc>
          <w:tcPr>
            <w:tcW w:type="dxa" w:w="1440"/>
            <w:shd w:fill="FAFAFA" w:val="clear"/>
          </w:tcPr>
          <w:p>
            <w:r>
              <w:rPr>
                <w:sz w:val="17"/>
              </w:rPr>
              <w:t>9,841</w:t>
            </w:r>
          </w:p>
        </w:tc>
        <w:tc>
          <w:tcPr>
            <w:tcW w:type="dxa" w:w="1440"/>
            <w:shd w:fill="FAFAFA" w:val="clear"/>
          </w:tcPr>
          <w:p>
            <w:r>
              <w:rPr>
                <w:b/>
                <w:color w:val="008000"/>
                <w:sz w:val="17"/>
              </w:rPr>
              <w:t>+1.7%</w:t>
            </w:r>
          </w:p>
        </w:tc>
      </w:tr>
      <w:tr>
        <w:tc>
          <w:tcPr>
            <w:tcW w:type="dxa" w:w="1440"/>
            <w:shd w:fill="C6EFCE" w:val="clear"/>
          </w:tcPr>
          <w:p>
            <w:r>
              <w:rPr>
                <w:sz w:val="17"/>
              </w:rPr>
              <w:t>J+6  ⭐</w:t>
            </w:r>
          </w:p>
        </w:tc>
        <w:tc>
          <w:tcPr>
            <w:tcW w:type="dxa" w:w="1440"/>
            <w:shd w:fill="C6EFCE" w:val="clear"/>
          </w:tcPr>
          <w:p>
            <w:r>
              <w:rPr>
                <w:sz w:val="17"/>
              </w:rPr>
              <w:t>2026-07-20</w:t>
            </w:r>
          </w:p>
        </w:tc>
        <w:tc>
          <w:tcPr>
            <w:tcW w:type="dxa" w:w="1440"/>
            <w:shd w:fill="C6EFCE" w:val="clear"/>
          </w:tcPr>
          <w:p>
            <w:r>
              <w:rPr>
                <w:sz w:val="17"/>
              </w:rPr>
              <w:t>8,040</w:t>
            </w:r>
          </w:p>
        </w:tc>
        <w:tc>
          <w:tcPr>
            <w:tcW w:type="dxa" w:w="1440"/>
            <w:shd w:fill="C6EFCE" w:val="clear"/>
          </w:tcPr>
          <w:p>
            <w:r>
              <w:rPr>
                <w:b/>
                <w:sz w:val="17"/>
              </w:rPr>
              <w:t>8,997</w:t>
            </w:r>
          </w:p>
        </w:tc>
        <w:tc>
          <w:tcPr>
            <w:tcW w:type="dxa" w:w="1440"/>
            <w:shd w:fill="C6EFCE" w:val="clear"/>
          </w:tcPr>
          <w:p>
            <w:r>
              <w:rPr>
                <w:sz w:val="17"/>
              </w:rPr>
              <w:t>9,954</w:t>
            </w:r>
          </w:p>
        </w:tc>
        <w:tc>
          <w:tcPr>
            <w:tcW w:type="dxa" w:w="1440"/>
            <w:shd w:fill="C6EFCE"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2026-07-21</w:t>
            </w:r>
          </w:p>
        </w:tc>
        <w:tc>
          <w:tcPr>
            <w:tcW w:type="dxa" w:w="1440"/>
            <w:shd w:fill="C6EFCE" w:val="clear"/>
          </w:tcPr>
          <w:p>
            <w:r>
              <w:rPr>
                <w:sz w:val="17"/>
              </w:rPr>
              <w:t>7,987</w:t>
            </w:r>
          </w:p>
        </w:tc>
        <w:tc>
          <w:tcPr>
            <w:tcW w:type="dxa" w:w="1440"/>
            <w:shd w:fill="C6EFCE" w:val="clear"/>
          </w:tcPr>
          <w:p>
            <w:r>
              <w:rPr>
                <w:b/>
                <w:sz w:val="17"/>
              </w:rPr>
              <w:t>9,024</w:t>
            </w:r>
          </w:p>
        </w:tc>
        <w:tc>
          <w:tcPr>
            <w:tcW w:type="dxa" w:w="1440"/>
            <w:shd w:fill="C6EFCE" w:val="clear"/>
          </w:tcPr>
          <w:p>
            <w:r>
              <w:rPr>
                <w:sz w:val="17"/>
              </w:rPr>
              <w:t>10,061</w:t>
            </w:r>
          </w:p>
        </w:tc>
        <w:tc>
          <w:tcPr>
            <w:tcW w:type="dxa" w:w="1440"/>
            <w:shd w:fill="C6EFCE" w:val="clear"/>
          </w:tcPr>
          <w:p>
            <w:r>
              <w:rPr>
                <w:b/>
                <w:color w:val="008000"/>
                <w:sz w:val="17"/>
              </w:rPr>
              <w:t>+2.3%</w:t>
            </w:r>
          </w:p>
        </w:tc>
      </w:tr>
      <w:tr>
        <w:tc>
          <w:tcPr>
            <w:tcW w:type="dxa" w:w="1440"/>
            <w:shd w:fill="C6EFCE" w:val="clear"/>
          </w:tcPr>
          <w:p>
            <w:r>
              <w:rPr>
                <w:sz w:val="17"/>
              </w:rPr>
              <w:t>J+8  ⭐</w:t>
            </w:r>
          </w:p>
        </w:tc>
        <w:tc>
          <w:tcPr>
            <w:tcW w:type="dxa" w:w="1440"/>
            <w:shd w:fill="C6EFCE" w:val="clear"/>
          </w:tcPr>
          <w:p>
            <w:r>
              <w:rPr>
                <w:sz w:val="17"/>
              </w:rPr>
              <w:t>2026-07-22</w:t>
            </w:r>
          </w:p>
        </w:tc>
        <w:tc>
          <w:tcPr>
            <w:tcW w:type="dxa" w:w="1440"/>
            <w:shd w:fill="C6EFCE" w:val="clear"/>
          </w:tcPr>
          <w:p>
            <w:r>
              <w:rPr>
                <w:sz w:val="17"/>
              </w:rPr>
              <w:t>7,939</w:t>
            </w:r>
          </w:p>
        </w:tc>
        <w:tc>
          <w:tcPr>
            <w:tcW w:type="dxa" w:w="1440"/>
            <w:shd w:fill="C6EFCE" w:val="clear"/>
          </w:tcPr>
          <w:p>
            <w:r>
              <w:rPr>
                <w:b/>
                <w:sz w:val="17"/>
              </w:rPr>
              <w:t>9,051</w:t>
            </w:r>
          </w:p>
        </w:tc>
        <w:tc>
          <w:tcPr>
            <w:tcW w:type="dxa" w:w="1440"/>
            <w:shd w:fill="C6EFCE" w:val="clear"/>
          </w:tcPr>
          <w:p>
            <w:r>
              <w:rPr>
                <w:sz w:val="17"/>
              </w:rPr>
              <w:t>10,163</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7,895</w:t>
            </w:r>
          </w:p>
        </w:tc>
        <w:tc>
          <w:tcPr>
            <w:tcW w:type="dxa" w:w="1440"/>
            <w:shd w:fill="C6EFCE" w:val="clear"/>
          </w:tcPr>
          <w:p>
            <w:r>
              <w:rPr>
                <w:b/>
                <w:sz w:val="17"/>
              </w:rPr>
              <w:t>9,078</w:t>
            </w:r>
          </w:p>
        </w:tc>
        <w:tc>
          <w:tcPr>
            <w:tcW w:type="dxa" w:w="1440"/>
            <w:shd w:fill="C6EFCE" w:val="clear"/>
          </w:tcPr>
          <w:p>
            <w:r>
              <w:rPr>
                <w:sz w:val="17"/>
              </w:rPr>
              <w:t>10,261</w:t>
            </w:r>
          </w:p>
        </w:tc>
        <w:tc>
          <w:tcPr>
            <w:tcW w:type="dxa" w:w="1440"/>
            <w:shd w:fill="C6EFCE" w:val="clear"/>
          </w:tcPr>
          <w:p>
            <w:r>
              <w:rPr>
                <w:b/>
                <w:color w:val="008000"/>
                <w:sz w:val="17"/>
              </w:rPr>
              <w:t>+2.9%</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7,854</w:t>
            </w:r>
          </w:p>
        </w:tc>
        <w:tc>
          <w:tcPr>
            <w:tcW w:type="dxa" w:w="1440"/>
            <w:shd w:fill="C6EFCE" w:val="clear"/>
          </w:tcPr>
          <w:p>
            <w:r>
              <w:rPr>
                <w:b/>
                <w:sz w:val="17"/>
              </w:rPr>
              <w:t>9,105</w:t>
            </w:r>
          </w:p>
        </w:tc>
        <w:tc>
          <w:tcPr>
            <w:tcW w:type="dxa" w:w="1440"/>
            <w:shd w:fill="C6EFCE" w:val="clear"/>
          </w:tcPr>
          <w:p>
            <w:r>
              <w:rPr>
                <w:sz w:val="17"/>
              </w:rPr>
              <w:t>10,355</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Voici le rapport d’analyse structuré pour l’action PALC (PALMCI S.A.)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136,35 milliards FCFA, PALC se positionne comme une valeur de poids moyen sur la BRVM, offrant une liquidité suffisante pour les investisseurs institutionnels. Le Bénéfice Par Action (BPA) de 1 003 FCFA indique que chaque action génère un profit substantiel. Le PER de 8,8x est particulièrement attractif, se situant sous la moyenne historique de la BRVM (8-12x), ce qui suggère que le marché n'intègre pas pleinement le potentiel de bénéfices de la société. Le ratio Price/Book (P/B) de 0,96x est un signal fort de sous-évaluation, le cours étant inférieur à la valeur comptable des actifs nets. Enfin, le ratio EV/EBITDA de 4,3x, très inférieur au seuil de 5x, confirme que l'entreprise est valorisée à un niveau très modeste par rapport à sa capacité à générer des flux de trésorerie opérationnels, renforçant l'idée d'une opportunité de valeur.</w:t>
      </w:r>
    </w:p>
    <w:p>
      <w:pPr>
        <w:spacing w:after="120" w:line="276" w:lineRule="auto"/>
      </w:pPr>
      <w:r>
        <w:t>### **PARTIE 1 : ANALYSE DU COURS — STATISTIQUES ET ÉVOLUTION (100 derniers jours)**</w:t>
      </w:r>
    </w:p>
    <w:p>
      <w:pPr>
        <w:spacing w:after="120" w:line="276" w:lineRule="auto"/>
      </w:pPr>
      <w:r>
        <w:t>Sur les 100 derniers jours, le titre PALC affiche une légère baisse de -1,45%, mais termine la dernière séance sur une note positive de +0,23% à 8 820 FCFA. Le cours a évolué dans une fourchette large de 7 000 à 9 500 FCFA, témoignant d'une volatilité significative. La moyenne du cours sur la période est de 8 464 FCFA, tandis que la médiane est légèrement supérieure à 8 638 FCFA, indiquant une distribution légèrement asymétrique avec une concentration des prix vers le haut de la fourchette. L'écart-type de 573 FCFA et un coefficient de variation de 6,8% révèlent une dispersion modérée des prix autour de la moyenne. Le kurtosis en excès de -0,884 (mésokurtique) indique une distribution proche de la normale, suggérant un faible risque de mouvements extrêmes soudains. Le skewness de -0,139 confirme une distribution quasi symétrique. Enfin, la volatilité annualisée de 38,9% classe le titre dans la catégorie "élevée", ce qui implique un risque de prix important mais aussi un potentiel de rendement accru pour les investisseurs actifs.</w:t>
      </w:r>
    </w:p>
    <w:p>
      <w:pPr>
        <w:spacing w:after="120" w:line="276" w:lineRule="auto"/>
      </w:pPr>
      <w:r>
        <w:t>### **PARTIE 2 : ANALYSE TECHNIQUE DÉTAILLÉE**</w:t>
      </w:r>
    </w:p>
    <w:p>
      <w:pPr>
        <w:spacing w:after="120" w:line="276" w:lineRule="auto"/>
      </w:pPr>
      <w:r>
        <w:t>*   **Moyennes Mobiles**: La Moyenne Mobile à 20 jours (MM20) s'établit à 8 730 FCFA, tandis que la MM50 est à 8 246,9 FCFA. Le cours actuel de 8 820 FCFA est supérieur aux deux moyennes, formant une configuration haussière. Le croisement haussier de la MM20 au-dessus de la MM50 confirme une dynamique positive à court et moyen terme, justifiant la décision d'**Achat**.</w:t>
      </w:r>
    </w:p>
    <w:p>
      <w:pPr>
        <w:spacing w:after="120" w:line="276" w:lineRule="auto"/>
      </w:pPr>
      <w:r>
        <w:t>*   **Bandes de Bollinger**: Le cours se situe à 8 820 FCFA, proche de la borne supérieure (8 973,9 FCFA) et bien au-dessus de la borne inférieure (8 486,1 FCFA). Cette position indique une pression acheteuse soutenue. La largeur des bandes suggère une volatilité stable. Le signal est **Neutre**, car le cours n'a pas encore franchi la bande supérieure, ce qui serait un signe de surachat.</w:t>
      </w:r>
    </w:p>
    <w:p>
      <w:pPr>
        <w:spacing w:after="120" w:line="276" w:lineRule="auto"/>
      </w:pPr>
      <w:r>
        <w:t>*   **MACD**: La ligne MACD (140,3) est passée sous sa ligne de signal (155,3), générant un signal de **Vente**. Cette divergence baissière indique un ralentissement du momentum haussier. Bien que la tendance sous-jacente puisse rester positive, ce croisement est un avertissement technique à court terme.</w:t>
      </w:r>
    </w:p>
    <w:p>
      <w:pPr>
        <w:spacing w:after="120" w:line="276" w:lineRule="auto"/>
      </w:pPr>
      <w:r>
        <w:t>*   **RSI**: Avec une valeur de 53,0, le RSI se situe en zone neutre (entre 30 et 70). Il n'indique ni surachat ni survente, ce qui laisse une marge de manœuvre pour une poursuite de la hausse ou une correction. La décision associée est **Neutre**.</w:t>
      </w:r>
    </w:p>
    <w:p>
      <w:pPr>
        <w:spacing w:after="120" w:line="276" w:lineRule="auto"/>
      </w:pPr>
      <w:r>
        <w:t>*   **Stochastique**: Les lignes %K et %D sont toutes deux à 94,5, soit en zone de surachat très élevée (au-dessus de 80). Ce niveau est un signal de **Vente** fort, indiquant que le cours a fortement augmenté récemment et qu'une consolidation ou un repli technique est probable à très court terme.</w:t>
      </w:r>
    </w:p>
    <w:p>
      <w:pPr>
        <w:spacing w:after="120" w:line="276" w:lineRule="auto"/>
      </w:pPr>
      <w:r>
        <w:t>**Conclusion technique** : Le tableau technique est mitigé. Les moyennes mobiles sont haussières et le RSI est neutre, ce qui soutient la tendance de fond. Cependant, le MACD est passé en signal de vente et le Stochastique est en zone de surachat extrême, suggérant un risque de correction à court terme. La prudence est de mise, et un point d'entrée pourrait se présenter après une consolidation.</w:t>
      </w:r>
    </w:p>
    <w:p>
      <w:pPr>
        <w:spacing w:after="120" w:line="276" w:lineRule="auto"/>
      </w:pPr>
      <w:r>
        <w:t>### **PARTIE 3 : ANALYSE FONDAMENTALE (SECTION CRITIQUE)**</w:t>
      </w:r>
    </w:p>
    <w:p>
      <w:pPr>
        <w:spacing w:after="120" w:line="276" w:lineRule="auto"/>
      </w:pPr>
      <w:r>
        <w:t>En se basant sur les données financières structurées de l'exercice 2025, PALC affiche une santé financière solide. Le chiffre d'affaires a atteint 197,63 milliards FCFA, en croissance de +14,8% par rapport à 2024, porté par une hausse des volumes et des prix. Le résultat net s'élève à 15,509 milliards FCFA, en léger retrait (-2,2%) par rapport à 2024, principalement en raison d'une hausse des charges opérationnelles. La marge nette ressort à 7,8%, tandis que le ROE (Rentabilité des Fonds Propres) est de 10,9%, un niveau correct mais en deçà du seuil d'excellence de 15%. Le bilan est très solide avec une autonomie financière de 71,6% et un endettement quasi nul (ratio d'endettement de 0,56%). Le délai client de 142 jours est un point de vigilance, indiquant un risque de trésorerie lié aux créances. Les rapports trimestriels 2025 confirment cette dynamique : le S1 2025 affichait un résultat net de 22,9 milliards FCFA (+37% vs S1 2024), mais le T3 a montré un ralentissement. Le rapport T1 2026, publié récemment, est alarmant avec un chiffre d'affaires en chute de 27% et un résultat net effondré de 86% à 1,6 milliard FCFA. La direction évoque un "décalage temporel des ventes", ce qui est un risque majeur à surveiller. En conclusion, les fondamentaux 2025 sont robustes, mais les derniers chiffres trimestriels (T1 2026) introduisent une incertitude significative sur la continuité de la performance.</w:t>
      </w:r>
    </w:p>
    <w:p>
      <w:pPr>
        <w:spacing w:after="120" w:line="276" w:lineRule="auto"/>
      </w:pPr>
      <w:r>
        <w:t>### **PARTIE 4 : CONCLUSION D'INVESTISSEMENT**</w:t>
      </w:r>
    </w:p>
    <w:p>
      <w:pPr>
        <w:spacing w:after="120" w:line="276" w:lineRule="auto"/>
      </w:pPr>
      <w:r>
        <w:t>La synthèse globale de l'analyse de PALC révèle un profil contrasté. La **valorisation** (Partie 0) est extrêmement attractive, avec des ratios PER, P/B et EV/EBITDA suggérant une nette sous-évaluation. Le **comportement du cours** (Partie 1) montre une volatilité élevée mais une tendance récente stable, avec des statistiques de distribution normales. Les **signaux techniques** (Partie 2) sont partagés : la tendance des moyennes mobiles est haussière, mais les oscillateurs (MACD, Stochastique) envoient des signaux de vente à court terme, prévenant d'un possible repli. Enfin, les **fondamentaux** (Partie 3) sont solides sur l'exercice 2025, mais le récent rapport T1 2026, avec une chute drastique des résultats, jette un doute sérieux sur la visibilité à court terme. Les **prédictions IA** pour les 10 prochains jours anticipent une légère hausse progressive vers 8 970 FCFA, ce qui contredit les signaux techniques de vente à court terme. Sur la base de cette analyse, la recommandation est **CONSERVER**. La sous-évaluation évidente et les fondamentaux 2025 solides empêchent une vente, mais les signaux techniques mitigés et l'incertitude fondamentale créée par le T1 2026 interdisent un achat. Le niveau de confiance est **Moyen** et le risque global est **Élevé**, principalement en raison de la volatilité des cours de l'huile de palme et de l'incertitude sur les résultats 2026. L'horizon d'investissement optimal est le **moyen terme (3-12 mois)**, en attendant la publication des résultats semestriels 2026 pour confirmer ou infirmer le caractère temporaire de la contre-performance du T1.</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1,280 titres</w:t>
            </w:r>
          </w:p>
        </w:tc>
        <w:tc>
          <w:tcPr>
            <w:tcW w:type="dxa" w:w="2268"/>
            <w:shd w:fill="FFF2CC" w:val="clear"/>
          </w:tcPr>
          <w:p>
            <w:r>
              <w:rPr>
                <w:b/>
                <w:color w:val="503200"/>
                <w:sz w:val="16"/>
              </w:rPr>
              <w:t xml:space="preserve">Cours actuel : </w:t>
            </w:r>
            <w:r>
              <w:rPr>
                <w:color w:val="000000"/>
                <w:sz w:val="17"/>
              </w:rPr>
              <w:t>4,280 FCFA</w:t>
            </w:r>
          </w:p>
          <w:p>
            <w:r>
              <w:rPr>
                <w:b/>
                <w:color w:val="503200"/>
                <w:sz w:val="16"/>
              </w:rPr>
              <w:t xml:space="preserve">Var. 100 jours : </w:t>
            </w:r>
            <w:r>
              <w:rPr>
                <w:b/>
                <w:color w:val="B40000"/>
                <w:sz w:val="17"/>
              </w:rPr>
              <w:t>-2.73%</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9.69% (Moyenne) — μ=4,563 FCFA, σ=442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β=0.2168 (Défensif) — Cov=0.000009, Var(idx)=0.000042, ρ=0.048,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σ_j=2.91%/j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4,142</w:t>
            </w:r>
          </w:p>
        </w:tc>
        <w:tc>
          <w:tcPr>
            <w:tcW w:type="dxa" w:w="1440"/>
            <w:shd w:fill="FAFAFA" w:val="clear"/>
          </w:tcPr>
          <w:p>
            <w:r>
              <w:rPr>
                <w:b/>
                <w:sz w:val="17"/>
              </w:rPr>
              <w:t>4,312</w:t>
            </w:r>
          </w:p>
        </w:tc>
        <w:tc>
          <w:tcPr>
            <w:tcW w:type="dxa" w:w="1440"/>
            <w:shd w:fill="FAFAFA" w:val="clear"/>
          </w:tcPr>
          <w:p>
            <w:r>
              <w:rPr>
                <w:sz w:val="17"/>
              </w:rPr>
              <w:t>4,483</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4,042</w:t>
            </w:r>
          </w:p>
        </w:tc>
        <w:tc>
          <w:tcPr>
            <w:tcW w:type="dxa" w:w="1440"/>
            <w:shd w:fill="FAFAFA" w:val="clear"/>
          </w:tcPr>
          <w:p>
            <w:r>
              <w:rPr>
                <w:b/>
                <w:sz w:val="17"/>
              </w:rPr>
              <w:t>4,282</w:t>
            </w:r>
          </w:p>
        </w:tc>
        <w:tc>
          <w:tcPr>
            <w:tcW w:type="dxa" w:w="1440"/>
            <w:shd w:fill="FAFAFA" w:val="clear"/>
          </w:tcPr>
          <w:p>
            <w:r>
              <w:rPr>
                <w:sz w:val="17"/>
              </w:rPr>
              <w:t>4,522</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3,971</w:t>
            </w:r>
          </w:p>
        </w:tc>
        <w:tc>
          <w:tcPr>
            <w:tcW w:type="dxa" w:w="1440"/>
            <w:shd w:fill="FAFAFA" w:val="clear"/>
          </w:tcPr>
          <w:p>
            <w:r>
              <w:rPr>
                <w:b/>
                <w:sz w:val="17"/>
              </w:rPr>
              <w:t>4,263</w:t>
            </w:r>
          </w:p>
        </w:tc>
        <w:tc>
          <w:tcPr>
            <w:tcW w:type="dxa" w:w="1440"/>
            <w:shd w:fill="FAFAFA" w:val="clear"/>
          </w:tcPr>
          <w:p>
            <w:r>
              <w:rPr>
                <w:sz w:val="17"/>
              </w:rPr>
              <w:t>4,555</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3,909</w:t>
            </w:r>
          </w:p>
        </w:tc>
        <w:tc>
          <w:tcPr>
            <w:tcW w:type="dxa" w:w="1440"/>
            <w:shd w:fill="FAFAFA" w:val="clear"/>
          </w:tcPr>
          <w:p>
            <w:r>
              <w:rPr>
                <w:b/>
                <w:sz w:val="17"/>
              </w:rPr>
              <w:t>4,245</w:t>
            </w:r>
          </w:p>
        </w:tc>
        <w:tc>
          <w:tcPr>
            <w:tcW w:type="dxa" w:w="1440"/>
            <w:shd w:fill="FAFAFA" w:val="clear"/>
          </w:tcPr>
          <w:p>
            <w:r>
              <w:rPr>
                <w:sz w:val="17"/>
              </w:rPr>
              <w:t>4,581</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3,853</w:t>
            </w:r>
          </w:p>
        </w:tc>
        <w:tc>
          <w:tcPr>
            <w:tcW w:type="dxa" w:w="1440"/>
            <w:shd w:fill="FAFAFA" w:val="clear"/>
          </w:tcPr>
          <w:p>
            <w:r>
              <w:rPr>
                <w:b/>
                <w:sz w:val="17"/>
              </w:rPr>
              <w:t>4,227</w:t>
            </w:r>
          </w:p>
        </w:tc>
        <w:tc>
          <w:tcPr>
            <w:tcW w:type="dxa" w:w="1440"/>
            <w:shd w:fill="FAFAFA" w:val="clear"/>
          </w:tcPr>
          <w:p>
            <w:r>
              <w:rPr>
                <w:sz w:val="17"/>
              </w:rPr>
              <w:t>4,601</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3,801</w:t>
            </w:r>
          </w:p>
        </w:tc>
        <w:tc>
          <w:tcPr>
            <w:tcW w:type="dxa" w:w="1440"/>
            <w:shd w:fill="FAFAFA" w:val="clear"/>
          </w:tcPr>
          <w:p>
            <w:r>
              <w:rPr>
                <w:b/>
                <w:sz w:val="17"/>
              </w:rPr>
              <w:t>4,209</w:t>
            </w:r>
          </w:p>
        </w:tc>
        <w:tc>
          <w:tcPr>
            <w:tcW w:type="dxa" w:w="1440"/>
            <w:shd w:fill="FAFAFA" w:val="clear"/>
          </w:tcPr>
          <w:p>
            <w:r>
              <w:rPr>
                <w:sz w:val="17"/>
              </w:rPr>
              <w:t>4,617</w:t>
            </w:r>
          </w:p>
        </w:tc>
        <w:tc>
          <w:tcPr>
            <w:tcW w:type="dxa" w:w="1440"/>
            <w:shd w:fill="FAFAFA" w:val="clear"/>
          </w:tcPr>
          <w:p>
            <w:r>
              <w:rPr>
                <w:b/>
                <w:color w:val="C00000"/>
                <w:sz w:val="17"/>
              </w:rPr>
              <w:t>-1.7%</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3,752</w:t>
            </w:r>
          </w:p>
        </w:tc>
        <w:tc>
          <w:tcPr>
            <w:tcW w:type="dxa" w:w="1440"/>
            <w:shd w:fill="FFDCE0" w:val="clear"/>
          </w:tcPr>
          <w:p>
            <w:r>
              <w:rPr>
                <w:b/>
                <w:sz w:val="17"/>
              </w:rPr>
              <w:t>4,191</w:t>
            </w:r>
          </w:p>
        </w:tc>
        <w:tc>
          <w:tcPr>
            <w:tcW w:type="dxa" w:w="1440"/>
            <w:shd w:fill="FFDCE0" w:val="clear"/>
          </w:tcPr>
          <w:p>
            <w:r>
              <w:rPr>
                <w:sz w:val="17"/>
              </w:rPr>
              <w:t>4,630</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3,706</w:t>
            </w:r>
          </w:p>
        </w:tc>
        <w:tc>
          <w:tcPr>
            <w:tcW w:type="dxa" w:w="1440"/>
            <w:shd w:fill="FFDCE0" w:val="clear"/>
          </w:tcPr>
          <w:p>
            <w:r>
              <w:rPr>
                <w:b/>
                <w:sz w:val="17"/>
              </w:rPr>
              <w:t>4,174</w:t>
            </w:r>
          </w:p>
        </w:tc>
        <w:tc>
          <w:tcPr>
            <w:tcW w:type="dxa" w:w="1440"/>
            <w:shd w:fill="FFDCE0" w:val="clear"/>
          </w:tcPr>
          <w:p>
            <w:r>
              <w:rPr>
                <w:sz w:val="17"/>
              </w:rPr>
              <w:t>4,641</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3,663</w:t>
            </w:r>
          </w:p>
        </w:tc>
        <w:tc>
          <w:tcPr>
            <w:tcW w:type="dxa" w:w="1440"/>
            <w:shd w:fill="FFDCE0" w:val="clear"/>
          </w:tcPr>
          <w:p>
            <w:r>
              <w:rPr>
                <w:b/>
                <w:sz w:val="17"/>
              </w:rPr>
              <w:t>4,157</w:t>
            </w:r>
          </w:p>
        </w:tc>
        <w:tc>
          <w:tcPr>
            <w:tcW w:type="dxa" w:w="1440"/>
            <w:shd w:fill="FFDCE0" w:val="clear"/>
          </w:tcPr>
          <w:p>
            <w:r>
              <w:rPr>
                <w:sz w:val="17"/>
              </w:rPr>
              <w:t>4,650</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3,622</w:t>
            </w:r>
          </w:p>
        </w:tc>
        <w:tc>
          <w:tcPr>
            <w:tcW w:type="dxa" w:w="1440"/>
            <w:shd w:fill="FFDCE0" w:val="clear"/>
          </w:tcPr>
          <w:p>
            <w:r>
              <w:rPr>
                <w:b/>
                <w:sz w:val="17"/>
              </w:rPr>
              <w:t>4,140</w:t>
            </w:r>
          </w:p>
        </w:tc>
        <w:tc>
          <w:tcPr>
            <w:tcW w:type="dxa" w:w="1440"/>
            <w:shd w:fill="FFDCE0" w:val="clear"/>
          </w:tcPr>
          <w:p>
            <w:r>
              <w:rPr>
                <w:sz w:val="17"/>
              </w:rPr>
              <w:t>4,658</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Absolument. Voici le rapport d'analyse structuré pour l'action PRSC (Tractafric Motors Côte d'Ivoire), réalisé selon vos instructions.</w:t>
      </w:r>
    </w:p>
    <w:p>
      <w:pPr>
        <w:spacing w:after="120" w:line="276" w:lineRule="auto"/>
      </w:pPr>
      <w:r>
        <w:t>---</w:t>
      </w:r>
    </w:p>
    <w:p>
      <w:pPr>
        <w:spacing w:after="120" w:line="276" w:lineRule="auto"/>
      </w:pPr>
      <w:r>
        <w:t>### **Rapport d'Analyse Financière – PRSC (Tractafric Motors Côte d'Ivoire)**</w:t>
      </w:r>
    </w:p>
    <w:p>
      <w:pPr>
        <w:spacing w:after="120" w:line="276" w:lineRule="auto"/>
      </w:pPr>
      <w:r>
        <w:t>**Date de l'analyse : 16 mars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43,83 milliards FCFA, PRSC se positionne comme une valeur de taille moyenne sur le marché de la BRVM. Le Bénéfice Par Action (BPA) de 231 FCFA indique que chaque action a généré un profit de ce montant sur l'exercice 2025. Le PER de 18,5x est supérieur à la moyenne historique de la BRVM (8-12x), ce qui suggère que les investisseurs acceptent de payer une prime pour détenir le titre, probablement en raison de sa position de leader sur le marché automobile ivoirien et de ses perspectives de croissance. Le Price-to-Book (P/B) de 3,80x, situé dans la fourchette de 2 à 4 fois, confirme cette prime de valorisation par rapport aux capitaux propres comptables. Enfin, le ratio EV/EBITDA de 9,5x, dans la zone haute de la fourchette raisonnable (5-10x), indique que la valeur d'entreprise est correctement calibrée par rapport à la capacité bénéficiaire opérationnelle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 enregistré une variation totale de -2,73%, avec une accélération baissière notable lors de la dernière séance (-2,51%), clôturant à 4 280 FCFA. Le cours a évolué dans une fourchette large de 3 620 FCFA (plus bas) à 5 500 FCFA (plus haut), illustrant une volatilité significative. La moyenne du cours sur la période est de 4 563 FCFA, tandis que la médiane est de 4 600 FCFA. La proximité de ces deux valeurs, couplée à un skewness de -0,297, indique une distribution quasi-symétrique des prix, sans biais directionnel majeur. L'écart-type de 444 FCFA, correspondant à un coefficient de variation de 9,7%, révèle une dispersion modérée des cours autour de la moyenne. Le kurtosis (excès) de -0,188, proche de zéro, confirme une distribution mésokurtique, similaire à une distribution normale, ce qui signifie que les mouvements extrêmes ne sont pas plus fréquents que la normale. Enfin, la volatilité annualisée de 46,3% classe le titre dans la catégorie des valeurs à volatilité élevée (&gt;30%), ce qui implique un risque de prix important pour l'investisseur.</w:t>
      </w:r>
    </w:p>
    <w:p>
      <w:pPr>
        <w:spacing w:after="120" w:line="276" w:lineRule="auto"/>
      </w:pPr>
      <w:r>
        <w:t>---</w:t>
      </w:r>
    </w:p>
    <w:p>
      <w:pPr>
        <w:spacing w:after="120" w:line="276" w:lineRule="auto"/>
      </w:pPr>
      <w:r>
        <w:t>### PARTIE 2 : ANALYSE TECHNIQUE DÉTAILLÉE</w:t>
      </w:r>
    </w:p>
    <w:p>
      <w:pPr>
        <w:spacing w:after="120" w:line="276" w:lineRule="auto"/>
      </w:pPr>
      <w:r>
        <w:t>- **Moyennes Mobiles** : Le cours actuel de 4 280 FCFA se situe en dessous de la moyenne mobile à 20 jours (MM20 à 4 515,25 FCFA) mais au-dessus de la moyenne mobile à 50 jours (MM50 à 4 263,3 FCFA). Cette configuration, où le cours est entre les deux moyennes, génère un signal d'achat selon les données, car la MM50 agit comme un support solide à court terme, suggérant que la tendance de fond reste positive malgré le récent repli.</w:t>
      </w:r>
    </w:p>
    <w:p>
      <w:pPr>
        <w:spacing w:after="120" w:line="276" w:lineRule="auto"/>
      </w:pPr>
      <w:r>
        <w:t>- **Bandes de Bollinger** : Le cours (4 280 FCFA) est proche de la borne inférieure des bandes de Bollinger (4 150,5 FCFA), indiquant que le titre est en territoire de survente relative. La décision est neutre, car si le cours touche ou franchit la borne inférieure, cela pourrait signaler un rebond technique imminent. La largeur des bandes reflète la volatilité élevée mentionnée précédemment.</w:t>
      </w:r>
    </w:p>
    <w:p>
      <w:pPr>
        <w:spacing w:after="120" w:line="276" w:lineRule="auto"/>
      </w:pPr>
      <w:r>
        <w:t>- **MACD** : Le MACD (24,196) est passé en dessous de sa ligne de signal (62,375), générant un signal de vente. Cette divergence baissière indique un affaiblissement du momentum haussier et une pression vendeuse accrue à court terme. C'est le signal technique le plus préoccupant actuellement.</w:t>
      </w:r>
    </w:p>
    <w:p>
      <w:pPr>
        <w:spacing w:after="120" w:line="276" w:lineRule="auto"/>
      </w:pPr>
      <w:r>
        <w:t>- **RSI** : Le RSI est à 18,797, ce qui est très en dessous du seuil de 30. Cela place le titre en zone de survente extrême. La décision d'achat qui en découle suggère que le mouvement de baisse est probablement excessif et qu'un rebond technique correctif est à prévoir.</w:t>
      </w:r>
    </w:p>
    <w:p>
      <w:pPr>
        <w:spacing w:after="120" w:line="276" w:lineRule="auto"/>
      </w:pPr>
      <w:r>
        <w:t>- **Stochastique** : Le %K et le %D sont tous deux à 0,0, ce qui est une configuration extrême de survente. Cela renforce le signal du RSI et indique que le titre est au plus bas de sa fourchette de trading récente, avec un potentiel de rebond élevé.</w:t>
      </w:r>
    </w:p>
    <w:p>
      <w:pPr>
        <w:spacing w:after="120" w:line="276" w:lineRule="auto"/>
      </w:pPr>
      <w:r>
        <w:t>**Conclusion technique** : Les indicateurs techniques sont fortement divergents. D'un côté, le MACD émet un signal de vente clair, confirmant la tendance baissière récente. De l'autre, le RSI et le Stochastique sont en zone de survente extrême, suggérant que la pression vendeuse est épuisée à court terme et qu'un rebond technique est probable. Cette configuration contradictoire plaide pour une prudence immédiate, mais ouvre la voie à une possible opportunité d'achat à contre-courant pour les traders aguerris.</w:t>
      </w:r>
    </w:p>
    <w:p>
      <w:pPr>
        <w:spacing w:after="120" w:line="276" w:lineRule="auto"/>
      </w:pPr>
      <w:r>
        <w:t>---</w:t>
      </w:r>
    </w:p>
    <w:p>
      <w:pPr>
        <w:spacing w:after="120" w:line="276" w:lineRule="auto"/>
      </w:pPr>
      <w:r>
        <w:t>### PARTIE 3 : ANALYSE FONDAMENTALE (SECTION CRITIQUE)</w:t>
      </w:r>
    </w:p>
    <w:p>
      <w:pPr>
        <w:spacing w:after="120" w:line="276" w:lineRule="auto"/>
      </w:pPr>
      <w:r>
        <w:t>L'analyse des données financières structurées pour l'exercice 2025 révèle une entreprise en bonne santé. Le chiffre d'affaires s'établit à 81,127 milliards FCFA, en croissance de 9,5% par rapport à 2024, pour un résultat net de 2,367 milliards FCFA. La rentabilité est solide avec un ROE de 20,53% (excellent, &gt;15%) et un ROA de 4,95%. En tant qu'entreprise de distribution automobile, l'analyse du BFR est cruciale. Le BFR s'élève à 11,267 milliards FCFA, un montant significatif mais à relativiser. Le délai de paiement des clients est de 46 jours, tandis que le délai de règlement des fournisseurs est de 103 jours, ce qui est très favorable pour la trésorerie. Cependant, la durée de stockage de 151 jours est élevée et représente une immobilisation de capital importante. Les rapports narratifs confirment cette tendance. Le rapport d'activité du S1 2025 (daté du 30 juin 2025) fait état d'une performance exceptionnelle avec un CA en hausse de +15,1% et un résultat net multiplié par 28 par rapport au S1 2024. Sur la base de cette performance semestrielle, on estime que l'exercice 2025 a bénéficié d'une forte impulsion commerciale, notamment sur les véhicules industriels et les pneumatiques. Cependant, le rapport annuel 2025 (daté du 31 décembre 2025) tempère cet optimisme en montrant une marge nette modeste de 2,9% et une trésorerie nette négative de -4,092 milliards FCFA, un point de vigilance. La structure financière reste saine avec un ratio de solvabilité de 131,76% et une capacité de remboursement de la dette en 1,83 an. En conclusion, les fondamentaux sont solides, portés par une croissance du CA et une rentabilité des capitaux propres élevée, mais la gestion du BFR et la pression sur la trésorerie restent des risques à surveiller.</w:t>
      </w:r>
    </w:p>
    <w:p>
      <w:pPr>
        <w:spacing w:after="120" w:line="276" w:lineRule="auto"/>
      </w:pPr>
      <w:r>
        <w:t>---</w:t>
      </w:r>
    </w:p>
    <w:p>
      <w:pPr>
        <w:spacing w:after="120" w:line="276" w:lineRule="auto"/>
      </w:pPr>
      <w:r>
        <w:t>### PARTIE 4 : CONCLUSION D'INVESTISSEMENT</w:t>
      </w:r>
    </w:p>
    <w:p>
      <w:pPr>
        <w:spacing w:after="120" w:line="276" w:lineRule="auto"/>
      </w:pPr>
      <w:r>
        <w:t>En synthèse, l'analyse de PRSC révèle un profil contrasté. La **valorisation** (Partie 0) est exigeante avec un PER de 18,5x, reflétant une prime de croissance qui semble justifiée par les fondamentaux. Le **comportement du cours** (Partie 1) montre une tendance baissière récente avec une volatilité élevée, mais une distribution statistique normale des prix. Les **signaux techniques** (Partie 2) sont en conflit : le MACD est vendeur, tandis que le RSI et le Stochastique sont en survente extrême, suggérant un possible rebond. Les **fondamentaux** (Partie 3) sont solides, avec une croissance du chiffre d'affaires et un ROE excellent, mais la trésorerie nette négative est un point d'attention. Enfin, les **prédictions IA** pour les 10 prochains jours anticipent une poursuite de la baisse, de 4 312 à 4 227 FCFA, ce qui contredit les signaux de survente technique mais confirme le signal du MACD. Sur la base de cette synthèse, la convergence entre la valorisation élevée, les signaux techniques baissiers (MACD) et les prédictions IA l'emporte sur les signaux de survente à court terme. Nous recommandons donc une position de **CONSERVER** pour les investisseurs déjà en portefeuille, avec un niveau de confiance **Moyen**. Le risque global est **Élevé** en raison de la volatilité. Pour les nouveaux entrants, il est conseillé d'attendre un signal de retournement technique clair (croisement haussier du MACD ou cassure des moyennes mobiles) avant d'envisager une position à l'achat. L'horizon d'investissement optimal est le **moyen terme (3-12 mois)**, le temps que la dynamique technique s'aligne sur les fondamentaux solides de l'entreprise.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34.67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7,098 titres</w:t>
            </w:r>
          </w:p>
        </w:tc>
        <w:tc>
          <w:tcPr>
            <w:tcW w:type="dxa" w:w="2268"/>
            <w:shd w:fill="FFF2CC" w:val="clear"/>
          </w:tcPr>
          <w:p>
            <w:r>
              <w:rPr>
                <w:b/>
                <w:color w:val="503200"/>
                <w:sz w:val="16"/>
              </w:rPr>
              <w:t xml:space="preserve">Cours actuel : </w:t>
            </w:r>
            <w:r>
              <w:rPr>
                <w:color w:val="000000"/>
                <w:sz w:val="17"/>
              </w:rPr>
              <w:t>4,270 FCFA</w:t>
            </w:r>
          </w:p>
          <w:p>
            <w:r>
              <w:rPr>
                <w:b/>
                <w:color w:val="503200"/>
                <w:sz w:val="16"/>
              </w:rPr>
              <w:t xml:space="preserve">Var. 100 jours : </w:t>
            </w:r>
            <w:r>
              <w:rPr>
                <w:b/>
                <w:color w:val="007800"/>
                <w:sz w:val="17"/>
              </w:rPr>
              <w:t>+9.91%</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32.0/100 → Moyen</w:t>
      </w:r>
    </w:p>
    <w:p>
      <w:pPr>
        <w:spacing w:before="40" w:after="80"/>
      </w:pPr>
      <w:r>
        <w:rPr>
          <w:rFonts w:ascii="Courier New" w:hAnsi="Courier New"/>
          <w:color w:val="825A00"/>
          <w:sz w:val="18"/>
        </w:rPr>
        <w:t>██████░░░░░░░░░░░░░░  32.0/100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24.26% (Élevée) — μ=4,868 FCFA, σ=1,181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β=1.1530 (Neutre (suit le marché)) — Cov=0.000048, Var(idx)=0.000042, ρ=0.133,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7,098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σ_j=5.55%/j (Instable) — Vol. annualisée≈88.0%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3,735</w:t>
            </w:r>
          </w:p>
        </w:tc>
        <w:tc>
          <w:tcPr>
            <w:tcW w:type="dxa" w:w="1440"/>
            <w:shd w:fill="FFDCE0" w:val="clear"/>
          </w:tcPr>
          <w:p>
            <w:r>
              <w:rPr>
                <w:b/>
                <w:sz w:val="17"/>
              </w:rPr>
              <w:t>3,950</w:t>
            </w:r>
          </w:p>
        </w:tc>
        <w:tc>
          <w:tcPr>
            <w:tcW w:type="dxa" w:w="1440"/>
            <w:shd w:fill="FFDCE0" w:val="clear"/>
          </w:tcPr>
          <w:p>
            <w:r>
              <w:rPr>
                <w:sz w:val="17"/>
              </w:rPr>
              <w:t>4,164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3,373</w:t>
            </w:r>
          </w:p>
        </w:tc>
        <w:tc>
          <w:tcPr>
            <w:tcW w:type="dxa" w:w="1440"/>
            <w:shd w:fill="FFDCE0" w:val="clear"/>
          </w:tcPr>
          <w:p>
            <w:r>
              <w:rPr>
                <w:b/>
                <w:sz w:val="17"/>
              </w:rPr>
              <w:t>3,654</w:t>
            </w:r>
          </w:p>
        </w:tc>
        <w:tc>
          <w:tcPr>
            <w:tcW w:type="dxa" w:w="1440"/>
            <w:shd w:fill="FFDCE0" w:val="clear"/>
          </w:tcPr>
          <w:p>
            <w:r>
              <w:rPr>
                <w:sz w:val="17"/>
              </w:rPr>
              <w:t>3,934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3,061</w:t>
            </w:r>
          </w:p>
        </w:tc>
        <w:tc>
          <w:tcPr>
            <w:tcW w:type="dxa" w:w="1440"/>
            <w:shd w:fill="FFDCE0" w:val="clear"/>
          </w:tcPr>
          <w:p>
            <w:r>
              <w:rPr>
                <w:b/>
                <w:sz w:val="17"/>
              </w:rPr>
              <w:t>3,380</w:t>
            </w:r>
          </w:p>
        </w:tc>
        <w:tc>
          <w:tcPr>
            <w:tcW w:type="dxa" w:w="1440"/>
            <w:shd w:fill="FFDCE0" w:val="clear"/>
          </w:tcPr>
          <w:p>
            <w:r>
              <w:rPr>
                <w:sz w:val="17"/>
              </w:rPr>
              <w:t>3,698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2,786</w:t>
            </w:r>
          </w:p>
        </w:tc>
        <w:tc>
          <w:tcPr>
            <w:tcW w:type="dxa" w:w="1440"/>
            <w:shd w:fill="FFDCE0" w:val="clear"/>
          </w:tcPr>
          <w:p>
            <w:r>
              <w:rPr>
                <w:b/>
                <w:sz w:val="17"/>
              </w:rPr>
              <w:t>3,126</w:t>
            </w:r>
          </w:p>
        </w:tc>
        <w:tc>
          <w:tcPr>
            <w:tcW w:type="dxa" w:w="1440"/>
            <w:shd w:fill="FFDCE0" w:val="clear"/>
          </w:tcPr>
          <w:p>
            <w:r>
              <w:rPr>
                <w:sz w:val="17"/>
              </w:rPr>
              <w:t>3,466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2,540</w:t>
            </w:r>
          </w:p>
        </w:tc>
        <w:tc>
          <w:tcPr>
            <w:tcW w:type="dxa" w:w="1440"/>
            <w:shd w:fill="FFDCE0" w:val="clear"/>
          </w:tcPr>
          <w:p>
            <w:r>
              <w:rPr>
                <w:b/>
                <w:sz w:val="17"/>
              </w:rPr>
              <w:t>2,892</w:t>
            </w:r>
          </w:p>
        </w:tc>
        <w:tc>
          <w:tcPr>
            <w:tcW w:type="dxa" w:w="1440"/>
            <w:shd w:fill="FFDCE0" w:val="clear"/>
          </w:tcPr>
          <w:p>
            <w:r>
              <w:rPr>
                <w:sz w:val="17"/>
              </w:rPr>
              <w:t>3,243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2,319</w:t>
            </w:r>
          </w:p>
        </w:tc>
        <w:tc>
          <w:tcPr>
            <w:tcW w:type="dxa" w:w="1440"/>
            <w:shd w:fill="FFDCE0" w:val="clear"/>
          </w:tcPr>
          <w:p>
            <w:r>
              <w:rPr>
                <w:b/>
                <w:sz w:val="17"/>
              </w:rPr>
              <w:t>2,675</w:t>
            </w:r>
          </w:p>
        </w:tc>
        <w:tc>
          <w:tcPr>
            <w:tcW w:type="dxa" w:w="1440"/>
            <w:shd w:fill="FFDCE0" w:val="clear"/>
          </w:tcPr>
          <w:p>
            <w:r>
              <w:rPr>
                <w:sz w:val="17"/>
              </w:rPr>
              <w:t>3,031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2,118</w:t>
            </w:r>
          </w:p>
        </w:tc>
        <w:tc>
          <w:tcPr>
            <w:tcW w:type="dxa" w:w="1440"/>
            <w:shd w:fill="FFDCE0" w:val="clear"/>
          </w:tcPr>
          <w:p>
            <w:r>
              <w:rPr>
                <w:b/>
                <w:sz w:val="17"/>
              </w:rPr>
              <w:t>2,474</w:t>
            </w:r>
          </w:p>
        </w:tc>
        <w:tc>
          <w:tcPr>
            <w:tcW w:type="dxa" w:w="1440"/>
            <w:shd w:fill="FFDCE0" w:val="clear"/>
          </w:tcPr>
          <w:p>
            <w:r>
              <w:rPr>
                <w:sz w:val="17"/>
              </w:rPr>
              <w:t>2,830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1,937</w:t>
            </w:r>
          </w:p>
        </w:tc>
        <w:tc>
          <w:tcPr>
            <w:tcW w:type="dxa" w:w="1440"/>
            <w:shd w:fill="FFDCE0" w:val="clear"/>
          </w:tcPr>
          <w:p>
            <w:r>
              <w:rPr>
                <w:b/>
                <w:sz w:val="17"/>
              </w:rPr>
              <w:t>2,289</w:t>
            </w:r>
          </w:p>
        </w:tc>
        <w:tc>
          <w:tcPr>
            <w:tcW w:type="dxa" w:w="1440"/>
            <w:shd w:fill="FFDCE0" w:val="clear"/>
          </w:tcPr>
          <w:p>
            <w:r>
              <w:rPr>
                <w:sz w:val="17"/>
              </w:rPr>
              <w:t>2,640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1,772</w:t>
            </w:r>
          </w:p>
        </w:tc>
        <w:tc>
          <w:tcPr>
            <w:tcW w:type="dxa" w:w="1440"/>
            <w:shd w:fill="FFDCE0" w:val="clear"/>
          </w:tcPr>
          <w:p>
            <w:r>
              <w:rPr>
                <w:b/>
                <w:sz w:val="17"/>
              </w:rPr>
              <w:t>2,117</w:t>
            </w:r>
          </w:p>
        </w:tc>
        <w:tc>
          <w:tcPr>
            <w:tcW w:type="dxa" w:w="1440"/>
            <w:shd w:fill="FFDCE0" w:val="clear"/>
          </w:tcPr>
          <w:p>
            <w:r>
              <w:rPr>
                <w:sz w:val="17"/>
              </w:rPr>
              <w:t>2,462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1,622</w:t>
            </w:r>
          </w:p>
        </w:tc>
        <w:tc>
          <w:tcPr>
            <w:tcW w:type="dxa" w:w="1440"/>
            <w:shd w:fill="FFDCE0" w:val="clear"/>
          </w:tcPr>
          <w:p>
            <w:r>
              <w:rPr>
                <w:b/>
                <w:sz w:val="17"/>
              </w:rPr>
              <w:t>1,958</w:t>
            </w:r>
          </w:p>
        </w:tc>
        <w:tc>
          <w:tcPr>
            <w:tcW w:type="dxa" w:w="1440"/>
            <w:shd w:fill="FFDCE0" w:val="clear"/>
          </w:tcPr>
          <w:p>
            <w:r>
              <w:rPr>
                <w:sz w:val="17"/>
              </w:rPr>
              <w:t>2,295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Absolument. Voici le rapport d'analyse structuré pour l'action SAFC (Alios Finance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La valorisation boursière de SAFC est extrêmement exigeante et reflète un fort pari sur le redressement futur de la société. Avec une capitalisation de 34,67 milliards FCFA et un BPA de seulement 86 FCFA, le PER ressort à 49,5x, soit près de 5 fois la moyenne historique de la BRVM (8-12x). Cela indique que les investisseurs paient une prime très élevée pour un bénéfice actuel modeste, ce qui est caractéristique d'une valeur de retournement spéculative. Le Price-to-Book (P/B) de 5,86x confirme cette surévaluation relative, le cours de bourse étant près de 6 fois supérieur à la valeur comptable par action, ce qui est rare pour une banque. Enfin, un EV/EBITDA de 73,9x est un signal d'alarme majeur, suggérant que la valeur d'entreprise est déconnectée de la capacité bénéficiaire opérationnelle brute actuelle. Ces ratios imposent une prudence extrême et ne peuvent se justifier que par une anticipation de croissance des bénéfices très forte et durable.</w:t>
      </w:r>
    </w:p>
    <w:p>
      <w:pPr>
        <w:spacing w:after="120" w:line="276" w:lineRule="auto"/>
      </w:pPr>
      <w:r>
        <w:t>### **PARTIE 1 : ANALYSE DU COURS — STATISTIQUES ET ÉVOLUTION (100 derniers jours)**</w:t>
      </w:r>
    </w:p>
    <w:p>
      <w:pPr>
        <w:spacing w:after="120" w:line="276" w:lineRule="auto"/>
      </w:pPr>
      <w:r>
        <w:t>Sur les 100 derniers jours, le titre SAFC affiche une performance positive de +9,91%, avec une accélération notable lors de la dernière séance (+3,52% à 4 270 FCFA). Cependant, cette performance masque une volatilité extrême, le cours ayant oscillé entre un plus bas de 3 340 FCFA et un plus haut de 7 555 FCFA, soit une amplitude de plus de 126%. La moyenne du cours sur la période (4 868 FCFA) est supérieure à la médiane (4 505 FCFA), ce qui, combiné à un skewness positif de 0,675, indique que les fortes hausses ponctuelles tirent la moyenne vers le haut, mais que la majorité des séances se situent sous cette moyenne. L'écart-type élevé (1 187 FCFA) et le coefficient de variation de 24,4% confirment une dispersion importante du cours. Le kurtosis proche de zéro (-0,732) suggère une distribution des rendements proche de la normale, sans risque de "gros mouvements" statistiquement plus fréquent que la normale. Enfin, la volatilité annualisée de 88% classe le titre dans la catégorie des actifs à très haut risque, bien au-delà du seuil des 30%.</w:t>
      </w:r>
    </w:p>
    <w:p>
      <w:pPr>
        <w:spacing w:after="120" w:line="276" w:lineRule="auto"/>
      </w:pPr>
      <w:r>
        <w:t>### **PARTIE 2 : ANALYSE TECHNIQUE DÉTAILLÉE**</w:t>
      </w:r>
    </w:p>
    <w:p>
      <w:pPr>
        <w:spacing w:after="120" w:line="276" w:lineRule="auto"/>
      </w:pPr>
      <w:r>
        <w:t>*   **Moyennes Mobiles**: Le cours actuel (4 270 FCFA) se situe au-dessus de la MM50 (3 994,1 FCFA) mais en dessous de la MM20 (4 402 FCFA). Cette configuration est mitigée : la tendance de fond (MM50) reste haussière, mais le récent repli sous la moyenne court terme (MM20) signale un essoufflement du momentum haussier immédiat, justifiant une décision d'**Achat** prudent mais avec un biais de court terme baissier.</w:t>
      </w:r>
    </w:p>
    <w:p>
      <w:pPr>
        <w:spacing w:after="120" w:line="276" w:lineRule="auto"/>
      </w:pPr>
      <w:r>
        <w:t>*   **Bandes de Bollinger**: Le cours à 4 270 FCFA se situe dans la partie médiane des bandes, entre la borne inférieure (3 795,9 FCFA) et la borne supérieure (5 008,1 FCFA). Le resserrement des bandes après la forte volatilité passée indique une phase de consolidation. La position neutre du cours suggère une absence de tendance directionnelle forte à très court terme, d'où une décision **Neutre**.</w:t>
      </w:r>
    </w:p>
    <w:p>
      <w:pPr>
        <w:spacing w:after="120" w:line="276" w:lineRule="auto"/>
      </w:pPr>
      <w:r>
        <w:t>*   **MACD**: La ligne MACD (62,85) est passée sous sa ligne de signal (102,76), formant un croisement baissier. Ce signal indique un ralentissement du momentum haussier et une possible poursuite du mouvement de correction. La décision de **Vente** est cohérente avec ce signal de retournement à court terme.</w:t>
      </w:r>
    </w:p>
    <w:p>
      <w:pPr>
        <w:spacing w:after="120" w:line="276" w:lineRule="auto"/>
      </w:pPr>
      <w:r>
        <w:t>*   **RSI**: Avec une valeur de 43,1, le RSI se situe en zone neutre, en dessous du seuil des 50. Cela indique que le titre n'est ni suracheté ni survendu, mais que la dynamique haussière s'est affaiblie. La décision **Neutre** reflète l'absence de signal directionnel fort de la part de cet oscillateur.</w:t>
      </w:r>
    </w:p>
    <w:p>
      <w:pPr>
        <w:spacing w:after="120" w:line="276" w:lineRule="auto"/>
      </w:pPr>
      <w:r>
        <w:t>*   **Stochastique**: Le %K (21,3) est très bas et en dessous de sa moyenne %D (7,1). Bien que les deux lignes soient en zone de survente (&lt;20), le %K n'a pas encore recroisé le %D à la hausse, ce qui empêche de valider un signal d'achat. La configuration est donc **Neutre**, en attendant un croisement haussier pour confirmer un rebond technique.</w:t>
      </w:r>
    </w:p>
    <w:p>
      <w:pPr>
        <w:spacing w:after="120" w:line="276" w:lineRule="auto"/>
      </w:pPr>
      <w:r>
        <w:t>**Conclusion technique**: Les indicateurs techniques envoient des signaux contradictoires. Les moyennes mobiles et le MACD pointent vers une faiblesse à court terme, tandis que le RSI et le Stochastique, bien que neutres, suggèrent que le titre approche d'une zone de possible rebond. La configuration d'ensemble est celle d'une **consolidation baissière** après une forte hausse. Un investisseur technique attendra un signal d'achat clair (ex: franchissement de la MM20 ou croisement haussier du Stochastique) avant de se positionner.</w:t>
      </w:r>
    </w:p>
    <w:p>
      <w:pPr>
        <w:spacing w:after="120" w:line="276" w:lineRule="auto"/>
      </w:pPr>
      <w:r>
        <w:t>### **PARTIE 3 : ANALYSE FONDAMENTALE (SECTION CRITIQUE)**</w:t>
      </w:r>
    </w:p>
    <w:p>
      <w:pPr>
        <w:spacing w:after="120" w:line="276" w:lineRule="auto"/>
      </w:pPr>
      <w:r>
        <w:t>L'analyse fondamentale de SAFC révèle un **redressement spectaculaire mais encore fragile**. En 2025, le Produit Net Bancaire (PNB) a bondi de 44% pour atteindre 5,735 milliards FCFA, permettant à la société de renouer avec un résultat net positif de 701 millions FCFA, après huit années de pertes. Cette performance est attribuée à l'arrivée du nouvel actionnaire majoritaire, CREDAF Group, qui a impulsé une nouvelle stratégie. Les ratios de rentabilité s'améliorent nettement : le ROE atteint 11,85% (contre un ROE négatif en 2024) et la marge nette est de 12,2%. Cependant, la structure financière reste précaire. Le coefficient d'exploitation est très élevé à 77,6%, bien au-dessus du seuil d'efficacité de 60%, indiquant des charges structurelles importantes. Surtout, le ratio d'autonomie financière est très faible (7,4%), et le coût du risque, bien qu'en baisse, reste significatif à 6,6% des charges financières. Sur la base du rapport du premier trimestre 2026, on estime que la dynamique se poursuit, avec un PNB en hausse de 29% et un résultat net qui a bondi de 1062% à 151 millions FCFA sur le seul premier trimestre. Si cette tendance se confirme, l'exercice 2026 pourrait voir le résultat net dépasser les 600 millions FCFA, consolidant le retour à la rentabilité. Les principaux risques restent la dépendance au financement interbancaire (dettes interbancaires de 35,7 Mds FCFA) et la nécessité de maintenir une qualité de portefeuille irréprochable.</w:t>
      </w:r>
    </w:p>
    <w:p>
      <w:pPr>
        <w:spacing w:after="120" w:line="276" w:lineRule="auto"/>
      </w:pPr>
      <w:r>
        <w:t>### **PARTIE 4 : CONCLUSION D'INVESTISSEMENT**</w:t>
      </w:r>
    </w:p>
    <w:p>
      <w:pPr>
        <w:spacing w:after="120" w:line="276" w:lineRule="auto"/>
      </w:pPr>
      <w:r>
        <w:t>La synthèse globale pour SAFC est celle d'un **pari spéculatif à haut risque**. La valorisation boursière (Partie 0) est extrêmement tendue, avec un PER de 49,5x qui anticipe une croissance future des bénéfices qui n'est pas encore solidement établie. Le comportement du cours (Partie 1) montre une volatilité très élevée (88% annualisée), caractéristique d'un titre de "turnaround" où les espoirs et les craintes s'entrechoquent. Les signaux techniques (Partie 2) sont mitigés, avec une tendance de fond haussière (MM50) mais des indicateurs de court terme (MACD, Stochastique) qui suggèrent une consolidation ou un repli. Enfin, les fondamentaux (Partie 3) sont en nette amélioration, mais la structure financière reste fragile, ce qui rend la société vulnérable à un choc. Les prédictions IA, qui anticipent une chute du cours à 2 892 FCFA dans 10 jours, sont en forte divergence avec les signaux fondamentaux et techniques de moyen terme.</w:t>
      </w:r>
    </w:p>
    <w:p>
      <w:pPr>
        <w:spacing w:after="120" w:line="276" w:lineRule="auto"/>
      </w:pPr>
      <w:r>
        <w:t>**Recommandation finale : CONSERVER (Spéculatif)**</w:t>
        <w:br/>
        <w:t>*   **Justification** : Le potentiel de redressement est réel et soutenu par un nouvel actionnaire solide, mais la valorisation actuelle ne laisse que peu de marge d'erreur. La convergence entre les signaux est faible : le fondamental est positif, mais la technique et la valorisation sont préoccupantes.</w:t>
        <w:br/>
        <w:t>*   **Niveau de confiance** : Faible</w:t>
        <w:br/>
        <w:t>*   **Risque global** : Élevé</w:t>
        <w:br/>
        <w:t>*   **Horizon d'investissement** : Moyen terme (6-12 mois). Un investisseur patient peut conserver en pariant sur la poursuite du redressement, mais doit être conscient du risque de forte correction à court terme. Un investisseur prudent attendra un point d'entrée plus favorable, idéalement après une correction significative ou une confirmation de la tendance haussière par les indicateurs techniques.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du co\u00fbt du risque (+491%) et le r\u00e9sultat net d\u00e9ficitaire en aggravation r\u00e9v\u00e8lent des difficult\u00e9s structurelles majeures. L'impact combin\u00e9 de la COVID-19 et des redressements fiscaux fragilise durablement la rentabilit\u00e9."}</w:t>
      </w:r>
    </w:p>
    <w:p>
      <w:pPr>
        <w:spacing w:before="40"/>
        <w:ind w:left="400"/>
      </w:pPr>
      <w:r>
        <w:rPr>
          <w:sz w:val="18"/>
        </w:rPr>
        <w:t>SAFCA CI (Société Africaine de Crédit Automobile) affiche des résultats préoccupants pour le 4T 2020 avec un résultat net déficitaire de -1 306 millions FCFA contre -211 millions en 2019. Le Produit Net Bancaire recule de 4% à 3 414 millions FCFA, impacté par la crise sanitaire COVID-19. Le coût du risque explose de 491% à -1 135 millions FCFA, révélant une dégradation significative du portefeuille de crédit. Le total bilan progresse néanmoins de 5% à 66 533 millions FCFA grâce à l'accroissement des avoirs bancaires. Les ratios prudentiels restent conformes aux exigences réglementaires malgré la détérioration des résultats.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'-1 135M FCFA', 'ratio_solvabilite': '10.778%', 'ratio_fonds_propres_CET1': '7.966%', 'operations_clientele_actif': '45 046M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-38.3%</w:t>
            </w:r>
          </w:p>
        </w:tc>
        <w:tc>
          <w:tcPr>
            <w:tcW w:type="dxa" w:w="2160"/>
          </w:tcPr>
          <w:p>
            <w:pPr>
              <w:ind w:left="100"/>
            </w:pPr>
            <w:r/>
            <w:r>
              <w:rPr>
                <w:b/>
                <w:sz w:val="16"/>
              </w:rPr>
              <w:t>total_actif</w:t>
              <w:br/>
            </w:r>
            <w:r>
              <w:rPr>
                <w:sz w:val="18"/>
              </w:rPr>
              <w:t>66 533M FCFA</w:t>
            </w:r>
          </w:p>
        </w:tc>
      </w:tr>
      <w:tr>
        <w:tc>
          <w:tcPr>
            <w:tcW w:type="dxa" w:w="2160"/>
          </w:tcPr>
          <w:p>
            <w:r/>
            <w:r>
              <w:rPr>
                <w:b/>
                <w:sz w:val="16"/>
              </w:rPr>
              <w:t>resultat_net</w:t>
              <w:br/>
            </w:r>
            <w:r>
              <w:rPr>
                <w:sz w:val="18"/>
              </w:rPr>
              <w:t>-1 306M FCFA</w:t>
            </w:r>
          </w:p>
        </w:tc>
        <w:tc>
          <w:tcPr>
            <w:tcW w:type="dxa" w:w="2160"/>
          </w:tcPr>
          <w:p>
            <w:r/>
            <w:r>
              <w:rPr>
                <w:b/>
                <w:sz w:val="16"/>
              </w:rPr>
              <w:t>capitaux_propres</w:t>
              <w:br/>
            </w:r>
            <w:r>
              <w:rPr>
                <w:sz w:val="18"/>
              </w:rPr>
              <w:t>6 798M FCFA</w:t>
            </w:r>
          </w:p>
        </w:tc>
        <w:tc>
          <w:tcPr>
            <w:tcW w:type="dxa" w:w="2160"/>
          </w:tcPr>
          <w:p>
            <w:r/>
            <w:r>
              <w:rPr>
                <w:b/>
                <w:sz w:val="16"/>
              </w:rPr>
              <w:t>chiffre_affaires</w:t>
              <w:br/>
            </w:r>
            <w:r>
              <w:rPr>
                <w:sz w:val="18"/>
              </w:rPr>
              <w:t>3 414M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-1 306M FCFA au 4T 2020 contre -211M FCFA en 2019 (-519%)</w:t>
      </w:r>
    </w:p>
    <w:p>
      <w:pPr>
        <w:pStyle w:val="ListBullet"/>
        <w:spacing w:before="20" w:after="20"/>
        <w:ind w:left="700"/>
      </w:pPr>
      <w:r>
        <w:rPr>
          <w:sz w:val="18"/>
        </w:rPr>
        <w:t>Coût du risque en forte dégradation : -1 135M FCFA contre -192M FCFA (+491%)</w:t>
      </w:r>
    </w:p>
    <w:p>
      <w:pPr>
        <w:pStyle w:val="ListBullet"/>
        <w:spacing w:before="20" w:after="20"/>
        <w:ind w:left="700"/>
      </w:pPr>
      <w:r>
        <w:rPr>
          <w:sz w:val="18"/>
        </w:rPr>
        <w:t>Produit Net Bancaire en baisse de 4% à 3 414M FCFA, impacté par la COVID-19</w:t>
      </w:r>
    </w:p>
    <w:p>
      <w:pPr>
        <w:pStyle w:val="ListBullet"/>
        <w:spacing w:before="20" w:after="20"/>
        <w:ind w:left="700"/>
      </w:pPr>
      <w:r>
        <w:rPr>
          <w:sz w:val="18"/>
        </w:rPr>
        <w:t>Impact négatif des redressements fiscaux sur les résultats 2020</w:t>
      </w:r>
    </w:p>
    <w:p>
      <w:pPr>
        <w:pStyle w:val="ListBullet"/>
        <w:spacing w:before="20" w:after="20"/>
        <w:ind w:left="700"/>
      </w:pPr>
      <w:r>
        <w:rPr>
          <w:sz w:val="18"/>
        </w:rPr>
        <w:t>Croissance du total bilan de 5% à 66 533M FCFA grâce aux opérations de trésorerie (+316%)</w:t>
      </w:r>
    </w:p>
    <w:p>
      <w:pPr>
        <w:pStyle w:val="ListBullet"/>
        <w:spacing w:before="20" w:after="20"/>
        <w:ind w:left="700"/>
      </w:pPr>
      <w:r>
        <w:rPr>
          <w:sz w:val="18"/>
        </w:rPr>
        <w:t>Diminution des capitaux propres de 19% à 6 798M FCFA</w:t>
      </w:r>
    </w:p>
    <w:p>
      <w:pPr>
        <w:spacing w:before="40"/>
        <w:ind w:left="400"/>
      </w:pPr>
      <w:r>
        <w:rPr>
          <w:b/>
          <w:color w:val="C05000"/>
          <w:sz w:val="18"/>
        </w:rPr>
        <w:t xml:space="preserve">⚠️ Risques : </w:t>
      </w:r>
      <w:r>
        <w:rPr>
          <w:sz w:val="18"/>
        </w:rPr>
        <w:t>["Forte exposition au risque de cr\u00e9dit avec une d\u00e9gradation continue du portefeuille", "Impact persistant de la crise sanitaire sur l'activit\u00e9 de cr\u00e9dit automobile", "Pression r\u00e9glementaire fiscale avec des redressements impactant les r\u00e9sultats"]</w:t>
      </w:r>
    </w:p>
    <w:p>
      <w:pPr>
        <w:spacing w:before="40"/>
        <w:ind w:left="400"/>
      </w:pPr>
      <w:r>
        <w:rPr>
          <w:b/>
          <w:color w:val="0064A0"/>
          <w:sz w:val="18"/>
        </w:rPr>
        <w:t xml:space="preserve">🔮 Perspectives : </w:t>
      </w:r>
      <w:r>
        <w:rPr>
          <w:sz w:val="18"/>
        </w:rPr>
        <w:t>Les perspectives 2021 restent incertaines compte tenu de la persistance des effets COVID-19 sur le secteur automobile et du niveau élevé du coût du risque. Une amélioration dépendra de la capacité à maîtriser les provisions et à relancer l'activité commerciale post-crise.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persistance des pertes, l'am\u00e9lioration significative du co\u00fbt du risque et la conformit\u00e9 r\u00e9glementaire montrent une trajectoire de redressement. La soci\u00e9t\u00e9 fait preuve de r\u00e9silience face \u00e0 la pand\u00e9mie COVID-19."}</w:t>
      </w:r>
    </w:p>
    <w:p>
      <w:pPr>
        <w:spacing w:before="40"/>
        <w:ind w:left="400"/>
      </w:pPr>
      <w:r>
        <w:rPr>
          <w:sz w:val="18"/>
        </w:rPr>
        <w:t>SAFCA CI (Alios Finance) affiche une performance contrastée au T1 2021 avec un Produit Net Bancaire en recul de 37% à 536 MFCFA contre 852 MFCFA au T1 2020. Le coût du risque s'améliore significativement de 81% passant de 431 MFCFA à 84 MFCFA, témoignant d'une meilleure maîtrise des risques. Le résultat net demeure négatif à -444 MFCFA mais s'améliore de 24% par rapport au T1 2020 (-584 MFCFA). Le total du bilan progresse légèrement de 1% à 67,509 MFCFA, porté par la croissance des opérations de trésorerie et sur titres. Les ratios prudentiels restent conformes aux exigences réglementaires avec un ratio de solvabilité de 11,135%.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'8,019%', 'cout_du_risque': '84 MFCFA', 'ratio_solvabilite': '11,135%', 'operations_clientele_actif': '43,766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67,509 MFCFA</w:t>
            </w:r>
          </w:p>
        </w:tc>
      </w:tr>
      <w:tr>
        <w:tc>
          <w:tcPr>
            <w:tcW w:type="dxa" w:w="2160"/>
          </w:tcPr>
          <w:p>
            <w:r/>
            <w:r>
              <w:rPr>
                <w:b/>
                <w:sz w:val="16"/>
              </w:rPr>
              <w:t>resultat_net</w:t>
              <w:br/>
            </w:r>
            <w:r>
              <w:rPr>
                <w:sz w:val="18"/>
              </w:rPr>
              <w:t>-444 MFCFA</w:t>
            </w:r>
          </w:p>
        </w:tc>
        <w:tc>
          <w:tcPr>
            <w:tcW w:type="dxa" w:w="2160"/>
          </w:tcPr>
          <w:p>
            <w:r/>
            <w:r>
              <w:rPr>
                <w:b/>
                <w:sz w:val="16"/>
              </w:rPr>
              <w:t>capitaux_propres</w:t>
              <w:br/>
            </w:r>
            <w:r>
              <w:rPr>
                <w:sz w:val="18"/>
              </w:rPr>
              <w:t>6,379 MFCFA</w:t>
            </w:r>
          </w:p>
        </w:tc>
        <w:tc>
          <w:tcPr>
            <w:tcW w:type="dxa" w:w="2160"/>
          </w:tcPr>
          <w:p>
            <w:r/>
            <w:r>
              <w:rPr>
                <w:b/>
                <w:sz w:val="16"/>
              </w:rPr>
              <w:t>chiffre_affaires</w:t>
              <w:br/>
            </w:r>
            <w:r>
              <w:rPr>
                <w:sz w:val="18"/>
              </w:rPr>
              <w:t>536 MFCFA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Produit Net Bancaire de 37% à 536 MFCFA au T1 2021</w:t>
      </w:r>
    </w:p>
    <w:p>
      <w:pPr>
        <w:pStyle w:val="ListBullet"/>
        <w:spacing w:before="20" w:after="20"/>
        <w:ind w:left="700"/>
      </w:pPr>
      <w:r>
        <w:rPr>
          <w:sz w:val="18"/>
        </w:rPr>
        <w:t>Amélioration marquée du coût du risque de 81% démontrant une meilleure gestion des créances</w:t>
      </w:r>
    </w:p>
    <w:p>
      <w:pPr>
        <w:pStyle w:val="ListBullet"/>
        <w:spacing w:before="20" w:after="20"/>
        <w:ind w:left="700"/>
      </w:pPr>
      <w:r>
        <w:rPr>
          <w:sz w:val="18"/>
        </w:rPr>
        <w:t>Résultat net négatif mais en amélioration de 24% à -444 MFCFA</w:t>
      </w:r>
    </w:p>
    <w:p>
      <w:pPr>
        <w:pStyle w:val="ListBullet"/>
        <w:spacing w:before="20" w:after="20"/>
        <w:ind w:left="700"/>
      </w:pPr>
      <w:r>
        <w:rPr>
          <w:sz w:val="18"/>
        </w:rPr>
        <w:t>Croissance modérée du total bilan de 1% à 67,509 MFCFA</w:t>
      </w:r>
    </w:p>
    <w:p>
      <w:pPr>
        <w:pStyle w:val="ListBullet"/>
        <w:spacing w:before="20" w:after="20"/>
        <w:ind w:left="700"/>
      </w:pPr>
      <w:r>
        <w:rPr>
          <w:sz w:val="18"/>
        </w:rPr>
        <w:t>Progression des opérations de trésorerie de 11% à 13,955 MFCFA</w:t>
      </w:r>
    </w:p>
    <w:p>
      <w:pPr>
        <w:pStyle w:val="ListBullet"/>
        <w:spacing w:before="20" w:after="20"/>
        <w:ind w:left="700"/>
      </w:pPr>
      <w:r>
        <w:rPr>
          <w:sz w:val="18"/>
        </w:rPr>
        <w:t>Baisse des capitaux propres de 6% à 6,379 MFCFA</w:t>
      </w:r>
    </w:p>
    <w:p>
      <w:pPr>
        <w:spacing w:before="40"/>
        <w:ind w:left="400"/>
      </w:pPr>
      <w:r>
        <w:rPr>
          <w:b/>
          <w:color w:val="C05000"/>
          <w:sz w:val="18"/>
        </w:rPr>
        <w:t xml:space="preserve">⚠️ Risques : </w:t>
      </w:r>
      <w:r>
        <w:rPr>
          <w:sz w:val="18"/>
        </w:rPr>
        <w:t>["Persistance des r\u00e9sultats n\u00e9gatifs malgr\u00e9 l'am\u00e9lioration observ\u00e9e", "\u00c9rosion des capitaux propres qui ont diminu\u00e9 de 6% sur la p\u00e9riode", "Vuln\u00e9rabilit\u00e9 du secteur financier aux chocs \u00e9conomiques et sanitaires"]</w:t>
      </w:r>
    </w:p>
    <w:p>
      <w:pPr>
        <w:spacing w:before="40"/>
        <w:ind w:left="400"/>
      </w:pPr>
      <w:r>
        <w:rPr>
          <w:b/>
          <w:color w:val="0064A0"/>
          <w:sz w:val="18"/>
        </w:rPr>
        <w:t xml:space="preserve">🔮 Perspectives : </w:t>
      </w:r>
      <w:r>
        <w:rPr>
          <w:sz w:val="18"/>
        </w:rPr>
        <w:t>La société montre des signes de redressement avec une meilleure maîtrise des risques et une dynamique commerciale positive selon la direction. La relance progressive de l'activité économique post-COVID devrait soutenir la performance dans les trimestres à venir, à condition de maintenir la disciplin</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68.50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13,751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007800"/>
                <w:sz w:val="17"/>
              </w:rPr>
              <w:t>+156.04%</w:t>
            </w:r>
          </w:p>
          <w:p>
            <w:r>
              <w:rPr>
                <w:b/>
                <w:color w:val="503200"/>
                <w:sz w:val="16"/>
              </w:rPr>
              <w:t xml:space="preserve">Plus haut 100j : </w:t>
            </w:r>
            <w:r>
              <w:rPr>
                <w:color w:val="000000"/>
                <w:sz w:val="17"/>
              </w:rPr>
              <w:t>3,675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29.88% (Élevée) — μ=2,256 FCFA, σ=674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β=0.3976 (Défensif) — Cov=0.000017, Var(idx)=0.000042, ρ=0.070,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13,751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3,088</w:t>
            </w:r>
          </w:p>
        </w:tc>
        <w:tc>
          <w:tcPr>
            <w:tcW w:type="dxa" w:w="1440"/>
            <w:shd w:fill="FFDCE0" w:val="clear"/>
          </w:tcPr>
          <w:p>
            <w:r>
              <w:rPr>
                <w:b/>
                <w:sz w:val="17"/>
              </w:rPr>
              <w:t>3,233</w:t>
            </w:r>
          </w:p>
        </w:tc>
        <w:tc>
          <w:tcPr>
            <w:tcW w:type="dxa" w:w="1440"/>
            <w:shd w:fill="FFDCE0" w:val="clear"/>
          </w:tcPr>
          <w:p>
            <w:r>
              <w:rPr>
                <w:sz w:val="17"/>
              </w:rPr>
              <w:t>3,377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2,801</w:t>
            </w:r>
          </w:p>
        </w:tc>
        <w:tc>
          <w:tcPr>
            <w:tcW w:type="dxa" w:w="1440"/>
            <w:shd w:fill="FFDCE0" w:val="clear"/>
          </w:tcPr>
          <w:p>
            <w:r>
              <w:rPr>
                <w:b/>
                <w:sz w:val="17"/>
              </w:rPr>
              <w:t>2,990</w:t>
            </w:r>
          </w:p>
        </w:tc>
        <w:tc>
          <w:tcPr>
            <w:tcW w:type="dxa" w:w="1440"/>
            <w:shd w:fill="FFDCE0" w:val="clear"/>
          </w:tcPr>
          <w:p>
            <w:r>
              <w:rPr>
                <w:sz w:val="17"/>
              </w:rPr>
              <w:t>3,180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2,552</w:t>
            </w:r>
          </w:p>
        </w:tc>
        <w:tc>
          <w:tcPr>
            <w:tcW w:type="dxa" w:w="1440"/>
            <w:shd w:fill="FFDCE0" w:val="clear"/>
          </w:tcPr>
          <w:p>
            <w:r>
              <w:rPr>
                <w:b/>
                <w:sz w:val="17"/>
              </w:rPr>
              <w:t>2,766</w:t>
            </w:r>
          </w:p>
        </w:tc>
        <w:tc>
          <w:tcPr>
            <w:tcW w:type="dxa" w:w="1440"/>
            <w:shd w:fill="FFDCE0" w:val="clear"/>
          </w:tcPr>
          <w:p>
            <w:r>
              <w:rPr>
                <w:sz w:val="17"/>
              </w:rPr>
              <w:t>2,980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2,330</w:t>
            </w:r>
          </w:p>
        </w:tc>
        <w:tc>
          <w:tcPr>
            <w:tcW w:type="dxa" w:w="1440"/>
            <w:shd w:fill="FFDCE0" w:val="clear"/>
          </w:tcPr>
          <w:p>
            <w:r>
              <w:rPr>
                <w:b/>
                <w:sz w:val="17"/>
              </w:rPr>
              <w:t>2,559</w:t>
            </w:r>
          </w:p>
        </w:tc>
        <w:tc>
          <w:tcPr>
            <w:tcW w:type="dxa" w:w="1440"/>
            <w:shd w:fill="FFDCE0" w:val="clear"/>
          </w:tcPr>
          <w:p>
            <w:r>
              <w:rPr>
                <w:sz w:val="17"/>
              </w:rPr>
              <w:t>2,788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2,130</w:t>
            </w:r>
          </w:p>
        </w:tc>
        <w:tc>
          <w:tcPr>
            <w:tcW w:type="dxa" w:w="1440"/>
            <w:shd w:fill="FFDCE0" w:val="clear"/>
          </w:tcPr>
          <w:p>
            <w:r>
              <w:rPr>
                <w:b/>
                <w:sz w:val="17"/>
              </w:rPr>
              <w:t>2,367</w:t>
            </w:r>
          </w:p>
        </w:tc>
        <w:tc>
          <w:tcPr>
            <w:tcW w:type="dxa" w:w="1440"/>
            <w:shd w:fill="FFDCE0" w:val="clear"/>
          </w:tcPr>
          <w:p>
            <w:r>
              <w:rPr>
                <w:sz w:val="17"/>
              </w:rPr>
              <w:t>2,603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1,949</w:t>
            </w:r>
          </w:p>
        </w:tc>
        <w:tc>
          <w:tcPr>
            <w:tcW w:type="dxa" w:w="1440"/>
            <w:shd w:fill="FFDCE0" w:val="clear"/>
          </w:tcPr>
          <w:p>
            <w:r>
              <w:rPr>
                <w:b/>
                <w:sz w:val="17"/>
              </w:rPr>
              <w:t>2,189</w:t>
            </w:r>
          </w:p>
        </w:tc>
        <w:tc>
          <w:tcPr>
            <w:tcW w:type="dxa" w:w="1440"/>
            <w:shd w:fill="FFDCE0" w:val="clear"/>
          </w:tcPr>
          <w:p>
            <w:r>
              <w:rPr>
                <w:sz w:val="17"/>
              </w:rPr>
              <w:t>2,429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1,785</w:t>
            </w:r>
          </w:p>
        </w:tc>
        <w:tc>
          <w:tcPr>
            <w:tcW w:type="dxa" w:w="1440"/>
            <w:shd w:fill="FFDCE0" w:val="clear"/>
          </w:tcPr>
          <w:p>
            <w:r>
              <w:rPr>
                <w:b/>
                <w:sz w:val="17"/>
              </w:rPr>
              <w:t>2,025</w:t>
            </w:r>
          </w:p>
        </w:tc>
        <w:tc>
          <w:tcPr>
            <w:tcW w:type="dxa" w:w="1440"/>
            <w:shd w:fill="FFDCE0" w:val="clear"/>
          </w:tcPr>
          <w:p>
            <w:r>
              <w:rPr>
                <w:sz w:val="17"/>
              </w:rPr>
              <w:t>2,265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1,636</w:t>
            </w:r>
          </w:p>
        </w:tc>
        <w:tc>
          <w:tcPr>
            <w:tcW w:type="dxa" w:w="1440"/>
            <w:shd w:fill="FFDCE0" w:val="clear"/>
          </w:tcPr>
          <w:p>
            <w:r>
              <w:rPr>
                <w:b/>
                <w:sz w:val="17"/>
              </w:rPr>
              <w:t>1,873</w:t>
            </w:r>
          </w:p>
        </w:tc>
        <w:tc>
          <w:tcPr>
            <w:tcW w:type="dxa" w:w="1440"/>
            <w:shd w:fill="FFDCE0" w:val="clear"/>
          </w:tcPr>
          <w:p>
            <w:r>
              <w:rPr>
                <w:sz w:val="17"/>
              </w:rPr>
              <w:t>2,110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1,500</w:t>
            </w:r>
          </w:p>
        </w:tc>
        <w:tc>
          <w:tcPr>
            <w:tcW w:type="dxa" w:w="1440"/>
            <w:shd w:fill="FFDCE0" w:val="clear"/>
          </w:tcPr>
          <w:p>
            <w:r>
              <w:rPr>
                <w:b/>
                <w:sz w:val="17"/>
              </w:rPr>
              <w:t>1,733</w:t>
            </w:r>
          </w:p>
        </w:tc>
        <w:tc>
          <w:tcPr>
            <w:tcW w:type="dxa" w:w="1440"/>
            <w:shd w:fill="FFDCE0" w:val="clear"/>
          </w:tcPr>
          <w:p>
            <w:r>
              <w:rPr>
                <w:sz w:val="17"/>
              </w:rPr>
              <w:t>1,965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1,376</w:t>
            </w:r>
          </w:p>
        </w:tc>
        <w:tc>
          <w:tcPr>
            <w:tcW w:type="dxa" w:w="1440"/>
            <w:shd w:fill="FFDCE0" w:val="clear"/>
          </w:tcPr>
          <w:p>
            <w:r>
              <w:rPr>
                <w:b/>
                <w:sz w:val="17"/>
              </w:rPr>
              <w:t>1,603</w:t>
            </w:r>
          </w:p>
        </w:tc>
        <w:tc>
          <w:tcPr>
            <w:tcW w:type="dxa" w:w="1440"/>
            <w:shd w:fill="FFDCE0" w:val="clear"/>
          </w:tcPr>
          <w:p>
            <w:r>
              <w:rPr>
                <w:sz w:val="17"/>
              </w:rPr>
              <w:t>1,829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Voici le rapport d'analyse structuré pour l'action **SCRC (SUCRIVOIRE)**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s'élève à **68,50 milliards FCFA**, un niveau conséquent qui la positionne comme une valeur de moyenne capitalisation sur la BRVM. Le **BPA (Bénéfice par Action)** est négatif à **-406 FCFA**, ce qui reflète la situation déficitaire de la société. En conséquence, le **PER (Price/Earnings)** est également négatif à **-8,6x**, ce qui est un signal d'alarme indiquant que l'entreprise ne génère pas de bénéfices pour justifier son cours actuel. Le **P/B (Price/Book)** de **3,97x** est élevé, suggérant que le marché valorise l'actif net comptable à près de 4 fois sa valeur, ce qui peut être interprété comme une prime de croissance ou une spéculation sur un redressement futur. Enfin, le ratio **EV/EBITDA** de **10,8x** se situe dans la fourchette haute (10-15x), indiquant une valorisation élevée par rapport à la capacité bénéficiaire brute de l'entreprise, ce qui est préoccupant compte tenu des pertes nettes.</w:t>
      </w:r>
    </w:p>
    <w:p>
      <w:pPr>
        <w:spacing w:after="120" w:line="276" w:lineRule="auto"/>
      </w:pPr>
      <w:r>
        <w:t>### PARTIE 1 : ANALYSE DU COURS — STATISTIQUES ET ÉVOLUTION (100 derniers jours)</w:t>
      </w:r>
    </w:p>
    <w:p>
      <w:pPr>
        <w:spacing w:after="120" w:line="276" w:lineRule="auto"/>
      </w:pPr>
      <w:r>
        <w:t>Sur les 100 derniers jours, l'action SCRC a connu une progression fulgurante de **+156,04%**, avec une dernière séance en hausse de **+5,75%** à **3 495 FCFA**. Le titre a évolué dans une fourchette très large, oscillant entre un plus bas de **1 365 FCFA** et un plus haut de **3 675 FCFA**, illustrant une volatilité exceptionnelle. La moyenne du cours sur la période est de **2 256 FCFA**, tandis que la médiane est de **2 040 FCFA** ; cet écart significatif confirme une distribution asymétrique et une tendance haussière marquée. L'écart-type de **677 FCFA** et un coefficient de variation (CV) de **30%** indiquent une dispersion élevée des prix. Le kurtosis en excès de **-1.049** (distribution platykurtique) suggère une faible probabilité de mouvements extrêmes soudains, tandis que le skewness de **0.487** confirme une asymétrie positive, avec une queue de distribution orientée vers les hausses. Enfin, la **volatilité annualisée de 58,2%** est très élevée, classant ce titre comme extrêmement risqué pour un investisseur traditionnel.</w:t>
      </w:r>
    </w:p>
    <w:p>
      <w:pPr>
        <w:spacing w:after="120" w:line="276" w:lineRule="auto"/>
      </w:pPr>
      <w:r>
        <w:t>### PARTIE 2 : ANALYSE TECHNIQUE DÉTAILLÉE</w:t>
      </w:r>
    </w:p>
    <w:p>
      <w:pPr>
        <w:spacing w:after="120" w:line="276" w:lineRule="auto"/>
      </w:pPr>
      <w:r>
        <w:t>- **Moyennes Mobiles** : Le cours actuel de **3 495 FCFA** se situe nettement au-dessus de la MM20 (3 280,25 FCFA) et de la MM50 (2 815,4 FCFA). Cette configuration est un signal haussier fort, indiquant une dynamique positive à court et moyen terme. La décision d'**Achat** est justifiée par cette tendance ascendante bien établie.</w:t>
      </w:r>
    </w:p>
    <w:p>
      <w:pPr>
        <w:spacing w:after="120" w:line="276" w:lineRule="auto"/>
      </w:pPr>
      <w:r>
        <w:t>- **Bandes de Bollinger** : Le cours se trouve à l'intérieur des bandes, entre la borne supérieure (3 737,16 FCFA) et la borne inférieure (2 823,34 FCFA). La position proche de la borne supérieure suggère une pression acheteuse persistante, mais sans sortie de canal, ce qui justifie une décision **Neutre**. La largeur des bandes confirme la volatilité élevée.</w:t>
      </w:r>
    </w:p>
    <w:p>
      <w:pPr>
        <w:spacing w:after="120" w:line="276" w:lineRule="auto"/>
      </w:pPr>
      <w:r>
        <w:t>- **MACD** : La valeur du MACD (204,90) est inférieure à son signal (213,58), indiquant un croisement baissier récent. Ce signal de **Vente** suggère un affaiblissement du momentum haussier à très court terme, malgré la tendance générale positive. C'est un avertissement technique important.</w:t>
      </w:r>
    </w:p>
    <w:p>
      <w:pPr>
        <w:spacing w:after="120" w:line="276" w:lineRule="auto"/>
      </w:pPr>
      <w:r>
        <w:t>- **RSI** : Avec une valeur de **65,99**, le RSI se situe en zone neutre, en dessous du seuil de surachat de 70. Cela indique que le titre n'est pas encore en situation de surachat technique, laissant une marge de progression avant un retournement potentiel. La décision est donc **Neutre**.</w:t>
      </w:r>
    </w:p>
    <w:p>
      <w:pPr>
        <w:spacing w:after="120" w:line="276" w:lineRule="auto"/>
      </w:pPr>
      <w:r>
        <w:t>- **Stochastique** : Le %K (71,2) est supérieur au %D (64,0), ce qui est un signal haussier. Les deux lignes sont en zone neutre, indiquant que la dynamique haussière est toujours présente mais sans excès. La décision est **Neutre**.</w:t>
      </w:r>
    </w:p>
    <w:p>
      <w:pPr>
        <w:spacing w:after="120" w:line="276" w:lineRule="auto"/>
      </w:pPr>
      <w:r>
        <w:t>**Conclusion technique** : Le tableau technique est mitigé. La tendance de fond, portée par les moyennes mobiles, est résolument haussière. Cependant, le MACD émet un signal de vente précoce, suggérant une possible consolidation ou un repli technique à court terme. Les autres oscillateurs (RSI, Stochastique) sont neutres, n'indiquant ni surachat ni survente. L'investisseur doit donc composer entre une tendance haussière solide et des signaux de momentum baissier naissants, ce qui appelle à la prudence.</w:t>
      </w:r>
    </w:p>
    <w:p>
      <w:pPr>
        <w:spacing w:after="120" w:line="276" w:lineRule="auto"/>
      </w:pPr>
      <w:r>
        <w:t>### PARTIE 3 : ANALYSE FONDAMENTALE (SECTION CRITIQUE)</w:t>
      </w:r>
    </w:p>
    <w:p>
      <w:pPr>
        <w:spacing w:after="120" w:line="276" w:lineRule="auto"/>
      </w:pPr>
      <w:r>
        <w:t>En se basant sur les données structurées de l'exercice **2025**, la situation fondamentale de SCRC est très fragile. Le **chiffre d'affaires** s'établit à **80,57 milliards FCFA**, en baisse de **-7,6%** par rapport à 2024. Le **résultat net** est une perte massive de **-7,95 milliards FCFA**, contre un bénéfice de 2,47 milliards en 2024, soit une dégradation de **421%**. Cette contre-performance est principalement due à l'explosion du coût de l'endettement financier, qui a quadruplé pour atteindre **6,79 milliards FCFA**. En conséquence, la **marge nette** est négative à **-9,9%**, le **ROE** (Rentabilité des fonds propres) plonge à **-46,1%** et le **ROA** (Rentabilité des actifs) à **-5,1%**, des niveaux très préoccupants. La structure financière est également sous tension : le ratio d'**autonomie financière** n'est que de **11%** (contre un seuil de 30% considéré comme sain), et l'**endettement total** représente **88,9%** des capitaux propres. Les délais d'exploitation montrent un déséquilibre : le **délai fournisseurs** est très long (366 jours), ce qui est favorable à la trésorerie, mais le **délai de stockage** est également très élevé (360 jours), immobilisant du capital. Les rapports narratifs confirment cette tendance : le rapport du **1er semestre 2025** indique une perte nette de **-6,71 milliards FCFA**, et les perspectives pour 2026 sont décrites comme "très préoccupantes" par les analystes, avec un risque de défaillance financière. La recommandation fondamentale est donc une **VENTE**, la société étant structurellement déficitaire et surendettée.</w:t>
      </w:r>
    </w:p>
    <w:p>
      <w:pPr>
        <w:spacing w:after="120" w:line="276" w:lineRule="auto"/>
      </w:pPr>
      <w:r>
        <w:t>### PARTIE 4 : CONCLUSION D'INVESTISSEMENT</w:t>
      </w:r>
    </w:p>
    <w:p>
      <w:pPr>
        <w:spacing w:after="120" w:line="276" w:lineRule="auto"/>
      </w:pPr>
      <w:r>
        <w:t>La synthèse globale pour l'action SCRC est extrêmement négative. La **valorisation boursière** (Partie 0) est totalement décorrélée des fondamentaux, avec un PER négatif et un P/B élevé qui ne reflètent aucune réalité économique. Le **comportement du cours** (Partie 1) montre une hausse spéculative de +156% en 100 jours, avec une volatilité annualisée de 58%, ce qui est un signal de risque extrême et non de solidité. Les **signaux techniques** (Partie 2) sont mitigés : la tendance est haussière, mais le MACD émet un signal de vente, suggérant un essoufflement imminent. Enfin, les **fondamentaux** (Partie 3) sont catastrophiques, avec des pertes massives, un endettement écrasant et des perspectives de redressement très incertaines. Les **prédictions IA** pour les 10 prochains jours prévoient une chute vertigineuse du cours, passant de 3 233 FCFA à 2 367 FCFA, ce qui confirme le scénario d'un retournement brutal après une bulle spéculative.</w:t>
      </w:r>
    </w:p>
    <w:p>
      <w:pPr>
        <w:spacing w:after="120" w:line="276" w:lineRule="auto"/>
      </w:pPr>
      <w:r>
        <w:t>**Recommandation finale : VENTE FORTE.**</w:t>
        <w:br/>
        <w:t>**Justification :** La divergence est totale entre la hausse spéculative du cours et la dégradation catastrophique des fondamentaux. Tous les signaux (valorisation, technique à court terme, fondamentaux et prédictions IA) convergent vers un risque de correction violente.</w:t>
        <w:br/>
        <w:t>**Niveau de confiance :** Élevé.</w:t>
        <w:br/>
        <w:t>**Niveau de risque global :** Très Élevé.</w:t>
        <w:br/>
        <w:t>**Horizon d'investissement :** Aucun achat n'est recommandé. Pour les détenteurs, une vente immédiate est conseillée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109.03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1,331 titres</w:t>
            </w:r>
          </w:p>
        </w:tc>
        <w:tc>
          <w:tcPr>
            <w:tcW w:type="dxa" w:w="2268"/>
            <w:shd w:fill="FFF2CC" w:val="clear"/>
          </w:tcPr>
          <w:p>
            <w:r>
              <w:rPr>
                <w:b/>
                <w:color w:val="503200"/>
                <w:sz w:val="16"/>
              </w:rPr>
              <w:t xml:space="preserve">Cours actuel : </w:t>
            </w:r>
            <w:r>
              <w:rPr>
                <w:color w:val="000000"/>
                <w:sz w:val="17"/>
              </w:rPr>
              <w:t>12,115 FCFA</w:t>
            </w:r>
          </w:p>
          <w:p>
            <w:r>
              <w:rPr>
                <w:b/>
                <w:color w:val="503200"/>
                <w:sz w:val="16"/>
              </w:rPr>
              <w:t xml:space="preserve">Var. 100 jours : </w:t>
            </w:r>
            <w:r>
              <w:rPr>
                <w:b/>
                <w:color w:val="007800"/>
                <w:sz w:val="17"/>
              </w:rPr>
              <w:t>+89.30%</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6,005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23.28% (Élevée) — μ=9,140 FCFA, σ=2,127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β=0.8252 (Neutre (suit le marché)) — Cov=0.000034, Var(idx)=0.000042, ρ=0.202,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1,331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11,368</w:t>
            </w:r>
          </w:p>
        </w:tc>
        <w:tc>
          <w:tcPr>
            <w:tcW w:type="dxa" w:w="1440"/>
            <w:shd w:fill="FFDCE0" w:val="clear"/>
          </w:tcPr>
          <w:p>
            <w:r>
              <w:rPr>
                <w:b/>
                <w:sz w:val="17"/>
              </w:rPr>
              <w:t>11,602</w:t>
            </w:r>
          </w:p>
        </w:tc>
        <w:tc>
          <w:tcPr>
            <w:tcW w:type="dxa" w:w="1440"/>
            <w:shd w:fill="FFDCE0" w:val="clear"/>
          </w:tcPr>
          <w:p>
            <w:r>
              <w:rPr>
                <w:sz w:val="17"/>
              </w:rPr>
              <w:t>11,836</w:t>
            </w:r>
          </w:p>
        </w:tc>
        <w:tc>
          <w:tcPr>
            <w:tcW w:type="dxa" w:w="1440"/>
            <w:shd w:fill="FFDCE0" w:val="clear"/>
          </w:tcPr>
          <w:p>
            <w:r>
              <w:rPr>
                <w:b/>
                <w:color w:val="C00000"/>
                <w:sz w:val="17"/>
              </w:rPr>
              <w:t>-4.2%</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11,094</w:t>
            </w:r>
          </w:p>
        </w:tc>
        <w:tc>
          <w:tcPr>
            <w:tcW w:type="dxa" w:w="1440"/>
            <w:shd w:fill="FFDCE0" w:val="clear"/>
          </w:tcPr>
          <w:p>
            <w:r>
              <w:rPr>
                <w:b/>
                <w:sz w:val="17"/>
              </w:rPr>
              <w:t>11,419</w:t>
            </w:r>
          </w:p>
        </w:tc>
        <w:tc>
          <w:tcPr>
            <w:tcW w:type="dxa" w:w="1440"/>
            <w:shd w:fill="FFDCE0" w:val="clear"/>
          </w:tcPr>
          <w:p>
            <w:r>
              <w:rPr>
                <w:sz w:val="17"/>
              </w:rPr>
              <w:t>11,745</w:t>
            </w:r>
          </w:p>
        </w:tc>
        <w:tc>
          <w:tcPr>
            <w:tcW w:type="dxa" w:w="1440"/>
            <w:shd w:fill="FFDCE0" w:val="clear"/>
          </w:tcPr>
          <w:p>
            <w:r>
              <w:rPr>
                <w:b/>
                <w:color w:val="C00000"/>
                <w:sz w:val="17"/>
              </w:rPr>
              <w:t>-5.7%</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10,853</w:t>
            </w:r>
          </w:p>
        </w:tc>
        <w:tc>
          <w:tcPr>
            <w:tcW w:type="dxa" w:w="1440"/>
            <w:shd w:fill="FFDCE0" w:val="clear"/>
          </w:tcPr>
          <w:p>
            <w:r>
              <w:rPr>
                <w:b/>
                <w:sz w:val="17"/>
              </w:rPr>
              <w:t>11,246</w:t>
            </w:r>
          </w:p>
        </w:tc>
        <w:tc>
          <w:tcPr>
            <w:tcW w:type="dxa" w:w="1440"/>
            <w:shd w:fill="FFDCE0" w:val="clear"/>
          </w:tcPr>
          <w:p>
            <w:r>
              <w:rPr>
                <w:sz w:val="17"/>
              </w:rPr>
              <w:t>11,639</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10,639</w:t>
            </w:r>
          </w:p>
        </w:tc>
        <w:tc>
          <w:tcPr>
            <w:tcW w:type="dxa" w:w="1440"/>
            <w:shd w:fill="FFDCE0" w:val="clear"/>
          </w:tcPr>
          <w:p>
            <w:r>
              <w:rPr>
                <w:b/>
                <w:sz w:val="17"/>
              </w:rPr>
              <w:t>11,086</w:t>
            </w:r>
          </w:p>
        </w:tc>
        <w:tc>
          <w:tcPr>
            <w:tcW w:type="dxa" w:w="1440"/>
            <w:shd w:fill="FFDCE0" w:val="clear"/>
          </w:tcPr>
          <w:p>
            <w:r>
              <w:rPr>
                <w:sz w:val="17"/>
              </w:rPr>
              <w:t>11,534</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10,446</w:t>
            </w:r>
          </w:p>
        </w:tc>
        <w:tc>
          <w:tcPr>
            <w:tcW w:type="dxa" w:w="1440"/>
            <w:shd w:fill="FFDCE0" w:val="clear"/>
          </w:tcPr>
          <w:p>
            <w:r>
              <w:rPr>
                <w:b/>
                <w:sz w:val="17"/>
              </w:rPr>
              <w:t>10,940</w:t>
            </w:r>
          </w:p>
        </w:tc>
        <w:tc>
          <w:tcPr>
            <w:tcW w:type="dxa" w:w="1440"/>
            <w:shd w:fill="FFDCE0" w:val="clear"/>
          </w:tcPr>
          <w:p>
            <w:r>
              <w:rPr>
                <w:sz w:val="17"/>
              </w:rPr>
              <w:t>11,433</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10,271</w:t>
            </w:r>
          </w:p>
        </w:tc>
        <w:tc>
          <w:tcPr>
            <w:tcW w:type="dxa" w:w="1440"/>
            <w:shd w:fill="FFDCE0" w:val="clear"/>
          </w:tcPr>
          <w:p>
            <w:r>
              <w:rPr>
                <w:b/>
                <w:sz w:val="17"/>
              </w:rPr>
              <w:t>10,805</w:t>
            </w:r>
          </w:p>
        </w:tc>
        <w:tc>
          <w:tcPr>
            <w:tcW w:type="dxa" w:w="1440"/>
            <w:shd w:fill="FFDCE0" w:val="clear"/>
          </w:tcPr>
          <w:p>
            <w:r>
              <w:rPr>
                <w:sz w:val="17"/>
              </w:rPr>
              <w:t>11,338</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10,107</w:t>
            </w:r>
          </w:p>
        </w:tc>
        <w:tc>
          <w:tcPr>
            <w:tcW w:type="dxa" w:w="1440"/>
            <w:shd w:fill="FFDCE0" w:val="clear"/>
          </w:tcPr>
          <w:p>
            <w:r>
              <w:rPr>
                <w:b/>
                <w:sz w:val="17"/>
              </w:rPr>
              <w:t>10,677</w:t>
            </w:r>
          </w:p>
        </w:tc>
        <w:tc>
          <w:tcPr>
            <w:tcW w:type="dxa" w:w="1440"/>
            <w:shd w:fill="FFDCE0" w:val="clear"/>
          </w:tcPr>
          <w:p>
            <w:r>
              <w:rPr>
                <w:sz w:val="17"/>
              </w:rPr>
              <w:t>11,247</w:t>
            </w:r>
          </w:p>
        </w:tc>
        <w:tc>
          <w:tcPr>
            <w:tcW w:type="dxa" w:w="1440"/>
            <w:shd w:fill="FFDCE0" w:val="clear"/>
          </w:tcPr>
          <w:p>
            <w:r>
              <w:rPr>
                <w:b/>
                <w:color w:val="C00000"/>
                <w:sz w:val="17"/>
              </w:rPr>
              <w:t>-11.9%</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9,958</w:t>
            </w:r>
          </w:p>
        </w:tc>
        <w:tc>
          <w:tcPr>
            <w:tcW w:type="dxa" w:w="1440"/>
            <w:shd w:fill="FFDCE0" w:val="clear"/>
          </w:tcPr>
          <w:p>
            <w:r>
              <w:rPr>
                <w:b/>
                <w:sz w:val="17"/>
              </w:rPr>
              <w:t>10,560</w:t>
            </w:r>
          </w:p>
        </w:tc>
        <w:tc>
          <w:tcPr>
            <w:tcW w:type="dxa" w:w="1440"/>
            <w:shd w:fill="FFDCE0" w:val="clear"/>
          </w:tcPr>
          <w:p>
            <w:r>
              <w:rPr>
                <w:sz w:val="17"/>
              </w:rPr>
              <w:t>11,163</w:t>
            </w:r>
          </w:p>
        </w:tc>
        <w:tc>
          <w:tcPr>
            <w:tcW w:type="dxa" w:w="1440"/>
            <w:shd w:fill="FFDCE0" w:val="clear"/>
          </w:tcPr>
          <w:p>
            <w:r>
              <w:rPr>
                <w:b/>
                <w:color w:val="C00000"/>
                <w:sz w:val="17"/>
              </w:rPr>
              <w:t>-12.8%</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9,822</w:t>
            </w:r>
          </w:p>
        </w:tc>
        <w:tc>
          <w:tcPr>
            <w:tcW w:type="dxa" w:w="1440"/>
            <w:shd w:fill="FFDCE0" w:val="clear"/>
          </w:tcPr>
          <w:p>
            <w:r>
              <w:rPr>
                <w:b/>
                <w:sz w:val="17"/>
              </w:rPr>
              <w:t>10,455</w:t>
            </w:r>
          </w:p>
        </w:tc>
        <w:tc>
          <w:tcPr>
            <w:tcW w:type="dxa" w:w="1440"/>
            <w:shd w:fill="FFDCE0" w:val="clear"/>
          </w:tcPr>
          <w:p>
            <w:r>
              <w:rPr>
                <w:sz w:val="17"/>
              </w:rPr>
              <w:t>11,087</w:t>
            </w:r>
          </w:p>
        </w:tc>
        <w:tc>
          <w:tcPr>
            <w:tcW w:type="dxa" w:w="1440"/>
            <w:shd w:fill="FFDCE0" w:val="clear"/>
          </w:tcPr>
          <w:p>
            <w:r>
              <w:rPr>
                <w:b/>
                <w:color w:val="C00000"/>
                <w:sz w:val="17"/>
              </w:rPr>
              <w:t>-13.7%</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9,701</w:t>
            </w:r>
          </w:p>
        </w:tc>
        <w:tc>
          <w:tcPr>
            <w:tcW w:type="dxa" w:w="1440"/>
            <w:shd w:fill="FFDCE0" w:val="clear"/>
          </w:tcPr>
          <w:p>
            <w:r>
              <w:rPr>
                <w:b/>
                <w:sz w:val="17"/>
              </w:rPr>
              <w:t>10,362</w:t>
            </w:r>
          </w:p>
        </w:tc>
        <w:tc>
          <w:tcPr>
            <w:tcW w:type="dxa" w:w="1440"/>
            <w:shd w:fill="FFDCE0" w:val="clear"/>
          </w:tcPr>
          <w:p>
            <w:r>
              <w:rPr>
                <w:sz w:val="17"/>
              </w:rPr>
              <w:t>11,023</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Voici le rapport d'analyse structuré pour l'action SDCC (SODECI)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109,03 milliards FCFA, SDCC se positionne comme une valeur de premier plan sur la BRVM, reflétant son statut d'opérateur historique et stratégique dans la distribution d'eau en Côte d'Ivoire. Le Bénéfice Par Action (BPA) de 518 FCFA indique que chaque action a généré ce montant de profit sur l'exercice 2025. Le PER de 23,4x est très élevé par rapport à la moyenne historique de la BRVM (8-12x), suggérant que les investisseurs acceptent de payer une prime significative, anticipant une forte croissance future ou valorisant le caractère défensif et monopolistique de l'activité. Le Price-to-Book (P/B) de 5,53x confirme cette prime, le marché valorisant l'entreprise à plus de cinq fois ses capitaux propres comptables, ce qui est exigeant. Enfin, un EV/EBITDA de 14,5x, dans la fourchette haute de 10-15x, indique que la valeur totale de l'entreprise (dette incluse) est élevée par rapport à sa capacité bénéficiaire opérationnelle, signalant une valorisation déjà tendue.</w:t>
      </w:r>
    </w:p>
    <w:p>
      <w:pPr>
        <w:spacing w:after="120" w:line="276" w:lineRule="auto"/>
      </w:pPr>
      <w:r>
        <w:t>### **PARTIE 1 : ANALYSE DU COURS — STATISTIQUES ET ÉVOLUTION (100 derniers jours)**</w:t>
      </w:r>
    </w:p>
    <w:p>
      <w:pPr>
        <w:spacing w:after="120" w:line="276" w:lineRule="auto"/>
      </w:pPr>
      <w:r>
        <w:t>Sur les 100 derniers jours, l'action SDCC a connu une performance exceptionnelle avec une variation totale de +89,30%, passant d'un plus bas de 6 005 FCFA à un plus haut de 12 195 FCFA, avant de clôturer à 12 115 FCFA. La dernière séance a vu une progression modeste de +0,96%, suggérant une possible consolidation après ce rallye. La tendance générale est donc fortement haussière. L'analyse des statistiques descriptives révèle que le cours moyen (9 140 FCFA) est supérieur à la médiane (8 110 FCFA), indiquant une asymétrie positive où les valeurs élevées récentes tirent la moyenne vers le haut. L'écart-type de 2 138 FCFA et un coefficient de variation de 23,4% témoignent d'une dispersion importante du cours autour de la moyenne. Le kurtosis en excès de -1,580 (distribution platykurtique) indique une faible probabilité de mouvements extrêmes et soudains, tandis que le skewness de 0,260 confirme une distribution quasi-symétrique. Enfin, la volatilité annualisée de 41,6% classe le titre dans la catégorie "élevée", ce qui est cohérent avec la forte amplitude de variation observée sur la période.</w:t>
      </w:r>
    </w:p>
    <w:p>
      <w:pPr>
        <w:spacing w:after="120" w:line="276" w:lineRule="auto"/>
      </w:pPr>
      <w:r>
        <w:t>### **PARTIE 2 : ANALYSE TECHNIQUE DÉTAILLÉE**</w:t>
      </w:r>
    </w:p>
    <w:p>
      <w:pPr>
        <w:spacing w:after="120" w:line="276" w:lineRule="auto"/>
      </w:pPr>
      <w:r>
        <w:t>**Moyennes Mobiles:** Le cours actuel de 12 115 FCFA se situe au-dessus de la MM20 (12 020,5 FCFA) et de la MM50 (11 045,6 FCFA), confirmant une tendance haussière de court et moyen terme. La pente positive de ces moyennes soutient la décision d'achat, indiquant que le momentum est favorable.</w:t>
      </w:r>
    </w:p>
    <w:p>
      <w:pPr>
        <w:spacing w:after="120" w:line="276" w:lineRule="auto"/>
      </w:pPr>
      <w:r>
        <w:t>**Bandes de Bollinger:** Le cours est positionné près de la borne supérieure des bandes (12 147 FCFA), ce qui suggère que le titre est en zone de surachat technique. La décision est neutre car, bien que proche de la borne haute, le cours n'a pas encore franchi de manière décisive cette limite, ce qui pourrait indiquer une poursuite de la tendance ou un repli imminent.</w:t>
      </w:r>
    </w:p>
    <w:p>
      <w:pPr>
        <w:spacing w:after="120" w:line="276" w:lineRule="auto"/>
      </w:pPr>
      <w:r>
        <w:t>**MACD:** Le MACD (275,08) est inférieur à sa ligne de signal (363,2), générant un signal de vente. Cette divergence baissière indique un ralentissement du momentum haussier. Bien que le MACD soit positif, son croisement sous la ligne de signal est un avertissement technique précoce d'une possible correction.</w:t>
      </w:r>
    </w:p>
    <w:p>
      <w:pPr>
        <w:spacing w:after="120" w:line="276" w:lineRule="auto"/>
      </w:pPr>
      <w:r>
        <w:t>**RSI:** Avec une valeur de 60,25, le RSI se situe en zone neutre (entre 30 et 70). Il n'est ni en surachat ni en survente, ce qui laisse une marge de manœuvre dans les deux sens. La décision est neutre, ne fournissant pas de signal directionnel fort pour le moment.</w:t>
      </w:r>
    </w:p>
    <w:p>
      <w:pPr>
        <w:spacing w:after="120" w:line="276" w:lineRule="auto"/>
      </w:pPr>
      <w:r>
        <w:t>**Stochastique:** Le %K à 97,73 est extrêmement élevé, indiquant une condition de surachat sévère. Bien que le %D (62,88) soit plus bas, le niveau du %K suggère un risque de retournement imminent. La décision de vente est justifiée par cette lecture de surachat extrême.</w:t>
      </w:r>
    </w:p>
    <w:p>
      <w:pPr>
        <w:spacing w:after="120" w:line="276" w:lineRule="auto"/>
      </w:pPr>
      <w:r>
        <w:t>**Conclusion technique:** La synthèse des indicateurs techniques est mitigée. Les moyennes mobiles sont haussières, mais les oscillateurs de momentum (MACD, Stochastique) envoient des signaux de vente ou de prudence. Le RSI neutre et les Bandes de Bollinger en zone haute suggèrent que le titre est suracheté à court terme. Cette divergence entre la tendance de fond (haussière) et les signaux de court terme (vente) indique un risque de consolidation ou de correction technique dans les prochaines séances, avant une possible reprise de la tendance haussière.</w:t>
      </w:r>
    </w:p>
    <w:p>
      <w:pPr>
        <w:spacing w:after="120" w:line="276" w:lineRule="auto"/>
      </w:pPr>
      <w:r>
        <w:t>### **PARTIE 3 : ANALYSE FONDAMENTALE (SECTION CRITIQUE)**</w:t>
      </w:r>
    </w:p>
    <w:p>
      <w:pPr>
        <w:spacing w:after="120" w:line="276" w:lineRule="auto"/>
      </w:pPr>
      <w:r>
        <w:t>En se basant sur les données structurées de l'exercice 2025, SDCC affiche une performance financière solide. Le chiffre d'affaires a atteint 189,43 milliards FCFA, en croissance de +10% par rapport à 2024 (172,2 milliards FCFA), comme le confirme le rapport annuel 2025. Le résultat net a bondi de 31% à 4,663 milliards FCFA, portant la marge nette à 2,46%. La rentabilité des fonds propres (ROE) est excellente à 23,65%, bien au-dessus du seuil de 15%, démontrant une utilisation efficace du capital. Cependant, le ROA de 0,99% est faible, ce qui s'explique par un total de bilan très lourd (472,67 milliards FCFA) typique des sociétés de services publics à forte intensité capitalistique. En tant qu'entreprise, on note un délai clients très élevé de 749 jours, un risque majeur de trésorerie, confirmé par un Besoin en Fonds de Roulement (BFR) de 104,75 milliards FCFA et une trésorerie nette négative de -61,71 milliards FCFA. Les rapports trimestriels montrent une tendance contrastée : le S1 2025 (rapport du 30/06/2025) était en demi-teinte avec un RN en baisse de 24%, mais le T1 2026 (rapport 2026) montre une spectaculaire amélioration de la rentabilité opérationnelle, le résultat d'exploitation ayant été multiplié par 2,5. Sur cette base, on estime que l'exercice 2026 pourrait voir une nouvelle progression du résultat net, malgré les tensions persistantes sur la trésorerie et un endettement élevé (ratio d'endettement de 95,8%).</w:t>
      </w:r>
    </w:p>
    <w:p>
      <w:pPr>
        <w:spacing w:after="120" w:line="276" w:lineRule="auto"/>
      </w:pPr>
      <w:r>
        <w:t>### **PARTIE 4 : CONCLUSION D'INVESTISSEMENT**</w:t>
      </w:r>
    </w:p>
    <w:p>
      <w:pPr>
        <w:spacing w:after="120" w:line="276" w:lineRule="auto"/>
      </w:pPr>
      <w:r>
        <w:t>En synthèse, SDCC présente un profil contrasté. La **valorisation boursière** (Partie 0) est exigeante avec un PER et un P/B élevés, suggérant une prime de risque déjà intégrée. Le **comportement du cours** (Partie 1) a été spectaculairement haussier avec une volatilité élevée, mais les statistiques (kurtosis platykurtique) indiquent une faible probabilité de nouveaux chocs extrêmes. Les **signaux techniques** (Partie 2) sont mitigés, avec une tendance haussière de fond mais des indicateurs de court terme (MACD, Stochastique) en zone de surachat, signalant un risque de correction. Les **fondamentaux** (Partie 3) sont solides avec une croissance du CA et du RN, un ROE excellent, mais sont ternis par une structure financière fragile (trésorerie nette négative, délais clients très longs). Enfin, les **prédictions IA** pour les 10 prochains jours anticipent une baisse continue du cours, passant de 11 602 à 10 940 FCFA, ce qui confirme le scénario de correction technique suggéré par l'analyse technique. La convergence entre les signaux techniques de vente et les prédictions IA, contrastant avec une valorisation élevée et des fondamentaux solides mais risqués, nous conduit à une recommandation de **CONSERVER**. Le niveau de confiance est **Moyen** et le risque global est **Élevé** en raison de la volatilité et de la fragilité financière. L'horizon d'investissement optimal est le **moyen terme (3-12 mois)**, en attendant une correction pour renforcer la position ou une confirmation de la solidité du redressement opérationnel.</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120.30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16,176 titres</w:t>
            </w:r>
          </w:p>
        </w:tc>
        <w:tc>
          <w:tcPr>
            <w:tcW w:type="dxa" w:w="2268"/>
            <w:shd w:fill="FFF2CC" w:val="clear"/>
          </w:tcPr>
          <w:p>
            <w:r>
              <w:rPr>
                <w:b/>
                <w:color w:val="503200"/>
                <w:sz w:val="16"/>
              </w:rPr>
              <w:t xml:space="preserve">Cours actuel : </w:t>
            </w:r>
            <w:r>
              <w:rPr>
                <w:color w:val="000000"/>
                <w:sz w:val="17"/>
              </w:rPr>
              <w:t>2,210 FCFA</w:t>
            </w:r>
          </w:p>
          <w:p>
            <w:r>
              <w:rPr>
                <w:b/>
                <w:color w:val="503200"/>
                <w:sz w:val="16"/>
              </w:rPr>
              <w:t xml:space="preserve">Var. 100 jours : </w:t>
            </w:r>
            <w:r>
              <w:rPr>
                <w:b/>
                <w:color w:val="007800"/>
                <w:sz w:val="17"/>
              </w:rPr>
              <w:t>+29.62%</w:t>
            </w:r>
          </w:p>
          <w:p>
            <w:r>
              <w:rPr>
                <w:b/>
                <w:color w:val="503200"/>
                <w:sz w:val="16"/>
              </w:rPr>
              <w:t xml:space="preserve">Plus haut 100j : </w:t>
            </w:r>
            <w:r>
              <w:rPr>
                <w:color w:val="000000"/>
                <w:sz w:val="17"/>
              </w:rPr>
              <w:t>2,550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12.03% (Moyenne) — μ=1,995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β=0.0992 (Défensif) — Cov=0.000004, Var(idx)=0.000042, ρ=0.019,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16,176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σ_j=3.32%/j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2,110</w:t>
            </w:r>
          </w:p>
        </w:tc>
        <w:tc>
          <w:tcPr>
            <w:tcW w:type="dxa" w:w="1440"/>
            <w:shd w:fill="FAFAFA" w:val="clear"/>
          </w:tcPr>
          <w:p>
            <w:r>
              <w:rPr>
                <w:b/>
                <w:sz w:val="17"/>
              </w:rPr>
              <w:t>2,218</w:t>
            </w:r>
          </w:p>
        </w:tc>
        <w:tc>
          <w:tcPr>
            <w:tcW w:type="dxa" w:w="1440"/>
            <w:shd w:fill="FAFAFA" w:val="clear"/>
          </w:tcPr>
          <w:p>
            <w:r>
              <w:rPr>
                <w:sz w:val="17"/>
              </w:rPr>
              <w:t>2,326</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2,066</w:t>
            </w:r>
          </w:p>
        </w:tc>
        <w:tc>
          <w:tcPr>
            <w:tcW w:type="dxa" w:w="1440"/>
            <w:shd w:fill="FAFAFA" w:val="clear"/>
          </w:tcPr>
          <w:p>
            <w:r>
              <w:rPr>
                <w:b/>
                <w:sz w:val="17"/>
              </w:rPr>
              <w:t>2,219</w:t>
            </w:r>
          </w:p>
        </w:tc>
        <w:tc>
          <w:tcPr>
            <w:tcW w:type="dxa" w:w="1440"/>
            <w:shd w:fill="FAFAFA" w:val="clear"/>
          </w:tcPr>
          <w:p>
            <w:r>
              <w:rPr>
                <w:sz w:val="17"/>
              </w:rPr>
              <w:t>2,371</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2,029</w:t>
            </w:r>
          </w:p>
        </w:tc>
        <w:tc>
          <w:tcPr>
            <w:tcW w:type="dxa" w:w="1440"/>
            <w:shd w:fill="FAFAFA" w:val="clear"/>
          </w:tcPr>
          <w:p>
            <w:r>
              <w:rPr>
                <w:b/>
                <w:sz w:val="17"/>
              </w:rPr>
              <w:t>2,215</w:t>
            </w:r>
          </w:p>
        </w:tc>
        <w:tc>
          <w:tcPr>
            <w:tcW w:type="dxa" w:w="1440"/>
            <w:shd w:fill="FAFAFA" w:val="clear"/>
          </w:tcPr>
          <w:p>
            <w:r>
              <w:rPr>
                <w:sz w:val="17"/>
              </w:rPr>
              <w:t>2,402</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1,994</w:t>
            </w:r>
          </w:p>
        </w:tc>
        <w:tc>
          <w:tcPr>
            <w:tcW w:type="dxa" w:w="1440"/>
            <w:shd w:fill="FAFAFA" w:val="clear"/>
          </w:tcPr>
          <w:p>
            <w:r>
              <w:rPr>
                <w:b/>
                <w:sz w:val="17"/>
              </w:rPr>
              <w:t>2,209</w:t>
            </w:r>
          </w:p>
        </w:tc>
        <w:tc>
          <w:tcPr>
            <w:tcW w:type="dxa" w:w="1440"/>
            <w:shd w:fill="FAFAFA" w:val="clear"/>
          </w:tcPr>
          <w:p>
            <w:r>
              <w:rPr>
                <w:sz w:val="17"/>
              </w:rPr>
              <w:t>2,424</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1,962</w:t>
            </w:r>
          </w:p>
        </w:tc>
        <w:tc>
          <w:tcPr>
            <w:tcW w:type="dxa" w:w="1440"/>
            <w:shd w:fill="FAFAFA" w:val="clear"/>
          </w:tcPr>
          <w:p>
            <w:r>
              <w:rPr>
                <w:b/>
                <w:sz w:val="17"/>
              </w:rPr>
              <w:t>2,201</w:t>
            </w:r>
          </w:p>
        </w:tc>
        <w:tc>
          <w:tcPr>
            <w:tcW w:type="dxa" w:w="1440"/>
            <w:shd w:fill="FAFAFA" w:val="clear"/>
          </w:tcPr>
          <w:p>
            <w:r>
              <w:rPr>
                <w:sz w:val="17"/>
              </w:rPr>
              <w:t>2,441</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1,932</w:t>
            </w:r>
          </w:p>
        </w:tc>
        <w:tc>
          <w:tcPr>
            <w:tcW w:type="dxa" w:w="1440"/>
            <w:shd w:fill="FAFAFA" w:val="clear"/>
          </w:tcPr>
          <w:p>
            <w:r>
              <w:rPr>
                <w:b/>
                <w:sz w:val="17"/>
              </w:rPr>
              <w:t>2,193</w:t>
            </w:r>
          </w:p>
        </w:tc>
        <w:tc>
          <w:tcPr>
            <w:tcW w:type="dxa" w:w="1440"/>
            <w:shd w:fill="FAFAFA" w:val="clear"/>
          </w:tcPr>
          <w:p>
            <w:r>
              <w:rPr>
                <w:sz w:val="17"/>
              </w:rPr>
              <w:t>2,454</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2026-07-21</w:t>
            </w:r>
          </w:p>
        </w:tc>
        <w:tc>
          <w:tcPr>
            <w:tcW w:type="dxa" w:w="1440"/>
            <w:shd w:fill="FAFAFA" w:val="clear"/>
          </w:tcPr>
          <w:p>
            <w:r>
              <w:rPr>
                <w:sz w:val="17"/>
              </w:rPr>
              <w:t>1,904</w:t>
            </w:r>
          </w:p>
        </w:tc>
        <w:tc>
          <w:tcPr>
            <w:tcW w:type="dxa" w:w="1440"/>
            <w:shd w:fill="FAFAFA" w:val="clear"/>
          </w:tcPr>
          <w:p>
            <w:r>
              <w:rPr>
                <w:b/>
                <w:sz w:val="17"/>
              </w:rPr>
              <w:t>2,185</w:t>
            </w:r>
          </w:p>
        </w:tc>
        <w:tc>
          <w:tcPr>
            <w:tcW w:type="dxa" w:w="1440"/>
            <w:shd w:fill="FAFAFA" w:val="clear"/>
          </w:tcPr>
          <w:p>
            <w:r>
              <w:rPr>
                <w:sz w:val="17"/>
              </w:rPr>
              <w:t>2,466</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2026-07-22</w:t>
            </w:r>
          </w:p>
        </w:tc>
        <w:tc>
          <w:tcPr>
            <w:tcW w:type="dxa" w:w="1440"/>
            <w:shd w:fill="FAFAFA" w:val="clear"/>
          </w:tcPr>
          <w:p>
            <w:r>
              <w:rPr>
                <w:sz w:val="17"/>
              </w:rPr>
              <w:t>1,877</w:t>
            </w:r>
          </w:p>
        </w:tc>
        <w:tc>
          <w:tcPr>
            <w:tcW w:type="dxa" w:w="1440"/>
            <w:shd w:fill="FAFAFA" w:val="clear"/>
          </w:tcPr>
          <w:p>
            <w:r>
              <w:rPr>
                <w:b/>
                <w:sz w:val="17"/>
              </w:rPr>
              <w:t>2,176</w:t>
            </w:r>
          </w:p>
        </w:tc>
        <w:tc>
          <w:tcPr>
            <w:tcW w:type="dxa" w:w="1440"/>
            <w:shd w:fill="FAFAFA" w:val="clear"/>
          </w:tcPr>
          <w:p>
            <w:r>
              <w:rPr>
                <w:sz w:val="17"/>
              </w:rPr>
              <w:t>2,475</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2026-07-23</w:t>
            </w:r>
          </w:p>
        </w:tc>
        <w:tc>
          <w:tcPr>
            <w:tcW w:type="dxa" w:w="1440"/>
            <w:shd w:fill="FAFAFA" w:val="clear"/>
          </w:tcPr>
          <w:p>
            <w:r>
              <w:rPr>
                <w:sz w:val="17"/>
              </w:rPr>
              <w:t>1,851</w:t>
            </w:r>
          </w:p>
        </w:tc>
        <w:tc>
          <w:tcPr>
            <w:tcW w:type="dxa" w:w="1440"/>
            <w:shd w:fill="FAFAFA" w:val="clear"/>
          </w:tcPr>
          <w:p>
            <w:r>
              <w:rPr>
                <w:b/>
                <w:sz w:val="17"/>
              </w:rPr>
              <w:t>2,167</w:t>
            </w:r>
          </w:p>
        </w:tc>
        <w:tc>
          <w:tcPr>
            <w:tcW w:type="dxa" w:w="1440"/>
            <w:shd w:fill="FAFAFA" w:val="clear"/>
          </w:tcPr>
          <w:p>
            <w:r>
              <w:rPr>
                <w:sz w:val="17"/>
              </w:rPr>
              <w:t>2,483</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1,827</w:t>
            </w:r>
          </w:p>
        </w:tc>
        <w:tc>
          <w:tcPr>
            <w:tcW w:type="dxa" w:w="1440"/>
            <w:shd w:fill="FFDCE0" w:val="clear"/>
          </w:tcPr>
          <w:p>
            <w:r>
              <w:rPr>
                <w:b/>
                <w:sz w:val="17"/>
              </w:rPr>
              <w:t>2,159</w:t>
            </w:r>
          </w:p>
        </w:tc>
        <w:tc>
          <w:tcPr>
            <w:tcW w:type="dxa" w:w="1440"/>
            <w:shd w:fill="FFDCE0" w:val="clear"/>
          </w:tcPr>
          <w:p>
            <w:r>
              <w:rPr>
                <w:sz w:val="17"/>
              </w:rPr>
              <w:t>2,490</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Voici le rapport d'analyse structuré pour l'action SDSC (AGL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120,30 milliards FCFA, SDSC se positionne comme une valeur de poids moyen sur le marché de la BRVM. Le BPA de 387 FCFA indique que chaque action a généré un bénéfice net de 387 FCFA en 2024. Le PER de 5,7x est particulièrement bas, se situant bien en dessous de la moyenne historique de la BRVM (8-12x), ce qui suggère que le marché n'intègre pas pleinement les bénéfices actuels et pourrait indiquer une sous-évaluation ou une méfiance des investisseurs quant à la pérennité de ces résultats. Le P/B de 1,55x, dans une fourchette de 1 à 2, est considéré comme raisonnable, signifiant que le cours de bourse est 1,55 fois la valeur comptable de l'actif net par action. En revanche, le ratio EV/EBITDA de 25,9x est très élevé (bien au-dessus de 15x), ce qui contredit le PER bas et suggère que la valeur d'entreprise (incluant la dette) est très exigeante par rapport à la capacité bénéficiaire brute, un signal de prudence pour un investisseur value.</w:t>
      </w:r>
    </w:p>
    <w:p>
      <w:pPr>
        <w:spacing w:after="120" w:line="276" w:lineRule="auto"/>
      </w:pPr>
      <w:r>
        <w:t>### **PARTIE 1 : ANALYSE DU COURS — STATISTIQUES ET ÉVOLUTION (100 derniers jours)**</w:t>
      </w:r>
    </w:p>
    <w:p>
      <w:pPr>
        <w:spacing w:after="120" w:line="276" w:lineRule="auto"/>
      </w:pPr>
      <w:r>
        <w:t>Sur les 100 derniers jours, l'action SDSC affiche une performance remarquable avec une hausse totale de +29,62%, passant d'un plus bas de 1 650 FCFA à un plus haut de 2 550 FCFA. Cependant, la dernière séance enregistre un recul de -3,49% à 2 210 FCFA, suggérant une possible prise de bénéfices après ce rallye. L'analyse des statistiques descriptives révèle une distribution asymétrique : la moyenne (1 995 FCFA) est supérieure à la médiane (1 942 FCFA), ce qui, combiné à un skewness positif de 0,683, indique que le titre a passé plus de journées sous sa moyenne, avec des mouvements de hausse ponctuels et marqués qui ont tiré la moyenne vers le haut. L'écart-type de 241 FCFA (coefficient de variation de 12,1%) témoigne d'une dispersion modérée autour de la moyenne. Le kurtosis d'excès de -0,597 (mésokurtique) indique que la distribution des rendements est proche d'une distribution normale, sans risque accru de mouvements extrêmes. Enfin, la volatilité annualisée de 52,8% est très élevée, classant le titre comme une valeur à haut risque, ce qui est cohérent avec sa forte progression sur la période.</w:t>
      </w:r>
    </w:p>
    <w:p>
      <w:pPr>
        <w:spacing w:after="120" w:line="276" w:lineRule="auto"/>
      </w:pPr>
      <w:r>
        <w:t>### **PARTIE 2 : ANALYSE TECHNIQUE DÉTAILLÉE**</w:t>
      </w:r>
    </w:p>
    <w:p>
      <w:pPr>
        <w:spacing w:after="120" w:line="276" w:lineRule="auto"/>
      </w:pPr>
      <w:r>
        <w:t>- **Moyennes Mobiles** : Le cours actuel (2 210 FCFA) se situe au-dessus de la MM50 (2 042,4 FCFA) mais en dessous de la MM20 (2 380,25 FCFA). Cette configuration, où le cours est sous la moyenne à court terme mais au-dessus de la moyenne à moyen terme, génère un signal d'achat global, mais indique un affaiblissement de la dynamique haussière récente.</w:t>
        <w:br/>
        <w:t>- **Bandes de Bollinger** : Le cours à 2 210 FCFA est très proche de la borne inférieure (2 162,57 FCFA), ce qui est un signal neutre. Cela suggère que le titre n'est ni en situation de surachat ni de survente extrême, mais qu'il teste un support potentiel après la baisse récente.</w:t>
        <w:br/>
        <w:t>- **MACD** : Le MACD (80,95) est passé sous sa ligne de signal (121,84), ce qui constitue un signal de vente clair. Cette divergence baissière indique un ralentissement du momentum haussier et une possible poursuite du mouvement de correction à court terme.</w:t>
        <w:br/>
        <w:t>- **RSI** : Le RSI à 42,18 se situe en zone neutre (entre 30 et 70), ne signalant ni surachat ni survente. Cela laisse une marge de manœuvre dans les deux sens, mais la valeur sous les 50 suggère une faiblesse relative du momentum acheteur.</w:t>
        <w:br/>
        <w:t>- **Stochastique** : Le %K à 0,0 et le %D à 5,07 sont en zone de survente extrême, ce qui génère un signal d'achat. Cela indique que le prix de clôture est au plus bas de la période de référence, suggérant un possible rebond technique imminent.</w:t>
      </w:r>
    </w:p>
    <w:p>
      <w:pPr>
        <w:spacing w:after="120" w:line="276" w:lineRule="auto"/>
      </w:pPr>
      <w:r>
        <w:t>**Conclusion technique** : Les signaux techniques sont mitigés. Les moyennes mobiles et le MACD pointent vers une faiblesse à court terme (signal de vente), tandis que le Stochastique en survente extrême suggère un rebond technique potentiel. Le RSI neutre et les Bandes de Bollinger ne tranchent pas. Le titre est donc dans une phase de consolidation ou de correction après une forte hausse, avec un biais baissier à très court terme mais un potentiel de rebond technique.</w:t>
      </w:r>
    </w:p>
    <w:p>
      <w:pPr>
        <w:spacing w:after="120" w:line="276" w:lineRule="auto"/>
      </w:pPr>
      <w:r>
        <w:t>### **PARTIE 3 : ANALYSE FONDAMENTALE (SECTION CRITIQUE)**</w:t>
      </w:r>
    </w:p>
    <w:p>
      <w:pPr>
        <w:spacing w:after="120" w:line="276" w:lineRule="auto"/>
      </w:pPr>
      <w:r>
        <w:t>En 2024, SDSC (AGL Côte d'Ivoire) a réalisé un chiffre d'affaires de 85,64 milliards FCFA, en croissance de 3,7% par rapport à 2023. Le résultat net a bondi de 22,9% pour atteindre 21,07 milliards FCFA, portant la marge nette à un excellent niveau de 24,6%. La rentabilité des fonds propres (ROE) est exceptionnelle à 27,08% et le ROA à 11,2%, démontrant une utilisation très efficace des capitaux et des actifs. Cependant, l'analyse sectorielle (Entreprise) révèle des fragilités : le délai client de 467 jours est extrêmement élevé, indiquant un risque de trésorerie majeur lié au recouvrement des créances. Ce risque est en partie compensé par un délai fournisseur encore plus long (4 534 jours), ce qui permet à l'entreprise de financer son cycle d'exploitation. Le BFR est d'ailleurs négatif, ce qui est favorable. Sur la base des rapports trimestriels de 2025, la tendance se dégrade nettement. Le rapport du T1 2025 montre un retour à une faible profitabilité (marge nette de 0,9%), et le rapport du S1 2025 confirme une perte nette de -427 millions FCFA, principalement due à l'absence de dividendes des filiales. Le rapport du T3 2025, bien qu'affichant un CA en hausse de 7,4%, montre un résultat net en chute de 77% à 4,34 milliards FCFA pour la même raison. On estime donc que la performance annuelle 2025 sera très inférieure à celle de 2024, fortement dépendante des revenus exceptionnels des filiales, ce qui fragilise la visibilité sur la rentabilité récurrente.</w:t>
      </w:r>
    </w:p>
    <w:p>
      <w:pPr>
        <w:spacing w:after="120" w:line="276" w:lineRule="auto"/>
      </w:pPr>
      <w:r>
        <w:t>### **PARTIE 4 : CONCLUSION D'INVESTISSEMENT**</w:t>
      </w:r>
    </w:p>
    <w:p>
      <w:pPr>
        <w:spacing w:after="120" w:line="276" w:lineRule="auto"/>
      </w:pPr>
      <w:r>
        <w:t>La valorisation de SDSC est paradoxale : un PER très bas (5,7x) suggère une sous-évaluation, mais un EV/EBITDA très élevé (25,9x) et une capitalisation boursière proche des plus hauts annuels tempèrent cet optimisme. Le comportement du cours montre une forte volatilité et une tendance haussière récente qui semble s'essouffler, comme l'indiquent la baisse de la dernière séance et les statistiques descriptives (asymétrie positive). Les signaux techniques sont divergents, avec des indicateurs de court terme baissiers (MACD) mais un Stochastique en zone de survente, suggérant une phase de consolidation. Les fondamentaux sont le point le plus préoccupant : la performance exceptionnelle de 2024 (ROE de 27%) n'est pas récurrente, et les rapports de 2025 montrent une dégradation marquée de la rentabilité opérationnelle et une forte dépendance aux dividendes des filiales. Les prédictions IA pour les 10 prochains jours (stabilité autour de 2 200 FCFA) suggèrent une pause dans le mouvement.</w:t>
      </w:r>
    </w:p>
    <w:p>
      <w:pPr>
        <w:spacing w:after="120" w:line="276" w:lineRule="auto"/>
      </w:pPr>
      <w:r>
        <w:t>**Recommandation finale : VENTE**</w:t>
        <w:br/>
        <w:t>- **Justification** : La convergence des signaux est défavorable. La valorisation de marché (cours proche des plus hauts) ne reflète pas la détérioration fondamentale observée en 2025. Les risques opérationnels (délais clients, dépendance aux filiales) et la volatilité élevée du titre justifient une prise de bénéfices.</w:t>
        <w:br/>
        <w:t>- **Niveau de confiance** : Moyen</w:t>
        <w:br/>
        <w:t>- **Niveau de risque global** : Élevé</w:t>
        <w:br/>
        <w:t>- **Horizon d'investissement optimal** : Court terme (&lt; 3 mois) pour les traders, mais déconseillé pour un investissement long terme sans visibilité sur la reprise de la rentabilité.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36.65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7,155 titres</w:t>
            </w:r>
          </w:p>
        </w:tc>
        <w:tc>
          <w:tcPr>
            <w:tcW w:type="dxa" w:w="2268"/>
            <w:shd w:fill="FFF2CC" w:val="clear"/>
          </w:tcPr>
          <w:p>
            <w:r>
              <w:rPr>
                <w:b/>
                <w:color w:val="503200"/>
                <w:sz w:val="16"/>
              </w:rPr>
              <w:t xml:space="preserve">Cours actuel : </w:t>
            </w:r>
            <w:r>
              <w:rPr>
                <w:color w:val="000000"/>
                <w:sz w:val="17"/>
              </w:rPr>
              <w:t>1,455 FCFA</w:t>
            </w:r>
          </w:p>
          <w:p>
            <w:r>
              <w:rPr>
                <w:b/>
                <w:color w:val="503200"/>
                <w:sz w:val="16"/>
              </w:rPr>
              <w:t xml:space="preserve">Var. 100 jours : </w:t>
            </w:r>
            <w:r>
              <w:rPr>
                <w:b/>
                <w:color w:val="B40000"/>
                <w:sz w:val="17"/>
              </w:rPr>
              <w:t>-42.49%</w:t>
            </w:r>
          </w:p>
          <w:p>
            <w:r>
              <w:rPr>
                <w:b/>
                <w:color w:val="503200"/>
                <w:sz w:val="16"/>
              </w:rPr>
              <w:t xml:space="preserve">Plus haut 100j : </w:t>
            </w:r>
            <w:r>
              <w:rPr>
                <w:color w:val="000000"/>
                <w:sz w:val="17"/>
              </w:rPr>
              <w:t>2,715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61.1%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18.94% (Élevée) — μ=1,807 FCFA, σ=342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β=0.1108 (Défensif) — Cov=0.000005, Var(idx)=0.000042, ρ=0.019,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7,155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1,312</w:t>
            </w:r>
          </w:p>
        </w:tc>
        <w:tc>
          <w:tcPr>
            <w:tcW w:type="dxa" w:w="1440"/>
            <w:shd w:fill="FFDCE0" w:val="clear"/>
          </w:tcPr>
          <w:p>
            <w:r>
              <w:rPr>
                <w:b/>
                <w:sz w:val="17"/>
              </w:rPr>
              <w:t>1,379</w:t>
            </w:r>
          </w:p>
        </w:tc>
        <w:tc>
          <w:tcPr>
            <w:tcW w:type="dxa" w:w="1440"/>
            <w:shd w:fill="FFDCE0" w:val="clear"/>
          </w:tcPr>
          <w:p>
            <w:r>
              <w:rPr>
                <w:sz w:val="17"/>
              </w:rPr>
              <w:t>1,446</w:t>
            </w:r>
          </w:p>
        </w:tc>
        <w:tc>
          <w:tcPr>
            <w:tcW w:type="dxa" w:w="1440"/>
            <w:shd w:fill="FFDCE0" w:val="clear"/>
          </w:tcPr>
          <w:p>
            <w:r>
              <w:rPr>
                <w:b/>
                <w:color w:val="C00000"/>
                <w:sz w:val="17"/>
              </w:rPr>
              <w:t>-5.2%</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1,277</w:t>
            </w:r>
          </w:p>
        </w:tc>
        <w:tc>
          <w:tcPr>
            <w:tcW w:type="dxa" w:w="1440"/>
            <w:shd w:fill="FFDCE0" w:val="clear"/>
          </w:tcPr>
          <w:p>
            <w:r>
              <w:rPr>
                <w:b/>
                <w:sz w:val="17"/>
              </w:rPr>
              <w:t>1,371</w:t>
            </w:r>
          </w:p>
        </w:tc>
        <w:tc>
          <w:tcPr>
            <w:tcW w:type="dxa" w:w="1440"/>
            <w:shd w:fill="FFDCE0" w:val="clear"/>
          </w:tcPr>
          <w:p>
            <w:r>
              <w:rPr>
                <w:sz w:val="17"/>
              </w:rPr>
              <w:t>1,466</w:t>
            </w:r>
          </w:p>
        </w:tc>
        <w:tc>
          <w:tcPr>
            <w:tcW w:type="dxa" w:w="1440"/>
            <w:shd w:fill="FFDCE0" w:val="clear"/>
          </w:tcPr>
          <w:p>
            <w:r>
              <w:rPr>
                <w:b/>
                <w:color w:val="C00000"/>
                <w:sz w:val="17"/>
              </w:rPr>
              <w:t>-5.8%</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1,245</w:t>
            </w:r>
          </w:p>
        </w:tc>
        <w:tc>
          <w:tcPr>
            <w:tcW w:type="dxa" w:w="1440"/>
            <w:shd w:fill="FFDCE0" w:val="clear"/>
          </w:tcPr>
          <w:p>
            <w:r>
              <w:rPr>
                <w:b/>
                <w:sz w:val="17"/>
              </w:rPr>
              <w:t>1,360</w:t>
            </w:r>
          </w:p>
        </w:tc>
        <w:tc>
          <w:tcPr>
            <w:tcW w:type="dxa" w:w="1440"/>
            <w:shd w:fill="FFDCE0" w:val="clear"/>
          </w:tcPr>
          <w:p>
            <w:r>
              <w:rPr>
                <w:sz w:val="17"/>
              </w:rPr>
              <w:t>1,475</w:t>
            </w:r>
          </w:p>
        </w:tc>
        <w:tc>
          <w:tcPr>
            <w:tcW w:type="dxa" w:w="1440"/>
            <w:shd w:fill="FFDCE0" w:val="clear"/>
          </w:tcPr>
          <w:p>
            <w:r>
              <w:rPr>
                <w:b/>
                <w:color w:val="C00000"/>
                <w:sz w:val="17"/>
              </w:rPr>
              <w:t>-6.5%</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1,217</w:t>
            </w:r>
          </w:p>
        </w:tc>
        <w:tc>
          <w:tcPr>
            <w:tcW w:type="dxa" w:w="1440"/>
            <w:shd w:fill="FFDCE0" w:val="clear"/>
          </w:tcPr>
          <w:p>
            <w:r>
              <w:rPr>
                <w:b/>
                <w:sz w:val="17"/>
              </w:rPr>
              <w:t>1,348</w:t>
            </w:r>
          </w:p>
        </w:tc>
        <w:tc>
          <w:tcPr>
            <w:tcW w:type="dxa" w:w="1440"/>
            <w:shd w:fill="FFDCE0" w:val="clear"/>
          </w:tcPr>
          <w:p>
            <w:r>
              <w:rPr>
                <w:sz w:val="17"/>
              </w:rPr>
              <w:t>1,479</w:t>
            </w:r>
          </w:p>
        </w:tc>
        <w:tc>
          <w:tcPr>
            <w:tcW w:type="dxa" w:w="1440"/>
            <w:shd w:fill="FFDCE0" w:val="clear"/>
          </w:tcPr>
          <w:p>
            <w:r>
              <w:rPr>
                <w:b/>
                <w:color w:val="C00000"/>
                <w:sz w:val="17"/>
              </w:rPr>
              <w:t>-7.4%</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1,190</w:t>
            </w:r>
          </w:p>
        </w:tc>
        <w:tc>
          <w:tcPr>
            <w:tcW w:type="dxa" w:w="1440"/>
            <w:shd w:fill="FFDCE0" w:val="clear"/>
          </w:tcPr>
          <w:p>
            <w:r>
              <w:rPr>
                <w:b/>
                <w:sz w:val="17"/>
              </w:rPr>
              <w:t>1,336</w:t>
            </w:r>
          </w:p>
        </w:tc>
        <w:tc>
          <w:tcPr>
            <w:tcW w:type="dxa" w:w="1440"/>
            <w:shd w:fill="FFDCE0" w:val="clear"/>
          </w:tcPr>
          <w:p>
            <w:r>
              <w:rPr>
                <w:sz w:val="17"/>
              </w:rPr>
              <w:t>1,481</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1,166</w:t>
            </w:r>
          </w:p>
        </w:tc>
        <w:tc>
          <w:tcPr>
            <w:tcW w:type="dxa" w:w="1440"/>
            <w:shd w:fill="FFDCE0" w:val="clear"/>
          </w:tcPr>
          <w:p>
            <w:r>
              <w:rPr>
                <w:b/>
                <w:sz w:val="17"/>
              </w:rPr>
              <w:t>1,324</w:t>
            </w:r>
          </w:p>
        </w:tc>
        <w:tc>
          <w:tcPr>
            <w:tcW w:type="dxa" w:w="1440"/>
            <w:shd w:fill="FFDCE0" w:val="clear"/>
          </w:tcPr>
          <w:p>
            <w:r>
              <w:rPr>
                <w:sz w:val="17"/>
              </w:rPr>
              <w:t>1,482</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1,143</w:t>
            </w:r>
          </w:p>
        </w:tc>
        <w:tc>
          <w:tcPr>
            <w:tcW w:type="dxa" w:w="1440"/>
            <w:shd w:fill="FFDCE0" w:val="clear"/>
          </w:tcPr>
          <w:p>
            <w:r>
              <w:rPr>
                <w:b/>
                <w:sz w:val="17"/>
              </w:rPr>
              <w:t>1,312</w:t>
            </w:r>
          </w:p>
        </w:tc>
        <w:tc>
          <w:tcPr>
            <w:tcW w:type="dxa" w:w="1440"/>
            <w:shd w:fill="FFDCE0" w:val="clear"/>
          </w:tcPr>
          <w:p>
            <w:r>
              <w:rPr>
                <w:sz w:val="17"/>
              </w:rPr>
              <w:t>1,481</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1,121</w:t>
            </w:r>
          </w:p>
        </w:tc>
        <w:tc>
          <w:tcPr>
            <w:tcW w:type="dxa" w:w="1440"/>
            <w:shd w:fill="FFDCE0" w:val="clear"/>
          </w:tcPr>
          <w:p>
            <w:r>
              <w:rPr>
                <w:b/>
                <w:sz w:val="17"/>
              </w:rPr>
              <w:t>1,301</w:t>
            </w:r>
          </w:p>
        </w:tc>
        <w:tc>
          <w:tcPr>
            <w:tcW w:type="dxa" w:w="1440"/>
            <w:shd w:fill="FFDCE0" w:val="clear"/>
          </w:tcPr>
          <w:p>
            <w:r>
              <w:rPr>
                <w:sz w:val="17"/>
              </w:rPr>
              <w:t>1,480</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1,101</w:t>
            </w:r>
          </w:p>
        </w:tc>
        <w:tc>
          <w:tcPr>
            <w:tcW w:type="dxa" w:w="1440"/>
            <w:shd w:fill="FFDCE0" w:val="clear"/>
          </w:tcPr>
          <w:p>
            <w:r>
              <w:rPr>
                <w:b/>
                <w:sz w:val="17"/>
              </w:rPr>
              <w:t>1,289</w:t>
            </w:r>
          </w:p>
        </w:tc>
        <w:tc>
          <w:tcPr>
            <w:tcW w:type="dxa" w:w="1440"/>
            <w:shd w:fill="FFDCE0" w:val="clear"/>
          </w:tcPr>
          <w:p>
            <w:r>
              <w:rPr>
                <w:sz w:val="17"/>
              </w:rPr>
              <w:t>1,478</w:t>
            </w:r>
          </w:p>
        </w:tc>
        <w:tc>
          <w:tcPr>
            <w:tcW w:type="dxa" w:w="1440"/>
            <w:shd w:fill="FFDCE0" w:val="clear"/>
          </w:tcPr>
          <w:p>
            <w:r>
              <w:rPr>
                <w:b/>
                <w:color w:val="C00000"/>
                <w:sz w:val="17"/>
              </w:rPr>
              <w:t>-11.4%</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1,082</w:t>
            </w:r>
          </w:p>
        </w:tc>
        <w:tc>
          <w:tcPr>
            <w:tcW w:type="dxa" w:w="1440"/>
            <w:shd w:fill="FFDCE0" w:val="clear"/>
          </w:tcPr>
          <w:p>
            <w:r>
              <w:rPr>
                <w:b/>
                <w:sz w:val="17"/>
              </w:rPr>
              <w:t>1,279</w:t>
            </w:r>
          </w:p>
        </w:tc>
        <w:tc>
          <w:tcPr>
            <w:tcW w:type="dxa" w:w="1440"/>
            <w:shd w:fill="FFDCE0" w:val="clear"/>
          </w:tcPr>
          <w:p>
            <w:r>
              <w:rPr>
                <w:sz w:val="17"/>
              </w:rPr>
              <w:t>1,475</w:t>
            </w:r>
          </w:p>
        </w:tc>
        <w:tc>
          <w:tcPr>
            <w:tcW w:type="dxa" w:w="1440"/>
            <w:shd w:fill="FFDCE0" w:val="clear"/>
          </w:tcPr>
          <w:p>
            <w:r>
              <w:rPr>
                <w:b/>
                <w:color w:val="C00000"/>
                <w:sz w:val="17"/>
              </w:rPr>
              <w:t>-12.1%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Voici le rapport d'analyse structuré pour l'action SEMC (Société des Emballages Métalliques de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s'élève à 36,65 milliards FCFA, un niveau modeste dans le contexte de la BRVM, reflétant la taille de l'entreprise et sa situation actuelle. En raison de l'absence de données financières structurées récentes dans notre base, les ratios de valorisation tels que le PER, le P/B et l'EV/EBITDA ne sont pas calculables. Pour un investisseur, cela signifie qu'il est impossible de juger objectivement si le titre est sous-évalué ou surévalué par rapport à ses bénéfices ou à ses actifs. Le BPA (Bénéfice Par Action) ne peut donc pas non plus être déterminé. Cette absence de données limite fortement l'analyse de la valorisation intrinsèque et rend le titre difficile à comparer avec ses pairs ou la moyenne du marché BRVM (PER moyen de 8-12x). L'investisseur doit donc se baser sur les analyses fondamentales narratives disponibles pour estimer la valeur de l'entreprise.</w:t>
      </w:r>
    </w:p>
    <w:p>
      <w:pPr>
        <w:spacing w:after="120" w:line="276" w:lineRule="auto"/>
      </w:pPr>
      <w:r>
        <w:t>### **PARTIE 1 : ANALYSE DU COURS — STATISTIQUES ET ÉVOLUTION (100 derniers jours)**</w:t>
      </w:r>
    </w:p>
    <w:p>
      <w:pPr>
        <w:spacing w:after="120" w:line="276" w:lineRule="auto"/>
      </w:pPr>
      <w:r>
        <w:t>Sur les 100 derniers jours, l'action SEMC a subi une chute vertigineuse de -42,49%, passant d'un plus haut de 2 715 FCFA à un plus bas de 1 350 FCFA, avant de clôturer à 1 455 FCFA. La dernière séance a vu un rebond de +5,05%, mais la tendance générale reste profondément baissière. L'analyse des statistiques descriptives révèle une distribution du cours très particulière. La moyenne (1 807 FCFA) est nettement supérieure à la médiane (1 638 FCFA), ce qui confirme l'asymétrie positive (Skewness = 0,817) : le cours a passé plus de temps en dessous de sa moyenne, avec des épisodes de hausse rapide qui ont tiré la moyenne vers le haut. L'écart-type de 344 FCFA, combiné à un coefficient de variation de 19%, indique une dispersion modérée des prix autour de la moyenne. Le kurtosis proche de zéro (-0,414) suggère une distribution proche de la normale, sans risque de mouvements extrêmes soudains. Enfin, la volatilité annualisée de 61,1% est très élevée, classant le titre comme un actif à haut risque, ce qui est cohérent avec la forte baisse observée.</w:t>
      </w:r>
    </w:p>
    <w:p>
      <w:pPr>
        <w:spacing w:after="120" w:line="276" w:lineRule="auto"/>
      </w:pPr>
      <w:r>
        <w:t>### **PARTIE 2 : ANALYSE TECHNIQUE DÉTAILLÉE**</w:t>
      </w:r>
    </w:p>
    <w:p>
      <w:pPr>
        <w:spacing w:after="120" w:line="276" w:lineRule="auto"/>
      </w:pPr>
      <w:r>
        <w:t>*   **Moyennes Mobiles**: Le cours actuel de 1 455 FCFA est inférieur aux deux moyennes mobiles (MM20 à 1 517,0 et MM50 à 1 531,9). Cette configuration, où les MM sont orientées à la baisse et le cours en dessous, est un signal baissier classique. La décision de "Vente" est justifiée par la pression vendeuse persistante qui empêche tout rebond significatif au-dessus de ces résistances dynamiques.</w:t>
      </w:r>
    </w:p>
    <w:p>
      <w:pPr>
        <w:spacing w:after="120" w:line="276" w:lineRule="auto"/>
      </w:pPr>
      <w:r>
        <w:t>*   **Bandes de Bollinger**: Le cours se situe à 1 455 FCFA, proche de la borne inférieure à 1 382,35 FCFA. Cela indique que le titre est en territoire de "survente" relatif, mais sans signal de retournement immédiat. La décision "Neutre" est prudente, car si le prix touche la bande inférieure, il peut soit rebondir, soit la traverser pour poursuivre sa baisse. La volatilité, mesurée par l'écartement des bandes, reste élevée.</w:t>
      </w:r>
    </w:p>
    <w:p>
      <w:pPr>
        <w:spacing w:after="120" w:line="276" w:lineRule="auto"/>
      </w:pPr>
      <w:r>
        <w:t>*   **MACD**: Le MACD (-42,077) est négatif et se situe sous sa ligne de signal (-28,973). Cette divergence baissière confirme que le momentum est négatif et que la tendance de fond est à la baisse. La décision de "Vente" est forte et cohérente avec la faiblesse du cours.</w:t>
      </w:r>
    </w:p>
    <w:p>
      <w:pPr>
        <w:spacing w:after="120" w:line="276" w:lineRule="auto"/>
      </w:pPr>
      <w:r>
        <w:t>*   **RSI**: Avec une valeur de 36,842, le RSI se trouve en zone neutre, mais proche du seuil de survente (30). Il n'est pas encore en territoire de "survente" extrême, ce qui signifie qu'il n'y a pas de signal de rebond technique immédiat. La décision "Neutre" reflète cette absence de signal clair, bien que la tendance soit baissière.</w:t>
      </w:r>
    </w:p>
    <w:p>
      <w:pPr>
        <w:spacing w:after="120" w:line="276" w:lineRule="auto"/>
      </w:pPr>
      <w:r>
        <w:t>*   **Stochastique**: Le %K à 43,75 a récemment croisé à la hausse le %D à 19,444. Ce croisement haussier, en provenance de la zone de survente, est un signal technique positif à court terme. Il suggère un possible rebond technique, ce qui justifie la décision "Neutre" (ni achat, ni vente ferme).</w:t>
      </w:r>
    </w:p>
    <w:p>
      <w:pPr>
        <w:spacing w:after="120" w:line="276" w:lineRule="auto"/>
      </w:pPr>
      <w:r>
        <w:t>**Conclusion technique** : Les indicateurs de tendance (Moyennes Mobiles, MACD) sont unanimement baissiers, indiquant une dynamique négative forte. Cependant, les oscillateurs (RSI, Stochastique) commencent à montrer des signes de faiblesse de la pression vendeuse, avec un croisement haussier sur le Stochastique. Le titre est donc dans une phase de "bear trap" potentiel, où un rebond technique est possible à très court terme, mais la tendance de fond reste résolument baissière. La prudence est de mise.</w:t>
      </w:r>
    </w:p>
    <w:p>
      <w:pPr>
        <w:spacing w:after="120" w:line="276" w:lineRule="auto"/>
      </w:pPr>
      <w:r>
        <w:t>### **PARTIE 3 : ANALYSE FONDAMENTALE (SECTION CRITIQUE)**</w:t>
      </w:r>
    </w:p>
    <w:p>
      <w:pPr>
        <w:spacing w:after="120" w:line="276" w:lineRule="auto"/>
      </w:pPr>
      <w:r>
        <w:t>L'analyse fondamentale s'appuie sur les rapports financiers officiels disponibles, le plus récent datant du 31 décembre 2023. Pour l'exercice 2023, le chiffre d'affaires consolidé s'établit à **27,88 milliards FCFA**, en baisse de 6% par rapport à 2022 (29,60 milliards FCFA). Cette baisse est principalement due à la perte de clients clés (notamment AIRONE) et à la concurrence des emballages alternatifs. Le résultat net a chuté de manière drastique à **1,01 milliard FCFA**, contre 3,86 milliards FCFA en 2022, soit une baisse de 74%. En conséquence, la marge nette s'est effondrée à 3,6% (contre 13% en 2022). La rentabilité des capitaux propres (ROE) et des actifs (ROA) a donc logiquement subi une forte dégradation. Aucun dividende n'a été proposé pour 2023, la société privilégiant la conservation de sa trésorerie (3,35 milliards FCFA) pour faire face à ses défis. Il est crucial de noter que les rapports de 2022 et 2021, bien que disponibles, présentent des chiffres radicalement différents (CA de 125,4 milliards FCFA pour 2022), ce qui suggère un changement de périmètre ou une restructuration majeure de l'entité cotée. Les perspectives pour 2024, mentionnées dans le rapport 2023, visent un objectif de CA de 32 milliards FCFA (+18%), porté par les bouchons couronnes et les exportations, avec l'arrivée du nouveau propriétaire, Sonoco Products Company. La situation financière est donc fragile mais un plan de relance est en place.</w:t>
      </w:r>
    </w:p>
    <w:p>
      <w:pPr>
        <w:spacing w:after="120" w:line="276" w:lineRule="auto"/>
      </w:pPr>
      <w:r>
        <w:t>### **PARTIE 4 : CONCLUSION D'INVESTISSEMENT**</w:t>
      </w:r>
    </w:p>
    <w:p>
      <w:pPr>
        <w:spacing w:after="120" w:line="276" w:lineRule="auto"/>
      </w:pPr>
      <w:r>
        <w:t>La synthèse globale pour l'action SEMC est extrêmement défavorable. La **valorisation (Partie 0)** est impossible à calculer, ce qui est en soi un signal d'alarme. Le **comportement du cours (Partie 1)** est catastrophique avec une baisse de 42% sur 100 jours et une volatilité très élevée, indiquant une forte défiance du marché. Les **signaux techniques (Partie 2)** sont majoritairement baissiers, malgré un possible rebond technique de court terme. Enfin, les **fondamentaux (Partie 3)** sont très dégradés, avec une chute du chiffre d'affaires et un résultat net divisé par quatre, confirmant les difficultés opérationnelles de l'entreprise. Les **prédictions IA** pour les 10 prochains jours anticipent une poursuite de la baisse jusqu'à 1 336 FCFA, ce qui contredit le faible signal haussier du Stochastique et confirme la tendance baissière dominante. Face à cette convergence de signaux négatifs (tendance baissière, fondamentaux dégradés, prédictions pessimistes), la recommandation est une **VENTE FORTE**. Le niveau de confiance est **Élevé** et le niveau de risque global est **Élevé**. L'horizon d'investissement optimal est le **court terme (&lt; 3 mois)** pour les investisseurs souhaitant limiter leurs pertes, car le titre ne présente aucun catalyseur haussier crédible à moyen ou long terme dans l'état actuel des informations.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4,291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+25.81%</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31,000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6.37% (Moyenne) — μ=35,756 FCFA, σ=2,277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β=1.1471 (Neutre (suit le marché)) — Cov=0.000048, Var(idx)=0.000042, ρ=0.405,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37,628</w:t>
            </w:r>
          </w:p>
        </w:tc>
        <w:tc>
          <w:tcPr>
            <w:tcW w:type="dxa" w:w="1440"/>
            <w:shd w:fill="FAFAFA" w:val="clear"/>
          </w:tcPr>
          <w:p>
            <w:r>
              <w:rPr>
                <w:b/>
                <w:sz w:val="17"/>
              </w:rPr>
              <w:t>38,514</w:t>
            </w:r>
          </w:p>
        </w:tc>
        <w:tc>
          <w:tcPr>
            <w:tcW w:type="dxa" w:w="1440"/>
            <w:shd w:fill="FAFAFA" w:val="clear"/>
          </w:tcPr>
          <w:p>
            <w:r>
              <w:rPr>
                <w:sz w:val="17"/>
              </w:rPr>
              <w:t>39,401</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37,171</w:t>
            </w:r>
          </w:p>
        </w:tc>
        <w:tc>
          <w:tcPr>
            <w:tcW w:type="dxa" w:w="1440"/>
            <w:shd w:fill="FAFAFA" w:val="clear"/>
          </w:tcPr>
          <w:p>
            <w:r>
              <w:rPr>
                <w:b/>
                <w:sz w:val="17"/>
              </w:rPr>
              <w:t>38,422</w:t>
            </w:r>
          </w:p>
        </w:tc>
        <w:tc>
          <w:tcPr>
            <w:tcW w:type="dxa" w:w="1440"/>
            <w:shd w:fill="FAFAFA" w:val="clear"/>
          </w:tcPr>
          <w:p>
            <w:r>
              <w:rPr>
                <w:sz w:val="17"/>
              </w:rPr>
              <w:t>39,672</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36,792</w:t>
            </w:r>
          </w:p>
        </w:tc>
        <w:tc>
          <w:tcPr>
            <w:tcW w:type="dxa" w:w="1440"/>
            <w:shd w:fill="FAFAFA" w:val="clear"/>
          </w:tcPr>
          <w:p>
            <w:r>
              <w:rPr>
                <w:b/>
                <w:sz w:val="17"/>
              </w:rPr>
              <w:t>38,319</w:t>
            </w:r>
          </w:p>
        </w:tc>
        <w:tc>
          <w:tcPr>
            <w:tcW w:type="dxa" w:w="1440"/>
            <w:shd w:fill="FAFAFA" w:val="clear"/>
          </w:tcPr>
          <w:p>
            <w:r>
              <w:rPr>
                <w:sz w:val="17"/>
              </w:rPr>
              <w:t>39,847</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2026-07-16</w:t>
            </w:r>
          </w:p>
        </w:tc>
        <w:tc>
          <w:tcPr>
            <w:tcW w:type="dxa" w:w="1440"/>
            <w:shd w:fill="FAFAFA" w:val="clear"/>
          </w:tcPr>
          <w:p>
            <w:r>
              <w:rPr>
                <w:sz w:val="17"/>
              </w:rPr>
              <w:t>36,464</w:t>
            </w:r>
          </w:p>
        </w:tc>
        <w:tc>
          <w:tcPr>
            <w:tcW w:type="dxa" w:w="1440"/>
            <w:shd w:fill="FAFAFA" w:val="clear"/>
          </w:tcPr>
          <w:p>
            <w:r>
              <w:rPr>
                <w:b/>
                <w:sz w:val="17"/>
              </w:rPr>
              <w:t>38,223</w:t>
            </w:r>
          </w:p>
        </w:tc>
        <w:tc>
          <w:tcPr>
            <w:tcW w:type="dxa" w:w="1440"/>
            <w:shd w:fill="FAFAFA" w:val="clear"/>
          </w:tcPr>
          <w:p>
            <w:r>
              <w:rPr>
                <w:sz w:val="17"/>
              </w:rPr>
              <w:t>39,982</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36,169</w:t>
            </w:r>
          </w:p>
        </w:tc>
        <w:tc>
          <w:tcPr>
            <w:tcW w:type="dxa" w:w="1440"/>
            <w:shd w:fill="FFDCE0" w:val="clear"/>
          </w:tcPr>
          <w:p>
            <w:r>
              <w:rPr>
                <w:b/>
                <w:sz w:val="17"/>
              </w:rPr>
              <w:t>38,132</w:t>
            </w:r>
          </w:p>
        </w:tc>
        <w:tc>
          <w:tcPr>
            <w:tcW w:type="dxa" w:w="1440"/>
            <w:shd w:fill="FFDCE0" w:val="clear"/>
          </w:tcPr>
          <w:p>
            <w:r>
              <w:rPr>
                <w:sz w:val="17"/>
              </w:rPr>
              <w:t>40,094</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35,900</w:t>
            </w:r>
          </w:p>
        </w:tc>
        <w:tc>
          <w:tcPr>
            <w:tcW w:type="dxa" w:w="1440"/>
            <w:shd w:fill="FFDCE0" w:val="clear"/>
          </w:tcPr>
          <w:p>
            <w:r>
              <w:rPr>
                <w:b/>
                <w:sz w:val="17"/>
              </w:rPr>
              <w:t>38,044</w:t>
            </w:r>
          </w:p>
        </w:tc>
        <w:tc>
          <w:tcPr>
            <w:tcW w:type="dxa" w:w="1440"/>
            <w:shd w:fill="FFDCE0" w:val="clear"/>
          </w:tcPr>
          <w:p>
            <w:r>
              <w:rPr>
                <w:sz w:val="17"/>
              </w:rPr>
              <w:t>40,189</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35,649</w:t>
            </w:r>
          </w:p>
        </w:tc>
        <w:tc>
          <w:tcPr>
            <w:tcW w:type="dxa" w:w="1440"/>
            <w:shd w:fill="FFDCE0" w:val="clear"/>
          </w:tcPr>
          <w:p>
            <w:r>
              <w:rPr>
                <w:b/>
                <w:sz w:val="17"/>
              </w:rPr>
              <w:t>37,960</w:t>
            </w:r>
          </w:p>
        </w:tc>
        <w:tc>
          <w:tcPr>
            <w:tcW w:type="dxa" w:w="1440"/>
            <w:shd w:fill="FFDCE0" w:val="clear"/>
          </w:tcPr>
          <w:p>
            <w:r>
              <w:rPr>
                <w:sz w:val="17"/>
              </w:rPr>
              <w:t>40,271</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35,412</w:t>
            </w:r>
          </w:p>
        </w:tc>
        <w:tc>
          <w:tcPr>
            <w:tcW w:type="dxa" w:w="1440"/>
            <w:shd w:fill="FFDCE0" w:val="clear"/>
          </w:tcPr>
          <w:p>
            <w:r>
              <w:rPr>
                <w:b/>
                <w:sz w:val="17"/>
              </w:rPr>
              <w:t>37,877</w:t>
            </w:r>
          </w:p>
        </w:tc>
        <w:tc>
          <w:tcPr>
            <w:tcW w:type="dxa" w:w="1440"/>
            <w:shd w:fill="FFDCE0" w:val="clear"/>
          </w:tcPr>
          <w:p>
            <w:r>
              <w:rPr>
                <w:sz w:val="17"/>
              </w:rPr>
              <w:t>40,343</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35,187</w:t>
            </w:r>
          </w:p>
        </w:tc>
        <w:tc>
          <w:tcPr>
            <w:tcW w:type="dxa" w:w="1440"/>
            <w:shd w:fill="FFDCE0" w:val="clear"/>
          </w:tcPr>
          <w:p>
            <w:r>
              <w:rPr>
                <w:b/>
                <w:sz w:val="17"/>
              </w:rPr>
              <w:t>37,797</w:t>
            </w:r>
          </w:p>
        </w:tc>
        <w:tc>
          <w:tcPr>
            <w:tcW w:type="dxa" w:w="1440"/>
            <w:shd w:fill="FFDCE0" w:val="clear"/>
          </w:tcPr>
          <w:p>
            <w:r>
              <w:rPr>
                <w:sz w:val="17"/>
              </w:rPr>
              <w:t>40,406</w:t>
            </w:r>
          </w:p>
        </w:tc>
        <w:tc>
          <w:tcPr>
            <w:tcW w:type="dxa" w:w="1440"/>
            <w:shd w:fill="FFDCE0" w:val="clear"/>
          </w:tcPr>
          <w:p>
            <w:r>
              <w:rPr>
                <w:b/>
                <w:color w:val="C00000"/>
                <w:sz w:val="17"/>
              </w:rPr>
              <w:t>-3.1%</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34,973</w:t>
            </w:r>
          </w:p>
        </w:tc>
        <w:tc>
          <w:tcPr>
            <w:tcW w:type="dxa" w:w="1440"/>
            <w:shd w:fill="FFDCE0" w:val="clear"/>
          </w:tcPr>
          <w:p>
            <w:r>
              <w:rPr>
                <w:b/>
                <w:sz w:val="17"/>
              </w:rPr>
              <w:t>37,717</w:t>
            </w:r>
          </w:p>
        </w:tc>
        <w:tc>
          <w:tcPr>
            <w:tcW w:type="dxa" w:w="1440"/>
            <w:shd w:fill="FFDCE0" w:val="clear"/>
          </w:tcPr>
          <w:p>
            <w:r>
              <w:rPr>
                <w:sz w:val="17"/>
              </w:rPr>
              <w:t>40,462</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Voici le rapport d'analyse structuré pour l'action SGBC (Société Générale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se positionne comme un poids lourd de la cote BRVM, reflétant sa stature de leader bancaire ivoirien. Le Bénéfice Par Action (BPA) de 3 258 FCFA indique que chaque action a généré un profit substantiel sur l'exercice. Le PER de 12,0x se situe dans la fourchette haute de la moyenne historique de la BRVM (8-12x), suggérant une valorisation raisonnable mais non décotée, où les investisseurs acceptent de payer une prime modérée pour la qualité de l'actif. Le ratio Price/Book (P/B) de 2,45x confirme cette prime, le marché valorisant l'entreprise à près de 2,5 fois ses capitaux propres, ce qui est typique pour une banque profitable et bien notée. En revanche, l'EV/EBITDA de 24,7x est très exigeant, signalant que la valeur d'entreprise (incluant la dette) est élevée par rapport à la capacité bénéficiaire brute, un point de vigilance pour les investisseurs regardant la structure de financement.</w:t>
      </w:r>
    </w:p>
    <w:p>
      <w:pPr>
        <w:spacing w:after="120" w:line="276" w:lineRule="auto"/>
      </w:pPr>
      <w:r>
        <w:t>### **PARTIE 1 : ANALYSE DU COURS — STATISTIQUES ET ÉVOLUTION (100 derniers jours)**</w:t>
      </w:r>
    </w:p>
    <w:p>
      <w:pPr>
        <w:spacing w:after="120" w:line="276" w:lineRule="auto"/>
      </w:pPr>
      <w:r>
        <w:t>Sur les 100 derniers jours, l'action SGBC a enregistré une performance remarquable de +25,81%, passant d'un plus bas de 31 000 FCFA à un plus haut de 39 200 FCFA, avant de se stabiliser à 39 000 FCFA. La dernière séance s'est soldée par une stagnation (0,00%), suggérant une phase de consolidation après une forte hausse. L'analyse des statistiques descriptives révèle un comportement de cours sain et équilibré. La moyenne (35 756 FCFA) et la médiane (35 000 FCFA) sont très proches, indiquant une distribution symétrique des prix, ce qui est confirmé par un skewness quasi nul (0,044). L'écart-type de 2 289 FCFA, combiné à un coefficient de variation de seulement 6,4%, témoigne d'une dispersion relativement faible autour de la moyenne. Le kurtosis (excès) de -0,995, qualifié de mésokurtique, indique que le titre ne présente pas de risque de mouvements extrêmes ou de "pics" de volatilité, se comportant comme une distribution normale. La volatilité annualisée de 28,8% est modérée, classant le titre dans une catégorie de risque acceptable pour un marché émergent.</w:t>
      </w:r>
    </w:p>
    <w:p>
      <w:pPr>
        <w:spacing w:after="120" w:line="276" w:lineRule="auto"/>
      </w:pPr>
      <w:r>
        <w:t>### **PARTIE 2 : ANALYSE TECHNIQUE DÉTAILLÉE**</w:t>
      </w:r>
    </w:p>
    <w:p>
      <w:pPr>
        <w:spacing w:after="120" w:line="276" w:lineRule="auto"/>
      </w:pPr>
      <w:r>
        <w:t>*   **Moyennes Mobiles** : Le cours actuel (39 000 FCFA) est supérieur à la MM20 (38 846 FCFA) et à la MM50 (37 176 FCFA), confirmant une tendance haussière de court et moyen terme. La pente positive de ces moyennes soutient la décision d'**Achat**.</w:t>
        <w:br/>
        <w:t>*   **Bandes de Bollinger** : Le cours se situe exactement au milieu des bandes, entre la borne supérieure (39 808 FCFA) et la borne inférieure (37 885 FCFA). Cette position centrale, couplée à une largeur de bandes stable, indique une absence de volatilité excessive et un marché en équilibre, justifiant une décision **Neutre**.</w:t>
        <w:br/>
        <w:t>*   **MACD** : La ligne MACD (364,5) est passée en dessous de sa ligne de signal (478,5), générant un signal baissier. Cette divergence récente suggère un ralentissement du momentum haussier et une possible correction à court terme, d'où la décision de **Vente**.</w:t>
        <w:br/>
        <w:t>*   **RSI** : Avec une valeur de 47,9, le RSI se situe en zone neutre (entre 30 et 70). Il n'indique ni surachat ni survente, laissant le titre sans pression directionnelle immédiate, justifiant une décision **Neutre**.</w:t>
        <w:br/>
        <w:t>*   **Stochastique** : Le %K à 100 et le %D à 92,4 sont en zone de surachat extrême. Bien que le %K soit au plus haut, le croisement potentiel à la baisse de ces deux lignes pourrait signaler un épuisement de la dynamique haussière et un retournement imminent, justifiant une décision de **Vente**.</w:t>
      </w:r>
    </w:p>
    <w:p>
      <w:pPr>
        <w:spacing w:after="120" w:line="276" w:lineRule="auto"/>
      </w:pPr>
      <w:r>
        <w:t>**Conclusion technique** : Le tableau technique est contrasté. La tendance de fond, soutenue par les moyennes mobiles, reste haussière. Cependant, les oscillateurs (MACD et Stochastique) envoient des signaux de vente à court terme, suggérant une perte de momentum et un risque de consolidation ou de correction. Le RSI neutre et les Bandes de Bollinger stables indiquent que le marché n'est pas encore en situation de stress, mais la prudence est de mise.</w:t>
      </w:r>
    </w:p>
    <w:p>
      <w:pPr>
        <w:spacing w:after="120" w:line="276" w:lineRule="auto"/>
      </w:pPr>
      <w:r>
        <w:t>### **PARTIE 3 : ANALYSE FONDAMENTALE (SECTION CRITIQUE)**</w:t>
      </w:r>
    </w:p>
    <w:p>
      <w:pPr>
        <w:spacing w:after="120" w:line="276" w:lineRule="auto"/>
      </w:pPr>
      <w:r>
        <w:t>Les données financières structurées pour l'exercice 2025 confirment la solidité de SGBC. Le Produit Net Bancaire (PNB) s'établit à 276,05 milliards FCFA, pour un résultat net de 101,35 milliards FCFA. La rentabilité est exceptionnelle avec un ROE de 20,47% et un ROA de 2,69%. En tant que banque, le coefficient d'exploitation de 38,75% est excellent, témoignant d'une grande maîtrise des coûts. Le ratio de transformation, calculé via le rapport prêts/dépôts (Créances clientèle de 2 546 Mds / Dettes clientèle de 2 908 Mds), ressort à 87,5%, un niveau sain. Les rapports trimestriels récents (T1, S1, et 9 mois 2025) confirment cette dynamique positive. Le rapport du 3e trimestre 2025 (cumul 9 mois) montre un PNB de 201,0 Mds (+2,5%) et un résultat net de 83,3 Mds (+11,7%), porté par une amélioration du coefficient d'exploitation à 37,3% et une collecte de dépôts dynamique (+13,9%). Sur cette base, on estime que l'exercice 2026 pourrait voir un PNB annuel dépasser les 280 Mds et un résultat net supérieur à 110 Mds, si la tendance se maintient. Le rapport annuel 2024 mentionnait déjà une notation AAA, un atout majeur. Le principal point de vigilance reste la qualité du portefeuille de crédits, avec un taux de créances en souffrance (NPL) en hausse à 7,8% au S1 2025, bien que le coût du risque reste contenu. La recommandation fondamentale est **positive**, basée sur une rentabilité solide, une efficacité opérationnelle de premier ordre et des perspectives de croissance soutenues par la digitalisation.</w:t>
      </w:r>
    </w:p>
    <w:p>
      <w:pPr>
        <w:spacing w:after="120" w:line="276" w:lineRule="auto"/>
      </w:pPr>
      <w:r>
        <w:t>### **PARTIE 4 : CONCLUSION D'INVESTISSEMENT**</w:t>
      </w:r>
    </w:p>
    <w:p>
      <w:pPr>
        <w:spacing w:after="120" w:line="276" w:lineRule="auto"/>
      </w:pPr>
      <w:r>
        <w:t>La synthèse globale pour SGBC est nuancée. La **valorisation** (Partie 0) est raisonnable mais non décotée, avec un PER et un P/B qui intègrent déjà une prime de qualité. Le **comportement du cours** (Partie 1) montre une tendance haussière saine, avec une volatilité modérée et une distribution statistique normale, ce qui est rassurant. Cependant, les **signaux techniques** (Partie 2) sont en divergence : la tendance de fond est haussière, mais les oscillateurs de court terme (MACD, Stochastique) suggèrent une pause ou un repli technique. Les **fondamentaux** (Partie 3) sont excellents, avec une rentabilité record et une gestion rigoureuse, ce qui soutient la valeur à long terme. Enfin, les **prédictions IA** pour les 10 prochains jours anticipent une légère baisse (de 39 000 à 38 132 FCFA), confirmant le signal technique de court terme. Sur cette base, la recommandation est **CONSERVER**. La convergence entre les signaux techniques baissiers à court terme, les prédictions IA et une valorisation déjà "chère" suggère qu'il est plus prudent de ne pas renforcer la position maintenant. En revanche, la solidité fondamentale exceptionnelle justifie de conserver le titre pour profiter de la croissance future. Le niveau de confiance est **Moyen** et le risque global est **Faible** pour un horizon d'investissement **long terme (&gt;1 an)**.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6,361 titres</w:t>
            </w:r>
          </w:p>
        </w:tc>
        <w:tc>
          <w:tcPr>
            <w:tcW w:type="dxa" w:w="2268"/>
            <w:shd w:fill="FFF2CC" w:val="clear"/>
          </w:tcPr>
          <w:p>
            <w:r>
              <w:rPr>
                <w:b/>
                <w:color w:val="503200"/>
                <w:sz w:val="16"/>
              </w:rPr>
              <w:t xml:space="preserve">Cours actuel : </w:t>
            </w:r>
            <w:r>
              <w:rPr>
                <w:color w:val="000000"/>
                <w:sz w:val="17"/>
              </w:rPr>
              <w:t>2,205 FCFA</w:t>
            </w:r>
          </w:p>
          <w:p>
            <w:r>
              <w:rPr>
                <w:b/>
                <w:color w:val="503200"/>
                <w:sz w:val="16"/>
              </w:rPr>
              <w:t xml:space="preserve">Var. 100 jours : </w:t>
            </w:r>
            <w:r>
              <w:rPr>
                <w:b/>
                <w:color w:val="007800"/>
                <w:sz w:val="17"/>
              </w:rPr>
              <w:t>+25.28%</w:t>
            </w:r>
          </w:p>
          <w:p>
            <w:r>
              <w:rPr>
                <w:b/>
                <w:color w:val="503200"/>
                <w:sz w:val="16"/>
              </w:rPr>
              <w:t xml:space="preserve">Plus haut 100j : </w:t>
            </w:r>
            <w:r>
              <w:rPr>
                <w:color w:val="000000"/>
                <w:sz w:val="17"/>
              </w:rPr>
              <w:t>2,510 FCFA</w:t>
            </w:r>
          </w:p>
          <w:p>
            <w:r>
              <w:rPr>
                <w:b/>
                <w:color w:val="503200"/>
                <w:sz w:val="16"/>
              </w:rPr>
              <w:t xml:space="preserve">Plus bas 100j : </w:t>
            </w:r>
            <w:r>
              <w:rPr>
                <w:color w:val="000000"/>
                <w:sz w:val="17"/>
              </w:rPr>
              <w:t>1,700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7.69% (Moyenne) — μ=2,055 FCFA, σ=158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β=0.7326 (Défensif) — Cov=0.000031, Var(idx)=0.000042, ρ=0.182,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σ_j=2.59%/j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2,026</w:t>
            </w:r>
          </w:p>
        </w:tc>
        <w:tc>
          <w:tcPr>
            <w:tcW w:type="dxa" w:w="1440"/>
            <w:shd w:fill="FFDCE0" w:val="clear"/>
          </w:tcPr>
          <w:p>
            <w:r>
              <w:rPr>
                <w:b/>
                <w:sz w:val="17"/>
              </w:rPr>
              <w:t>2,089</w:t>
            </w:r>
          </w:p>
        </w:tc>
        <w:tc>
          <w:tcPr>
            <w:tcW w:type="dxa" w:w="1440"/>
            <w:shd w:fill="FFDCE0" w:val="clear"/>
          </w:tcPr>
          <w:p>
            <w:r>
              <w:rPr>
                <w:sz w:val="17"/>
              </w:rPr>
              <w:t>2,153</w:t>
            </w:r>
          </w:p>
        </w:tc>
        <w:tc>
          <w:tcPr>
            <w:tcW w:type="dxa" w:w="1440"/>
            <w:shd w:fill="FFDCE0" w:val="clear"/>
          </w:tcPr>
          <w:p>
            <w:r>
              <w:rPr>
                <w:b/>
                <w:color w:val="C00000"/>
                <w:sz w:val="17"/>
              </w:rPr>
              <w:t>-5.2%</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1,922</w:t>
            </w:r>
          </w:p>
        </w:tc>
        <w:tc>
          <w:tcPr>
            <w:tcW w:type="dxa" w:w="1440"/>
            <w:shd w:fill="FFDCE0" w:val="clear"/>
          </w:tcPr>
          <w:p>
            <w:r>
              <w:rPr>
                <w:b/>
                <w:sz w:val="17"/>
              </w:rPr>
              <w:t>2,008</w:t>
            </w:r>
          </w:p>
        </w:tc>
        <w:tc>
          <w:tcPr>
            <w:tcW w:type="dxa" w:w="1440"/>
            <w:shd w:fill="FFDCE0" w:val="clear"/>
          </w:tcPr>
          <w:p>
            <w:r>
              <w:rPr>
                <w:sz w:val="17"/>
              </w:rPr>
              <w:t>2,094</w:t>
            </w:r>
          </w:p>
        </w:tc>
        <w:tc>
          <w:tcPr>
            <w:tcW w:type="dxa" w:w="1440"/>
            <w:shd w:fill="FFDCE0" w:val="clear"/>
          </w:tcPr>
          <w:p>
            <w:r>
              <w:rPr>
                <w:b/>
                <w:color w:val="C00000"/>
                <w:sz w:val="17"/>
              </w:rPr>
              <w:t>-8.9%</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1,832</w:t>
            </w:r>
          </w:p>
        </w:tc>
        <w:tc>
          <w:tcPr>
            <w:tcW w:type="dxa" w:w="1440"/>
            <w:shd w:fill="FFDCE0" w:val="clear"/>
          </w:tcPr>
          <w:p>
            <w:r>
              <w:rPr>
                <w:b/>
                <w:sz w:val="17"/>
              </w:rPr>
              <w:t>1,934</w:t>
            </w:r>
          </w:p>
        </w:tc>
        <w:tc>
          <w:tcPr>
            <w:tcW w:type="dxa" w:w="1440"/>
            <w:shd w:fill="FFDCE0" w:val="clear"/>
          </w:tcPr>
          <w:p>
            <w:r>
              <w:rPr>
                <w:sz w:val="17"/>
              </w:rPr>
              <w:t>2,036</w:t>
            </w:r>
          </w:p>
        </w:tc>
        <w:tc>
          <w:tcPr>
            <w:tcW w:type="dxa" w:w="1440"/>
            <w:shd w:fill="FFDCE0" w:val="clear"/>
          </w:tcPr>
          <w:p>
            <w:r>
              <w:rPr>
                <w:b/>
                <w:color w:val="C00000"/>
                <w:sz w:val="17"/>
              </w:rPr>
              <w:t>-12.3%</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1,757</w:t>
            </w:r>
          </w:p>
        </w:tc>
        <w:tc>
          <w:tcPr>
            <w:tcW w:type="dxa" w:w="1440"/>
            <w:shd w:fill="FFDCE0" w:val="clear"/>
          </w:tcPr>
          <w:p>
            <w:r>
              <w:rPr>
                <w:b/>
                <w:sz w:val="17"/>
              </w:rPr>
              <w:t>1,871</w:t>
            </w:r>
          </w:p>
        </w:tc>
        <w:tc>
          <w:tcPr>
            <w:tcW w:type="dxa" w:w="1440"/>
            <w:shd w:fill="FFDCE0" w:val="clear"/>
          </w:tcPr>
          <w:p>
            <w:r>
              <w:rPr>
                <w:sz w:val="17"/>
              </w:rPr>
              <w:t>1,985</w:t>
            </w:r>
          </w:p>
        </w:tc>
        <w:tc>
          <w:tcPr>
            <w:tcW w:type="dxa" w:w="1440"/>
            <w:shd w:fill="FFDCE0" w:val="clear"/>
          </w:tcPr>
          <w:p>
            <w:r>
              <w:rPr>
                <w:b/>
                <w:color w:val="C00000"/>
                <w:sz w:val="17"/>
              </w:rPr>
              <w:t>-15.2%</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1,694</w:t>
            </w:r>
          </w:p>
        </w:tc>
        <w:tc>
          <w:tcPr>
            <w:tcW w:type="dxa" w:w="1440"/>
            <w:shd w:fill="FFDCE0" w:val="clear"/>
          </w:tcPr>
          <w:p>
            <w:r>
              <w:rPr>
                <w:b/>
                <w:sz w:val="17"/>
              </w:rPr>
              <w:t>1,818</w:t>
            </w:r>
          </w:p>
        </w:tc>
        <w:tc>
          <w:tcPr>
            <w:tcW w:type="dxa" w:w="1440"/>
            <w:shd w:fill="FFDCE0" w:val="clear"/>
          </w:tcPr>
          <w:p>
            <w:r>
              <w:rPr>
                <w:sz w:val="17"/>
              </w:rPr>
              <w:t>1,941</w:t>
            </w:r>
          </w:p>
        </w:tc>
        <w:tc>
          <w:tcPr>
            <w:tcW w:type="dxa" w:w="1440"/>
            <w:shd w:fill="FFDCE0" w:val="clear"/>
          </w:tcPr>
          <w:p>
            <w:r>
              <w:rPr>
                <w:b/>
                <w:color w:val="C00000"/>
                <w:sz w:val="17"/>
              </w:rPr>
              <w:t>-17.6%</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1,640</w:t>
            </w:r>
          </w:p>
        </w:tc>
        <w:tc>
          <w:tcPr>
            <w:tcW w:type="dxa" w:w="1440"/>
            <w:shd w:fill="FFDCE0" w:val="clear"/>
          </w:tcPr>
          <w:p>
            <w:r>
              <w:rPr>
                <w:b/>
                <w:sz w:val="17"/>
              </w:rPr>
              <w:t>1,772</w:t>
            </w:r>
          </w:p>
        </w:tc>
        <w:tc>
          <w:tcPr>
            <w:tcW w:type="dxa" w:w="1440"/>
            <w:shd w:fill="FFDCE0" w:val="clear"/>
          </w:tcPr>
          <w:p>
            <w:r>
              <w:rPr>
                <w:sz w:val="17"/>
              </w:rPr>
              <w:t>1,904</w:t>
            </w:r>
          </w:p>
        </w:tc>
        <w:tc>
          <w:tcPr>
            <w:tcW w:type="dxa" w:w="1440"/>
            <w:shd w:fill="FFDCE0" w:val="clear"/>
          </w:tcPr>
          <w:p>
            <w:r>
              <w:rPr>
                <w:b/>
                <w:color w:val="C00000"/>
                <w:sz w:val="17"/>
              </w:rPr>
              <w:t>-19.6%</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1,592</w:t>
            </w:r>
          </w:p>
        </w:tc>
        <w:tc>
          <w:tcPr>
            <w:tcW w:type="dxa" w:w="1440"/>
            <w:shd w:fill="FFDCE0" w:val="clear"/>
          </w:tcPr>
          <w:p>
            <w:r>
              <w:rPr>
                <w:b/>
                <w:sz w:val="17"/>
              </w:rPr>
              <w:t>1,732</w:t>
            </w:r>
          </w:p>
        </w:tc>
        <w:tc>
          <w:tcPr>
            <w:tcW w:type="dxa" w:w="1440"/>
            <w:shd w:fill="FFDCE0" w:val="clear"/>
          </w:tcPr>
          <w:p>
            <w:r>
              <w:rPr>
                <w:sz w:val="17"/>
              </w:rPr>
              <w:t>1,871</w:t>
            </w:r>
          </w:p>
        </w:tc>
        <w:tc>
          <w:tcPr>
            <w:tcW w:type="dxa" w:w="1440"/>
            <w:shd w:fill="FFDCE0" w:val="clear"/>
          </w:tcPr>
          <w:p>
            <w:r>
              <w:rPr>
                <w:b/>
                <w:color w:val="C00000"/>
                <w:sz w:val="17"/>
              </w:rPr>
              <w:t>-21.5%</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1,550</w:t>
            </w:r>
          </w:p>
        </w:tc>
        <w:tc>
          <w:tcPr>
            <w:tcW w:type="dxa" w:w="1440"/>
            <w:shd w:fill="FFDCE0" w:val="clear"/>
          </w:tcPr>
          <w:p>
            <w:r>
              <w:rPr>
                <w:b/>
                <w:sz w:val="17"/>
              </w:rPr>
              <w:t>1,696</w:t>
            </w:r>
          </w:p>
        </w:tc>
        <w:tc>
          <w:tcPr>
            <w:tcW w:type="dxa" w:w="1440"/>
            <w:shd w:fill="FFDCE0" w:val="clear"/>
          </w:tcPr>
          <w:p>
            <w:r>
              <w:rPr>
                <w:sz w:val="17"/>
              </w:rPr>
              <w:t>1,842</w:t>
            </w:r>
          </w:p>
        </w:tc>
        <w:tc>
          <w:tcPr>
            <w:tcW w:type="dxa" w:w="1440"/>
            <w:shd w:fill="FFDCE0" w:val="clear"/>
          </w:tcPr>
          <w:p>
            <w:r>
              <w:rPr>
                <w:b/>
                <w:color w:val="C00000"/>
                <w:sz w:val="17"/>
              </w:rPr>
              <w:t>-23.1%</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1,511</w:t>
            </w:r>
          </w:p>
        </w:tc>
        <w:tc>
          <w:tcPr>
            <w:tcW w:type="dxa" w:w="1440"/>
            <w:shd w:fill="FFDCE0" w:val="clear"/>
          </w:tcPr>
          <w:p>
            <w:r>
              <w:rPr>
                <w:b/>
                <w:sz w:val="17"/>
              </w:rPr>
              <w:t>1,663</w:t>
            </w:r>
          </w:p>
        </w:tc>
        <w:tc>
          <w:tcPr>
            <w:tcW w:type="dxa" w:w="1440"/>
            <w:shd w:fill="FFDCE0" w:val="clear"/>
          </w:tcPr>
          <w:p>
            <w:r>
              <w:rPr>
                <w:sz w:val="17"/>
              </w:rPr>
              <w:t>1,815</w:t>
            </w:r>
          </w:p>
        </w:tc>
        <w:tc>
          <w:tcPr>
            <w:tcW w:type="dxa" w:w="1440"/>
            <w:shd w:fill="FFDCE0" w:val="clear"/>
          </w:tcPr>
          <w:p>
            <w:r>
              <w:rPr>
                <w:b/>
                <w:color w:val="C00000"/>
                <w:sz w:val="17"/>
              </w:rPr>
              <w:t>-24.6%</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1,476</w:t>
            </w:r>
          </w:p>
        </w:tc>
        <w:tc>
          <w:tcPr>
            <w:tcW w:type="dxa" w:w="1440"/>
            <w:shd w:fill="FFDCE0" w:val="clear"/>
          </w:tcPr>
          <w:p>
            <w:r>
              <w:rPr>
                <w:b/>
                <w:sz w:val="17"/>
              </w:rPr>
              <w:t>1,633</w:t>
            </w:r>
          </w:p>
        </w:tc>
        <w:tc>
          <w:tcPr>
            <w:tcW w:type="dxa" w:w="1440"/>
            <w:shd w:fill="FFDCE0" w:val="clear"/>
          </w:tcPr>
          <w:p>
            <w:r>
              <w:rPr>
                <w:sz w:val="17"/>
              </w:rPr>
              <w:t>1,790</w:t>
            </w:r>
          </w:p>
        </w:tc>
        <w:tc>
          <w:tcPr>
            <w:tcW w:type="dxa" w:w="1440"/>
            <w:shd w:fill="FFDCE0" w:val="clear"/>
          </w:tcPr>
          <w:p>
            <w:r>
              <w:rPr>
                <w:b/>
                <w:color w:val="C00000"/>
                <w:sz w:val="17"/>
              </w:rPr>
              <w:t>-25.9%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Absolument. Voici le rapport d'analyse structuré pour l'action SHEC (Vivo Energy Côte d'Ivoire) sur la BRVM, réalisé selon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138,91 milliards FCFA, SHEC se positionne comme une valeur de taille moyenne sur le marché de la BRVM. Le Bénéfice Par Action (BPA) s'établit à 96 FCFA, ce qui signifie que chaque action a généré un bénéfice net de ce montant pour l'exercice 2025. Le PER de 23,0x est très élevé par rapport à la moyenne historique du marché BRVM (8-12x), indiquant que les investisseurs sont prêts à payer une prime significative pour les bénéfices de la société. Cette prime reflète probablement des anticipations de croissance future ou la perception d'une valeur de rendement élevée. Le Price-to-Book (P/B) de 5,11x confirme cette surévaluation relative, le cours de bourse étant plus de cinq fois supérieur à la valeur comptable par action. Enfin, l'EV/EBITDA de 12,6x, bien que dans une fourchette élevée, suggère que la valeur d'entreprise reste cohérente avec la capacité bénéficiaire opérationnelle de la société.</w:t>
      </w:r>
    </w:p>
    <w:p>
      <w:pPr>
        <w:spacing w:after="120" w:line="276" w:lineRule="auto"/>
      </w:pPr>
      <w:r>
        <w:t>### **PARTIE 1 : ANALYSE DU COURS — STATISTIQUES ET ÉVOLUTION (100 derniers jours)**</w:t>
      </w:r>
    </w:p>
    <w:p>
      <w:pPr>
        <w:spacing w:after="120" w:line="276" w:lineRule="auto"/>
      </w:pPr>
      <w:r>
        <w:t>Sur les 100 derniers jours, l'action SHEC affiche une performance remarquable avec une variation totale de +25,28%, clôturant à 2 205 FCFA lors de la dernière séance (+0,23%). Le titre a évolué dans une fourchette large de 1 700 à 2 510 FCFA, démontrant une forte volatilité. La tendance générale est clairement haussière, le cours ayant plus que rattrapé son plus bas sur la période. Les statistiques descriptives révèlent un comportement de cours relativement normal. La moyenne (2 055 FCFA) et la médiane (2 075 FCFA) sont très proches, indiquant une distribution symétrique des prix, ce que confirme le skewness de -0,233. L'écart-type de 159 FCFA, combiné à un coefficient de variation de 7,7%, montre une dispersion modérée autour de la moyenne. Le kurtosis de -0,269 (mésokurtique) suggère que le cours n'a pas connu de mouvements extrêmes plus fréquents que dans une distribution normale. Enfin, la volatilité annualisée de 41,2% est très élevée, classant SHEC comme un titre à haut risque, ce qui est cohérent avec son fort potentiel de rendement.</w:t>
      </w:r>
    </w:p>
    <w:p>
      <w:pPr>
        <w:spacing w:after="120" w:line="276" w:lineRule="auto"/>
      </w:pPr>
      <w:r>
        <w:t>### **PARTIE 2 : ANALYSE TECHNIQUE DÉTAILLÉE**</w:t>
      </w:r>
    </w:p>
    <w:p>
      <w:pPr>
        <w:spacing w:after="120" w:line="276" w:lineRule="auto"/>
      </w:pPr>
      <w:r>
        <w:t>*   **Moyennes Mobiles**: La MM20 (2 161,25 FCFA) est positionnée au-dessus de la MM50 (2 049,9 FCFA), formant un « golden cross » haussier. Le cours actuel (2 205 FCFA) évoluant au-dessus de ces deux moyennes confirme la dynamique positive à court et moyen terme, justifiant la décision d'**Achat**.</w:t>
      </w:r>
    </w:p>
    <w:p>
      <w:pPr>
        <w:spacing w:after="120" w:line="276" w:lineRule="auto"/>
      </w:pPr>
      <w:r>
        <w:t>*   **Bandes de Bollinger**: Le cours à 2 205 FCFA se situe dans la partie supérieure du canal, entre la moyenne mobile et la borne supérieure (2 268,8 FCFA). Cela indique une pression acheteuse persistante sans pour autant atteindre une zone de surachat extrême. La largeur des bandes suggère une volatilité soutenue, justifiant une décision **Neutre** en attendant un test de la borne supérieure.</w:t>
      </w:r>
    </w:p>
    <w:p>
      <w:pPr>
        <w:spacing w:after="120" w:line="276" w:lineRule="auto"/>
      </w:pPr>
      <w:r>
        <w:t>*   **MACD**: La ligne MACD (44,552) est passée juste en dessous de sa ligne de signal (45,043), générant un signal de **Vente** précoce. Ce croisement baissier, bien que récent, indique un possible ralentissement du momentum haussier et une prudence à court terme.</w:t>
      </w:r>
    </w:p>
    <w:p>
      <w:pPr>
        <w:spacing w:after="120" w:line="276" w:lineRule="auto"/>
      </w:pPr>
      <w:r>
        <w:t>*   **RSI**: Avec une valeur de 55,385, le RSI se situe en territoire neutre, entre 30 et 70. Il n'indique ni surachat ni survente, ce qui laisse une marge de manœuvre pour une poursuite de la hausse comme pour un repli. La décision est donc **Neutre**.</w:t>
      </w:r>
    </w:p>
    <w:p>
      <w:pPr>
        <w:spacing w:after="120" w:line="276" w:lineRule="auto"/>
      </w:pPr>
      <w:r>
        <w:t>*   **Stochastique**: Les %K (62,5) et %D (60,417) sont également en zone neutre, sans croisement baissier ou haussier clair. Cette configuration suggère une absence de signal directionnel fort à très court terme, justifiant une décision **Neutre**.</w:t>
      </w:r>
    </w:p>
    <w:p>
      <w:pPr>
        <w:spacing w:after="120" w:line="276" w:lineRule="auto"/>
      </w:pPr>
      <w:r>
        <w:t>**Conclusion technique** : Les indicateurs de tendance (Moyennes Mobiles) sont positifs, mais les oscillateurs de momentum (MACD, RSI, Stochastique) envoient des signaux mitigés, avec un MACD qui vient de passer en vente. Cette divergence entre la tendance haussière de fond et le ralentissement du momentum suggère une phase de consolidation ou un possible repli technique à court terme avant une éventuelle reprise de la hausse.</w:t>
      </w:r>
    </w:p>
    <w:p>
      <w:pPr>
        <w:spacing w:after="120" w:line="276" w:lineRule="auto"/>
      </w:pPr>
      <w:r>
        <w:t>### **PARTIE 3 : ANALYSE FONDAMENTALE (SECTION CRITIQUE)**</w:t>
      </w:r>
    </w:p>
    <w:p>
      <w:pPr>
        <w:spacing w:after="120" w:line="276" w:lineRule="auto"/>
      </w:pPr>
      <w:r>
        <w:t>En se basant sur les données financières structurées de l'exercice 2025, SHEC (Vivo Energy CI) est une entreprise de distribution de produits pétroliers. Elle a réalisé un chiffre d'affaires de 604,978 milliards FCFA, en croissance modeste de 0,71% par rapport à 2024. Le résultat net s'élève à 6,028 milliards FCFA, en progression de +13% sur un an, porté par une meilleure maîtrise des charges et une baisse des frais financiers. La marge nette reste très faible à 1%, typique du secteur. La rentabilité des capitaux propres (ROE) est excellente à 22,2%, tandis que le ROA est de 3,1%. L'analyse des rapports narratifs (notamment ceux du 31/12/2025) confirme cette tendance et souligne une amélioration de la marge brute de 7% grâce à l'optimisation opérationnelle. Cependant, la structure financière est fragile : le Besoin en Fonds de Roulement (BFR) est de 15,315 milliards FCFA, et la trésorerie nette est fortement négative à -65,264 milliards FCFA, en raison de dettes fournisseurs et de découverts bancaires importants. Le délai de paiement clients (23 jours) est inférieur au délai fournisseurs (35 jours), ce qui est un point positif pour la trésorerie. Sur la base des rapports du T1 2026, qui montrent une baisse de 9% du chiffre d'affaires, on estime que l'exercice 2026 pourrait être plus difficile, avec une pression sur les volumes, notamment sur les segments aviation et bitume.</w:t>
      </w:r>
    </w:p>
    <w:p>
      <w:pPr>
        <w:spacing w:after="120" w:line="276" w:lineRule="auto"/>
      </w:pPr>
      <w:r>
        <w:t>### **PARTIE 4 : CONCLUSION D'INVESTISSEMENT**</w:t>
      </w:r>
    </w:p>
    <w:p>
      <w:pPr>
        <w:spacing w:after="120" w:line="276" w:lineRule="auto"/>
      </w:pPr>
      <w:r>
        <w:t>En synthèse, SHEC présente un profil contrasté. La **valorisation** (Partie 0) est très exigeante avec un PER de 23x et un P/B de 5,1x, suggérant une surévaluation par rapport aux fondamentaux historiques. Le **comportement du cours** (Partie 1) est haussier et volatil, avec des statistiques de distribution normales. Les **signaux techniques** (Partie 2) sont mitigés : une tendance haussière solide mais un momentum qui faiblit, signalant un possible essoufflement à court terme. Enfin, les **fondamentaux** (Partie 3) montrent une amélioration de la rentabilité nette en 2025, mais une structure financière fragile et des perspectives de croissance atone pour 2026. Les **prédictions IA** pour les 10 prochains jours anticipent une correction baissière de -17,5% (de 2 205 à 1 818 FCFA), ce qui contredit fortement la tendance haussière récente et s'aligne avec les signaux techniques de prudence.</w:t>
      </w:r>
    </w:p>
    <w:p>
      <w:pPr>
        <w:spacing w:after="120" w:line="276" w:lineRule="auto"/>
      </w:pPr>
      <w:r>
        <w:t>Sur la base de cette synthèse, la recommandation finale est **VENTE**. La convergence entre la valorisation élevée, les signaux techniques de ralentissement et les prédictions IA baissières l'emporte sur la tendance haussière de fond. Le niveau de confiance est **Moyen**, car la tendance haussière est puissante et pourrait se prolonger. Le niveau de risque global est **Élevé**, en raison de la forte volatilité et de la fragilité financière. L'horizon d'investissement optimal est le **court terme (&lt; 3 mois)**, pour profiter d'une éventuelle correction avant de réévaluer la valeur.</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 la rentabilit\u00e9, la croissance solide du chiffre d'affaires et des volumes t\u00e9moigne d'une bonne dynamique commerciale. La position de leader sur le march\u00e9 p\u00e9trolier ivoirien justifie le maintien en portefeuille."}</w:t>
      </w:r>
    </w:p>
    <w:p>
      <w:pPr>
        <w:spacing w:before="40"/>
        <w:ind w:left="400"/>
      </w:pPr>
      <w:r>
        <w:rPr>
          <w:sz w:val="18"/>
        </w:rPr>
        <w:t>Vivo Energy Côte d'Ivoire présente des résultats mitigés au T3 2021 avec une croissance du chiffre d'affaires de 16% à 270 milliards FCFA. Malgré cette hausse des revenus, la rentabilité se dégrade avec un résultat d'exploitation en baisse de 13% et un résultat net qui chute de 21% à 1,3 milliard FCFA. La société bénéficie d'une amélioration du volume des ventes (+9%) mais souffre de l'augmentation des coûts de transport et frais de passage. L'impact du COVID-19 sur les activités économiques continue de peser sur les performances. La société maintient néanmoins une position solide sur le marché pétrolier ivoirien en tant que licencié Shell.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'500 millions m³/TM', 'resultat_financier': '-158 millions FCFA', 'resultat_exploitation': '2,438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1,287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270,061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16% à 270,061 millions FCFA</w:t>
      </w:r>
    </w:p>
    <w:p>
      <w:pPr>
        <w:pStyle w:val="ListBullet"/>
        <w:spacing w:before="20" w:after="20"/>
        <w:ind w:left="700"/>
      </w:pPr>
      <w:r>
        <w:rPr>
          <w:sz w:val="18"/>
        </w:rPr>
        <w:t>Volume des ventes en progression de 9% atteignant 500 millions de m³/TM</w:t>
      </w:r>
    </w:p>
    <w:p>
      <w:pPr>
        <w:pStyle w:val="ListBullet"/>
        <w:spacing w:before="20" w:after="20"/>
        <w:ind w:left="700"/>
      </w:pPr>
      <w:r>
        <w:rPr>
          <w:sz w:val="18"/>
        </w:rPr>
        <w:t>Résultat d'exploitation en baisse de 13% à 2,438 millions FCFA</w:t>
      </w:r>
    </w:p>
    <w:p>
      <w:pPr>
        <w:pStyle w:val="ListBullet"/>
        <w:spacing w:before="20" w:after="20"/>
        <w:ind w:left="700"/>
      </w:pPr>
      <w:r>
        <w:rPr>
          <w:sz w:val="18"/>
        </w:rPr>
        <w:t>Résultat net en déclin de 21% à 1,287 million FCFA</w:t>
      </w:r>
    </w:p>
    <w:p>
      <w:pPr>
        <w:pStyle w:val="ListBullet"/>
        <w:spacing w:before="20" w:after="20"/>
        <w:ind w:left="700"/>
      </w:pPr>
      <w:r>
        <w:rPr>
          <w:sz w:val="18"/>
        </w:rPr>
        <w:t>Résultat financier amélioré passant de -373 à -158 millions FCFA</w:t>
      </w:r>
    </w:p>
    <w:p>
      <w:pPr>
        <w:pStyle w:val="ListBullet"/>
        <w:spacing w:before="20" w:after="20"/>
        <w:ind w:left="700"/>
      </w:pPr>
      <w:r>
        <w:rPr>
          <w:sz w:val="18"/>
        </w:rPr>
        <w:t>Augmentation des coûts de transport et frais de passage impactant la marge</w:t>
      </w:r>
    </w:p>
    <w:p>
      <w:pPr>
        <w:spacing w:before="40"/>
        <w:ind w:left="400"/>
      </w:pPr>
      <w:r>
        <w:rPr>
          <w:b/>
          <w:color w:val="C05000"/>
          <w:sz w:val="18"/>
        </w:rPr>
        <w:t xml:space="preserve">⚠️ Risques : </w:t>
      </w:r>
      <w:r>
        <w:rPr>
          <w:sz w:val="18"/>
        </w:rPr>
        <w:t>["\u00c9rosion continue des marges due \u00e0 l'augmentation des co\u00fbts op\u00e9rationnels", "Impact persistant du COVID-19 sur les activit\u00e9s \u00e9conomiques", "Volatilit\u00e9 des prix du p\u00e9trole et des co\u00fbts de transport"]</w:t>
      </w:r>
    </w:p>
    <w:p>
      <w:pPr>
        <w:spacing w:before="40"/>
        <w:ind w:left="400"/>
      </w:pPr>
      <w:r>
        <w:rPr>
          <w:b/>
          <w:color w:val="0064A0"/>
          <w:sz w:val="18"/>
        </w:rPr>
        <w:t xml:space="preserve">🔮 Perspectives : </w:t>
      </w:r>
      <w:r>
        <w:rPr>
          <w:sz w:val="18"/>
        </w:rPr>
        <w:t>La société devrait bénéficier de la reprise économique post-COVID et de la normalisation des activités. L'optimisation des coûts opérationnels sera cruciale pour restaurer la rentabilité tout en maintenant la croissance des volumes.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tant en volumes qu'en rentabilit\u00e9, avec une structure financi\u00e8re renforc\u00e9e et une capacit\u00e9 distributrice attractive. Les perspectives restent favorables dans un contexte de consolidation du march\u00e9 ivoirien des carburants."}</w:t>
      </w:r>
    </w:p>
    <w:p>
      <w:pPr>
        <w:spacing w:before="40"/>
        <w:ind w:left="400"/>
      </w:pPr>
      <w:r>
        <w:rPr>
          <w:sz w:val="18"/>
        </w:rPr>
        <w:t>VIVO ENERGY CÔTE D'IVOIRE présente des résultats financiers exceptionnels pour 2022 avec un chiffre d'affaires de 488,9 milliards FCFA (+33%) et un résultat net de 3,75 milliards FCFA (+59%). La société bénéficie d'une forte croissance des volumes (+12%) et d'un effet prix favorable lié à la hausse des prix des carburants et lubrifiants. La situation financière est solide avec un désendettement complet de l'emprunt bancaire et une amélioration significative de la trésorerie. Les performances du premier trimestre 2023 confirment cette dynamique positive avec une croissance continue du chiffre d'affaires (+33%) et de la rentabilité. La société propose une distribution de dividendes de 3,71 mil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 'tresorerie_nette': '2,75 milliards FCFA', 'variation_tresorerie': '+15,55 milliards FCFA', 'resultat_exploitation': '5,86 milliards FCFA', 'croissance_resultat_net': '59%'}</w:t>
            </w:r>
          </w:p>
        </w:tc>
        <w:tc>
          <w:tcPr>
            <w:tcW w:type="dxa" w:w="2160"/>
          </w:tcPr>
          <w:p>
            <w:pPr>
              <w:ind w:left="100"/>
            </w:pPr>
            <w:r/>
            <w:r>
              <w:rPr>
                <w:b/>
                <w:sz w:val="16"/>
              </w:rPr>
              <w:t>dividende</w:t>
              <w:br/>
            </w:r>
            <w:r>
              <w:rPr>
                <w:sz w:val="18"/>
              </w:rPr>
              <w:t>3,71 milliards FCFA au total</w:t>
            </w:r>
          </w:p>
        </w:tc>
        <w:tc>
          <w:tcPr>
            <w:tcW w:type="dxa" w:w="2160"/>
          </w:tcPr>
          <w:p>
            <w:pPr>
              <w:ind w:left="100"/>
            </w:pPr>
            <w:r/>
            <w:r>
              <w:rPr>
                <w:b/>
                <w:sz w:val="16"/>
              </w:rPr>
              <w:t>marge_nette</w:t>
              <w:br/>
            </w:r>
            <w:r>
              <w:rPr>
                <w:sz w:val="18"/>
              </w:rPr>
              <w:t>0,77%</w:t>
            </w:r>
          </w:p>
        </w:tc>
        <w:tc>
          <w:tcPr>
            <w:tcW w:type="dxa" w:w="2160"/>
          </w:tcPr>
          <w:p>
            <w:pPr>
              <w:ind w:left="100"/>
            </w:pPr>
            <w:r/>
            <w:r>
              <w:rPr>
                <w:b/>
                <w:sz w:val="16"/>
              </w:rPr>
              <w:t>total_actif</w:t>
              <w:br/>
            </w:r>
            <w:r>
              <w:rPr>
                <w:sz w:val="18"/>
              </w:rPr>
              <w:t>119,19 milliards FCFA</w:t>
            </w:r>
          </w:p>
        </w:tc>
      </w:tr>
      <w:tr>
        <w:tc>
          <w:tcPr>
            <w:tcW w:type="dxa" w:w="2160"/>
          </w:tcPr>
          <w:p>
            <w:r/>
            <w:r>
              <w:rPr>
                <w:b/>
                <w:sz w:val="16"/>
              </w:rPr>
              <w:t>resultat_net</w:t>
              <w:br/>
            </w:r>
            <w:r>
              <w:rPr>
                <w:sz w:val="18"/>
              </w:rPr>
              <w:t>3,75 milliards FCFA</w:t>
            </w:r>
          </w:p>
        </w:tc>
        <w:tc>
          <w:tcPr>
            <w:tcW w:type="dxa" w:w="2160"/>
          </w:tcPr>
          <w:p>
            <w:r/>
            <w:r>
              <w:rPr>
                <w:b/>
                <w:sz w:val="16"/>
              </w:rPr>
              <w:t>capitaux_propres</w:t>
              <w:br/>
            </w:r>
            <w:r>
              <w:rPr>
                <w:sz w:val="18"/>
              </w:rPr>
              <w:t>23,11 milliards FCFA</w:t>
            </w:r>
          </w:p>
        </w:tc>
        <w:tc>
          <w:tcPr>
            <w:tcW w:type="dxa" w:w="2160"/>
          </w:tcPr>
          <w:p>
            <w:r/>
            <w:r>
              <w:rPr>
                <w:b/>
                <w:sz w:val="16"/>
              </w:rPr>
              <w:t>chiffre_affaires</w:t>
              <w:br/>
            </w:r>
            <w:r>
              <w:rPr>
                <w:sz w:val="18"/>
              </w:rPr>
              <w:t>488,9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2022 en forte hausse de 33% à 488,9 milliards FCFA grâce aux effets volumes (+38 milliards) et prix (+84 milliards)</w:t>
      </w:r>
    </w:p>
    <w:p>
      <w:pPr>
        <w:pStyle w:val="ListBullet"/>
        <w:spacing w:before="20" w:after="20"/>
        <w:ind w:left="700"/>
      </w:pPr>
      <w:r>
        <w:rPr>
          <w:sz w:val="18"/>
        </w:rPr>
        <w:t>Résultat net 2022 en progression de 59% à 3,75 milliards FCFA, démontrant une amélioration de la rentabilité</w:t>
      </w:r>
    </w:p>
    <w:p>
      <w:pPr>
        <w:pStyle w:val="ListBullet"/>
        <w:spacing w:before="20" w:after="20"/>
        <w:ind w:left="700"/>
      </w:pPr>
      <w:r>
        <w:rPr>
          <w:sz w:val="18"/>
        </w:rPr>
        <w:t>Remboursement intégral de l'emprunt bancaire contracté en 2018, renforçant la structure financière</w:t>
      </w:r>
    </w:p>
    <w:p>
      <w:pPr>
        <w:pStyle w:val="ListBullet"/>
        <w:spacing w:before="20" w:after="20"/>
        <w:ind w:left="700"/>
      </w:pPr>
      <w:r>
        <w:rPr>
          <w:sz w:val="18"/>
        </w:rPr>
        <w:t>Amélioration spectaculaire de la trésorerie nette de +15,55 milliards FCFA grâce à l'autofinancement et à la gestion du BFR</w:t>
      </w:r>
    </w:p>
    <w:p>
      <w:pPr>
        <w:pStyle w:val="ListBullet"/>
        <w:spacing w:before="20" w:after="20"/>
        <w:ind w:left="700"/>
      </w:pPr>
      <w:r>
        <w:rPr>
          <w:sz w:val="18"/>
        </w:rPr>
        <w:t>Croissance des volumes de vente de 12% au T1 2023, confirmant la dynamique commerciale positive</w:t>
      </w:r>
    </w:p>
    <w:p>
      <w:pPr>
        <w:pStyle w:val="ListBullet"/>
        <w:spacing w:before="20" w:after="20"/>
        <w:ind w:left="700"/>
      </w:pPr>
      <w:r>
        <w:rPr>
          <w:sz w:val="18"/>
        </w:rPr>
        <w:t>Hausse significative des prix à la pompe sur 2022 (super de 615 à 775 FCFA/L, gasoil de 616 à 655 FCFA/L)</w:t>
      </w:r>
    </w:p>
    <w:p>
      <w:pPr>
        <w:spacing w:before="40"/>
        <w:ind w:left="400"/>
      </w:pPr>
      <w:r>
        <w:rPr>
          <w:b/>
          <w:color w:val="C05000"/>
          <w:sz w:val="18"/>
        </w:rPr>
        <w:t xml:space="preserve">⚠️ Risques : </w:t>
      </w:r>
      <w:r>
        <w:rPr>
          <w:sz w:val="18"/>
        </w:rPr>
        <w:t>["Exposition aux fluctuations des prix du p\u00e9trole et aux variations de change du dollar am\u00e9ricain", "D\u00e9pendance aux prix r\u00e9glement\u00e9s des carburants fix\u00e9s par les autorit\u00e9s ivoiriennes", "Concurrence accrue sur le march\u00e9 ivoirien des carburants et lubrifiants"]</w:t>
      </w:r>
    </w:p>
    <w:p>
      <w:pPr>
        <w:spacing w:before="40"/>
        <w:ind w:left="400"/>
      </w:pPr>
      <w:r>
        <w:rPr>
          <w:b/>
          <w:color w:val="0064A0"/>
          <w:sz w:val="18"/>
        </w:rPr>
        <w:t xml:space="preserve">🔮 Perspectives : </w:t>
      </w:r>
      <w:r>
        <w:rPr>
          <w:sz w:val="18"/>
        </w:rPr>
        <w:t>Les résultats du premier trimestre 2023 (+33% de CA, +54% de résultat d'exploitation) confirment la poursuite de la dynamique positive. La société devrait continuer à bénéficier de sa stratégie de conquête de nouveaux clients et du maintien de prix favorables, tout en consolidant sa position de lead</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9,651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007800"/>
                <w:sz w:val="17"/>
              </w:rPr>
              <w:t>+30.66%</w:t>
            </w:r>
          </w:p>
          <w:p>
            <w:r>
              <w:rPr>
                <w:b/>
                <w:color w:val="503200"/>
                <w:sz w:val="16"/>
              </w:rPr>
              <w:t xml:space="preserve">Plus haut 100j : </w:t>
            </w:r>
            <w:r>
              <w:rPr>
                <w:color w:val="000000"/>
                <w:sz w:val="17"/>
              </w:rPr>
              <w:t>9,015 FCFA</w:t>
            </w:r>
          </w:p>
          <w:p>
            <w:r>
              <w:rPr>
                <w:b/>
                <w:color w:val="503200"/>
                <w:sz w:val="16"/>
              </w:rPr>
              <w:t xml:space="preserve">Plus bas 100j : </w:t>
            </w:r>
            <w:r>
              <w:rPr>
                <w:color w:val="000000"/>
                <w:sz w:val="17"/>
              </w:rPr>
              <w:t>6,555 FCFA</w:t>
            </w:r>
          </w:p>
          <w:p>
            <w:r>
              <w:rPr>
                <w:b/>
                <w:color w:val="503200"/>
                <w:sz w:val="16"/>
              </w:rPr>
              <w:t xml:space="preserve">Volatilité ann. : </w:t>
            </w:r>
            <w:r>
              <w:rPr>
                <w:color w:val="000000"/>
                <w:sz w:val="17"/>
              </w:rPr>
              <w:t>26.7%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11.31% (Moyenne) — μ=7,597 FCFA, σ=860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β=0.7683 (Défensif) — Cov=0.000032, Var(idx)=0.000042, ρ=0.292,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σ_j=1.68%/j (Stable) — Vol. annualisée≈26.7%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8,444</w:t>
            </w:r>
          </w:p>
        </w:tc>
        <w:tc>
          <w:tcPr>
            <w:tcW w:type="dxa" w:w="1440"/>
            <w:shd w:fill="FFDCE0" w:val="clear"/>
          </w:tcPr>
          <w:p>
            <w:r>
              <w:rPr>
                <w:b/>
                <w:sz w:val="17"/>
              </w:rPr>
              <w:t>8,652</w:t>
            </w:r>
          </w:p>
        </w:tc>
        <w:tc>
          <w:tcPr>
            <w:tcW w:type="dxa" w:w="1440"/>
            <w:shd w:fill="FFDCE0" w:val="clear"/>
          </w:tcPr>
          <w:p>
            <w:r>
              <w:rPr>
                <w:sz w:val="17"/>
              </w:rPr>
              <w:t>8,860</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8,095</w:t>
            </w:r>
          </w:p>
        </w:tc>
        <w:tc>
          <w:tcPr>
            <w:tcW w:type="dxa" w:w="1440"/>
            <w:shd w:fill="FFDCE0" w:val="clear"/>
          </w:tcPr>
          <w:p>
            <w:r>
              <w:rPr>
                <w:b/>
                <w:sz w:val="17"/>
              </w:rPr>
              <w:t>8,380</w:t>
            </w:r>
          </w:p>
        </w:tc>
        <w:tc>
          <w:tcPr>
            <w:tcW w:type="dxa" w:w="1440"/>
            <w:shd w:fill="FFDCE0" w:val="clear"/>
          </w:tcPr>
          <w:p>
            <w:r>
              <w:rPr>
                <w:sz w:val="17"/>
              </w:rPr>
              <w:t>8,666</w:t>
            </w:r>
          </w:p>
        </w:tc>
        <w:tc>
          <w:tcPr>
            <w:tcW w:type="dxa" w:w="1440"/>
            <w:shd w:fill="FFDCE0" w:val="clear"/>
          </w:tcPr>
          <w:p>
            <w:r>
              <w:rPr>
                <w:b/>
                <w:color w:val="C00000"/>
                <w:sz w:val="17"/>
              </w:rPr>
              <w:t>-6.4%</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7,799</w:t>
            </w:r>
          </w:p>
        </w:tc>
        <w:tc>
          <w:tcPr>
            <w:tcW w:type="dxa" w:w="1440"/>
            <w:shd w:fill="FFDCE0" w:val="clear"/>
          </w:tcPr>
          <w:p>
            <w:r>
              <w:rPr>
                <w:b/>
                <w:sz w:val="17"/>
              </w:rPr>
              <w:t>8,138</w:t>
            </w:r>
          </w:p>
        </w:tc>
        <w:tc>
          <w:tcPr>
            <w:tcW w:type="dxa" w:w="1440"/>
            <w:shd w:fill="FFDCE0" w:val="clear"/>
          </w:tcPr>
          <w:p>
            <w:r>
              <w:rPr>
                <w:sz w:val="17"/>
              </w:rPr>
              <w:t>8,477</w:t>
            </w:r>
          </w:p>
        </w:tc>
        <w:tc>
          <w:tcPr>
            <w:tcW w:type="dxa" w:w="1440"/>
            <w:shd w:fill="FFDCE0" w:val="clear"/>
          </w:tcPr>
          <w:p>
            <w:r>
              <w:rPr>
                <w:b/>
                <w:color w:val="C00000"/>
                <w:sz w:val="17"/>
              </w:rPr>
              <w:t>-9.1%</w:t>
            </w:r>
          </w:p>
        </w:tc>
      </w:tr>
      <w:tr>
        <w:tc>
          <w:tcPr>
            <w:tcW w:type="dxa" w:w="1440"/>
            <w:shd w:fill="FFDCE0" w:val="clear"/>
          </w:tcPr>
          <w:p>
            <w:r>
              <w:rPr>
                <w:sz w:val="17"/>
              </w:rPr>
              <w:t>J+4  Moyenne</w:t>
            </w:r>
          </w:p>
        </w:tc>
        <w:tc>
          <w:tcPr>
            <w:tcW w:type="dxa" w:w="1440"/>
            <w:shd w:fill="FFDCE0" w:val="clear"/>
          </w:tcPr>
          <w:p>
            <w:r>
              <w:rPr>
                <w:sz w:val="17"/>
              </w:rPr>
              <w:t>2026-07-16</w:t>
            </w:r>
          </w:p>
        </w:tc>
        <w:tc>
          <w:tcPr>
            <w:tcW w:type="dxa" w:w="1440"/>
            <w:shd w:fill="FFDCE0" w:val="clear"/>
          </w:tcPr>
          <w:p>
            <w:r>
              <w:rPr>
                <w:sz w:val="17"/>
              </w:rPr>
              <w:t>7,550</w:t>
            </w:r>
          </w:p>
        </w:tc>
        <w:tc>
          <w:tcPr>
            <w:tcW w:type="dxa" w:w="1440"/>
            <w:shd w:fill="FFDCE0" w:val="clear"/>
          </w:tcPr>
          <w:p>
            <w:r>
              <w:rPr>
                <w:b/>
                <w:sz w:val="17"/>
              </w:rPr>
              <w:t>7,931</w:t>
            </w:r>
          </w:p>
        </w:tc>
        <w:tc>
          <w:tcPr>
            <w:tcW w:type="dxa" w:w="1440"/>
            <w:shd w:fill="FFDCE0" w:val="clear"/>
          </w:tcPr>
          <w:p>
            <w:r>
              <w:rPr>
                <w:sz w:val="17"/>
              </w:rPr>
              <w:t>8,313</w:t>
            </w:r>
          </w:p>
        </w:tc>
        <w:tc>
          <w:tcPr>
            <w:tcW w:type="dxa" w:w="1440"/>
            <w:shd w:fill="FFDCE0" w:val="clear"/>
          </w:tcPr>
          <w:p>
            <w:r>
              <w:rPr>
                <w:b/>
                <w:color w:val="C00000"/>
                <w:sz w:val="17"/>
              </w:rPr>
              <w:t>-11.4%</w:t>
            </w:r>
          </w:p>
        </w:tc>
      </w:tr>
      <w:tr>
        <w:tc>
          <w:tcPr>
            <w:tcW w:type="dxa" w:w="1440"/>
            <w:shd w:fill="FFDCE0" w:val="clear"/>
          </w:tcPr>
          <w:p>
            <w:r>
              <w:rPr>
                <w:sz w:val="17"/>
              </w:rPr>
              <w:t>J+5  Moyenne</w:t>
            </w:r>
          </w:p>
        </w:tc>
        <w:tc>
          <w:tcPr>
            <w:tcW w:type="dxa" w:w="1440"/>
            <w:shd w:fill="FFDCE0" w:val="clear"/>
          </w:tcPr>
          <w:p>
            <w:r>
              <w:rPr>
                <w:sz w:val="17"/>
              </w:rPr>
              <w:t>2026-07-17</w:t>
            </w:r>
          </w:p>
        </w:tc>
        <w:tc>
          <w:tcPr>
            <w:tcW w:type="dxa" w:w="1440"/>
            <w:shd w:fill="FFDCE0" w:val="clear"/>
          </w:tcPr>
          <w:p>
            <w:r>
              <w:rPr>
                <w:sz w:val="17"/>
              </w:rPr>
              <w:t>7,338</w:t>
            </w:r>
          </w:p>
        </w:tc>
        <w:tc>
          <w:tcPr>
            <w:tcW w:type="dxa" w:w="1440"/>
            <w:shd w:fill="FFDCE0" w:val="clear"/>
          </w:tcPr>
          <w:p>
            <w:r>
              <w:rPr>
                <w:b/>
                <w:sz w:val="17"/>
              </w:rPr>
              <w:t>7,755</w:t>
            </w:r>
          </w:p>
        </w:tc>
        <w:tc>
          <w:tcPr>
            <w:tcW w:type="dxa" w:w="1440"/>
            <w:shd w:fill="FFDCE0" w:val="clear"/>
          </w:tcPr>
          <w:p>
            <w:r>
              <w:rPr>
                <w:sz w:val="17"/>
              </w:rPr>
              <w:t>8,173</w:t>
            </w:r>
          </w:p>
        </w:tc>
        <w:tc>
          <w:tcPr>
            <w:tcW w:type="dxa" w:w="1440"/>
            <w:shd w:fill="FFDCE0" w:val="clear"/>
          </w:tcPr>
          <w:p>
            <w:r>
              <w:rPr>
                <w:b/>
                <w:color w:val="C00000"/>
                <w:sz w:val="17"/>
              </w:rPr>
              <w:t>-13.3%</w:t>
            </w:r>
          </w:p>
        </w:tc>
      </w:tr>
      <w:tr>
        <w:tc>
          <w:tcPr>
            <w:tcW w:type="dxa" w:w="1440"/>
            <w:shd w:fill="FFDCE0" w:val="clear"/>
          </w:tcPr>
          <w:p>
            <w:r>
              <w:rPr>
                <w:sz w:val="17"/>
              </w:rPr>
              <w:t>J+6  Moyenne</w:t>
            </w:r>
          </w:p>
        </w:tc>
        <w:tc>
          <w:tcPr>
            <w:tcW w:type="dxa" w:w="1440"/>
            <w:shd w:fill="FFDCE0" w:val="clear"/>
          </w:tcPr>
          <w:p>
            <w:r>
              <w:rPr>
                <w:sz w:val="17"/>
              </w:rPr>
              <w:t>2026-07-20</w:t>
            </w:r>
          </w:p>
        </w:tc>
        <w:tc>
          <w:tcPr>
            <w:tcW w:type="dxa" w:w="1440"/>
            <w:shd w:fill="FFDCE0" w:val="clear"/>
          </w:tcPr>
          <w:p>
            <w:r>
              <w:rPr>
                <w:sz w:val="17"/>
              </w:rPr>
              <w:t>7,154</w:t>
            </w:r>
          </w:p>
        </w:tc>
        <w:tc>
          <w:tcPr>
            <w:tcW w:type="dxa" w:w="1440"/>
            <w:shd w:fill="FFDCE0" w:val="clear"/>
          </w:tcPr>
          <w:p>
            <w:r>
              <w:rPr>
                <w:b/>
                <w:sz w:val="17"/>
              </w:rPr>
              <w:t>7,603</w:t>
            </w:r>
          </w:p>
        </w:tc>
        <w:tc>
          <w:tcPr>
            <w:tcW w:type="dxa" w:w="1440"/>
            <w:shd w:fill="FFDCE0" w:val="clear"/>
          </w:tcPr>
          <w:p>
            <w:r>
              <w:rPr>
                <w:sz w:val="17"/>
              </w:rPr>
              <w:t>8,051</w:t>
            </w:r>
          </w:p>
        </w:tc>
        <w:tc>
          <w:tcPr>
            <w:tcW w:type="dxa" w:w="1440"/>
            <w:shd w:fill="FFDCE0" w:val="clear"/>
          </w:tcPr>
          <w:p>
            <w:r>
              <w:rPr>
                <w:b/>
                <w:color w:val="C00000"/>
                <w:sz w:val="17"/>
              </w:rPr>
              <w:t>-15.1%</w:t>
            </w:r>
          </w:p>
        </w:tc>
      </w:tr>
      <w:tr>
        <w:tc>
          <w:tcPr>
            <w:tcW w:type="dxa" w:w="1440"/>
            <w:shd w:fill="FFDCE0" w:val="clear"/>
          </w:tcPr>
          <w:p>
            <w:r>
              <w:rPr>
                <w:sz w:val="17"/>
              </w:rPr>
              <w:t>J+7  Moyenne</w:t>
            </w:r>
          </w:p>
        </w:tc>
        <w:tc>
          <w:tcPr>
            <w:tcW w:type="dxa" w:w="1440"/>
            <w:shd w:fill="FFDCE0" w:val="clear"/>
          </w:tcPr>
          <w:p>
            <w:r>
              <w:rPr>
                <w:sz w:val="17"/>
              </w:rPr>
              <w:t>2026-07-21</w:t>
            </w:r>
          </w:p>
        </w:tc>
        <w:tc>
          <w:tcPr>
            <w:tcW w:type="dxa" w:w="1440"/>
            <w:shd w:fill="FFDCE0" w:val="clear"/>
          </w:tcPr>
          <w:p>
            <w:r>
              <w:rPr>
                <w:sz w:val="17"/>
              </w:rPr>
              <w:t>6,992</w:t>
            </w:r>
          </w:p>
        </w:tc>
        <w:tc>
          <w:tcPr>
            <w:tcW w:type="dxa" w:w="1440"/>
            <w:shd w:fill="FFDCE0" w:val="clear"/>
          </w:tcPr>
          <w:p>
            <w:r>
              <w:rPr>
                <w:b/>
                <w:sz w:val="17"/>
              </w:rPr>
              <w:t>7,468</w:t>
            </w:r>
          </w:p>
        </w:tc>
        <w:tc>
          <w:tcPr>
            <w:tcW w:type="dxa" w:w="1440"/>
            <w:shd w:fill="FFDCE0" w:val="clear"/>
          </w:tcPr>
          <w:p>
            <w:r>
              <w:rPr>
                <w:sz w:val="17"/>
              </w:rPr>
              <w:t>7,943</w:t>
            </w:r>
          </w:p>
        </w:tc>
        <w:tc>
          <w:tcPr>
            <w:tcW w:type="dxa" w:w="1440"/>
            <w:shd w:fill="FFDCE0" w:val="clear"/>
          </w:tcPr>
          <w:p>
            <w:r>
              <w:rPr>
                <w:b/>
                <w:color w:val="C00000"/>
                <w:sz w:val="17"/>
              </w:rPr>
              <w:t>-16.6%</w:t>
            </w:r>
          </w:p>
        </w:tc>
      </w:tr>
      <w:tr>
        <w:tc>
          <w:tcPr>
            <w:tcW w:type="dxa" w:w="1440"/>
            <w:shd w:fill="FFDCE0" w:val="clear"/>
          </w:tcPr>
          <w:p>
            <w:r>
              <w:rPr>
                <w:sz w:val="17"/>
              </w:rPr>
              <w:t>J+8  Moyenne</w:t>
            </w:r>
          </w:p>
        </w:tc>
        <w:tc>
          <w:tcPr>
            <w:tcW w:type="dxa" w:w="1440"/>
            <w:shd w:fill="FFDCE0" w:val="clear"/>
          </w:tcPr>
          <w:p>
            <w:r>
              <w:rPr>
                <w:sz w:val="17"/>
              </w:rPr>
              <w:t>2026-07-22</w:t>
            </w:r>
          </w:p>
        </w:tc>
        <w:tc>
          <w:tcPr>
            <w:tcW w:type="dxa" w:w="1440"/>
            <w:shd w:fill="FFDCE0" w:val="clear"/>
          </w:tcPr>
          <w:p>
            <w:r>
              <w:rPr>
                <w:sz w:val="17"/>
              </w:rPr>
              <w:t>6,847</w:t>
            </w:r>
          </w:p>
        </w:tc>
        <w:tc>
          <w:tcPr>
            <w:tcW w:type="dxa" w:w="1440"/>
            <w:shd w:fill="FFDCE0" w:val="clear"/>
          </w:tcPr>
          <w:p>
            <w:r>
              <w:rPr>
                <w:b/>
                <w:sz w:val="17"/>
              </w:rPr>
              <w:t>7,347</w:t>
            </w:r>
          </w:p>
        </w:tc>
        <w:tc>
          <w:tcPr>
            <w:tcW w:type="dxa" w:w="1440"/>
            <w:shd w:fill="FFDCE0" w:val="clear"/>
          </w:tcPr>
          <w:p>
            <w:r>
              <w:rPr>
                <w:sz w:val="17"/>
              </w:rPr>
              <w:t>7,847</w:t>
            </w:r>
          </w:p>
        </w:tc>
        <w:tc>
          <w:tcPr>
            <w:tcW w:type="dxa" w:w="1440"/>
            <w:shd w:fill="FFDCE0" w:val="clear"/>
          </w:tcPr>
          <w:p>
            <w:r>
              <w:rPr>
                <w:b/>
                <w:color w:val="C00000"/>
                <w:sz w:val="17"/>
              </w:rPr>
              <w:t>-17.9%</w:t>
            </w:r>
          </w:p>
        </w:tc>
      </w:tr>
      <w:tr>
        <w:tc>
          <w:tcPr>
            <w:tcW w:type="dxa" w:w="1440"/>
            <w:shd w:fill="FFDCE0" w:val="clear"/>
          </w:tcPr>
          <w:p>
            <w:r>
              <w:rPr>
                <w:sz w:val="17"/>
              </w:rPr>
              <w:t>J+9  Moyenne</w:t>
            </w:r>
          </w:p>
        </w:tc>
        <w:tc>
          <w:tcPr>
            <w:tcW w:type="dxa" w:w="1440"/>
            <w:shd w:fill="FFDCE0" w:val="clear"/>
          </w:tcPr>
          <w:p>
            <w:r>
              <w:rPr>
                <w:sz w:val="17"/>
              </w:rPr>
              <w:t>2026-07-23</w:t>
            </w:r>
          </w:p>
        </w:tc>
        <w:tc>
          <w:tcPr>
            <w:tcW w:type="dxa" w:w="1440"/>
            <w:shd w:fill="FFDCE0" w:val="clear"/>
          </w:tcPr>
          <w:p>
            <w:r>
              <w:rPr>
                <w:sz w:val="17"/>
              </w:rPr>
              <w:t>6,715</w:t>
            </w:r>
          </w:p>
        </w:tc>
        <w:tc>
          <w:tcPr>
            <w:tcW w:type="dxa" w:w="1440"/>
            <w:shd w:fill="FFDCE0" w:val="clear"/>
          </w:tcPr>
          <w:p>
            <w:r>
              <w:rPr>
                <w:b/>
                <w:sz w:val="17"/>
              </w:rPr>
              <w:t>7,237</w:t>
            </w:r>
          </w:p>
        </w:tc>
        <w:tc>
          <w:tcPr>
            <w:tcW w:type="dxa" w:w="1440"/>
            <w:shd w:fill="FFDCE0" w:val="clear"/>
          </w:tcPr>
          <w:p>
            <w:r>
              <w:rPr>
                <w:sz w:val="17"/>
              </w:rPr>
              <w:t>7,760</w:t>
            </w:r>
          </w:p>
        </w:tc>
        <w:tc>
          <w:tcPr>
            <w:tcW w:type="dxa" w:w="1440"/>
            <w:shd w:fill="FFDCE0" w:val="clear"/>
          </w:tcPr>
          <w:p>
            <w:r>
              <w:rPr>
                <w:b/>
                <w:color w:val="C00000"/>
                <w:sz w:val="17"/>
              </w:rPr>
              <w:t>-19.1%</w:t>
            </w:r>
          </w:p>
        </w:tc>
      </w:tr>
      <w:tr>
        <w:tc>
          <w:tcPr>
            <w:tcW w:type="dxa" w:w="1440"/>
            <w:shd w:fill="FFDCE0" w:val="clear"/>
          </w:tcPr>
          <w:p>
            <w:r>
              <w:rPr>
                <w:sz w:val="17"/>
              </w:rPr>
              <w:t>J+10  Moyenne</w:t>
            </w:r>
          </w:p>
        </w:tc>
        <w:tc>
          <w:tcPr>
            <w:tcW w:type="dxa" w:w="1440"/>
            <w:shd w:fill="FFDCE0" w:val="clear"/>
          </w:tcPr>
          <w:p>
            <w:r>
              <w:rPr>
                <w:sz w:val="17"/>
              </w:rPr>
              <w:t>2026-07-24</w:t>
            </w:r>
          </w:p>
        </w:tc>
        <w:tc>
          <w:tcPr>
            <w:tcW w:type="dxa" w:w="1440"/>
            <w:shd w:fill="FFDCE0" w:val="clear"/>
          </w:tcPr>
          <w:p>
            <w:r>
              <w:rPr>
                <w:sz w:val="17"/>
              </w:rPr>
              <w:t>6,593</w:t>
            </w:r>
          </w:p>
        </w:tc>
        <w:tc>
          <w:tcPr>
            <w:tcW w:type="dxa" w:w="1440"/>
            <w:shd w:fill="FFDCE0" w:val="clear"/>
          </w:tcPr>
          <w:p>
            <w:r>
              <w:rPr>
                <w:b/>
                <w:sz w:val="17"/>
              </w:rPr>
              <w:t>7,137</w:t>
            </w:r>
          </w:p>
        </w:tc>
        <w:tc>
          <w:tcPr>
            <w:tcW w:type="dxa" w:w="1440"/>
            <w:shd w:fill="FFDCE0" w:val="clear"/>
          </w:tcPr>
          <w:p>
            <w:r>
              <w:rPr>
                <w:sz w:val="17"/>
              </w:rPr>
              <w:t>7,680</w:t>
            </w:r>
          </w:p>
        </w:tc>
        <w:tc>
          <w:tcPr>
            <w:tcW w:type="dxa" w:w="1440"/>
            <w:shd w:fill="FFDCE0" w:val="clear"/>
          </w:tcPr>
          <w:p>
            <w:r>
              <w:rPr>
                <w:b/>
                <w:color w:val="C00000"/>
                <w:sz w:val="17"/>
              </w:rPr>
              <w:t>-20.3%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Absolument. Voici le rapport d'analyse structuré pour l'action SIBC (Société Ivoirienne de Banque) à la BRVM, basé sur les données fournies.</w:t>
      </w:r>
    </w:p>
    <w:p>
      <w:pPr>
        <w:spacing w:after="120" w:line="276" w:lineRule="auto"/>
      </w:pPr>
      <w:r>
        <w:t>---</w:t>
      </w:r>
    </w:p>
    <w:p>
      <w:pPr>
        <w:spacing w:after="120" w:line="276" w:lineRule="auto"/>
      </w:pPr>
      <w:r>
        <w:t>### **RAPPORT D'ANALYSE FINANCIÈRE — SIBC (BRVM)**</w:t>
      </w:r>
    </w:p>
    <w:p>
      <w:pPr>
        <w:spacing w:after="120" w:line="276" w:lineRule="auto" w:before="240"/>
      </w:pPr>
      <w:r>
        <w:rPr>
          <w:b/>
          <w:color w:val="003366"/>
          <w:sz w:val="24"/>
        </w:rPr>
        <w:t>**PARTIE 0 : INDICATEURS DE VALORISATION BOURSIÈRE**</w:t>
      </w:r>
    </w:p>
    <w:p>
      <w:pPr>
        <w:spacing w:after="120" w:line="276" w:lineRule="auto"/>
      </w:pPr>
      <w:r>
        <w:t>Avec une capitalisation boursière de 895 milliards FCFA, SIBC se positionne comme un poids lourd de la cote BRVM, reflétant sa stature de banque systémique en Côte d'Ivoire. Le BPA de 556 FCFA indique que chaque action a généré un bénéfice net de ce montant sur l'exercice 2025. Le PER de 16,1x est supérieur à la moyenne historique du marché BRVM (8-12x), ce qui suggère que les investisseurs acceptent de payer une prime pour détenir le titre, anticipant probablement une croissance future solide. Cependant, le P/B de 4,37x confirme cette prime élevée, le marché valorisant la société à plus de quatre fois ses capitaux propres comptables, un niveau exigeant qui implique une forte rentabilité des fonds propres pour être justifié. Enfin, l'EV/EBITDA de 15,0x se situe dans la fourchette haute des valorisations, indiquant que la valeur d'entreprise est conséquente par rapport à la capacité bénéficiaire brute.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connu une appréciation spectaculaire de +30,66%, passant d'un plus bas de 6 555 FCFA à un plus haut de 9 015 FCFA, avant de clôturer à 8 950 FCFA. La dernière séance montre un léger repli de -0,56%, ce qui pourrait indiquer une prise de bénéfices après cette forte hausse. L'analyse des statistiques descriptives révèle une distribution asymétrique : la moyenne (7 597 FCFA) est nettement supérieure à la médiane (7 098 FCFA), ce qui, combiné à un skewness positif de 0,654, confirme que le titre a passé plus de temps sous sa moyenne avant de réaliser des bonds significatifs à la hausse récemment. L'écart-type de 864 FCFA, pour un coefficient de variation de 11,4%, indique une dispersion modérée du cours autour de la moyenne. Le kurtosis négatif de -1,346 (distribution platykurtique) suggère que les mouvements de prix extrêmes sont moins fréquents que dans une distribution normale, ce qui est rassurant pour un investisseur. Enfin, la volatilité annualisée de 26,7% classe le titre dans la catégorie "modérée à élevée", typique des valeurs de croissance sur un marché émergent.</w:t>
      </w:r>
    </w:p>
    <w:p>
      <w:pPr>
        <w:spacing w:after="120" w:line="276" w:lineRule="auto" w:before="240"/>
      </w:pPr>
      <w:r>
        <w:rPr>
          <w:b/>
          <w:color w:val="003366"/>
          <w:sz w:val="24"/>
        </w:rPr>
        <w:t>**PARTIE 2 : ANALYSE TECHNIQUE DÉTAILLÉE**</w:t>
      </w:r>
    </w:p>
    <w:p>
      <w:pPr>
        <w:spacing w:after="120" w:line="276" w:lineRule="auto"/>
      </w:pPr>
      <w:r>
        <w:t>*   **Moyennes Mobiles**: Le cours actuel de 8 950 FCFA est nettement au-dessus de la MM20 (8 874,5 FCFA) et de la MM50 (8 275,6 FCFA), confirmant une tendance haussière solide à court et moyen terme. La pente ascendante de ces moyennes valide la dynamique positive et justifie le signal d'achat.</w:t>
        <w:br/>
        <w:t>*   **Bandes de Bollinger**: Le cours se situe à 8 950 FCFA, entre la borne inférieure (8 640,3 FCFA) et la borne supérieure (9 108,7 FCFA), indiquant une volatilité normale et un mouvement de prix non extrême. La position proche de la borne supérieure suggère une pression acheteuse persistante, mais sans surachat immédiat, d'où un signal neutre.</w:t>
        <w:br/>
        <w:t>*   **MACD**: La ligne MACD (179,3) est passée sous la ligne de signal (217,2), générant un signal de vente. Cette divergence baissière indique un ralentissement du momentum haussier. C'est un signal d'alerte technique important qui contredit la tendance des moyennes mobiles.</w:t>
        <w:br/>
        <w:t>*   **RSI**: Avec une valeur de 59,5, le RSI se situe en zone neutre (entre 30 et 70). Il n'indique ni surachat ni survente, laissant la porte ouverte à une poursuite de la hausse comme à une consolidation. Le signal est donc neutre.</w:t>
        <w:br/>
        <w:t>*   **Stochastique**: Le %K (61,8) est inférieur au %D (76,8), ce qui constitue un signal baissier précoce. Bien que les deux lignes soient encore en territoire neutre, ce croisement à la baisse suggère que la pression acheteuse s'essouffle à court terme, justifiant un signal neutre avec une tendance sous-jacente à la faiblesse.</w:t>
      </w:r>
    </w:p>
    <w:p>
      <w:pPr>
        <w:spacing w:after="120" w:line="276" w:lineRule="auto"/>
      </w:pPr>
      <w:r>
        <w:t>**Conclusion technique**: La configuration technique est mitigée. La tendance de fond, portée par les moyennes mobiles, est résolument haussière. Cependant, les oscillateurs (MACD et Stochastique) envoient des signaux de prudence, indiquant un essoufflement du momentum et un risque de consolidation ou de correction à court terme. Le RSI neutre ne permet pas de trancher. La prudence est donc de mise pour un horizon de trading court terme.</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2025 confirment la solidité de SIBC. Le Produit Net Bancaire (PNB) s'élève à 108,66 milliards FCFA, pour un résultat net de 55,62 milliards FCFA. La rentabilité est exceptionnelle avec un ROE de 27,16% (bien au-dessus du seuil d'excellence de 15%) et un ROA de 2,96%. Le coefficient d'exploitation de 38,59% est excellent, témoignant d'une maîtrise des coûts remarquable. Le ratio de transformation est sain, avec des dépôts clients (1 503 Mds FCFA) supérieurs aux créances sur la clientèle (1 227 Mds FCFA), indiquant une liquidité abondante. L'analyse des rapports trimestriels montre une dynamique de croissance soutenue. Le rapport T1 2026 (daté du 31/12/2026) fait état d'un résultat net en hausse de 11% à 15,2 milliards FCFA, avec une progression des dépôts (+9%) et des crédits (+7%). Le rapport annuel 2024 (daté du 31/12/2024) indiquait déjà un ROE de 30,56% et un dividende proposé de 375 FCFA par action. En cumulant les tendances des rapports T1 2025 (+12% de PNB), S1 2025 (+9% de PNB) et T3 2025 (+8% de PNB), on estime que l'exercice 2025 a été une année de croissance régulière et rentable, confirmée par les données annuelles. Le coût du risque, bien que non chiffré précisément dans les données structurées, semble maîtrisé, la banque faisant état d'une baisse significative de ses provisions dans les rapports antérieurs. La recommandation fondamentale est **ACHAT**, basée sur une rentabilité exceptionnelle, une gestion rigoureuse et des perspectives de croissance favorables en Côte d'Ivoire.</w:t>
      </w:r>
    </w:p>
    <w:p>
      <w:pPr>
        <w:spacing w:after="120" w:line="276" w:lineRule="auto" w:before="240"/>
      </w:pPr>
      <w:r>
        <w:rPr>
          <w:b/>
          <w:color w:val="003366"/>
          <w:sz w:val="24"/>
        </w:rPr>
        <w:t>**PARTIE 4 : CONCLUSION D'INVESTISSEMENT**</w:t>
      </w:r>
    </w:p>
    <w:p>
      <w:pPr>
        <w:spacing w:after="120" w:line="276" w:lineRule="auto"/>
      </w:pPr>
      <w:r>
        <w:t>La synthèse globale pour SIBC présente un profil contrasté. La **valorisation** (Partie 0) est exigeante avec un PER et un P/B élevés, ce qui implique que le marché anticipe déjà d'excellentes performances futures. Le **comportement du cours** (Partie 1) a été très haussier, mais la distribution statistique suggère que cette hausse est récente et pourrait ne pas être totalement consolidée. Les **signaux techniques** (Partie 2) sont partagés : la tendance de fond est positive, mais les indicateurs de momentum (MACD, Stochastique) envoient des signaux de prudence à court terme. Enfin, les **fondamentaux** (Partie 3) sont d'une solidité exceptionnelle, avec une rentabilité record et une croissance saine de l'activité, ce qui justifie en partie la prime de valorisation. Les **prédictions IA** suggèrent une correction à court terme sur les 10 prochains jours, ce qui est cohérent avec les signaux techniques de prudence.</w:t>
      </w:r>
    </w:p>
    <w:p>
      <w:pPr>
        <w:spacing w:after="120" w:line="276" w:lineRule="auto"/>
      </w:pPr>
      <w:r>
        <w:t>**Recommandation finale : CONSERVER** (avec un biais à l'achat en cas de repli). La convergence entre les signaux est imparfaite. La force des fondamentaux et la tendance haussière de long terme militent pour une conservation du titre. Cependant, la valorisation tendue et les signaux techniques de court terme suggèrent qu'une correction est possible et même saine. Pour un investisseur de **long terme (&gt;1 an)**, le titre reste une valeur de premier ordre à conserver. Pour un nouvel investisseur, il serait plus opportun d'attendre une correction vers les 8 000-8 500 FCFA pour initier une position. Le niveau de confiance est **Moyen** et le risque global est **Moyen**, principalement dû à la valorisation et à la volatilité potentielle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3.12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126 titres</w:t>
            </w:r>
          </w:p>
        </w:tc>
        <w:tc>
          <w:tcPr>
            <w:tcW w:type="dxa" w:w="2268"/>
            <w:shd w:fill="FFF2CC" w:val="clear"/>
          </w:tcPr>
          <w:p>
            <w:r>
              <w:rPr>
                <w:b/>
                <w:color w:val="503200"/>
                <w:sz w:val="16"/>
              </w:rPr>
              <w:t xml:space="preserve">Cours actuel : </w:t>
            </w:r>
            <w:r>
              <w:rPr>
                <w:color w:val="000000"/>
                <w:sz w:val="17"/>
              </w:rPr>
              <w:t>5,195 FCFA</w:t>
            </w:r>
          </w:p>
          <w:p>
            <w:r>
              <w:rPr>
                <w:b/>
                <w:color w:val="503200"/>
                <w:sz w:val="16"/>
              </w:rPr>
              <w:t xml:space="preserve">Var. 100 jours : </w:t>
            </w:r>
            <w:r>
              <w:rPr>
                <w:b/>
                <w:color w:val="007800"/>
                <w:sz w:val="17"/>
              </w:rPr>
              <w:t>+29.88%</w:t>
            </w:r>
          </w:p>
          <w:p>
            <w:r>
              <w:rPr>
                <w:b/>
                <w:color w:val="503200"/>
                <w:sz w:val="16"/>
              </w:rPr>
              <w:t xml:space="preserve">Plus haut 100j : </w:t>
            </w:r>
            <w:r>
              <w:rPr>
                <w:color w:val="000000"/>
                <w:sz w:val="17"/>
              </w:rPr>
              <w:t>5,250 FCFA</w:t>
            </w:r>
          </w:p>
          <w:p>
            <w:r>
              <w:rPr>
                <w:b/>
                <w:color w:val="503200"/>
                <w:sz w:val="16"/>
              </w:rPr>
              <w:t xml:space="preserve">Plus bas 100j : </w:t>
            </w:r>
            <w:r>
              <w:rPr>
                <w:color w:val="000000"/>
                <w:sz w:val="17"/>
              </w:rPr>
              <w:t>3,610 FCFA</w:t>
            </w:r>
          </w:p>
          <w:p>
            <w:r>
              <w:rPr>
                <w:b/>
                <w:color w:val="503200"/>
                <w:sz w:val="16"/>
              </w:rPr>
              <w:t xml:space="preserve">Volatilité ann. : </w:t>
            </w:r>
            <w:r>
              <w:rPr>
                <w:color w:val="000000"/>
                <w:sz w:val="17"/>
              </w:rPr>
              <w:t>54.1%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25.6/100 → Moyen</w:t>
      </w:r>
    </w:p>
    <w:p>
      <w:pPr>
        <w:spacing w:before="40" w:after="80"/>
      </w:pPr>
      <w:r>
        <w:rPr>
          <w:rFonts w:ascii="Courier New" w:hAnsi="Courier New"/>
          <w:color w:val="825A00"/>
          <w:sz w:val="18"/>
        </w:rPr>
        <w:t>█████░░░░░░░░░░░░░░░  25.6/100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7.97% (Moyenne) — μ=4,293 FCFA, σ=342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β=0.8549 (Neutre (suit le marché)) — Cov=0.000036, Var(idx)=0.000042, ρ=0.164,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126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4,916</w:t>
            </w:r>
          </w:p>
        </w:tc>
        <w:tc>
          <w:tcPr>
            <w:tcW w:type="dxa" w:w="1440"/>
            <w:shd w:fill="FAFAFA" w:val="clear"/>
          </w:tcPr>
          <w:p>
            <w:r>
              <w:rPr>
                <w:b/>
                <w:sz w:val="17"/>
              </w:rPr>
              <w:t>5,148</w:t>
            </w:r>
          </w:p>
        </w:tc>
        <w:tc>
          <w:tcPr>
            <w:tcW w:type="dxa" w:w="1440"/>
            <w:shd w:fill="FAFAFA" w:val="clear"/>
          </w:tcPr>
          <w:p>
            <w:r>
              <w:rPr>
                <w:sz w:val="17"/>
              </w:rPr>
              <w:t>5,380</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4,790</w:t>
            </w:r>
          </w:p>
        </w:tc>
        <w:tc>
          <w:tcPr>
            <w:tcW w:type="dxa" w:w="1440"/>
            <w:shd w:fill="FAFAFA" w:val="clear"/>
          </w:tcPr>
          <w:p>
            <w:r>
              <w:rPr>
                <w:b/>
                <w:sz w:val="17"/>
              </w:rPr>
              <w:t>5,116</w:t>
            </w:r>
          </w:p>
        </w:tc>
        <w:tc>
          <w:tcPr>
            <w:tcW w:type="dxa" w:w="1440"/>
            <w:shd w:fill="FAFAFA" w:val="clear"/>
          </w:tcPr>
          <w:p>
            <w:r>
              <w:rPr>
                <w:sz w:val="17"/>
              </w:rPr>
              <w:t>5,441</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4,682</w:t>
            </w:r>
          </w:p>
        </w:tc>
        <w:tc>
          <w:tcPr>
            <w:tcW w:type="dxa" w:w="1440"/>
            <w:shd w:fill="FFDCE0" w:val="clear"/>
          </w:tcPr>
          <w:p>
            <w:r>
              <w:rPr>
                <w:b/>
                <w:sz w:val="17"/>
              </w:rPr>
              <w:t>5,078</w:t>
            </w:r>
          </w:p>
        </w:tc>
        <w:tc>
          <w:tcPr>
            <w:tcW w:type="dxa" w:w="1440"/>
            <w:shd w:fill="FFDCE0" w:val="clear"/>
          </w:tcPr>
          <w:p>
            <w:r>
              <w:rPr>
                <w:sz w:val="17"/>
              </w:rPr>
              <w:t>5,473</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4,584</w:t>
            </w:r>
          </w:p>
        </w:tc>
        <w:tc>
          <w:tcPr>
            <w:tcW w:type="dxa" w:w="1440"/>
            <w:shd w:fill="FFDCE0" w:val="clear"/>
          </w:tcPr>
          <w:p>
            <w:r>
              <w:rPr>
                <w:b/>
                <w:sz w:val="17"/>
              </w:rPr>
              <w:t>5,038</w:t>
            </w:r>
          </w:p>
        </w:tc>
        <w:tc>
          <w:tcPr>
            <w:tcW w:type="dxa" w:w="1440"/>
            <w:shd w:fill="FFDCE0" w:val="clear"/>
          </w:tcPr>
          <w:p>
            <w:r>
              <w:rPr>
                <w:sz w:val="17"/>
              </w:rPr>
              <w:t>5,491</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4,495</w:t>
            </w:r>
          </w:p>
        </w:tc>
        <w:tc>
          <w:tcPr>
            <w:tcW w:type="dxa" w:w="1440"/>
            <w:shd w:fill="FFDCE0" w:val="clear"/>
          </w:tcPr>
          <w:p>
            <w:r>
              <w:rPr>
                <w:b/>
                <w:sz w:val="17"/>
              </w:rPr>
              <w:t>4,997</w:t>
            </w:r>
          </w:p>
        </w:tc>
        <w:tc>
          <w:tcPr>
            <w:tcW w:type="dxa" w:w="1440"/>
            <w:shd w:fill="FFDCE0" w:val="clear"/>
          </w:tcPr>
          <w:p>
            <w:r>
              <w:rPr>
                <w:sz w:val="17"/>
              </w:rPr>
              <w:t>5,500</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4,411</w:t>
            </w:r>
          </w:p>
        </w:tc>
        <w:tc>
          <w:tcPr>
            <w:tcW w:type="dxa" w:w="1440"/>
            <w:shd w:fill="FFDCE0" w:val="clear"/>
          </w:tcPr>
          <w:p>
            <w:r>
              <w:rPr>
                <w:b/>
                <w:sz w:val="17"/>
              </w:rPr>
              <w:t>4,957</w:t>
            </w:r>
          </w:p>
        </w:tc>
        <w:tc>
          <w:tcPr>
            <w:tcW w:type="dxa" w:w="1440"/>
            <w:shd w:fill="FFDCE0" w:val="clear"/>
          </w:tcPr>
          <w:p>
            <w:r>
              <w:rPr>
                <w:sz w:val="17"/>
              </w:rPr>
              <w:t>5,503</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4,332</w:t>
            </w:r>
          </w:p>
        </w:tc>
        <w:tc>
          <w:tcPr>
            <w:tcW w:type="dxa" w:w="1440"/>
            <w:shd w:fill="FFDCE0" w:val="clear"/>
          </w:tcPr>
          <w:p>
            <w:r>
              <w:rPr>
                <w:b/>
                <w:sz w:val="17"/>
              </w:rPr>
              <w:t>4,917</w:t>
            </w:r>
          </w:p>
        </w:tc>
        <w:tc>
          <w:tcPr>
            <w:tcW w:type="dxa" w:w="1440"/>
            <w:shd w:fill="FFDCE0" w:val="clear"/>
          </w:tcPr>
          <w:p>
            <w:r>
              <w:rPr>
                <w:sz w:val="17"/>
              </w:rPr>
              <w:t>5,503</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4,257</w:t>
            </w:r>
          </w:p>
        </w:tc>
        <w:tc>
          <w:tcPr>
            <w:tcW w:type="dxa" w:w="1440"/>
            <w:shd w:fill="FFDCE0" w:val="clear"/>
          </w:tcPr>
          <w:p>
            <w:r>
              <w:rPr>
                <w:b/>
                <w:sz w:val="17"/>
              </w:rPr>
              <w:t>4,878</w:t>
            </w:r>
          </w:p>
        </w:tc>
        <w:tc>
          <w:tcPr>
            <w:tcW w:type="dxa" w:w="1440"/>
            <w:shd w:fill="FFDCE0" w:val="clear"/>
          </w:tcPr>
          <w:p>
            <w:r>
              <w:rPr>
                <w:sz w:val="17"/>
              </w:rPr>
              <w:t>5,499</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4,187</w:t>
            </w:r>
          </w:p>
        </w:tc>
        <w:tc>
          <w:tcPr>
            <w:tcW w:type="dxa" w:w="1440"/>
            <w:shd w:fill="FFDCE0" w:val="clear"/>
          </w:tcPr>
          <w:p>
            <w:r>
              <w:rPr>
                <w:b/>
                <w:sz w:val="17"/>
              </w:rPr>
              <w:t>4,840</w:t>
            </w:r>
          </w:p>
        </w:tc>
        <w:tc>
          <w:tcPr>
            <w:tcW w:type="dxa" w:w="1440"/>
            <w:shd w:fill="FFDCE0" w:val="clear"/>
          </w:tcPr>
          <w:p>
            <w:r>
              <w:rPr>
                <w:sz w:val="17"/>
              </w:rPr>
              <w:t>5,493</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4,120</w:t>
            </w:r>
          </w:p>
        </w:tc>
        <w:tc>
          <w:tcPr>
            <w:tcW w:type="dxa" w:w="1440"/>
            <w:shd w:fill="FFDCE0" w:val="clear"/>
          </w:tcPr>
          <w:p>
            <w:r>
              <w:rPr>
                <w:b/>
                <w:sz w:val="17"/>
              </w:rPr>
              <w:t>4,803</w:t>
            </w:r>
          </w:p>
        </w:tc>
        <w:tc>
          <w:tcPr>
            <w:tcW w:type="dxa" w:w="1440"/>
            <w:shd w:fill="FFDCE0" w:val="clear"/>
          </w:tcPr>
          <w:p>
            <w:r>
              <w:rPr>
                <w:sz w:val="17"/>
              </w:rPr>
              <w:t>5,486</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Voici le rapport d'analyse structuré pour l'action SICC (SICOR)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3,12 milliards FCFA, un niveau modeste qui la classe parmi les petites capitalisations de la BRVM, reflétant une liquidité limitée et une visibilité réduite. En raison de l'absence de données financières structurées dans la base de données, les ratios de valorisation tels que le PER, le P/B, l'EV/EBITDA et le BPA ne sont pas calculables. Cette absence d'indicateurs clés empêche une comparaison directe avec le marché (PER BRVM moyen de 8-12x) et ne permet pas de déterminer si le titre est sous-évalué ou surévalué par rapport à ses fondamentaux. L'investisseur doit donc se baser sur les analyses fondamentales narratives disponibles pour estimer la valeur intrinsèque de la société.</w:t>
      </w:r>
    </w:p>
    <w:p>
      <w:pPr>
        <w:spacing w:after="120" w:line="276" w:lineRule="auto"/>
      </w:pPr>
      <w:r>
        <w:t>### **PARTIE 1 : ANALYSE DU COURS — STATISTIQUES ET ÉVOLUTION (100 derniers jours)**</w:t>
      </w:r>
    </w:p>
    <w:p>
      <w:pPr>
        <w:spacing w:after="120" w:line="276" w:lineRule="auto"/>
      </w:pPr>
      <w:r>
        <w:t>Sur les 100 derniers jours, l'action SICC affiche une performance remarquable avec une hausse totale de +29,88%, bien que la dernière séance enregistre un très léger repli de -0,10%. Le cours a évolué dans un large range de 3 610 FCFA (plus bas) à 5 250 FCFA (plus haut), soit une amplitude de 1 640 FCFA, témoignant d'une forte volatilité. La tendance est clairement haussière, le cours actuel de 5 195 FCFA se situant bien au-dessus de la moyenne (4 293 FCFA) et de la médiane (4 288 FCFA). L'écart-type de 344 FCFA et un coefficient de variation de 8,0% indiquent une dispersion modérée autour de la moyenne. Le kurtosis excédentaire de 1,168 (leptokurtique) signale un risque accru de mouvements extrêmes et de pics de prix. Enfin, le skewness positif de 0,924 confirme que le titre a passé plus de journées sous sa moyenne, suggérant que la récente hausse est concentrée sur une période courte. La volatilité annualisée de 54,1% est très élevée, classant SICC comme un actif à haut risque.</w:t>
      </w:r>
    </w:p>
    <w:p>
      <w:pPr>
        <w:spacing w:after="120" w:line="276" w:lineRule="auto"/>
      </w:pPr>
      <w:r>
        <w:t>### **PARTIE 2 : ANALYSE TECHNIQUE DÉTAILLÉE**</w:t>
      </w:r>
    </w:p>
    <w:p>
      <w:pPr>
        <w:spacing w:after="120" w:line="276" w:lineRule="auto"/>
      </w:pPr>
      <w:r>
        <w:t>*   **Moyennes Mobiles** : Le cours actuel (5 195 FCFA) est nettement au-dessus de la MM20 (4 738,75 FCFA) et de la MM50 (4 535 FCFA). Cette configuration haussière, où les moyennes courtes sont au-dessus des longues, génère un signal d'achat fort, indiquant une dynamique positive soutenue.</w:t>
        <w:br/>
        <w:t>*   **Bandes de Bollinger** : Le cours se situe à 5 195 FCFA, proche de la borne supérieure (5 429 FCFA). Cette position indique que le titre est en territoire de surachat relatif, mais sans en franchir la limite, ce qui justifie une décision neutre. L'écart entre les bandes est large, confirmant une volatilité élevée.</w:t>
        <w:br/>
        <w:t>*   **MACD** : Le MACD (211,35) est positionné au-dessus de sa ligne de signal (154,63), formant une divergence positive. Cette configuration est un signal d'achat classique, indiquant que le momentum haussier est toujours en vigueur et pourrait se poursuivre à court terme.</w:t>
        <w:br/>
        <w:t>*   **RSI** : Avec une valeur de 83,87, le RSI est profondément ancré en zone de surachat (au-dessus de 70). Ce niveau est un signal de vente précoce, avertissant que le titre est potentiellement surévalué à court terme et qu'une correction technique est probable.</w:t>
        <w:br/>
        <w:t>*   **Stochastique** : Le %K (93,68) et le %D (94,06) sont tous deux à des niveaux extrêmement élevés, bien au-dessus de 80, confirmant la zone de surachat. Leur quasi-égalité suggère une possible stagnation avant un croisement baissier, ce qui renforce le signal de vente.</w:t>
      </w:r>
    </w:p>
    <w:p>
      <w:pPr>
        <w:spacing w:after="120" w:line="276" w:lineRule="auto"/>
      </w:pPr>
      <w:r>
        <w:t>**Conclusion technique** : Le tableau technique est fortement contrasté. Les indicateurs de tendance (Moyennes Mobiles, MACD) sont unanimement haussiers et suggèrent une dynamique positive. En revanche, les oscillateurs de momentum (RSI, Stochastique) hurlent au surachat et envoient des signaux de vente. Cette divergence entre tendance et momentum indique un risque élevé de consolidation ou de correction à court terme, malgré une tendance de fond haussière.</w:t>
      </w:r>
    </w:p>
    <w:p>
      <w:pPr>
        <w:spacing w:after="120" w:line="276" w:lineRule="auto"/>
      </w:pPr>
      <w:r>
        <w:t>### **PARTIE 3 : ANALYSE FONDAMENTALE (SECTION CRITIQUE)**</w:t>
      </w:r>
    </w:p>
    <w:p>
      <w:pPr>
        <w:spacing w:after="120" w:line="276" w:lineRule="auto"/>
      </w:pPr>
      <w:r>
        <w:t>L'analyse fondamentale repose sur deux rapports financiers officiels de la SICOR, datant du 31 décembre 2024 (couvrant les exercices 2022 et 2023). **En 2022**, la société a subi une perte nette de -39,95 millions FCFA, contre un bénéfice de 119,23 millions FCFA en 2021, principalement à cause d'une chute de 64% des ventes d'huile de coprah. La marge nette est devenue négative à -3,51%. **En 2023**, la situation s'est améliorée avec un retour à la profitabilité : un bénéfice net de +19,25 millions FCFA, porté par une réduction drastique des charges de -43,68%, malgré une baisse du chiffre d'affaires de 38,4% à 701 millions FCFA. La marge nette est remontée à 2,75%, mais reste fragile. Aucun dividende n'a été distribué, les pertes cumulées s'élevant à 689,86 millions FCFA. Les risques majeurs identifiés sont une trésorerie tendue (découverts bancaires multipliés par 14), des vols de noix de coco et une dépendance à l'huile de coprah. Les perspectives passent par une diversification et une modernisation. La solidité financière est donc très faible, mais un début de redressement est amorcé.</w:t>
      </w:r>
    </w:p>
    <w:p>
      <w:pPr>
        <w:spacing w:after="120" w:line="276" w:lineRule="auto"/>
      </w:pPr>
      <w:r>
        <w:t>### **PARTIE 4 : CONCLUSION D'INVESTISSEMENT**</w:t>
      </w:r>
    </w:p>
    <w:p>
      <w:pPr>
        <w:spacing w:after="120" w:line="276" w:lineRule="auto"/>
      </w:pPr>
      <w:r>
        <w:t>La valorisation boursière de SICC (Partie 0) ne peut être jugée faute de ratios calculables. Le comportement du cours (Partie 1) montre une tendance haussière forte mais volatile, avec un risque de retournement statistique (skewness positif). Les signaux techniques (Partie 2) sont en forte divergence : la tendance (MM, MACD) est haussière, mais les oscillateurs (RSI, Stochastique) sont en surachat extrême, suggérant une correction imminente. Les fondamentaux (Partie 3) révèlent une entreprise en convalescence, avec un retour à un bénéfice modeste en 2023 après une perte en 2022, mais une santé financière encore fragile et aucun dividende en vue. Enfin, les prédictions IA pour les 10 prochains jours anticipent une baisse continue du cours, passant de 5 148 à 4 997 FCFA, ce qui contredit la tendance haussière et confirme le signal de surachat technique.</w:t>
      </w:r>
    </w:p>
    <w:p>
      <w:pPr>
        <w:spacing w:after="120" w:line="276" w:lineRule="auto"/>
      </w:pPr>
      <w:r>
        <w:t>**Recommandation finale : VENTE** (pour le court terme) / **CONSERVER** (pour le long terme).</w:t>
        <w:br/>
        <w:t>*   **Justification** : La convergence des signaux de surachat technique (RSI, Stochastique) et des prédictions baissières de l'IA l'emporte sur la tendance haussière à court terme. Un repli technique est très probable. Pour un investisseur de long terme, la faiblesse des fondamentaux et l'absence de dividende ne justifient pas une entrée à ce niveau de prix.</w:t>
        <w:br/>
        <w:t>*   **Niveau de confiance :** Moyen (en raison de la divergence entre tendance et momentum).</w:t>
        <w:br/>
        <w:t>*   **Niveau de risque global :** Élevé (volatilité annualisée de 54%, fondamentaux fragiles).</w:t>
        <w:br/>
        <w:t>*   **Horizon d'investissement optimal :** Court terme (&lt;3 mois) pour une vente, ou long terme (&gt;1 an) pour une conservation en attendant un meilleur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7,370 titres</w:t>
            </w:r>
          </w:p>
        </w:tc>
        <w:tc>
          <w:tcPr>
            <w:tcW w:type="dxa" w:w="2268"/>
            <w:shd w:fill="FFF2CC" w:val="clear"/>
          </w:tcPr>
          <w:p>
            <w:r>
              <w:rPr>
                <w:b/>
                <w:color w:val="503200"/>
                <w:sz w:val="16"/>
              </w:rPr>
              <w:t xml:space="preserve">Cours actuel : </w:t>
            </w:r>
            <w:r>
              <w:rPr>
                <w:color w:val="000000"/>
                <w:sz w:val="17"/>
              </w:rPr>
              <w:t>2,060 FCFA</w:t>
            </w:r>
          </w:p>
          <w:p>
            <w:r>
              <w:rPr>
                <w:b/>
                <w:color w:val="503200"/>
                <w:sz w:val="16"/>
              </w:rPr>
              <w:t xml:space="preserve">Var. 100 jours : </w:t>
            </w:r>
            <w:r>
              <w:rPr>
                <w:b/>
                <w:color w:val="B40000"/>
                <w:sz w:val="17"/>
              </w:rPr>
              <w:t>-27.72%</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μ=2,754 FCFA, σ=214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β=-0.0148 (Contre-cyclique) — Cov=-0.000001, Var(idx)=0.000042, ρ=-0.003,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7,370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σ_j=3.33%/j (Modérée) — Vol. annualisée≈52.9%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1,818</w:t>
            </w:r>
          </w:p>
        </w:tc>
        <w:tc>
          <w:tcPr>
            <w:tcW w:type="dxa" w:w="1440"/>
            <w:shd w:fill="FFDCE0" w:val="clear"/>
          </w:tcPr>
          <w:p>
            <w:r>
              <w:rPr>
                <w:b/>
                <w:sz w:val="17"/>
              </w:rPr>
              <w:t>1,934</w:t>
            </w:r>
          </w:p>
        </w:tc>
        <w:tc>
          <w:tcPr>
            <w:tcW w:type="dxa" w:w="1440"/>
            <w:shd w:fill="FFDCE0" w:val="clear"/>
          </w:tcPr>
          <w:p>
            <w:r>
              <w:rPr>
                <w:sz w:val="17"/>
              </w:rPr>
              <w:t>2,051</w:t>
            </w:r>
          </w:p>
        </w:tc>
        <w:tc>
          <w:tcPr>
            <w:tcW w:type="dxa" w:w="1440"/>
            <w:shd w:fill="FFDCE0" w:val="clear"/>
          </w:tcPr>
          <w:p>
            <w:r>
              <w:rPr>
                <w:b/>
                <w:color w:val="C00000"/>
                <w:sz w:val="17"/>
              </w:rPr>
              <w:t>-6.1%</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1,733</w:t>
            </w:r>
          </w:p>
        </w:tc>
        <w:tc>
          <w:tcPr>
            <w:tcW w:type="dxa" w:w="1440"/>
            <w:shd w:fill="FFDCE0" w:val="clear"/>
          </w:tcPr>
          <w:p>
            <w:r>
              <w:rPr>
                <w:b/>
                <w:sz w:val="17"/>
              </w:rPr>
              <w:t>1,894</w:t>
            </w:r>
          </w:p>
        </w:tc>
        <w:tc>
          <w:tcPr>
            <w:tcW w:type="dxa" w:w="1440"/>
            <w:shd w:fill="FFDCE0" w:val="clear"/>
          </w:tcPr>
          <w:p>
            <w:r>
              <w:rPr>
                <w:sz w:val="17"/>
              </w:rPr>
              <w:t>2,056</w:t>
            </w:r>
          </w:p>
        </w:tc>
        <w:tc>
          <w:tcPr>
            <w:tcW w:type="dxa" w:w="1440"/>
            <w:shd w:fill="FFDCE0" w:val="clear"/>
          </w:tcPr>
          <w:p>
            <w:r>
              <w:rPr>
                <w:b/>
                <w:color w:val="C00000"/>
                <w:sz w:val="17"/>
              </w:rPr>
              <w:t>-8.0%</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1,661</w:t>
            </w:r>
          </w:p>
        </w:tc>
        <w:tc>
          <w:tcPr>
            <w:tcW w:type="dxa" w:w="1440"/>
            <w:shd w:fill="FFDCE0" w:val="clear"/>
          </w:tcPr>
          <w:p>
            <w:r>
              <w:rPr>
                <w:b/>
                <w:sz w:val="17"/>
              </w:rPr>
              <w:t>1,854</w:t>
            </w:r>
          </w:p>
        </w:tc>
        <w:tc>
          <w:tcPr>
            <w:tcW w:type="dxa" w:w="1440"/>
            <w:shd w:fill="FFDCE0" w:val="clear"/>
          </w:tcPr>
          <w:p>
            <w:r>
              <w:rPr>
                <w:sz w:val="17"/>
              </w:rPr>
              <w:t>2,047</w:t>
            </w:r>
          </w:p>
        </w:tc>
        <w:tc>
          <w:tcPr>
            <w:tcW w:type="dxa" w:w="1440"/>
            <w:shd w:fill="FFDCE0" w:val="clear"/>
          </w:tcPr>
          <w:p>
            <w:r>
              <w:rPr>
                <w:b/>
                <w:color w:val="C00000"/>
                <w:sz w:val="17"/>
              </w:rPr>
              <w:t>-10.0%</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1,596</w:t>
            </w:r>
          </w:p>
        </w:tc>
        <w:tc>
          <w:tcPr>
            <w:tcW w:type="dxa" w:w="1440"/>
            <w:shd w:fill="FFDCE0" w:val="clear"/>
          </w:tcPr>
          <w:p>
            <w:r>
              <w:rPr>
                <w:b/>
                <w:sz w:val="17"/>
              </w:rPr>
              <w:t>1,815</w:t>
            </w:r>
          </w:p>
        </w:tc>
        <w:tc>
          <w:tcPr>
            <w:tcW w:type="dxa" w:w="1440"/>
            <w:shd w:fill="FFDCE0" w:val="clear"/>
          </w:tcPr>
          <w:p>
            <w:r>
              <w:rPr>
                <w:sz w:val="17"/>
              </w:rPr>
              <w:t>2,033</w:t>
            </w:r>
          </w:p>
        </w:tc>
        <w:tc>
          <w:tcPr>
            <w:tcW w:type="dxa" w:w="1440"/>
            <w:shd w:fill="FFDCE0" w:val="clear"/>
          </w:tcPr>
          <w:p>
            <w:r>
              <w:rPr>
                <w:b/>
                <w:color w:val="C00000"/>
                <w:sz w:val="17"/>
              </w:rPr>
              <w:t>-11.9%</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1,537</w:t>
            </w:r>
          </w:p>
        </w:tc>
        <w:tc>
          <w:tcPr>
            <w:tcW w:type="dxa" w:w="1440"/>
            <w:shd w:fill="FFDCE0" w:val="clear"/>
          </w:tcPr>
          <w:p>
            <w:r>
              <w:rPr>
                <w:b/>
                <w:sz w:val="17"/>
              </w:rPr>
              <w:t>1,776</w:t>
            </w:r>
          </w:p>
        </w:tc>
        <w:tc>
          <w:tcPr>
            <w:tcW w:type="dxa" w:w="1440"/>
            <w:shd w:fill="FFDCE0" w:val="clear"/>
          </w:tcPr>
          <w:p>
            <w:r>
              <w:rPr>
                <w:sz w:val="17"/>
              </w:rPr>
              <w:t>2,015</w:t>
            </w:r>
          </w:p>
        </w:tc>
        <w:tc>
          <w:tcPr>
            <w:tcW w:type="dxa" w:w="1440"/>
            <w:shd w:fill="FFDCE0" w:val="clear"/>
          </w:tcPr>
          <w:p>
            <w:r>
              <w:rPr>
                <w:b/>
                <w:color w:val="C00000"/>
                <w:sz w:val="17"/>
              </w:rPr>
              <w:t>-13.8%</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1,483</w:t>
            </w:r>
          </w:p>
        </w:tc>
        <w:tc>
          <w:tcPr>
            <w:tcW w:type="dxa" w:w="1440"/>
            <w:shd w:fill="FFDCE0" w:val="clear"/>
          </w:tcPr>
          <w:p>
            <w:r>
              <w:rPr>
                <w:b/>
                <w:sz w:val="17"/>
              </w:rPr>
              <w:t>1,739</w:t>
            </w:r>
          </w:p>
        </w:tc>
        <w:tc>
          <w:tcPr>
            <w:tcW w:type="dxa" w:w="1440"/>
            <w:shd w:fill="FFDCE0" w:val="clear"/>
          </w:tcPr>
          <w:p>
            <w:r>
              <w:rPr>
                <w:sz w:val="17"/>
              </w:rPr>
              <w:t>1,996</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1,433</w:t>
            </w:r>
          </w:p>
        </w:tc>
        <w:tc>
          <w:tcPr>
            <w:tcW w:type="dxa" w:w="1440"/>
            <w:shd w:fill="FFDCE0" w:val="clear"/>
          </w:tcPr>
          <w:p>
            <w:r>
              <w:rPr>
                <w:b/>
                <w:sz w:val="17"/>
              </w:rPr>
              <w:t>1,704</w:t>
            </w:r>
          </w:p>
        </w:tc>
        <w:tc>
          <w:tcPr>
            <w:tcW w:type="dxa" w:w="1440"/>
            <w:shd w:fill="FFDCE0" w:val="clear"/>
          </w:tcPr>
          <w:p>
            <w:r>
              <w:rPr>
                <w:sz w:val="17"/>
              </w:rPr>
              <w:t>1,975</w:t>
            </w:r>
          </w:p>
        </w:tc>
        <w:tc>
          <w:tcPr>
            <w:tcW w:type="dxa" w:w="1440"/>
            <w:shd w:fill="FFDCE0" w:val="clear"/>
          </w:tcPr>
          <w:p>
            <w:r>
              <w:rPr>
                <w:b/>
                <w:color w:val="C00000"/>
                <w:sz w:val="17"/>
              </w:rPr>
              <w:t>-17.3%</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1,385</w:t>
            </w:r>
          </w:p>
        </w:tc>
        <w:tc>
          <w:tcPr>
            <w:tcW w:type="dxa" w:w="1440"/>
            <w:shd w:fill="FFDCE0" w:val="clear"/>
          </w:tcPr>
          <w:p>
            <w:r>
              <w:rPr>
                <w:b/>
                <w:sz w:val="17"/>
              </w:rPr>
              <w:t>1,669</w:t>
            </w:r>
          </w:p>
        </w:tc>
        <w:tc>
          <w:tcPr>
            <w:tcW w:type="dxa" w:w="1440"/>
            <w:shd w:fill="FFDCE0" w:val="clear"/>
          </w:tcPr>
          <w:p>
            <w:r>
              <w:rPr>
                <w:sz w:val="17"/>
              </w:rPr>
              <w:t>1,953</w:t>
            </w:r>
          </w:p>
        </w:tc>
        <w:tc>
          <w:tcPr>
            <w:tcW w:type="dxa" w:w="1440"/>
            <w:shd w:fill="FFDCE0" w:val="clear"/>
          </w:tcPr>
          <w:p>
            <w:r>
              <w:rPr>
                <w:b/>
                <w:color w:val="C00000"/>
                <w:sz w:val="17"/>
              </w:rPr>
              <w:t>-19.0%</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1,341</w:t>
            </w:r>
          </w:p>
        </w:tc>
        <w:tc>
          <w:tcPr>
            <w:tcW w:type="dxa" w:w="1440"/>
            <w:shd w:fill="FFDCE0" w:val="clear"/>
          </w:tcPr>
          <w:p>
            <w:r>
              <w:rPr>
                <w:b/>
                <w:sz w:val="17"/>
              </w:rPr>
              <w:t>1,636</w:t>
            </w:r>
          </w:p>
        </w:tc>
        <w:tc>
          <w:tcPr>
            <w:tcW w:type="dxa" w:w="1440"/>
            <w:shd w:fill="FFDCE0" w:val="clear"/>
          </w:tcPr>
          <w:p>
            <w:r>
              <w:rPr>
                <w:sz w:val="17"/>
              </w:rPr>
              <w:t>1,931</w:t>
            </w:r>
          </w:p>
        </w:tc>
        <w:tc>
          <w:tcPr>
            <w:tcW w:type="dxa" w:w="1440"/>
            <w:shd w:fill="FFDCE0" w:val="clear"/>
          </w:tcPr>
          <w:p>
            <w:r>
              <w:rPr>
                <w:b/>
                <w:color w:val="C00000"/>
                <w:sz w:val="17"/>
              </w:rPr>
              <w:t>-20.6%</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1,299</w:t>
            </w:r>
          </w:p>
        </w:tc>
        <w:tc>
          <w:tcPr>
            <w:tcW w:type="dxa" w:w="1440"/>
            <w:shd w:fill="FFDCE0" w:val="clear"/>
          </w:tcPr>
          <w:p>
            <w:r>
              <w:rPr>
                <w:b/>
                <w:sz w:val="17"/>
              </w:rPr>
              <w:t>1,604</w:t>
            </w:r>
          </w:p>
        </w:tc>
        <w:tc>
          <w:tcPr>
            <w:tcW w:type="dxa" w:w="1440"/>
            <w:shd w:fill="FFDCE0" w:val="clear"/>
          </w:tcPr>
          <w:p>
            <w:r>
              <w:rPr>
                <w:sz w:val="17"/>
              </w:rPr>
              <w:t>1,909</w:t>
            </w:r>
          </w:p>
        </w:tc>
        <w:tc>
          <w:tcPr>
            <w:tcW w:type="dxa" w:w="1440"/>
            <w:shd w:fill="FFDCE0" w:val="clear"/>
          </w:tcPr>
          <w:p>
            <w:r>
              <w:rPr>
                <w:b/>
                <w:color w:val="C00000"/>
                <w:sz w:val="17"/>
              </w:rPr>
              <w:t>-22.2%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le rapport d'analyse structuré pour l'action SIVC (désormais ERIUM CI),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17,99 milliards FCFA, SIVC se positionne comme une valeur de taille moyenne sur le marché de la BRVM. Le Bénéfice Par Action (BPA) de 43 FCFA est faible, ce qui conduit à un PER de 47,7x. Ce ratio est extrêmement élevé par rapport à la moyenne du marché BRVM (généralement entre 8x et 12x), indiquant que les investisseurs paient une prime très significative pour chaque unité de bénéfice, ce qui suggère une valorisation spéculative ou des attentes de croissance très fortes. Le Price-to-Book (P/B) de 5,50x confirme cette surévaluation, le cours étant plus de cinq fois supérieur à la valeur comptable par action, un niveau exigeant qui offre peu de marge de sécurité. Enfin, le ratio EV/EBITDA de 15,4x, bien que légèrement inférieur au PER, reste élevé, signalant que la valeur totale de l'entreprise (dette incluse) est chère par rapport à sa capacité bénéficiaire opérationnelle brute.</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-27,72%, avec une chute de son cours de 3 215 FCFA à 2 060 FCFA, touchant un plus bas à 1 920 FCFA. La dernière séance a toutefois vu un rebond technique de +7,29%. La tendance est donc résolument baissière. L'analyse des statistiques descriptives révèle des comportements de marché intéressants. La moyenne (2 754 FCFA) est inférieure à la médiane (2 800 FCFA), ce qui, combiné à un skewness négatif de -1,548, indique une distribution asymétrique où les journées de forte baisse sont plus fréquentes que les hausses. L'écart-type de 215 FCFA, pour un coefficient de variation de 7,8%, montre une dispersion modérée du cours autour de la moyenne. Le kurtosis (excès) de 3,632 est particulièrement préoccupant : il signale une distribution leptokurtique, c'est-à-dire avec des « queues épaisses », ce qui implique un risque accru de mouvements extrêmes et de pics de volatilité. Enfin, la volatilité annualisée de 52,9% est très élevée, classant le titre comme un actif à haut risque, bien au-dessus du seuil des 30%.</w:t>
      </w:r>
    </w:p>
    <w:p>
      <w:pPr>
        <w:spacing w:after="120" w:line="276" w:lineRule="auto"/>
      </w:pPr>
      <w:r>
        <w:t>### **PARTIE 2 : ANALYSE TECHNIQUE DÉTAILLÉE**</w:t>
      </w:r>
    </w:p>
    <w:p>
      <w:pPr>
        <w:spacing w:after="120" w:line="276" w:lineRule="auto"/>
      </w:pPr>
      <w:r>
        <w:t>*   **Moyennes Mobiles:** Le cours actuel (2 060 FCFA) se situe nettement en dessous de la MM20 (2 484,5 FCFA) et de la MM50 (2 690,9 FCFA), confirmant une configuration baissière solide. La décision de « Vente » est justifiée par cette tendance baissière à court et moyen terme.</w:t>
        <w:br/>
        <w:t>*   **Bandes de Bollinger:** Le cours évolue près de la borne inférieure (1 935,4 FCFA), ce qui suggère que le titre est survendu à court terme. La décision « Neutre » est cohérente, car bien que le prix soit bas, il n'y a pas de signal de retournement clair. La largeur des bandes indique une volatilité toujours élevée.</w:t>
        <w:br/>
        <w:t>*   **MACD:** Le MACD (-192,8) est négatif et se situe sous sa ligne de signal (-134,4), ce qui est un signal baissier fort. Le momentum est clairement négatif, justifiant la décision de « Vente ».</w:t>
        <w:br/>
        <w:t>*   **RSI:** Avec une valeur de 34,4, le RSI se trouve en zone neutre, mais proche de la zone de survente (30). Cela indique que la pression vendeuse s'essouffle sans pour autant qu'un rebond soit garanti. La décision « Neutre » est donc appropriée.</w:t>
        <w:br/>
        <w:t>*   **Stochastique:** Le %K (17,3) et le %D (5,8) sont tous deux en zone de survente profonde (&lt;20). Le %K a récemment croisé le %D à la hausse, ce qui est un signal d'achat précoce. La décision « Achat » est justifiée par ce croisement haussier en territoire de survente.</w:t>
      </w:r>
    </w:p>
    <w:p>
      <w:pPr>
        <w:spacing w:after="120" w:line="276" w:lineRule="auto"/>
      </w:pPr>
      <w:r>
        <w:t>**Conclusion technique :** Le tableau technique est contrasté. Les indicateurs de tendance (Moyennes Mobiles, MACD) sont unanimement baissiers, tandis que les oscillateurs (RSI, Stochastique) suggèrent une situation de survente extrême, laissant présager un possible rebond technique à court terme. La configuration actuelle est typique d'un marché en « bear market rally », où un rebond est possible mais ne remet pas en cause la tendance baissière sous-jacente.</w:t>
      </w:r>
    </w:p>
    <w:p>
      <w:pPr>
        <w:spacing w:after="120" w:line="276" w:lineRule="auto"/>
      </w:pPr>
      <w:r>
        <w:t>### **PARTIE 3 : ANALYSE FONDAMENTALE (SECTION CRITIQUE)**</w:t>
      </w:r>
    </w:p>
    <w:p>
      <w:pPr>
        <w:spacing w:after="120" w:line="276" w:lineRule="auto"/>
      </w:pPr>
      <w:r>
        <w:t>L'analyse des données financières structurées de **l'exercice 2024** révèle une entreprise en mutation. Le chiffre d'affaires (ou PNB) s'établit à 9,283 milliards FCFA, pour un résultat net de 376,96 millions FCFA. La marge nette est de 4,06%, et le ROE (Rentabilité des Fonds Propres) ressort à 11,52%, un niveau correct mais en deçà du seuil d'excellence de 15%. Le coefficient d'exploitation, à 95,83%, est très élevé, indiquant une structure de coûts lourde qui pèse sur la rentabilité. Le coût du risque de 3,10% est également élevé, signalant un risque de crédit significatif. Cependant, les rapports plus récents montrent une nette amélioration. Le rapport du **3ème trimestre 2025** (non audité) indique un chiffre d'affaires cumulé de 7,585 milliards FCFA (+13% vs 2024) et un résultat net de 832,5 millions FCFA, en hausse de +58%. Sur la base de cette forte dynamique, on estime que l'exercice 2025 pourrait voir un résultat net annuel dépasser le milliard de FCFA, ce qui améliorerait significativement le ROE et ferait baisser le PER. Le rapport annuel **2025** (analysé par DeepSeek) confirme cette croissance du CA (+8,53%) mais alerte sur une chute du résultat net à 179 millions FCFA, une dégradation de la rentabilité due à une forte augmentation des charges. Cette contradiction entre les trimestriels et l'annuel suggère un quatrième trimestre 2025 très difficile. La société a changé de nom pour devenir **ERIUM CI** suite à la cession de la participation d'Air Liquide International à ERIUM LTD, un tournant stratégique majeur.</w:t>
      </w:r>
    </w:p>
    <w:p>
      <w:pPr>
        <w:spacing w:after="120" w:line="276" w:lineRule="auto"/>
      </w:pPr>
      <w:r>
        <w:t>### **PARTIE 4 : CONCLUSION D'INVESTISSEMENT**</w:t>
      </w:r>
    </w:p>
    <w:p>
      <w:pPr>
        <w:spacing w:after="120" w:line="276" w:lineRule="auto"/>
      </w:pPr>
      <w:r>
        <w:t>La synthèse globale pour l'action SIVC (ERIUM CI) est complexe et paradoxale. La **valorisation (Partie 0)** est extrêmement exigeante avec un PER de 47,7x, ce qui est un signal d'alarme majeur pour un investisseur value. Le **comportement du cours (Partie 1)** est baissier et très volatil, avec un risque de mouvements extrêmes (kurtosis élevé), ce qui est défavorable. Les **signaux techniques (Partie 2)** sont mitigés : la tendance est baissière, mais les oscillateurs pointent vers un rebond technique imminent. Enfin, les **fondamentaux (Partie 3)** sont en pleine mutation : la croissance du chiffre d'affaires est réelle, mais la rentabilité est erratique et le changement d'actionnaire de contrôle (passage d'Air Liquide à Erium Ltd) introduit une forte incertitude stratégique. Les **prédictions IA** anticipent une poursuite de la baisse à 1 776 FCFA dans les 10 prochains jours, ce qui contredit le signal d'achat du Stochastique.</w:t>
      </w:r>
    </w:p>
    <w:p>
      <w:pPr>
        <w:spacing w:after="120" w:line="276" w:lineRule="auto"/>
      </w:pPr>
      <w:r>
        <w:t>**Recommandation finale : VENTE**</w:t>
      </w:r>
    </w:p>
    <w:p>
      <w:pPr>
        <w:spacing w:after="120" w:line="276" w:lineRule="auto"/>
      </w:pPr>
      <w:r>
        <w:t>**Justification :** Malgré des signaux de rebond technique à court terme, le risque de valorisation (PER excessif) et l'incertitude fondamentale liée au changement de contrôle et à la dégradation de la rentabilité en 2025 sont trop élevés. La tendance de fond est baissière, et les prédictions IA confirment ce scénario. Le potentiel de hausse d'un éventuel rebond technique ne compense pas le risque de perte en capital supplémentaire.</w:t>
      </w:r>
    </w:p>
    <w:p>
      <w:pPr>
        <w:spacing w:after="120" w:line="276" w:lineRule="auto"/>
      </w:pPr>
      <w:r>
        <w:t>*   **Niveau de confiance :** Élevé</w:t>
        <w:br/>
        <w:t>*   **Niveau de risque global :** Élevé</w:t>
        <w:br/>
        <w:t>*   **Horizon d'investissement optimal :** Court terme (&lt;3 mois) pour une sortie, ou éviter le titre pour le moyen/long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656.95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750 titres</w:t>
            </w:r>
          </w:p>
        </w:tc>
        <w:tc>
          <w:tcPr>
            <w:tcW w:type="dxa" w:w="2268"/>
            <w:shd w:fill="FFF2CC" w:val="clear"/>
          </w:tcPr>
          <w:p>
            <w:r>
              <w:rPr>
                <w:b/>
                <w:color w:val="503200"/>
                <w:sz w:val="16"/>
              </w:rPr>
              <w:t xml:space="preserve">Cours actuel : </w:t>
            </w:r>
            <w:r>
              <w:rPr>
                <w:color w:val="000000"/>
                <w:sz w:val="17"/>
              </w:rPr>
              <w:t>39,910 FCFA</w:t>
            </w:r>
          </w:p>
          <w:p>
            <w:r>
              <w:rPr>
                <w:b/>
                <w:color w:val="503200"/>
                <w:sz w:val="16"/>
              </w:rPr>
              <w:t xml:space="preserve">Var. 100 jours : </w:t>
            </w:r>
            <w:r>
              <w:rPr>
                <w:b/>
                <w:color w:val="007800"/>
                <w:sz w:val="17"/>
              </w:rPr>
              <w:t>+33.03%</w:t>
            </w:r>
          </w:p>
          <w:p>
            <w:r>
              <w:rPr>
                <w:b/>
                <w:color w:val="503200"/>
                <w:sz w:val="16"/>
              </w:rPr>
              <w:t xml:space="preserve">Plus haut 100j : </w:t>
            </w:r>
            <w:r>
              <w:rPr>
                <w:color w:val="000000"/>
                <w:sz w:val="17"/>
              </w:rPr>
              <w:t>44,505 FCFA</w:t>
            </w:r>
          </w:p>
          <w:p>
            <w:r>
              <w:rPr>
                <w:b/>
                <w:color w:val="503200"/>
                <w:sz w:val="16"/>
              </w:rPr>
              <w:t xml:space="preserve">Plus bas 100j : </w:t>
            </w:r>
            <w:r>
              <w:rPr>
                <w:color w:val="000000"/>
                <w:sz w:val="17"/>
              </w:rPr>
              <w:t>30,000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23.5/100 → Moyen</w:t>
      </w:r>
    </w:p>
    <w:p>
      <w:pPr>
        <w:spacing w:before="40" w:after="80"/>
      </w:pPr>
      <w:r>
        <w:rPr>
          <w:rFonts w:ascii="Courier New" w:hAnsi="Courier New"/>
          <w:color w:val="825A00"/>
          <w:sz w:val="18"/>
        </w:rPr>
        <w:t>████░░░░░░░░░░░░░░░░  23.5/100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μ=38,145 FCFA, σ=2,306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β=1.2025 (Agressif) — Cov=0.000050, Var(idx)=0.000042, ρ=0.290,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750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2026-07-13</w:t>
            </w:r>
          </w:p>
        </w:tc>
        <w:tc>
          <w:tcPr>
            <w:tcW w:type="dxa" w:w="1440"/>
            <w:shd w:fill="FAFAFA" w:val="clear"/>
          </w:tcPr>
          <w:p>
            <w:r>
              <w:rPr>
                <w:sz w:val="17"/>
              </w:rPr>
              <w:t>38,920</w:t>
            </w:r>
          </w:p>
        </w:tc>
        <w:tc>
          <w:tcPr>
            <w:tcW w:type="dxa" w:w="1440"/>
            <w:shd w:fill="FAFAFA" w:val="clear"/>
          </w:tcPr>
          <w:p>
            <w:r>
              <w:rPr>
                <w:b/>
                <w:sz w:val="17"/>
              </w:rPr>
              <w:t>39,975</w:t>
            </w:r>
          </w:p>
        </w:tc>
        <w:tc>
          <w:tcPr>
            <w:tcW w:type="dxa" w:w="1440"/>
            <w:shd w:fill="FAFAFA" w:val="clear"/>
          </w:tcPr>
          <w:p>
            <w:r>
              <w:rPr>
                <w:sz w:val="17"/>
              </w:rPr>
              <w:t>41,030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2026-07-14</w:t>
            </w:r>
          </w:p>
        </w:tc>
        <w:tc>
          <w:tcPr>
            <w:tcW w:type="dxa" w:w="1440"/>
            <w:shd w:fill="FAFAFA" w:val="clear"/>
          </w:tcPr>
          <w:p>
            <w:r>
              <w:rPr>
                <w:sz w:val="17"/>
              </w:rPr>
              <w:t>38,395</w:t>
            </w:r>
          </w:p>
        </w:tc>
        <w:tc>
          <w:tcPr>
            <w:tcW w:type="dxa" w:w="1440"/>
            <w:shd w:fill="FAFAFA" w:val="clear"/>
          </w:tcPr>
          <w:p>
            <w:r>
              <w:rPr>
                <w:b/>
                <w:sz w:val="17"/>
              </w:rPr>
              <w:t>39,884</w:t>
            </w:r>
          </w:p>
        </w:tc>
        <w:tc>
          <w:tcPr>
            <w:tcW w:type="dxa" w:w="1440"/>
            <w:shd w:fill="FAFAFA" w:val="clear"/>
          </w:tcPr>
          <w:p>
            <w:r>
              <w:rPr>
                <w:sz w:val="17"/>
              </w:rPr>
              <w:t>41,372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38,008</w:t>
            </w:r>
          </w:p>
        </w:tc>
        <w:tc>
          <w:tcPr>
            <w:tcW w:type="dxa" w:w="1440"/>
            <w:shd w:fill="FAFAFA" w:val="clear"/>
          </w:tcPr>
          <w:p>
            <w:r>
              <w:rPr>
                <w:b/>
                <w:sz w:val="17"/>
              </w:rPr>
              <w:t>39,828</w:t>
            </w:r>
          </w:p>
        </w:tc>
        <w:tc>
          <w:tcPr>
            <w:tcW w:type="dxa" w:w="1440"/>
            <w:shd w:fill="FAFAFA" w:val="clear"/>
          </w:tcPr>
          <w:p>
            <w:r>
              <w:rPr>
                <w:sz w:val="17"/>
              </w:rPr>
              <w:t>41,649</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2026-07-16</w:t>
            </w:r>
          </w:p>
        </w:tc>
        <w:tc>
          <w:tcPr>
            <w:tcW w:type="dxa" w:w="1440"/>
            <w:shd w:fill="FAFAFA" w:val="clear"/>
          </w:tcPr>
          <w:p>
            <w:r>
              <w:rPr>
                <w:sz w:val="17"/>
              </w:rPr>
              <w:t>37,683</w:t>
            </w:r>
          </w:p>
        </w:tc>
        <w:tc>
          <w:tcPr>
            <w:tcW w:type="dxa" w:w="1440"/>
            <w:shd w:fill="FAFAFA" w:val="clear"/>
          </w:tcPr>
          <w:p>
            <w:r>
              <w:rPr>
                <w:b/>
                <w:sz w:val="17"/>
              </w:rPr>
              <w:t>39,783</w:t>
            </w:r>
          </w:p>
        </w:tc>
        <w:tc>
          <w:tcPr>
            <w:tcW w:type="dxa" w:w="1440"/>
            <w:shd w:fill="FAFAFA" w:val="clear"/>
          </w:tcPr>
          <w:p>
            <w:r>
              <w:rPr>
                <w:sz w:val="17"/>
              </w:rPr>
              <w:t>41,882</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2026-07-17</w:t>
            </w:r>
          </w:p>
        </w:tc>
        <w:tc>
          <w:tcPr>
            <w:tcW w:type="dxa" w:w="1440"/>
            <w:shd w:fill="FAFAFA" w:val="clear"/>
          </w:tcPr>
          <w:p>
            <w:r>
              <w:rPr>
                <w:sz w:val="17"/>
              </w:rPr>
              <w:t>37,395</w:t>
            </w:r>
          </w:p>
        </w:tc>
        <w:tc>
          <w:tcPr>
            <w:tcW w:type="dxa" w:w="1440"/>
            <w:shd w:fill="FAFAFA" w:val="clear"/>
          </w:tcPr>
          <w:p>
            <w:r>
              <w:rPr>
                <w:b/>
                <w:sz w:val="17"/>
              </w:rPr>
              <w:t>39,740</w:t>
            </w:r>
          </w:p>
        </w:tc>
        <w:tc>
          <w:tcPr>
            <w:tcW w:type="dxa" w:w="1440"/>
            <w:shd w:fill="FAFAFA" w:val="clear"/>
          </w:tcPr>
          <w:p>
            <w:r>
              <w:rPr>
                <w:sz w:val="17"/>
              </w:rPr>
              <w:t>42,085</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2026-07-20</w:t>
            </w:r>
          </w:p>
        </w:tc>
        <w:tc>
          <w:tcPr>
            <w:tcW w:type="dxa" w:w="1440"/>
            <w:shd w:fill="FAFAFA" w:val="clear"/>
          </w:tcPr>
          <w:p>
            <w:r>
              <w:rPr>
                <w:sz w:val="17"/>
              </w:rPr>
              <w:t>37,132</w:t>
            </w:r>
          </w:p>
        </w:tc>
        <w:tc>
          <w:tcPr>
            <w:tcW w:type="dxa" w:w="1440"/>
            <w:shd w:fill="FAFAFA" w:val="clear"/>
          </w:tcPr>
          <w:p>
            <w:r>
              <w:rPr>
                <w:b/>
                <w:sz w:val="17"/>
              </w:rPr>
              <w:t>39,699</w:t>
            </w:r>
          </w:p>
        </w:tc>
        <w:tc>
          <w:tcPr>
            <w:tcW w:type="dxa" w:w="1440"/>
            <w:shd w:fill="FAFAFA" w:val="clear"/>
          </w:tcPr>
          <w:p>
            <w:r>
              <w:rPr>
                <w:sz w:val="17"/>
              </w:rPr>
              <w:t>42,265</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2026-07-21</w:t>
            </w:r>
          </w:p>
        </w:tc>
        <w:tc>
          <w:tcPr>
            <w:tcW w:type="dxa" w:w="1440"/>
            <w:shd w:fill="FAFAFA" w:val="clear"/>
          </w:tcPr>
          <w:p>
            <w:r>
              <w:rPr>
                <w:sz w:val="17"/>
              </w:rPr>
              <w:t>36,889</w:t>
            </w:r>
          </w:p>
        </w:tc>
        <w:tc>
          <w:tcPr>
            <w:tcW w:type="dxa" w:w="1440"/>
            <w:shd w:fill="FAFAFA" w:val="clear"/>
          </w:tcPr>
          <w:p>
            <w:r>
              <w:rPr>
                <w:b/>
                <w:sz w:val="17"/>
              </w:rPr>
              <w:t>39,658</w:t>
            </w:r>
          </w:p>
        </w:tc>
        <w:tc>
          <w:tcPr>
            <w:tcW w:type="dxa" w:w="1440"/>
            <w:shd w:fill="FAFAFA" w:val="clear"/>
          </w:tcPr>
          <w:p>
            <w:r>
              <w:rPr>
                <w:sz w:val="17"/>
              </w:rPr>
              <w:t>42,427</w:t>
            </w:r>
          </w:p>
        </w:tc>
        <w:tc>
          <w:tcPr>
            <w:tcW w:type="dxa" w:w="1440"/>
            <w:shd w:fill="FAFAFA" w:val="clear"/>
          </w:tcPr>
          <w:p>
            <w:r>
              <w:rPr>
                <w:b/>
                <w:color w:val="C00000"/>
                <w:sz w:val="17"/>
              </w:rPr>
              <w:t>-0.6%</w:t>
            </w:r>
          </w:p>
        </w:tc>
      </w:tr>
      <w:tr>
        <w:tc>
          <w:tcPr>
            <w:tcW w:type="dxa" w:w="1440"/>
            <w:shd w:fill="FAFAFA" w:val="clear"/>
          </w:tcPr>
          <w:p>
            <w:r>
              <w:rPr>
                <w:sz w:val="17"/>
              </w:rPr>
              <w:t>J+8  Moyenne</w:t>
            </w:r>
          </w:p>
        </w:tc>
        <w:tc>
          <w:tcPr>
            <w:tcW w:type="dxa" w:w="1440"/>
            <w:shd w:fill="FAFAFA" w:val="clear"/>
          </w:tcPr>
          <w:p>
            <w:r>
              <w:rPr>
                <w:sz w:val="17"/>
              </w:rPr>
              <w:t>2026-07-22</w:t>
            </w:r>
          </w:p>
        </w:tc>
        <w:tc>
          <w:tcPr>
            <w:tcW w:type="dxa" w:w="1440"/>
            <w:shd w:fill="FAFAFA" w:val="clear"/>
          </w:tcPr>
          <w:p>
            <w:r>
              <w:rPr>
                <w:sz w:val="17"/>
              </w:rPr>
              <w:t>36,661</w:t>
            </w:r>
          </w:p>
        </w:tc>
        <w:tc>
          <w:tcPr>
            <w:tcW w:type="dxa" w:w="1440"/>
            <w:shd w:fill="FAFAFA" w:val="clear"/>
          </w:tcPr>
          <w:p>
            <w:r>
              <w:rPr>
                <w:b/>
                <w:sz w:val="17"/>
              </w:rPr>
              <w:t>39,618</w:t>
            </w:r>
          </w:p>
        </w:tc>
        <w:tc>
          <w:tcPr>
            <w:tcW w:type="dxa" w:w="1440"/>
            <w:shd w:fill="FAFAFA" w:val="clear"/>
          </w:tcPr>
          <w:p>
            <w:r>
              <w:rPr>
                <w:sz w:val="17"/>
              </w:rPr>
              <w:t>42,575</w:t>
            </w:r>
          </w:p>
        </w:tc>
        <w:tc>
          <w:tcPr>
            <w:tcW w:type="dxa" w:w="1440"/>
            <w:shd w:fill="FAFAFA" w:val="clear"/>
          </w:tcPr>
          <w:p>
            <w:r>
              <w:rPr>
                <w:b/>
                <w:color w:val="C00000"/>
                <w:sz w:val="17"/>
              </w:rPr>
              <w:t>-0.7%</w:t>
            </w:r>
          </w:p>
        </w:tc>
      </w:tr>
      <w:tr>
        <w:tc>
          <w:tcPr>
            <w:tcW w:type="dxa" w:w="1440"/>
            <w:shd w:fill="FAFAFA" w:val="clear"/>
          </w:tcPr>
          <w:p>
            <w:r>
              <w:rPr>
                <w:sz w:val="17"/>
              </w:rPr>
              <w:t>J+9  Moyenne</w:t>
            </w:r>
          </w:p>
        </w:tc>
        <w:tc>
          <w:tcPr>
            <w:tcW w:type="dxa" w:w="1440"/>
            <w:shd w:fill="FAFAFA" w:val="clear"/>
          </w:tcPr>
          <w:p>
            <w:r>
              <w:rPr>
                <w:sz w:val="17"/>
              </w:rPr>
              <w:t>2026-07-23</w:t>
            </w:r>
          </w:p>
        </w:tc>
        <w:tc>
          <w:tcPr>
            <w:tcW w:type="dxa" w:w="1440"/>
            <w:shd w:fill="FAFAFA" w:val="clear"/>
          </w:tcPr>
          <w:p>
            <w:r>
              <w:rPr>
                <w:sz w:val="17"/>
              </w:rPr>
              <w:t>36,445</w:t>
            </w:r>
          </w:p>
        </w:tc>
        <w:tc>
          <w:tcPr>
            <w:tcW w:type="dxa" w:w="1440"/>
            <w:shd w:fill="FAFAFA" w:val="clear"/>
          </w:tcPr>
          <w:p>
            <w:r>
              <w:rPr>
                <w:b/>
                <w:sz w:val="17"/>
              </w:rPr>
              <w:t>39,578</w:t>
            </w:r>
          </w:p>
        </w:tc>
        <w:tc>
          <w:tcPr>
            <w:tcW w:type="dxa" w:w="1440"/>
            <w:shd w:fill="FAFAFA" w:val="clear"/>
          </w:tcPr>
          <w:p>
            <w:r>
              <w:rPr>
                <w:sz w:val="17"/>
              </w:rPr>
              <w:t>42,712</w:t>
            </w:r>
          </w:p>
        </w:tc>
        <w:tc>
          <w:tcPr>
            <w:tcW w:type="dxa" w:w="1440"/>
            <w:shd w:fill="FAFAFA" w:val="clear"/>
          </w:tcPr>
          <w:p>
            <w:r>
              <w:rPr>
                <w:b/>
                <w:color w:val="C00000"/>
                <w:sz w:val="17"/>
              </w:rPr>
              <w:t>-0.8%</w:t>
            </w:r>
          </w:p>
        </w:tc>
      </w:tr>
      <w:tr>
        <w:tc>
          <w:tcPr>
            <w:tcW w:type="dxa" w:w="1440"/>
            <w:shd w:fill="FAFAFA" w:val="clear"/>
          </w:tcPr>
          <w:p>
            <w:r>
              <w:rPr>
                <w:sz w:val="17"/>
              </w:rPr>
              <w:t>J+10  Moyenne</w:t>
            </w:r>
          </w:p>
        </w:tc>
        <w:tc>
          <w:tcPr>
            <w:tcW w:type="dxa" w:w="1440"/>
            <w:shd w:fill="FAFAFA" w:val="clear"/>
          </w:tcPr>
          <w:p>
            <w:r>
              <w:rPr>
                <w:sz w:val="17"/>
              </w:rPr>
              <w:t>2026-07-24</w:t>
            </w:r>
          </w:p>
        </w:tc>
        <w:tc>
          <w:tcPr>
            <w:tcW w:type="dxa" w:w="1440"/>
            <w:shd w:fill="FAFAFA" w:val="clear"/>
          </w:tcPr>
          <w:p>
            <w:r>
              <w:rPr>
                <w:sz w:val="17"/>
              </w:rPr>
              <w:t>36,239</w:t>
            </w:r>
          </w:p>
        </w:tc>
        <w:tc>
          <w:tcPr>
            <w:tcW w:type="dxa" w:w="1440"/>
            <w:shd w:fill="FAFAFA" w:val="clear"/>
          </w:tcPr>
          <w:p>
            <w:r>
              <w:rPr>
                <w:b/>
                <w:sz w:val="17"/>
              </w:rPr>
              <w:t>39,539</w:t>
            </w:r>
          </w:p>
        </w:tc>
        <w:tc>
          <w:tcPr>
            <w:tcW w:type="dxa" w:w="1440"/>
            <w:shd w:fill="FAFAFA" w:val="clear"/>
          </w:tcPr>
          <w:p>
            <w:r>
              <w:rPr>
                <w:sz w:val="17"/>
              </w:rPr>
              <w:t>42,838</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Absolument. Voici le rapport d'analyse structuré pour l'action SLBC (SOLIBRA), conforme à vos instructions.</w:t>
      </w:r>
    </w:p>
    <w:p>
      <w:pPr>
        <w:spacing w:after="120" w:line="276" w:lineRule="auto"/>
      </w:pPr>
      <w:r>
        <w:t>---</w:t>
      </w:r>
    </w:p>
    <w:p>
      <w:pPr>
        <w:spacing w:after="120" w:line="276" w:lineRule="auto"/>
      </w:pPr>
      <w:r>
        <w:t>### **RAPPORT D'ANALYSE FINANCIÈRE — SLBC (SOLIBRA)**</w:t>
      </w:r>
    </w:p>
    <w:p>
      <w:pPr>
        <w:spacing w:after="120" w:line="276" w:lineRule="auto"/>
      </w:pPr>
      <w:r>
        <w:t>**Date de l'analyse :** 13 juillet 2026</w:t>
        <w:br/>
        <w:t>**Analyste :** Assistant IA spécialisé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656,95 milliards FCFA, SLBC se positionne comme une valeur de premier plan sur la BRVM, reflétant son statut de leader du secteur des boissons. Le BPA de 2 781 FCFA indique que chaque action a généré un bénéfice substantiel sur l'exercice 2025. Le PER de 14,3x se situe au-dessus de la moyenne historique de la BRVM (8-12x), ce qui suggère que les investisseurs sont prêts à payer une prime pour la qualité et la croissance de l'entreprise. Cette prime est confirmée par le P/B de 3,37x, signifiant que le marché valorise l'actif net comptable à plus du triple de sa valeur, ce qui est typique pour une société affichant un ROE élevé. Enfin, le ratio EV/EBITDA de 7,8x est dans une fourchette raisonnable (5-10x), indiquant que la valeur d'entreprise n'est pas excessive par rapport à la capacité bénéficiaire opérationnelle de la société.</w:t>
      </w:r>
    </w:p>
    <w:p>
      <w:pPr>
        <w:spacing w:after="120" w:line="276" w:lineRule="auto"/>
      </w:pPr>
      <w:r>
        <w:t>### **PARTIE 1 : ANALYSE DU COURS — STATISTIQUES ET ÉVOLUTION (100 derniers jours)**</w:t>
      </w:r>
    </w:p>
    <w:p>
      <w:pPr>
        <w:spacing w:after="120" w:line="276" w:lineRule="auto"/>
      </w:pPr>
      <w:r>
        <w:t>Sur les 100 derniers jours, l'action SLBC affiche une performance remarquable avec une variation totale de +33,03%, bien que la dernière séance montre un léger repli de -0,47% à 39 910 FCFA. Le titre a évolué dans une large fourchette, oscillant entre un plus bas de 30 000 FCFA et un plus haut de 44 505 FCFA, témoignant d'une forte dynamique haussière. L'analyse des statistiques descriptives révèle une distribution des cours légèrement asymétrique : la moyenne (38 145 FCFA) est inférieure à la médiane (38 500 FCFA), ce qui, combiné à un skewness négatif de -1,087, indique que les journées de forte baisse ont été plus fréquentes que les journées de forte hausse, mais que la tendance globale a été portée par des mouvements de hausse plus amples. Le kurtosis élevé (3,871) signale un risque de mouvements de prix brusques et de pics de volatilité. Avec une volatilité annualisée de 42,2%, le titre est classé comme très volatil, ce qui offre un potentiel de gains élevé mais expose également à des risques de corrections rapides.</w:t>
      </w:r>
    </w:p>
    <w:p>
      <w:pPr>
        <w:spacing w:after="120" w:line="276" w:lineRule="auto"/>
      </w:pPr>
      <w:r>
        <w:t>### **PARTIE 2 : ANALYSE TECHNIQUE DÉTAILLÉE**</w:t>
      </w:r>
    </w:p>
    <w:p>
      <w:pPr>
        <w:spacing w:after="120" w:line="276" w:lineRule="auto"/>
      </w:pPr>
      <w:r>
        <w:t>- **Moyennes Mobiles**: Le cours actuel (39 910 FCFA) se situe au-dessus de la MM20 (39 160 FCFA) et de la MM50 (38 397 FCFA), ce qui confirme une tendance haussière à court et moyen terme. La configuration des moyennes mobiles (MM20 &gt; MM50) est un signal technique d'achat classique, indiquant que la dynamique positive est soutenue.</w:t>
      </w:r>
    </w:p>
    <w:p>
      <w:pPr>
        <w:spacing w:after="120" w:line="276" w:lineRule="auto"/>
      </w:pPr>
      <w:r>
        <w:t>- **Bandes de Bollinger**: Le cours évolue à l'intérieur des bandes, proche de la bande supérieure (40 701 FCFA), ce qui suggère une pression acheteuse persistante sans pour autant être en situation de surachat extrême. La décision est neutre, car le titre n'a pas encore touché la bande supérieure, ce qui laisse un potentiel de hausse avant une possible résistance.</w:t>
      </w:r>
    </w:p>
    <w:p>
      <w:pPr>
        <w:spacing w:after="120" w:line="276" w:lineRule="auto"/>
      </w:pPr>
      <w:r>
        <w:t>- **MACD**: Le MACD (468,7) est positionné au-dessus de sa ligne de signal (348,3), et les deux sont en territoire positif. Cette divergence haussière indique que le momentum est favorable aux acheteurs et que la tendance haussière est soutenue par une dynamique de fond. La décision d'achat est donc justifiée.</w:t>
      </w:r>
    </w:p>
    <w:p>
      <w:pPr>
        <w:spacing w:after="120" w:line="276" w:lineRule="auto"/>
      </w:pPr>
      <w:r>
        <w:t>- **RSI**: Avec une valeur de 57,66, le RSI se situe en zone neutre, entre 30 et 70. Cela indique que le titre n'est ni suracheté ni survendu, laissant une marge de manœuvre pour une poursuite de la hausse sans pression corrective immédiate. La décision est neutre.</w:t>
      </w:r>
    </w:p>
    <w:p>
      <w:pPr>
        <w:spacing w:after="120" w:line="276" w:lineRule="auto"/>
      </w:pPr>
      <w:r>
        <w:t>- **Stochastique**: Le %K (53,2) et le %D (55,0) sont proches et en zone neutre, sans croisement significatif. Cette configuration suggère une absence de signal directionnel fort à très court terme, d'où une décision neutre.</w:t>
      </w:r>
    </w:p>
    <w:p>
      <w:pPr>
        <w:spacing w:after="120" w:line="276" w:lineRule="auto"/>
      </w:pPr>
      <w:r>
        <w:t>**Conclusion technique :** L'analyse technique est globalement positive. Les moyennes mobiles et le MACD confirment une tendance haussière solide. Les oscillateurs (RSI et Stochastique) sont en zone neutre, ce qui indique que la dynamique haussière n'est pas épuisée et pourrait se poursuivre. Le signal est donc un **ACHAT** technique prudent, avec une vigilance sur la borne supérieure des Bollinger qui pourrait agir comme une résistance à court terme.</w:t>
      </w:r>
    </w:p>
    <w:p>
      <w:pPr>
        <w:spacing w:after="120" w:line="276" w:lineRule="auto"/>
      </w:pPr>
      <w:r>
        <w:t>### **PARTIE 3 : ANALYSE FONDAMENTALE (SECTION CRITIQUE)**</w:t>
      </w:r>
    </w:p>
    <w:p>
      <w:pPr>
        <w:spacing w:after="120" w:line="276" w:lineRule="auto"/>
      </w:pPr>
      <w:r>
        <w:t>Les données financières structurées pour l'exercice 2025 confirment la performance exceptionnelle de SLBC. En 2025, le chiffre d'affaires a atteint 378,123 milliards FCFA, en croissance de +22,1% par rapport à 2024, tandis que le résultat net a bondi à 45,781 milliards FCFA, soit une progression de +113% sur un an. Cette performance se traduit par une marge nette de 12,1% (contre 6,9% en 2024) et un ROE de 23,46%, un niveau excellent qui récompense généreusement les actionnaires. En tant qu'entreprise non bancaire, l'analyse des délais d'exploitation est cruciale : le délai clients de 64 jours est élevé et représente un risque de trésorerie, mais il est partiellement compensé par un délai fournisseurs de 77 jours, ce qui permet à SLBC de financer une partie de son cycle d'exploitation. Le BFR de 61,587 milliards FCFA, bien que positif, est un point de vigilance dans un contexte de forte croissance. Les rapports narratifs confirment cette tendance : le rapport du S1 2025 (daté de 2026) indiquait déjà une croissance du CA de +12,3% et une explosion du résultat net de +175,1%. Le rapport du T1 2026 (daté de 2026) montre une poursuite de la dynamique avec un CA en hausse de +7,6% et un résultat net en progression de +4,8% à 16,26 milliards FCFA. Sur la base de ce T1 2026, on peut estimer que l'exercice 2026 devrait confirmer la solidité de l'entreprise, avec un résultat net annuel potentiel autour de 65 milliards FCFA, si la tendance se maintient. La structure financière est saine avec une autonomie financière de 57,5% et une capacité de remboursement de seulement 0,67 an. La recommandation fondamentale est un **ACHAT FORT**, justifié par une croissance rentable, une rentabilité des capitaux propres exceptionnelle et une politique de dividende très attractive (payout ratio de 76,5% en 2025).</w:t>
      </w:r>
    </w:p>
    <w:p>
      <w:pPr>
        <w:spacing w:after="120" w:line="276" w:lineRule="auto"/>
      </w:pPr>
      <w:r>
        <w:t>### **PARTIE 4 : CONCLUSION D'INVESTISSEMENT**</w:t>
      </w:r>
    </w:p>
    <w:p>
      <w:pPr>
        <w:spacing w:after="120" w:line="276" w:lineRule="auto"/>
      </w:pPr>
      <w:r>
        <w:t>La synthèse globale pour l'action SLBC est très favorable. La **valorisation** (Partie 0), avec un PER de 14,3x et un P/B de 3,37x, reflète une prime de qualité justifiée par des fondamentaux solides, sans être excessive au vu du ROE. Le **comportement du cours** (Partie 1) montre une tendance haussière forte (+33% en 100 jours), mais avec une volatilité élevée (42,2%) et un risque de pics (kurtosis), ce qui appelle à une gestion active. Les **signaux techniques** (Partie 2) sont convergents et positifs, indiquant une dynamique haussière soutenue par les moyennes mobiles et le MACD, avec des oscillateurs neutres laissant présager une poursuite du mouvement. Les **fondamentaux** (Partie 3) sont excellents, avec une croissance à deux chiffres du CA et du résultat net, un ROE de 23,5% et une politique de dividende généreuse. Enfin, les **prédictions IA** pour les 10 prochains jours (de 39 975 FCFA à 39 740 FCFA) suggèrent une légère consolidation à court terme, ce qui pourrait offrir un point d'entrée intéressant.</w:t>
      </w:r>
    </w:p>
    <w:p>
      <w:pPr>
        <w:spacing w:after="120" w:line="276" w:lineRule="auto"/>
      </w:pPr>
      <w:r>
        <w:t>**Recommandation finale : ACHAT FORT.**</w:t>
        <w:br/>
        <w:t>**Justification :** La convergence est totale entre une valorisation raisonnable pour une entreprise de cette qualité, une tendance technique haussière et des fondamentaux exceptionnels. La légère consolidation prédite par l'IA ne remet pas en cause la tendance de fond.</w:t>
        <w:br/>
        <w:t>**Niveau de confiance :** Élevé.</w:t>
        <w:br/>
        <w:t>**Niveau de risque global :** Moyen (la volatilité élevée est le principal facteur de risque).</w:t>
        <w:br/>
        <w:t>**Horizon d'investissement optimal :** Long terme (&gt;1 an) pour profiter de la croissance et des dividendes, mais le titre offre également un potentiel à moyen terme (3-12 mois) pour capter la dynamique haussière actuelle.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1,440 titres</w:t>
            </w:r>
          </w:p>
        </w:tc>
        <w:tc>
          <w:tcPr>
            <w:tcW w:type="dxa" w:w="2268"/>
            <w:shd w:fill="FFF2CC" w:val="clear"/>
          </w:tcPr>
          <w:p>
            <w:r>
              <w:rPr>
                <w:b/>
                <w:color w:val="503200"/>
                <w:sz w:val="16"/>
              </w:rPr>
              <w:t xml:space="preserve">Cours actuel : </w:t>
            </w:r>
            <w:r>
              <w:rPr>
                <w:color w:val="000000"/>
                <w:sz w:val="17"/>
              </w:rPr>
              <w:t>17,295 FCFA</w:t>
            </w:r>
          </w:p>
          <w:p>
            <w:r>
              <w:rPr>
                <w:b/>
                <w:color w:val="503200"/>
                <w:sz w:val="16"/>
              </w:rPr>
              <w:t xml:space="preserve">Var. 100 jours : </w:t>
            </w:r>
            <w:r>
              <w:rPr>
                <w:b/>
                <w:color w:val="007800"/>
                <w:sz w:val="17"/>
              </w:rPr>
              <w:t>+45.46%</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13.91% (Moyenne) — μ=13,581 FCFA, σ=1,889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β=-0.3264 (Contre-cyclique) — Cov=-0.000014, Var(idx)=0.000042, ρ=-0.084,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16,384</w:t>
            </w:r>
          </w:p>
        </w:tc>
        <w:tc>
          <w:tcPr>
            <w:tcW w:type="dxa" w:w="1440"/>
            <w:shd w:fill="FAFAFA" w:val="clear"/>
          </w:tcPr>
          <w:p>
            <w:r>
              <w:rPr>
                <w:b/>
                <w:sz w:val="17"/>
              </w:rPr>
              <w:t>17,168</w:t>
            </w:r>
          </w:p>
        </w:tc>
        <w:tc>
          <w:tcPr>
            <w:tcW w:type="dxa" w:w="1440"/>
            <w:shd w:fill="FAFAFA" w:val="clear"/>
          </w:tcPr>
          <w:p>
            <w:r>
              <w:rPr>
                <w:sz w:val="17"/>
              </w:rPr>
              <w:t>17,953</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15,998</w:t>
            </w:r>
          </w:p>
        </w:tc>
        <w:tc>
          <w:tcPr>
            <w:tcW w:type="dxa" w:w="1440"/>
            <w:shd w:fill="FAFAFA" w:val="clear"/>
          </w:tcPr>
          <w:p>
            <w:r>
              <w:rPr>
                <w:b/>
                <w:sz w:val="17"/>
              </w:rPr>
              <w:t>17,104</w:t>
            </w:r>
          </w:p>
        </w:tc>
        <w:tc>
          <w:tcPr>
            <w:tcW w:type="dxa" w:w="1440"/>
            <w:shd w:fill="FAFAFA" w:val="clear"/>
          </w:tcPr>
          <w:p>
            <w:r>
              <w:rPr>
                <w:sz w:val="17"/>
              </w:rPr>
              <w:t>18,209</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15,683</w:t>
            </w:r>
          </w:p>
        </w:tc>
        <w:tc>
          <w:tcPr>
            <w:tcW w:type="dxa" w:w="1440"/>
            <w:shd w:fill="FAFAFA" w:val="clear"/>
          </w:tcPr>
          <w:p>
            <w:r>
              <w:rPr>
                <w:b/>
                <w:sz w:val="17"/>
              </w:rPr>
              <w:t>17,031</w:t>
            </w:r>
          </w:p>
        </w:tc>
        <w:tc>
          <w:tcPr>
            <w:tcW w:type="dxa" w:w="1440"/>
            <w:shd w:fill="FAFAFA" w:val="clear"/>
          </w:tcPr>
          <w:p>
            <w:r>
              <w:rPr>
                <w:sz w:val="17"/>
              </w:rPr>
              <w:t>18,379</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15,412</w:t>
            </w:r>
          </w:p>
        </w:tc>
        <w:tc>
          <w:tcPr>
            <w:tcW w:type="dxa" w:w="1440"/>
            <w:shd w:fill="FAFAFA" w:val="clear"/>
          </w:tcPr>
          <w:p>
            <w:r>
              <w:rPr>
                <w:b/>
                <w:sz w:val="17"/>
              </w:rPr>
              <w:t>16,962</w:t>
            </w:r>
          </w:p>
        </w:tc>
        <w:tc>
          <w:tcPr>
            <w:tcW w:type="dxa" w:w="1440"/>
            <w:shd w:fill="FAFAFA" w:val="clear"/>
          </w:tcPr>
          <w:p>
            <w:r>
              <w:rPr>
                <w:sz w:val="17"/>
              </w:rPr>
              <w:t>18,511</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15,168</w:t>
            </w:r>
          </w:p>
        </w:tc>
        <w:tc>
          <w:tcPr>
            <w:tcW w:type="dxa" w:w="1440"/>
            <w:shd w:fill="FFDCE0" w:val="clear"/>
          </w:tcPr>
          <w:p>
            <w:r>
              <w:rPr>
                <w:b/>
                <w:sz w:val="17"/>
              </w:rPr>
              <w:t>16,894</w:t>
            </w:r>
          </w:p>
        </w:tc>
        <w:tc>
          <w:tcPr>
            <w:tcW w:type="dxa" w:w="1440"/>
            <w:shd w:fill="FFDCE0" w:val="clear"/>
          </w:tcPr>
          <w:p>
            <w:r>
              <w:rPr>
                <w:sz w:val="17"/>
              </w:rPr>
              <w:t>18,620</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14,944</w:t>
            </w:r>
          </w:p>
        </w:tc>
        <w:tc>
          <w:tcPr>
            <w:tcW w:type="dxa" w:w="1440"/>
            <w:shd w:fill="FFDCE0" w:val="clear"/>
          </w:tcPr>
          <w:p>
            <w:r>
              <w:rPr>
                <w:b/>
                <w:sz w:val="17"/>
              </w:rPr>
              <w:t>16,828</w:t>
            </w:r>
          </w:p>
        </w:tc>
        <w:tc>
          <w:tcPr>
            <w:tcW w:type="dxa" w:w="1440"/>
            <w:shd w:fill="FFDCE0" w:val="clear"/>
          </w:tcPr>
          <w:p>
            <w:r>
              <w:rPr>
                <w:sz w:val="17"/>
              </w:rPr>
              <w:t>18,711</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14,736</w:t>
            </w:r>
          </w:p>
        </w:tc>
        <w:tc>
          <w:tcPr>
            <w:tcW w:type="dxa" w:w="1440"/>
            <w:shd w:fill="FFDCE0" w:val="clear"/>
          </w:tcPr>
          <w:p>
            <w:r>
              <w:rPr>
                <w:b/>
                <w:sz w:val="17"/>
              </w:rPr>
              <w:t>16,762</w:t>
            </w:r>
          </w:p>
        </w:tc>
        <w:tc>
          <w:tcPr>
            <w:tcW w:type="dxa" w:w="1440"/>
            <w:shd w:fill="FFDCE0" w:val="clear"/>
          </w:tcPr>
          <w:p>
            <w:r>
              <w:rPr>
                <w:sz w:val="17"/>
              </w:rPr>
              <w:t>18,788</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14,540</w:t>
            </w:r>
          </w:p>
        </w:tc>
        <w:tc>
          <w:tcPr>
            <w:tcW w:type="dxa" w:w="1440"/>
            <w:shd w:fill="FFDCE0" w:val="clear"/>
          </w:tcPr>
          <w:p>
            <w:r>
              <w:rPr>
                <w:b/>
                <w:sz w:val="17"/>
              </w:rPr>
              <w:t>16,698</w:t>
            </w:r>
          </w:p>
        </w:tc>
        <w:tc>
          <w:tcPr>
            <w:tcW w:type="dxa" w:w="1440"/>
            <w:shd w:fill="FFDCE0" w:val="clear"/>
          </w:tcPr>
          <w:p>
            <w:r>
              <w:rPr>
                <w:sz w:val="17"/>
              </w:rPr>
              <w:t>18,856</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14,355</w:t>
            </w:r>
          </w:p>
        </w:tc>
        <w:tc>
          <w:tcPr>
            <w:tcW w:type="dxa" w:w="1440"/>
            <w:shd w:fill="FFDCE0" w:val="clear"/>
          </w:tcPr>
          <w:p>
            <w:r>
              <w:rPr>
                <w:b/>
                <w:sz w:val="17"/>
              </w:rPr>
              <w:t>16,634</w:t>
            </w:r>
          </w:p>
        </w:tc>
        <w:tc>
          <w:tcPr>
            <w:tcW w:type="dxa" w:w="1440"/>
            <w:shd w:fill="FFDCE0" w:val="clear"/>
          </w:tcPr>
          <w:p>
            <w:r>
              <w:rPr>
                <w:sz w:val="17"/>
              </w:rPr>
              <w:t>18,914</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14,178</w:t>
            </w:r>
          </w:p>
        </w:tc>
        <w:tc>
          <w:tcPr>
            <w:tcW w:type="dxa" w:w="1440"/>
            <w:shd w:fill="FFDCE0" w:val="clear"/>
          </w:tcPr>
          <w:p>
            <w:r>
              <w:rPr>
                <w:b/>
                <w:sz w:val="17"/>
              </w:rPr>
              <w:t>16,572</w:t>
            </w:r>
          </w:p>
        </w:tc>
        <w:tc>
          <w:tcPr>
            <w:tcW w:type="dxa" w:w="1440"/>
            <w:shd w:fill="FFDCE0" w:val="clear"/>
          </w:tcPr>
          <w:p>
            <w:r>
              <w:rPr>
                <w:sz w:val="17"/>
              </w:rPr>
              <w:t>18,966</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Voici le rapport d'analyse structuré pour l'action SMBC (Société Multinationale de Bitumes)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134,82 milliards FCFA, SMBC se positionne comme une valeur de taille moyenne à grande sur la BRVM, reflétant son statut d'acteur industriel majeur dans la sous-région. Le BPA (Bénéfice Par Action) de 1 677 FCFA indique que chaque action a généré un bénéfice net de ce montant sur l'exercice 2025. Le PER (Price/Earnings) de 10,3x se situe dans la moyenne du marché BRVM (généralement entre 8x et 12x), suggérant une valorisation raisonnable et non spéculative. Le P/B (Price/Book) de 3,14x, bien que supérieur à 1, reste dans une fourchette acceptable (2-4x) qui témoigne de la prime de croissance accordée par le marché aux actifs nets de la société. Enfin, le ratio EV/EBITDA de 6,5x est également jugé raisonnable, indiquant que la valeur totale de l'entreprise (dette incluse) représente un multiple modéré de sa capacité bénéficiaire opérationnelle.</w:t>
      </w:r>
    </w:p>
    <w:p>
      <w:pPr>
        <w:spacing w:after="120" w:line="276" w:lineRule="auto"/>
      </w:pPr>
      <w:r>
        <w:t>### **PARTIE 1 : ANALYSE DU COURS — STATISTIQUES ET ÉVOLUTION (100 derniers jours)**</w:t>
      </w:r>
    </w:p>
    <w:p>
      <w:pPr>
        <w:spacing w:after="120" w:line="276" w:lineRule="auto"/>
      </w:pPr>
      <w:r>
        <w:t>Sur les 100 derniers jours, l'action SMBC a enregistré une performance exceptionnelle avec une variation totale de +45,46%, bien que la dernière séance affiche un léger repli de -0,32% à 17 295 FCFA. Le titre a évolué dans un large range, oscillant entre un plus bas de 11 450 FCFA et un plus haut de 17 735 FCFA, illustrant une dynamique haussière très forte. L'analyse des statistiques descriptives révèle que la moyenne du cours (13 581 FCFA) est supérieure à la médiane (13 225 FCFA), ce qui, combiné à un skewness positif de 0,911, confirme une asymétrie positive : le cours a passé plus de temps sous sa moyenne, mais les mouvements de hausse ont été plus amples et ont tiré la moyenne vers le haut. L'écart-type de 1 899 FCFA et le coefficient de variation de 14,0% indiquent une dispersion modérée autour de la moyenne. Le kurtosis (excès) de -0,410 indique une distribution mésokurtique, proche d'une distribution normale, sans risque particulier de mouvements extrêmes. Enfin, la volatilité annualisée de 40,8% est qualifiée d'élevée, ce qui est cohérent avec la forte amplitude des variations observées sur la période.</w:t>
      </w:r>
    </w:p>
    <w:p>
      <w:pPr>
        <w:spacing w:after="120" w:line="276" w:lineRule="auto"/>
      </w:pPr>
      <w:r>
        <w:t>### **PARTIE 2 : ANALYSE TECHNIQUE DÉTAILLÉE**</w:t>
      </w:r>
    </w:p>
    <w:p>
      <w:pPr>
        <w:spacing w:after="120" w:line="276" w:lineRule="auto"/>
      </w:pPr>
      <w:r>
        <w:t>**Moyennes Mobiles** : Le cours actuel (17 295 FCFA) se situe nettement au-dessus de la MM20 (16 772 FCFA) et de la MM50 (14 560 FCFA), confirmant une tendance haussière solide à court et moyen terme. La configuration des moyennes mobiles (MM20 &gt; MM50) est un signal d'achat classique, indiquant que la dynamique positive est toujours en place.</w:t>
      </w:r>
    </w:p>
    <w:p>
      <w:pPr>
        <w:spacing w:after="120" w:line="276" w:lineRule="auto"/>
      </w:pPr>
      <w:r>
        <w:t>**Bandes de Bollinger** : Le cours se trouve à l'intérieur des bandes, entre la borne supérieure (18 293 FCFA) et la borne inférieure (15 252 FCFA). La position proche de la borne supérieure suggère une certaine tension haussière, mais sans sortie du canal, ce qui justifie une décision neutre. La largeur des bandes reflète la volatilité élevée du titre.</w:t>
      </w:r>
    </w:p>
    <w:p>
      <w:pPr>
        <w:spacing w:after="120" w:line="276" w:lineRule="auto"/>
      </w:pPr>
      <w:r>
        <w:t>**MACD** : Le MACD (823,024) est passé sous sa ligne de signal (921,509), générant un signal de vente. Cette divergence baissière indique un ralentissement du momentum haussier à court terme. C'est un signal d'alerte technique qui suggère une possible consolidation ou correction.</w:t>
      </w:r>
    </w:p>
    <w:p>
      <w:pPr>
        <w:spacing w:after="120" w:line="276" w:lineRule="auto"/>
      </w:pPr>
      <w:r>
        <w:t>**RSI** : Avec une valeur de 68,687, le RSI se situe en zone neutre, juste en dessous du seuil de surachat (70). Cela indique que le titre n'est pas encore en situation de surachat extrême, mais qu'il s'en approche, ce qui justifie une décision neutre avec une vigilance accrue.</w:t>
      </w:r>
    </w:p>
    <w:p>
      <w:pPr>
        <w:spacing w:after="120" w:line="276" w:lineRule="auto"/>
      </w:pPr>
      <w:r>
        <w:t>**Stochastique** : Le %K (71,336) et le %D (69,323) sont tous deux en zone neutre-haute. Le %K est légèrement au-dessus du %D, ce qui pourrait indiquer un maintien de la dynamique haussière à très court terme, mais sans signal fort, d'où une décision neutre.</w:t>
      </w:r>
    </w:p>
    <w:p>
      <w:pPr>
        <w:spacing w:after="120" w:line="276" w:lineRule="auto"/>
      </w:pPr>
      <w:r>
        <w:t>**Conclusion technique** : L'analyse technique présente un tableau contrasté. La tendance de fond, soutenue par les moyennes mobiles, reste haussière. Cependant, le MACD a émis un signal de vente, tandis que le RSI et le Stochastique sont en zone neutre. Cette divergence entre la tendance (haussière) et le momentum (en perte de vitesse) suggère une phase de consolidation ou de correction technique à court terme. La prudence est donc de mise pour les entrées à très court terme.</w:t>
      </w:r>
    </w:p>
    <w:p>
      <w:pPr>
        <w:spacing w:after="120" w:line="276" w:lineRule="auto"/>
      </w:pPr>
      <w:r>
        <w:t>### **PARTIE 3 : ANALYSE FONDAMENTALE (SECTION CRITIQUE)**</w:t>
      </w:r>
    </w:p>
    <w:p>
      <w:pPr>
        <w:spacing w:after="120" w:line="276" w:lineRule="auto"/>
      </w:pPr>
      <w:r>
        <w:t>En se basant sur les données financières structurées de l'exercice 2025, SMBC affiche une performance contrastée mais globalement solide. Le chiffre d'affaires s'établit à 206,74 milliards FCFA, en baisse de -9,7% par rapport à 2024, comme le confirment les rapports annuels. Cependant, le résultat net a bondi de +50,3% pour atteindre 13,075 milliards FCFA, porté par une amélioration spectaculaire de la rentabilité opérationnelle. La marge nette est ainsi passée de 3,8% à 6,3%, et le ROE (Return on Equity) atteint un niveau excellent de 30,47%, démontrant une utilisation très efficace des capitaux propres. Le ROA (Return on Assets) de 7,26% est également satisfaisant. L'analyse des bilans révèle une structure financière renforcée avec des capitaux propres de 42,9 milliards FCFA (+21,6%) et une trésorerie nette positive de 23,99 milliards FCFA. Le BFR (Besoin en Fonds de Roulement) est négatif à -1,693 milliard FCFA, ce qui est un signe très favorable de gestion de trésorerie. En revanche, le délai de paiement des clients (194 jours) est élevé et constitue un point de vigilance. Les rapports trimestriels de 2025 (T1 et S1) confirment la tendance : baisse du CA due à la chute des prix du Brent et des volumes export, mais amélioration des marges de raffinage. Sur la base de ces rapports, on estime que la performance annuelle 2025 a été tirée par un second semestre plus dynamique, permettant de compenser la faiblesse du premier semestre. La société a versé 5,457 milliards FCFA de dividendes en 2025, soit un taux de distribution de 41,7%, une politique prudente et soutenable.</w:t>
      </w:r>
    </w:p>
    <w:p>
      <w:pPr>
        <w:spacing w:after="120" w:line="276" w:lineRule="auto"/>
      </w:pPr>
      <w:r>
        <w:t>### **PARTIE 4 : CONCLUSION D'INVESTISSEMENT**</w:t>
      </w:r>
    </w:p>
    <w:p>
      <w:pPr>
        <w:spacing w:after="120" w:line="276" w:lineRule="auto"/>
      </w:pPr>
      <w:r>
        <w:t>La synthèse globale pour l'action SMBC révèle une situation contrastée mais prometteuse. La **valorisation** (Partie 0) est jugée raisonnable, avec un PER en ligne avec le marché. Le **comportement du cours** (Partie 1) montre une tendance haussière très forte et une volatilité élevée, mais avec une asymétrie positive qui indique un potentiel de hausse. Les **signaux techniques** (Partie 2) sont mitigés : la tendance de fond est haussière, mais le MACD envoie un signal de prudence à court terme, suggérant une possible consolidation. Les **fondamentaux** (Partie 3) sont solides, avec une rentabilité exceptionnelle (ROE &gt; 30%), une trésorerie abondante et une gestion saine du BFR, malgré une baisse du chiffre d'affaires. Enfin, les **prédictions IA** pour les 10 prochains jours (J+1 à J+10) anticipent un léger repli du cours, de 17 168 à 16 894 FCFA, ce qui est cohérent avec le signal de vente du MACD et l'idée d'une consolidation technique.</w:t>
      </w:r>
    </w:p>
    <w:p>
      <w:pPr>
        <w:spacing w:after="120" w:line="276" w:lineRule="auto"/>
      </w:pPr>
      <w:r>
        <w:t>**Recommandation finale : CONSERVER** (avec un biais Achat à moyen terme).</w:t>
        <w:br/>
        <w:t>**Justification** : La convergence entre des fondamentaux excellents et une tendance haussière de fond est un signal fort. Cependant, la divergence technique (MACD vendeur) et les prédictions IA baissières à court terme incitent à la prudence pour une entrée immédiate. Le titre est à conserver pour les investisseurs déjà en portefeuille, et à surveiller pour une potentielle opportunité d'achat après une correction technique.</w:t>
        <w:br/>
        <w:t>**Niveau de confiance :** Moyen.</w:t>
        <w:br/>
        <w:t>**Niveau de risque global :** Élevé (volatilité élevée, baisse du CA).</w:t>
        <w:br/>
        <w:t>**Horizon d'investissement optimal :** Moyen terme (3 à 12 mois) pour profiter de la solidité fondamentale et de la reprise potentielle de la croissance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3090.00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8,796 titres</w:t>
            </w:r>
          </w:p>
        </w:tc>
        <w:tc>
          <w:tcPr>
            <w:tcW w:type="dxa" w:w="2268"/>
            <w:shd w:fill="FFF2CC" w:val="clear"/>
          </w:tcPr>
          <w:p>
            <w:r>
              <w:rPr>
                <w:b/>
                <w:color w:val="503200"/>
                <w:sz w:val="16"/>
              </w:rPr>
              <w:t xml:space="preserve">Cours actuel : </w:t>
            </w:r>
            <w:r>
              <w:rPr>
                <w:color w:val="000000"/>
                <w:sz w:val="17"/>
              </w:rPr>
              <w:t>30,900 FCFA</w:t>
            </w:r>
          </w:p>
          <w:p>
            <w:r>
              <w:rPr>
                <w:b/>
                <w:color w:val="503200"/>
                <w:sz w:val="16"/>
              </w:rPr>
              <w:t xml:space="preserve">Var. 100 jours : </w:t>
            </w:r>
            <w:r>
              <w:rPr>
                <w:b/>
                <w:color w:val="007800"/>
                <w:sz w:val="17"/>
              </w:rPr>
              <w:t>+13.21%</w:t>
            </w:r>
          </w:p>
          <w:p>
            <w:r>
              <w:rPr>
                <w:b/>
                <w:color w:val="503200"/>
                <w:sz w:val="16"/>
              </w:rPr>
              <w:t xml:space="preserve">Plus haut 100j : </w:t>
            </w:r>
            <w:r>
              <w:rPr>
                <w:color w:val="000000"/>
                <w:sz w:val="17"/>
              </w:rPr>
              <w:t>31,000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15.1/100 → Faible</w:t>
      </w:r>
    </w:p>
    <w:p>
      <w:pPr>
        <w:spacing w:before="40" w:after="80"/>
      </w:pPr>
      <w:r>
        <w:rPr>
          <w:rFonts w:ascii="Courier New" w:hAnsi="Courier New"/>
          <w:color w:val="006400"/>
          <w:sz w:val="18"/>
        </w:rPr>
        <w:t>███░░░░░░░░░░░░░░░░░  15.1/100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2.21% (Faible) — μ=28,710 FCFA, σ=634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β=1.1007 (Neutre (suit le marché)) — Cov=0.000046, Var(idx)=0.000042, ρ=0.457,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8,796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29,612</w:t>
            </w:r>
          </w:p>
        </w:tc>
        <w:tc>
          <w:tcPr>
            <w:tcW w:type="dxa" w:w="1440"/>
            <w:shd w:fill="FAFAFA" w:val="clear"/>
          </w:tcPr>
          <w:p>
            <w:r>
              <w:rPr>
                <w:b/>
                <w:sz w:val="17"/>
              </w:rPr>
              <w:t>30,449</w:t>
            </w:r>
          </w:p>
        </w:tc>
        <w:tc>
          <w:tcPr>
            <w:tcW w:type="dxa" w:w="1440"/>
            <w:shd w:fill="FAFAFA" w:val="clear"/>
          </w:tcPr>
          <w:p>
            <w:r>
              <w:rPr>
                <w:sz w:val="17"/>
              </w:rPr>
              <w:t>31,285</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29,257</w:t>
            </w:r>
          </w:p>
        </w:tc>
        <w:tc>
          <w:tcPr>
            <w:tcW w:type="dxa" w:w="1440"/>
            <w:shd w:fill="FAFAFA" w:val="clear"/>
          </w:tcPr>
          <w:p>
            <w:r>
              <w:rPr>
                <w:b/>
                <w:sz w:val="17"/>
              </w:rPr>
              <w:t>30,440</w:t>
            </w:r>
          </w:p>
        </w:tc>
        <w:tc>
          <w:tcPr>
            <w:tcW w:type="dxa" w:w="1440"/>
            <w:shd w:fill="FAFAFA" w:val="clear"/>
          </w:tcPr>
          <w:p>
            <w:r>
              <w:rPr>
                <w:sz w:val="17"/>
              </w:rPr>
              <w:t>31,623</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28,942</w:t>
            </w:r>
          </w:p>
        </w:tc>
        <w:tc>
          <w:tcPr>
            <w:tcW w:type="dxa" w:w="1440"/>
            <w:shd w:fill="FAFAFA" w:val="clear"/>
          </w:tcPr>
          <w:p>
            <w:r>
              <w:rPr>
                <w:b/>
                <w:sz w:val="17"/>
              </w:rPr>
              <w:t>30,389</w:t>
            </w:r>
          </w:p>
        </w:tc>
        <w:tc>
          <w:tcPr>
            <w:tcW w:type="dxa" w:w="1440"/>
            <w:shd w:fill="FAFAFA" w:val="clear"/>
          </w:tcPr>
          <w:p>
            <w:r>
              <w:rPr>
                <w:sz w:val="17"/>
              </w:rPr>
              <w:t>31,835</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28,676</w:t>
            </w:r>
          </w:p>
        </w:tc>
        <w:tc>
          <w:tcPr>
            <w:tcW w:type="dxa" w:w="1440"/>
            <w:shd w:fill="FAFAFA" w:val="clear"/>
          </w:tcPr>
          <w:p>
            <w:r>
              <w:rPr>
                <w:b/>
                <w:sz w:val="17"/>
              </w:rPr>
              <w:t>30,343</w:t>
            </w:r>
          </w:p>
        </w:tc>
        <w:tc>
          <w:tcPr>
            <w:tcW w:type="dxa" w:w="1440"/>
            <w:shd w:fill="FAFAFA" w:val="clear"/>
          </w:tcPr>
          <w:p>
            <w:r>
              <w:rPr>
                <w:sz w:val="17"/>
              </w:rPr>
              <w:t>32,011</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28,445</w:t>
            </w:r>
          </w:p>
        </w:tc>
        <w:tc>
          <w:tcPr>
            <w:tcW w:type="dxa" w:w="1440"/>
            <w:shd w:fill="FAFAFA" w:val="clear"/>
          </w:tcPr>
          <w:p>
            <w:r>
              <w:rPr>
                <w:b/>
                <w:sz w:val="17"/>
              </w:rPr>
              <w:t>30,307</w:t>
            </w:r>
          </w:p>
        </w:tc>
        <w:tc>
          <w:tcPr>
            <w:tcW w:type="dxa" w:w="1440"/>
            <w:shd w:fill="FAFAFA" w:val="clear"/>
          </w:tcPr>
          <w:p>
            <w:r>
              <w:rPr>
                <w:sz w:val="17"/>
              </w:rPr>
              <w:t>32,169</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28,238</w:t>
            </w:r>
          </w:p>
        </w:tc>
        <w:tc>
          <w:tcPr>
            <w:tcW w:type="dxa" w:w="1440"/>
            <w:shd w:fill="FFDCE0" w:val="clear"/>
          </w:tcPr>
          <w:p>
            <w:r>
              <w:rPr>
                <w:b/>
                <w:sz w:val="17"/>
              </w:rPr>
              <w:t>30,276</w:t>
            </w:r>
          </w:p>
        </w:tc>
        <w:tc>
          <w:tcPr>
            <w:tcW w:type="dxa" w:w="1440"/>
            <w:shd w:fill="FFDCE0" w:val="clear"/>
          </w:tcPr>
          <w:p>
            <w:r>
              <w:rPr>
                <w:sz w:val="17"/>
              </w:rPr>
              <w:t>32,314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28,047</w:t>
            </w:r>
          </w:p>
        </w:tc>
        <w:tc>
          <w:tcPr>
            <w:tcW w:type="dxa" w:w="1440"/>
            <w:shd w:fill="FFDCE0" w:val="clear"/>
          </w:tcPr>
          <w:p>
            <w:r>
              <w:rPr>
                <w:b/>
                <w:sz w:val="17"/>
              </w:rPr>
              <w:t>30,247</w:t>
            </w:r>
          </w:p>
        </w:tc>
        <w:tc>
          <w:tcPr>
            <w:tcW w:type="dxa" w:w="1440"/>
            <w:shd w:fill="FFDCE0" w:val="clear"/>
          </w:tcPr>
          <w:p>
            <w:r>
              <w:rPr>
                <w:sz w:val="17"/>
              </w:rPr>
              <w:t>32,446</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27,870</w:t>
            </w:r>
          </w:p>
        </w:tc>
        <w:tc>
          <w:tcPr>
            <w:tcW w:type="dxa" w:w="1440"/>
            <w:shd w:fill="FFDCE0" w:val="clear"/>
          </w:tcPr>
          <w:p>
            <w:r>
              <w:rPr>
                <w:b/>
                <w:sz w:val="17"/>
              </w:rPr>
              <w:t>30,218</w:t>
            </w:r>
          </w:p>
        </w:tc>
        <w:tc>
          <w:tcPr>
            <w:tcW w:type="dxa" w:w="1440"/>
            <w:shd w:fill="FFDCE0" w:val="clear"/>
          </w:tcPr>
          <w:p>
            <w:r>
              <w:rPr>
                <w:sz w:val="17"/>
              </w:rPr>
              <w:t>32,567</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27,702</w:t>
            </w:r>
          </w:p>
        </w:tc>
        <w:tc>
          <w:tcPr>
            <w:tcW w:type="dxa" w:w="1440"/>
            <w:shd w:fill="FFDCE0" w:val="clear"/>
          </w:tcPr>
          <w:p>
            <w:r>
              <w:rPr>
                <w:b/>
                <w:sz w:val="17"/>
              </w:rPr>
              <w:t>30,191</w:t>
            </w:r>
          </w:p>
        </w:tc>
        <w:tc>
          <w:tcPr>
            <w:tcW w:type="dxa" w:w="1440"/>
            <w:shd w:fill="FFDCE0" w:val="clear"/>
          </w:tcPr>
          <w:p>
            <w:r>
              <w:rPr>
                <w:sz w:val="17"/>
              </w:rPr>
              <w:t>32,680</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27,542</w:t>
            </w:r>
          </w:p>
        </w:tc>
        <w:tc>
          <w:tcPr>
            <w:tcW w:type="dxa" w:w="1440"/>
            <w:shd w:fill="FFDCE0" w:val="clear"/>
          </w:tcPr>
          <w:p>
            <w:r>
              <w:rPr>
                <w:b/>
                <w:sz w:val="17"/>
              </w:rPr>
              <w:t>30,163</w:t>
            </w:r>
          </w:p>
        </w:tc>
        <w:tc>
          <w:tcPr>
            <w:tcW w:type="dxa" w:w="1440"/>
            <w:shd w:fill="FFDCE0" w:val="clear"/>
          </w:tcPr>
          <w:p>
            <w:r>
              <w:rPr>
                <w:sz w:val="17"/>
              </w:rPr>
              <w:t>32,784</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Voici le rapport d'analyse structuré pour l'action **Sonatel (SNTS)**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**3 090 milliards FCFA**, Sonatel est une valeur phare et l'une des plus importantes capitalisations de la BRVM, reflétant son statut de leader régional des télécommunications. Le Bénéfice Par Action (BPA) de **4 136 FCFA** indique une capacité bénéficiaire élevée par titre. Le **PER de 7,5x** est particulièrement attractif, se situant sous la moyenne historique de la BRVM (8-12x), ce qui suggère une potentielle sous-évaluation par rapport aux bénéfices générés. Le **P/B de 2,21x** est dans une fourchette raisonnable (2-4x), indiquant que le marché accorde une prime de croissance à l'actif net comptable, sans pour autant être excessif. Enfin, le ratio **EV/EBITDA de 3,2x**, très inférieur au seuil de 5x, confirme une valorisation très bon marché de l'entreprise par rapport à sa capacité opérationnelle brute.</w:t>
      </w:r>
    </w:p>
    <w:p>
      <w:pPr>
        <w:spacing w:after="120" w:line="276" w:lineRule="auto"/>
      </w:pPr>
      <w:r>
        <w:t>### PARTIE 1 : ANALYSE DU COURS — STATISTIQUES ET ÉVOLUTION (100 derniers jours)</w:t>
      </w:r>
    </w:p>
    <w:p>
      <w:pPr>
        <w:spacing w:after="120" w:line="276" w:lineRule="auto"/>
      </w:pPr>
      <w:r>
        <w:t>Sur les 100 derniers jours, l'action SNTS affiche une tendance haussière marquée, avec une **variation totale de +13,21%** et un cours actuel de **30 900 FCFA**, proche de son plus haut historique à 31 000 FCFA. La dernière séance montre un très léger repli de -0,32%, suggérant une possible prise de bénéfices à ces niveaux. Le cours a évolué dans un range de trading de **3 840 FCFA** (entre 27 160 et 31 000 FCFA), démontrant une amplitude de mouvement significative. L'analyse des statistiques descriptives révèle que la moyenne (28 710 FCFA) et la médiane (28 700 FCFA) sont quasi identiques, indiquant une distribution symétrique du cours. Cependant, le **skewness positif (1,025)** confirme que les journées de baisse ont été plus fréquentes que les journées de hausse, bien que ces dernières aient été plus amples. Le **kurtosis élevé (3,434)** signale un risque de mouvements extrêmes et de pics de volatilité. La **volatilité annualisée de 24,7%** classe le titre dans la catégorie "modérée à élevée", ce qui est cohérent avec sa dynamique haussière récente.</w:t>
      </w:r>
    </w:p>
    <w:p>
      <w:pPr>
        <w:spacing w:after="120" w:line="276" w:lineRule="auto"/>
      </w:pPr>
      <w:r>
        <w:t>### PARTIE 2 : ANALYSE TECHNIQUE DÉTAILLÉE</w:t>
      </w:r>
    </w:p>
    <w:p>
      <w:pPr>
        <w:spacing w:after="120" w:line="276" w:lineRule="auto"/>
      </w:pPr>
      <w:r>
        <w:t>- **Moyennes Mobiles**: Le cours actuel (30 900 FCFA) est nettement au-dessus de la MM20 (29 071 FCFA) et de la MM50 (28 830 FCFA), confirmant une dynamique haussière forte et saine. La pente ascendante de ces moyennes valide la tendance, justifiant un signal d'**Achat**.</w:t>
        <w:br/>
        <w:t>- **Bandes de Bollinger**: Le cours touche quasiment la borne supérieure des bandes (31 028 FCFA), indiquant que le titre est en zone de surachat temporaire. L'écart entre les bornes s'élargit, signe d'une volatilité croissante. La décision est **Neutre**, car une consolidation ou un repli vers la moyenne est statistiquement probable.</w:t>
        <w:br/>
        <w:t>- **MACD**: Le MACD (556,9) est largement au-dessus de sa ligne de signal (294,2), avec un histogramme positif et croissant. Cette configuration est un signal puissant de momentum haussier, justifiant une décision d'**Achat**.</w:t>
        <w:br/>
        <w:t>- **RSI**: Avec une valeur de **80,2**, le RSI est en zone de surachat (&gt;70). Cela indique que le titre est "sur-acheté" et qu'une correction technique est à prévoir à court terme, justifiant un signal de **Vente**.</w:t>
        <w:br/>
        <w:t>- **Stochastique**: Les %K (96,3) et %D (98,8) sont à des niveaux extrêmement élevés, bien au-dessus de 80, confirmant un surachat intense. Le %K est légèrement inférieur au %D, ce qui pourrait annoncer un croisement baissier imminent, justifiant un signal de **Vente**.</w:t>
      </w:r>
    </w:p>
    <w:p>
      <w:pPr>
        <w:spacing w:after="120" w:line="276" w:lineRule="auto"/>
      </w:pPr>
      <w:r>
        <w:t>**Conclusion technique**: L'analyse technique est **divergente**. Les indicateurs de tendance (Moyennes Mobiles, MACD) sont unanimement haussiers et suggèrent que la dynamique positive est intacte. En revanche, les oscillateurs de momentum (RSI, Stochastique) hurlent au surachat et signalent un risque élevé de correction à court terme. Le titre est dans une phase de "bull run" mais semble avoir besoin d'une pause technique pour digérer ses récents gains.</w:t>
      </w:r>
    </w:p>
    <w:p>
      <w:pPr>
        <w:spacing w:after="120" w:line="276" w:lineRule="auto"/>
      </w:pPr>
      <w:r>
        <w:t>### PARTIE 3 : ANALYSE FONDAMENTALE (SECTION CRITIQUE)</w:t>
      </w:r>
    </w:p>
    <w:p>
      <w:pPr>
        <w:spacing w:after="120" w:line="276" w:lineRule="auto"/>
      </w:pPr>
      <w:r>
        <w:t>En tant qu'**entreprise** de télécommunications, l'analyse se concentre sur la croissance du chiffre d'affaires, les marges et la gestion du besoin en fonds de roulement. Les données structurées pour l'exercice **2025** sont excellentes. Le **chiffre d'affaires** atteint **1 923,1 Mds FCFA**, en croissance de **+8,3%**, porté par la data mobile et le fixe haut débit. Le **résultat net** s'élève à **413,6 Mds FCFA**, soit une marge nette de **21,5%**. La rentabilité est exceptionnelle avec un **ROE de 29,6%** (largement au-dessus du seuil d'excellence de 15%) et un **ROA de 12,6%**. La structure financière est saine avec un **BFR négatif de -284,9 Mds FCFA**, ce qui est très favorable pour la trésorerie. Le délai fournisseur (201 jours) est très long, offrant un financement gratuit, tandis que le délai client (46 jours) est maîtrisé. Le rapport annuel 2025 confirme un **dividende net de 1 740 FCFA par action**, offrant un rendement attractif. En se basant sur les rapports trimestriels, la tendance est à la confirmation : le **T1 2025** montrait une croissance du résultat net de +14,9%, et les **9M 2025** affichaient un CA de 1 432,5 Mds FCFA (+8,6%). On estime que la dynamique de croissance et de rentabilité se poursuit en 2026, bien que les risques réglementaires et concurrentiels (nouvelles taxes, pression sur le Mobile Money) soient des points de vigilance. La recommandation fondamentale est **ACHAT FORT** au vu de la solidité financière, de la croissance rentable et de la politique de dividende généreuse.</w:t>
      </w:r>
    </w:p>
    <w:p>
      <w:pPr>
        <w:spacing w:after="120" w:line="276" w:lineRule="auto"/>
      </w:pPr>
      <w:r>
        <w:t>### PARTIE 4 : CONCLUSION D'INVESTISSEMENT</w:t>
      </w:r>
    </w:p>
    <w:p>
      <w:pPr>
        <w:spacing w:after="120" w:line="276" w:lineRule="auto"/>
      </w:pPr>
      <w:r>
        <w:t>La synthèse globale pour l'action SNTS est celle d'un **conflit entre un fondamental et une valorisation extrêmement attractifs, et une technique à court terme en surachat**. La **valorisation (Partie 0)** est très bon marché (PER à 7,5x, EV/EBITDA à 3,2x). Le **comportement du cours (Partie 1)** montre une tendance haussière forte mais avec des signes statistiques de volatilité et d'asymétrie. Les **signaux techniques (Partie 2)** sont en divergence : la tendance est haussière mais les oscillateurs appellent à une correction. Les **fondamentaux (Partie 3)** sont d'une solidité exceptionnelle, avec une croissance rentable et une politique de dividende généreuse. Enfin, les **prédictions IA** pour les 10 prochains jours anticipent un léger repli (de 30 900 à 30 307 FCFA), ce qui corrobore les signaux de surachat technique.</w:t>
      </w:r>
    </w:p>
    <w:p>
      <w:pPr>
        <w:spacing w:after="120" w:line="276" w:lineRule="auto"/>
      </w:pPr>
      <w:r>
        <w:t>**Recommandation finale : ACHAT (avec horizon moyen/long terme)**</w:t>
        <w:br/>
        <w:t>**Justification** : La convergence entre la valorisation très attractive et les fondamentaux solides l'emporte sur les signaux de surachat technique à court terme. Pour un investisseur de long terme, la décote actuelle (PER &lt; 8x) et le rendement du dividende offrent une marge de sécurité importante. Le repli technique anticipé par les prédictions IA et les oscillateurs constitue une opportunité d'achat pour renforcer une position.</w:t>
        <w:br/>
        <w:t>- **Niveau de confiance** : Élevé</w:t>
        <w:br/>
        <w:t>- **Niveau de risque global** : Moyen (le risque principal est une correction technique à court terme)</w:t>
        <w:br/>
        <w:t>- **Horizon d'investissement optimal** : Moyen terme (3-12 mois) pour profiter de la revalorisation, ou Long terme (&gt;1 an) pour le rendement et la croissance.</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[4]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180.59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4,251 titres</w:t>
            </w:r>
          </w:p>
        </w:tc>
        <w:tc>
          <w:tcPr>
            <w:tcW w:type="dxa" w:w="2268"/>
            <w:shd w:fill="FFF2CC" w:val="clear"/>
          </w:tcPr>
          <w:p>
            <w:r>
              <w:rPr>
                <w:b/>
                <w:color w:val="503200"/>
                <w:sz w:val="16"/>
              </w:rPr>
              <w:t xml:space="preserve">Cours actuel : </w:t>
            </w:r>
            <w:r>
              <w:rPr>
                <w:color w:val="000000"/>
                <w:sz w:val="17"/>
              </w:rPr>
              <w:t>8,360 FCFA</w:t>
            </w:r>
          </w:p>
          <w:p>
            <w:r>
              <w:rPr>
                <w:b/>
                <w:color w:val="503200"/>
                <w:sz w:val="16"/>
              </w:rPr>
              <w:t xml:space="preserve">Var. 100 jours : </w:t>
            </w:r>
            <w:r>
              <w:rPr>
                <w:b/>
                <w:color w:val="007800"/>
                <w:sz w:val="17"/>
              </w:rPr>
              <w:t>+1.33%</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6.02% (Moyenne) — μ=8,114 FCFA, σ=489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β=0.8048 (Neutre (suit le marché)) — Cov=0.000034, Var(idx)=0.000042, ρ=0.243,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8,163</w:t>
            </w:r>
          </w:p>
        </w:tc>
        <w:tc>
          <w:tcPr>
            <w:tcW w:type="dxa" w:w="1440"/>
            <w:shd w:fill="FAFAFA" w:val="clear"/>
          </w:tcPr>
          <w:p>
            <w:r>
              <w:rPr>
                <w:b/>
                <w:sz w:val="17"/>
              </w:rPr>
              <w:t>8,456</w:t>
            </w:r>
          </w:p>
        </w:tc>
        <w:tc>
          <w:tcPr>
            <w:tcW w:type="dxa" w:w="1440"/>
            <w:shd w:fill="FAFAFA" w:val="clear"/>
          </w:tcPr>
          <w:p>
            <w:r>
              <w:rPr>
                <w:sz w:val="17"/>
              </w:rPr>
              <w:t>8,750</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8,046</w:t>
            </w:r>
          </w:p>
        </w:tc>
        <w:tc>
          <w:tcPr>
            <w:tcW w:type="dxa" w:w="1440"/>
            <w:shd w:fill="FAFAFA" w:val="clear"/>
          </w:tcPr>
          <w:p>
            <w:r>
              <w:rPr>
                <w:b/>
                <w:sz w:val="17"/>
              </w:rPr>
              <w:t>8,461</w:t>
            </w:r>
          </w:p>
        </w:tc>
        <w:tc>
          <w:tcPr>
            <w:tcW w:type="dxa" w:w="1440"/>
            <w:shd w:fill="FAFAFA" w:val="clear"/>
          </w:tcPr>
          <w:p>
            <w:r>
              <w:rPr>
                <w:sz w:val="17"/>
              </w:rPr>
              <w:t>8,877</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7,964</w:t>
            </w:r>
          </w:p>
        </w:tc>
        <w:tc>
          <w:tcPr>
            <w:tcW w:type="dxa" w:w="1440"/>
            <w:shd w:fill="FAFAFA" w:val="clear"/>
          </w:tcPr>
          <w:p>
            <w:r>
              <w:rPr>
                <w:b/>
                <w:sz w:val="17"/>
              </w:rPr>
              <w:t>8,473</w:t>
            </w:r>
          </w:p>
        </w:tc>
        <w:tc>
          <w:tcPr>
            <w:tcW w:type="dxa" w:w="1440"/>
            <w:shd w:fill="FAFAFA" w:val="clear"/>
          </w:tcPr>
          <w:p>
            <w:r>
              <w:rPr>
                <w:sz w:val="17"/>
              </w:rPr>
              <w:t>8,982</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7,894</w:t>
            </w:r>
          </w:p>
        </w:tc>
        <w:tc>
          <w:tcPr>
            <w:tcW w:type="dxa" w:w="1440"/>
            <w:shd w:fill="FAFAFA" w:val="clear"/>
          </w:tcPr>
          <w:p>
            <w:r>
              <w:rPr>
                <w:b/>
                <w:sz w:val="17"/>
              </w:rPr>
              <w:t>8,483</w:t>
            </w:r>
          </w:p>
        </w:tc>
        <w:tc>
          <w:tcPr>
            <w:tcW w:type="dxa" w:w="1440"/>
            <w:shd w:fill="FAFAFA" w:val="clear"/>
          </w:tcPr>
          <w:p>
            <w:r>
              <w:rPr>
                <w:sz w:val="17"/>
              </w:rPr>
              <w:t>9,072</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7,834</w:t>
            </w:r>
          </w:p>
        </w:tc>
        <w:tc>
          <w:tcPr>
            <w:tcW w:type="dxa" w:w="1440"/>
            <w:shd w:fill="FAFAFA" w:val="clear"/>
          </w:tcPr>
          <w:p>
            <w:r>
              <w:rPr>
                <w:b/>
                <w:sz w:val="17"/>
              </w:rPr>
              <w:t>8,493</w:t>
            </w:r>
          </w:p>
        </w:tc>
        <w:tc>
          <w:tcPr>
            <w:tcW w:type="dxa" w:w="1440"/>
            <w:shd w:fill="FAFAFA" w:val="clear"/>
          </w:tcPr>
          <w:p>
            <w:r>
              <w:rPr>
                <w:sz w:val="17"/>
              </w:rPr>
              <w:t>9,152</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7,779</w:t>
            </w:r>
          </w:p>
        </w:tc>
        <w:tc>
          <w:tcPr>
            <w:tcW w:type="dxa" w:w="1440"/>
            <w:shd w:fill="FAFAFA" w:val="clear"/>
          </w:tcPr>
          <w:p>
            <w:r>
              <w:rPr>
                <w:b/>
                <w:sz w:val="17"/>
              </w:rPr>
              <w:t>8,502</w:t>
            </w:r>
          </w:p>
        </w:tc>
        <w:tc>
          <w:tcPr>
            <w:tcW w:type="dxa" w:w="1440"/>
            <w:shd w:fill="FAFAFA" w:val="clear"/>
          </w:tcPr>
          <w:p>
            <w:r>
              <w:rPr>
                <w:sz w:val="17"/>
              </w:rPr>
              <w:t>9,225</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2026-07-21</w:t>
            </w:r>
          </w:p>
        </w:tc>
        <w:tc>
          <w:tcPr>
            <w:tcW w:type="dxa" w:w="1440"/>
            <w:shd w:fill="FAFAFA" w:val="clear"/>
          </w:tcPr>
          <w:p>
            <w:r>
              <w:rPr>
                <w:sz w:val="17"/>
              </w:rPr>
              <w:t>7,730</w:t>
            </w:r>
          </w:p>
        </w:tc>
        <w:tc>
          <w:tcPr>
            <w:tcW w:type="dxa" w:w="1440"/>
            <w:shd w:fill="FAFAFA" w:val="clear"/>
          </w:tcPr>
          <w:p>
            <w:r>
              <w:rPr>
                <w:b/>
                <w:sz w:val="17"/>
              </w:rPr>
              <w:t>8,511</w:t>
            </w:r>
          </w:p>
        </w:tc>
        <w:tc>
          <w:tcPr>
            <w:tcW w:type="dxa" w:w="1440"/>
            <w:shd w:fill="FAFAFA" w:val="clear"/>
          </w:tcPr>
          <w:p>
            <w:r>
              <w:rPr>
                <w:sz w:val="17"/>
              </w:rPr>
              <w:t>9,293</w:t>
            </w:r>
          </w:p>
        </w:tc>
        <w:tc>
          <w:tcPr>
            <w:tcW w:type="dxa" w:w="1440"/>
            <w:shd w:fill="FAFAFA" w:val="clear"/>
          </w:tcPr>
          <w:p>
            <w:r>
              <w:rPr>
                <w:b/>
                <w:color w:val="008000"/>
                <w:sz w:val="17"/>
              </w:rPr>
              <w:t>+1.8%</w:t>
            </w:r>
          </w:p>
        </w:tc>
      </w:tr>
      <w:tr>
        <w:tc>
          <w:tcPr>
            <w:tcW w:type="dxa" w:w="1440"/>
            <w:shd w:fill="FAFAFA" w:val="clear"/>
          </w:tcPr>
          <w:p>
            <w:r>
              <w:rPr>
                <w:sz w:val="17"/>
              </w:rPr>
              <w:t>J+8  ⭐</w:t>
            </w:r>
          </w:p>
        </w:tc>
        <w:tc>
          <w:tcPr>
            <w:tcW w:type="dxa" w:w="1440"/>
            <w:shd w:fill="FAFAFA" w:val="clear"/>
          </w:tcPr>
          <w:p>
            <w:r>
              <w:rPr>
                <w:sz w:val="17"/>
              </w:rPr>
              <w:t>2026-07-22</w:t>
            </w:r>
          </w:p>
        </w:tc>
        <w:tc>
          <w:tcPr>
            <w:tcW w:type="dxa" w:w="1440"/>
            <w:shd w:fill="FAFAFA" w:val="clear"/>
          </w:tcPr>
          <w:p>
            <w:r>
              <w:rPr>
                <w:sz w:val="17"/>
              </w:rPr>
              <w:t>7,684</w:t>
            </w:r>
          </w:p>
        </w:tc>
        <w:tc>
          <w:tcPr>
            <w:tcW w:type="dxa" w:w="1440"/>
            <w:shd w:fill="FAFAFA" w:val="clear"/>
          </w:tcPr>
          <w:p>
            <w:r>
              <w:rPr>
                <w:b/>
                <w:sz w:val="17"/>
              </w:rPr>
              <w:t>8,520</w:t>
            </w:r>
          </w:p>
        </w:tc>
        <w:tc>
          <w:tcPr>
            <w:tcW w:type="dxa" w:w="1440"/>
            <w:shd w:fill="FAFAFA" w:val="clear"/>
          </w:tcPr>
          <w:p>
            <w:r>
              <w:rPr>
                <w:sz w:val="17"/>
              </w:rPr>
              <w:t>9,357</w:t>
            </w:r>
          </w:p>
        </w:tc>
        <w:tc>
          <w:tcPr>
            <w:tcW w:type="dxa" w:w="1440"/>
            <w:shd w:fill="FAFAFA" w:val="clear"/>
          </w:tcPr>
          <w:p>
            <w:r>
              <w:rPr>
                <w:b/>
                <w:color w:val="008000"/>
                <w:sz w:val="17"/>
              </w:rPr>
              <w:t>+1.9%</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7,641</w:t>
            </w:r>
          </w:p>
        </w:tc>
        <w:tc>
          <w:tcPr>
            <w:tcW w:type="dxa" w:w="1440"/>
            <w:shd w:fill="C6EFCE" w:val="clear"/>
          </w:tcPr>
          <w:p>
            <w:r>
              <w:rPr>
                <w:b/>
                <w:sz w:val="17"/>
              </w:rPr>
              <w:t>8,530</w:t>
            </w:r>
          </w:p>
        </w:tc>
        <w:tc>
          <w:tcPr>
            <w:tcW w:type="dxa" w:w="1440"/>
            <w:shd w:fill="C6EFCE" w:val="clear"/>
          </w:tcPr>
          <w:p>
            <w:r>
              <w:rPr>
                <w:sz w:val="17"/>
              </w:rPr>
              <w:t>9,418</w:t>
            </w:r>
          </w:p>
        </w:tc>
        <w:tc>
          <w:tcPr>
            <w:tcW w:type="dxa" w:w="1440"/>
            <w:shd w:fill="C6EFCE" w:val="clear"/>
          </w:tcPr>
          <w:p>
            <w:r>
              <w:rPr>
                <w:b/>
                <w:color w:val="008000"/>
                <w:sz w:val="17"/>
              </w:rPr>
              <w:t>+2.0%</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7,601</w:t>
            </w:r>
          </w:p>
        </w:tc>
        <w:tc>
          <w:tcPr>
            <w:tcW w:type="dxa" w:w="1440"/>
            <w:shd w:fill="C6EFCE" w:val="clear"/>
          </w:tcPr>
          <w:p>
            <w:r>
              <w:rPr>
                <w:b/>
                <w:sz w:val="17"/>
              </w:rPr>
              <w:t>8,539</w:t>
            </w:r>
          </w:p>
        </w:tc>
        <w:tc>
          <w:tcPr>
            <w:tcW w:type="dxa" w:w="1440"/>
            <w:shd w:fill="C6EFCE" w:val="clear"/>
          </w:tcPr>
          <w:p>
            <w:r>
              <w:rPr>
                <w:sz w:val="17"/>
              </w:rPr>
              <w:t>9,476</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le rapport d'analyse structuré pour l'action SOGC, conforme à vos instructions.</w:t>
      </w:r>
    </w:p>
    <w:p>
      <w:pPr>
        <w:spacing w:after="120" w:line="276" w:lineRule="auto"/>
      </w:pPr>
      <w:r>
        <w:t>---</w:t>
      </w:r>
    </w:p>
    <w:p>
      <w:pPr>
        <w:spacing w:after="120" w:line="276" w:lineRule="auto"/>
      </w:pPr>
      <w:r>
        <w:t>### **RAPPORT D'ANALYSE FINANCIÈRE — SOGC (Société des Caoutchoucs de Grand-Béréby)**</w:t>
      </w:r>
    </w:p>
    <w:p>
      <w:pPr>
        <w:spacing w:after="120" w:line="276" w:lineRule="auto"/>
      </w:pPr>
      <w:r>
        <w:t>**Date de l'analyse : 24 avril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180,59 milliards FCFA, SOGC se positionne comme une valeur de poids moyen sur le compartiment A de la BRVM. Le Bénéfice Par Action (BPA) de 578 FCFA pour l'exercice 2025 est solide, ce qui se traduit par un PER de 14,5x. Ce ratio, supérieur à la moyenne historique de la BRVM (8-12x), indique que le marché accorde une prime de valorisation à la société, reconnaissant ainsi la qualité de ses actifs et sa performance passée. Le Price-to-Book (P/B) de 2,64x confirme cette prime, les investisseurs étant prêts à payer plus de 2,6 fois la valeur comptable des actifs, ce qui est typique pour une entreprise rentable avec un bon ROE. Enfin, le ratio EV/EBITDA de 7,5x se situe dans une fourchette raisonnable, suggérant que la valeur totale de l'entreprise (dette incluse) reste correctement évaluée par rapport à sa capacité bénéficiaire opérationnelle.</w:t>
      </w:r>
    </w:p>
    <w:p>
      <w:pPr>
        <w:spacing w:after="120" w:line="276" w:lineRule="auto"/>
      </w:pPr>
      <w:r>
        <w:t>### **PARTIE 1 : ANALYSE DU COURS — STATISTIQUES ET ÉVOLUTION (100 derniers jours)**</w:t>
      </w:r>
    </w:p>
    <w:p>
      <w:pPr>
        <w:spacing w:after="120" w:line="276" w:lineRule="auto"/>
      </w:pPr>
      <w:r>
        <w:t>Sur les 100 derniers jours, le titre SOGC affiche une progression modeste de +1,33%, mais la dernière séance a subi un net repli de -2,79%, clôturant à 8 360 FCFA. Le cours a évolué dans un range de trading de 1 900 FCFA, entre un plus bas de 7 100 FCFA et un plus haut de 9 000 FCFA, ce qui témoigne d'une volatilité significative sur la période. La moyenne du cours sur 100 jours s'établit à 8 114 FCFA, tandis que la médiane est légèrement supérieure à 8 280 FCFA, indiquant une distribution quasi symétrique des prix. L'écart-type de 491 FCFA, combiné à un coefficient de variation de 6,1%, révèle une dispersion modérée autour de la moyenne. Le kurtosis négatif (-1,058) confirme une distribution platykurtique, signifiant que les mouvements de prix extrêmes sont moins fréquents que dans une distribution normale, ce qui réduit le risque de "pics" soudains. Le skewness légèrement négatif (-0,167) indique une très légère asymétrie vers les baisses, mais la distribution reste globalement symétrique. Enfin, la volatilité annualisée de 33,6% classe le titre comme très volatil, une caractéristique courante pour les valeurs agricoles exposées aux fluctuations des matières premières.</w:t>
      </w:r>
    </w:p>
    <w:p>
      <w:pPr>
        <w:spacing w:after="120" w:line="276" w:lineRule="auto"/>
      </w:pPr>
      <w:r>
        <w:t>### **PARTIE 2 : ANALYSE TECHNIQUE DÉTAILLÉE**</w:t>
      </w:r>
    </w:p>
    <w:p>
      <w:pPr>
        <w:spacing w:after="120" w:line="276" w:lineRule="auto"/>
      </w:pPr>
      <w:r>
        <w:t>*   **Moyennes Mobiles** : Le cours actuel de 8 360 FCFA se situe au-dessus de la MM20 (8 379,5 FCFA) et nettement au-dessus de la MM50 (7 977,4 FCFA). Cette configuration est haussière à moyen terme, car elle indique que la tendance récente et la tendance de fond sont favorables. La décision d'achat générée par cet indicateur est donc cohérente avec une dynamique positive.</w:t>
      </w:r>
    </w:p>
    <w:p>
      <w:pPr>
        <w:spacing w:after="120" w:line="276" w:lineRule="auto"/>
      </w:pPr>
      <w:r>
        <w:t>*   **Bandes de Bollinger** : Le cours, à 8 360 FCFA, se trouve exactement au milieu des bandes de Bollinger, entre la borne inférieure (8 121,4 FCFA) et la borne supérieure (8 637,6 FCFA). Cette position neutre suggère une absence de pression directionnelle forte à très court terme. La largeur des bandes reflète la volatilité modérée des dernières séances.</w:t>
      </w:r>
    </w:p>
    <w:p>
      <w:pPr>
        <w:spacing w:after="120" w:line="276" w:lineRule="auto"/>
      </w:pPr>
      <w:r>
        <w:t>*   **MACD** : Le MACD (118,6) est passé sous sa ligne de signal (137,5), générant un signal de vente. Cette divergence baissière indique un ralentissement du momentum haussier. Bien que les deux lignes restent en territoire positif, ce croisement est un avertissement technique qu'il convient de surveiller, car il précède souvent des phases de correction ou de consolidation.</w:t>
      </w:r>
    </w:p>
    <w:p>
      <w:pPr>
        <w:spacing w:after="120" w:line="276" w:lineRule="auto"/>
      </w:pPr>
      <w:r>
        <w:t>*   **RSI** : Le RSI à 53,2 se situe en zone neutre, entre 30 et 70. Il n'indique ni une situation de surachat (qui suggérerait une correction imminente) ni de survente (qui signalerait un rebond probable). L'absence de signal directionnel fort de la part du RSI confirme l'incertitude à court terme.</w:t>
      </w:r>
    </w:p>
    <w:p>
      <w:pPr>
        <w:spacing w:after="120" w:line="276" w:lineRule="auto"/>
      </w:pPr>
      <w:r>
        <w:t>*   **Stochastique** : Le %K à 26,2 est passé sous le %D à 63,5, ce qui constitue un signal de vente classique. Cette configuration suggère que la pression vendeuse s'intensifie sur les très courtes périodes, en ligne avec le signal du MACD.</w:t>
      </w:r>
    </w:p>
    <w:p>
      <w:pPr>
        <w:spacing w:after="120" w:line="276" w:lineRule="auto"/>
      </w:pPr>
      <w:r>
        <w:t>**Conclusion technique :** La tendance de fond reste haussière, soutenue par le positionnement des moyennes mobiles. Cependant, les indicateurs de court terme (MACD et Stochastique) envoient des signaux de vendeurs, tandis que le RSI et les Bandes de Bollinger restent neutres. Cette divergence entre la tendance de moyen terme et le momentum de court terme suggère une phase de consolidation ou un repli technique potentiel avant une possible reprise de la tendance haussière.</w:t>
      </w:r>
    </w:p>
    <w:p>
      <w:pPr>
        <w:spacing w:after="120" w:line="276" w:lineRule="auto"/>
      </w:pPr>
      <w:r>
        <w:t>### **PARTIE 3 : ANALYSE FONDAMENTALE (SECTION CRITIQUE)**</w:t>
      </w:r>
    </w:p>
    <w:p>
      <w:pPr>
        <w:spacing w:after="120" w:line="276" w:lineRule="auto"/>
      </w:pPr>
      <w:r>
        <w:t>En 2025, selon les données financières structurées, SOGC a réalisé un chiffre d'affaires de 98,98 milliards FCFA et un résultat net de 12,49 milliards FCFA. La rentabilité des fonds propres (ROE) est excellente à 18,26%, et le ROA est également très solide à 13,84%. En tant qu'entreprise non bancaire, l'analyse des délais d'exploitation est cruciale : le délai de paiement des clients est de 29,6 jours, ce qui est sain, tandis que le délai de règlement des fournisseurs est de 31,7 jours, offrant un léger avantage de trésorerie. Le Besoin en Fonds de Roulement (BFR) de 7,12 milliards FCFA est positif mais correctement financé par un fonds de roulement de 11,7 milliards FCFA, laissant une trésorerie nette positive de 4,58 milliards FCFA. Les rapports narratifs confirment une performance exceptionnelle en 2024 (CA de 93,52 milliards FCFA, résultat net de 13,11 milliards FCFA) avant une légère baisse en 2025. Le rapport du 3ème trimestre 2025 (cumul 9 mois) indique un CA de 75,6 milliards FCFA et un résultat net de 11,5 milliards FCFA, en hausse de +39,5% sur un an glissant, ce qui suggère une fin d'année plus dynamique que le début. La société propose un dividende brut de 570 FCFA par action pour 2025, soit un rendement très attractif. Les risques principaux restent la volatilité des prix du caoutchouc et de l'huile de palme, ainsi que la concurrence accrue sur l'achat de la matière première, comme mentionné dans les perspectives du rapport 9 mois 2025.</w:t>
      </w:r>
    </w:p>
    <w:p>
      <w:pPr>
        <w:spacing w:after="120" w:line="276" w:lineRule="auto"/>
      </w:pPr>
      <w:r>
        <w:t>### **PARTIE 4 : CONCLUSION D'INVESTISSEMENT**</w:t>
      </w:r>
    </w:p>
    <w:p>
      <w:pPr>
        <w:spacing w:after="120" w:line="276" w:lineRule="auto"/>
      </w:pPr>
      <w:r>
        <w:t>La synthèse globale pour SOGC est nuancée. La valorisation (Partie 0) est correcte mais non décotée, le marché intégrant déjà une prime de qualité. Le comportement du cours (Partie 1) montre une tendance haussière modérée sur 100 jours, mais avec une volatilité élevée et une récente baisse. Les signaux techniques (Partie 2) sont mitigés, avec une tendance de fond haussière contredite par des indicateurs de court terme vendeurs. En revanche, les fondamentaux (Partie 3) sont d'une grande solidité : croissance du chiffre d'affaires, rentabilité élevée (ROE &gt; 18%), structure financière saine et politique de dividende généreuse. Les prédictions IA pour les 10 prochains jours anticipent une légère hausse progressive jusqu'à 8 493 FCFA, ce qui contredit les signaux techniques de court terme mais s'aligne avec la tendance de fond et la solidité fondamentale.</w:t>
      </w:r>
    </w:p>
    <w:p>
      <w:pPr>
        <w:spacing w:after="120" w:line="276" w:lineRule="auto"/>
      </w:pPr>
      <w:r>
        <w:t>**Recommandation finale : CONSERVER**</w:t>
        <w:br/>
        <w:t>**Justification :** La convergence entre des fondamentaux excellents et une valorisation raisonnable justifie de conserver le titre. La divergence entre les signaux techniques de court terme (vendeurs) et la tendance de fond (haussière) suggère une période de consolidation à venir, mais le potentiel de hausse à moyen terme reste intact grâce à la performance opérationnelle de l'entreprise.</w:t>
        <w:br/>
        <w:t>**Niveau de confiance :** Moyen</w:t>
        <w:br/>
        <w:t>**Niveau de risque global :** Élevé (volatilité des matières premières)</w:t>
        <w:br/>
        <w:t>**Horizon d'investissement optimal :** Moyen terme (3 à 12 mois), pour capter la croissance et le rendement du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192.96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5,525 titres</w:t>
            </w:r>
          </w:p>
        </w:tc>
        <w:tc>
          <w:tcPr>
            <w:tcW w:type="dxa" w:w="2268"/>
            <w:shd w:fill="FFF2CC" w:val="clear"/>
          </w:tcPr>
          <w:p>
            <w:r>
              <w:rPr>
                <w:b/>
                <w:color w:val="503200"/>
                <w:sz w:val="16"/>
              </w:rPr>
              <w:t xml:space="preserve">Cours actuel : </w:t>
            </w:r>
            <w:r>
              <w:rPr>
                <w:color w:val="000000"/>
                <w:sz w:val="17"/>
              </w:rPr>
              <w:t>7,550 FCFA</w:t>
            </w:r>
          </w:p>
          <w:p>
            <w:r>
              <w:rPr>
                <w:b/>
                <w:color w:val="503200"/>
                <w:sz w:val="16"/>
              </w:rPr>
              <w:t xml:space="preserve">Var. 100 jours : </w:t>
            </w:r>
            <w:r>
              <w:rPr>
                <w:b/>
                <w:color w:val="B40000"/>
                <w:sz w:val="17"/>
              </w:rPr>
              <w:t>-3.08%</w:t>
            </w:r>
          </w:p>
          <w:p>
            <w:r>
              <w:rPr>
                <w:b/>
                <w:color w:val="503200"/>
                <w:sz w:val="16"/>
              </w:rPr>
              <w:t xml:space="preserve">Plus haut 100j : </w:t>
            </w:r>
            <w:r>
              <w:rPr>
                <w:color w:val="000000"/>
                <w:sz w:val="17"/>
              </w:rPr>
              <w:t>8,495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6.15% (Moyenne) — μ=7,516 FCFA, σ=462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β=1.4071 (Agressif) — Cov=0.000059, Var(idx)=0.000042, ρ=0.343,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5,525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7,354</w:t>
            </w:r>
          </w:p>
        </w:tc>
        <w:tc>
          <w:tcPr>
            <w:tcW w:type="dxa" w:w="1440"/>
            <w:shd w:fill="FAFAFA" w:val="clear"/>
          </w:tcPr>
          <w:p>
            <w:r>
              <w:rPr>
                <w:b/>
                <w:sz w:val="17"/>
              </w:rPr>
              <w:t>7,643</w:t>
            </w:r>
          </w:p>
        </w:tc>
        <w:tc>
          <w:tcPr>
            <w:tcW w:type="dxa" w:w="1440"/>
            <w:shd w:fill="FAFAFA" w:val="clear"/>
          </w:tcPr>
          <w:p>
            <w:r>
              <w:rPr>
                <w:sz w:val="17"/>
              </w:rPr>
              <w:t>7,931</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7,213</w:t>
            </w:r>
          </w:p>
        </w:tc>
        <w:tc>
          <w:tcPr>
            <w:tcW w:type="dxa" w:w="1440"/>
            <w:shd w:fill="FAFAFA" w:val="clear"/>
          </w:tcPr>
          <w:p>
            <w:r>
              <w:rPr>
                <w:b/>
                <w:sz w:val="17"/>
              </w:rPr>
              <w:t>7,620</w:t>
            </w:r>
          </w:p>
        </w:tc>
        <w:tc>
          <w:tcPr>
            <w:tcW w:type="dxa" w:w="1440"/>
            <w:shd w:fill="FAFAFA" w:val="clear"/>
          </w:tcPr>
          <w:p>
            <w:r>
              <w:rPr>
                <w:sz w:val="17"/>
              </w:rPr>
              <w:t>8,027</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2026-07-15</w:t>
            </w:r>
          </w:p>
        </w:tc>
        <w:tc>
          <w:tcPr>
            <w:tcW w:type="dxa" w:w="1440"/>
            <w:shd w:fill="FAFAFA" w:val="clear"/>
          </w:tcPr>
          <w:p>
            <w:r>
              <w:rPr>
                <w:sz w:val="17"/>
              </w:rPr>
              <w:t>7,109</w:t>
            </w:r>
          </w:p>
        </w:tc>
        <w:tc>
          <w:tcPr>
            <w:tcW w:type="dxa" w:w="1440"/>
            <w:shd w:fill="FAFAFA" w:val="clear"/>
          </w:tcPr>
          <w:p>
            <w:r>
              <w:rPr>
                <w:b/>
                <w:sz w:val="17"/>
              </w:rPr>
              <w:t>7,606</w:t>
            </w:r>
          </w:p>
        </w:tc>
        <w:tc>
          <w:tcPr>
            <w:tcW w:type="dxa" w:w="1440"/>
            <w:shd w:fill="FAFAFA" w:val="clear"/>
          </w:tcPr>
          <w:p>
            <w:r>
              <w:rPr>
                <w:sz w:val="17"/>
              </w:rPr>
              <w:t>8,104</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7,019</w:t>
            </w:r>
          </w:p>
        </w:tc>
        <w:tc>
          <w:tcPr>
            <w:tcW w:type="dxa" w:w="1440"/>
            <w:shd w:fill="FAFAFA" w:val="clear"/>
          </w:tcPr>
          <w:p>
            <w:r>
              <w:rPr>
                <w:b/>
                <w:sz w:val="17"/>
              </w:rPr>
              <w:t>7,592</w:t>
            </w:r>
          </w:p>
        </w:tc>
        <w:tc>
          <w:tcPr>
            <w:tcW w:type="dxa" w:w="1440"/>
            <w:shd w:fill="FAFAFA" w:val="clear"/>
          </w:tcPr>
          <w:p>
            <w:r>
              <w:rPr>
                <w:sz w:val="17"/>
              </w:rPr>
              <w:t>8,165</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6,938</w:t>
            </w:r>
          </w:p>
        </w:tc>
        <w:tc>
          <w:tcPr>
            <w:tcW w:type="dxa" w:w="1440"/>
            <w:shd w:fill="FAFAFA" w:val="clear"/>
          </w:tcPr>
          <w:p>
            <w:r>
              <w:rPr>
                <w:b/>
                <w:sz w:val="17"/>
              </w:rPr>
              <w:t>7,578</w:t>
            </w:r>
          </w:p>
        </w:tc>
        <w:tc>
          <w:tcPr>
            <w:tcW w:type="dxa" w:w="1440"/>
            <w:shd w:fill="FAFAFA" w:val="clear"/>
          </w:tcPr>
          <w:p>
            <w:r>
              <w:rPr>
                <w:sz w:val="17"/>
              </w:rPr>
              <w:t>8,218</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6,864</w:t>
            </w:r>
          </w:p>
        </w:tc>
        <w:tc>
          <w:tcPr>
            <w:tcW w:type="dxa" w:w="1440"/>
            <w:shd w:fill="FAFAFA" w:val="clear"/>
          </w:tcPr>
          <w:p>
            <w:r>
              <w:rPr>
                <w:b/>
                <w:sz w:val="17"/>
              </w:rPr>
              <w:t>7,564</w:t>
            </w:r>
          </w:p>
        </w:tc>
        <w:tc>
          <w:tcPr>
            <w:tcW w:type="dxa" w:w="1440"/>
            <w:shd w:fill="FAFAFA" w:val="clear"/>
          </w:tcPr>
          <w:p>
            <w:r>
              <w:rPr>
                <w:sz w:val="17"/>
              </w:rPr>
              <w:t>8,263</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2026-07-21</w:t>
            </w:r>
          </w:p>
        </w:tc>
        <w:tc>
          <w:tcPr>
            <w:tcW w:type="dxa" w:w="1440"/>
            <w:shd w:fill="FAFAFA" w:val="clear"/>
          </w:tcPr>
          <w:p>
            <w:r>
              <w:rPr>
                <w:sz w:val="17"/>
              </w:rPr>
              <w:t>6,795</w:t>
            </w:r>
          </w:p>
        </w:tc>
        <w:tc>
          <w:tcPr>
            <w:tcW w:type="dxa" w:w="1440"/>
            <w:shd w:fill="FAFAFA" w:val="clear"/>
          </w:tcPr>
          <w:p>
            <w:r>
              <w:rPr>
                <w:b/>
                <w:sz w:val="17"/>
              </w:rPr>
              <w:t>7,550</w:t>
            </w:r>
          </w:p>
        </w:tc>
        <w:tc>
          <w:tcPr>
            <w:tcW w:type="dxa" w:w="1440"/>
            <w:shd w:fill="FAFAFA" w:val="clear"/>
          </w:tcPr>
          <w:p>
            <w:r>
              <w:rPr>
                <w:sz w:val="17"/>
              </w:rPr>
              <w:t>8,304</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2026-07-22</w:t>
            </w:r>
          </w:p>
        </w:tc>
        <w:tc>
          <w:tcPr>
            <w:tcW w:type="dxa" w:w="1440"/>
            <w:shd w:fill="FAFAFA" w:val="clear"/>
          </w:tcPr>
          <w:p>
            <w:r>
              <w:rPr>
                <w:sz w:val="17"/>
              </w:rPr>
              <w:t>6,731</w:t>
            </w:r>
          </w:p>
        </w:tc>
        <w:tc>
          <w:tcPr>
            <w:tcW w:type="dxa" w:w="1440"/>
            <w:shd w:fill="FAFAFA" w:val="clear"/>
          </w:tcPr>
          <w:p>
            <w:r>
              <w:rPr>
                <w:b/>
                <w:sz w:val="17"/>
              </w:rPr>
              <w:t>7,536</w:t>
            </w:r>
          </w:p>
        </w:tc>
        <w:tc>
          <w:tcPr>
            <w:tcW w:type="dxa" w:w="1440"/>
            <w:shd w:fill="FAFAFA" w:val="clear"/>
          </w:tcPr>
          <w:p>
            <w:r>
              <w:rPr>
                <w:sz w:val="17"/>
              </w:rPr>
              <w:t>8,341</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2026-07-23</w:t>
            </w:r>
          </w:p>
        </w:tc>
        <w:tc>
          <w:tcPr>
            <w:tcW w:type="dxa" w:w="1440"/>
            <w:shd w:fill="FAFAFA" w:val="clear"/>
          </w:tcPr>
          <w:p>
            <w:r>
              <w:rPr>
                <w:sz w:val="17"/>
              </w:rPr>
              <w:t>6,670</w:t>
            </w:r>
          </w:p>
        </w:tc>
        <w:tc>
          <w:tcPr>
            <w:tcW w:type="dxa" w:w="1440"/>
            <w:shd w:fill="FAFAFA" w:val="clear"/>
          </w:tcPr>
          <w:p>
            <w:r>
              <w:rPr>
                <w:b/>
                <w:sz w:val="17"/>
              </w:rPr>
              <w:t>7,523</w:t>
            </w:r>
          </w:p>
        </w:tc>
        <w:tc>
          <w:tcPr>
            <w:tcW w:type="dxa" w:w="1440"/>
            <w:shd w:fill="FAFAFA" w:val="clear"/>
          </w:tcPr>
          <w:p>
            <w:r>
              <w:rPr>
                <w:sz w:val="17"/>
              </w:rPr>
              <w:t>8,375</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2026-07-24</w:t>
            </w:r>
          </w:p>
        </w:tc>
        <w:tc>
          <w:tcPr>
            <w:tcW w:type="dxa" w:w="1440"/>
            <w:shd w:fill="FAFAFA" w:val="clear"/>
          </w:tcPr>
          <w:p>
            <w:r>
              <w:rPr>
                <w:sz w:val="17"/>
              </w:rPr>
              <w:t>6,613</w:t>
            </w:r>
          </w:p>
        </w:tc>
        <w:tc>
          <w:tcPr>
            <w:tcW w:type="dxa" w:w="1440"/>
            <w:shd w:fill="FAFAFA" w:val="clear"/>
          </w:tcPr>
          <w:p>
            <w:r>
              <w:rPr>
                <w:b/>
                <w:sz w:val="17"/>
              </w:rPr>
              <w:t>7,509</w:t>
            </w:r>
          </w:p>
        </w:tc>
        <w:tc>
          <w:tcPr>
            <w:tcW w:type="dxa" w:w="1440"/>
            <w:shd w:fill="FAFAFA" w:val="clear"/>
          </w:tcPr>
          <w:p>
            <w:r>
              <w:rPr>
                <w:sz w:val="17"/>
              </w:rPr>
              <w:t>8,406</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Voici le rapport d'analyse structuré pour l'action SPHC (Société Africaine de Plantations d'Hévéas) cotée à la BRVM.</w:t>
      </w:r>
    </w:p>
    <w:p>
      <w:pPr>
        <w:spacing w:after="120" w:line="276" w:lineRule="auto"/>
      </w:pPr>
      <w:r>
        <w:t>---</w:t>
      </w:r>
    </w:p>
    <w:p>
      <w:pPr>
        <w:spacing w:after="120" w:line="276" w:lineRule="auto"/>
      </w:pPr>
      <w:r>
        <w:t>### **Rapport d'Analyse Financière – SPHC (BRVM)**</w:t>
      </w:r>
    </w:p>
    <w:p>
      <w:pPr>
        <w:spacing w:after="120" w:line="276" w:lineRule="auto" w:before="240"/>
      </w:pPr>
      <w:r>
        <w:rPr>
          <w:b/>
          <w:color w:val="003366"/>
          <w:sz w:val="24"/>
        </w:rPr>
        <w:t>**PARTIE 0 : INDICATEURS DE VALORISATION BOURSIÈRE**</w:t>
      </w:r>
    </w:p>
    <w:p>
      <w:pPr>
        <w:spacing w:after="120" w:line="276" w:lineRule="auto"/>
      </w:pPr>
      <w:r>
        <w:t>Avec une capitalisation boursière de 192,96 milliards FCFA, SPHC se positionne comme une valeur de premier plan sur la BRVM, reflétant son statut de leader régional du caoutchouc. Le Bénéfice Par Action (BPA) de 977 FCFA indique une capacité bénéficiaire solide par titre. Le PER de 7,7x est particulièrement attractif, se situant en dessous de la moyenne historique de la BRVM (8-12x), ce qui suggère que le marché ne valorise pas pleinement le potentiel de bénéfices de la société, signalant une possible sous-évaluation. Le Price-to-Book (P/B) de 1,40x est raisonnable, indiquant que le marché valorise la société à 40% au-dessus de sa valeur comptable, un niveau sain pour une entreprise rentable. Enfin, le ratio EV/EBITDA de 4,9x, très inférieur à 5x, confirme une valorisation très bon marché de la capacité opérationnelle de l'entreprise, renforçant l'idée d'une décote significative sur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SPHC affiche une performance négative de -3,08%, avec une accélération baissière lors de la dernière séance (-3,82%), pour s'établir à 7 550 FCFA. Le cours a évolué dans un range de 1 775 FCFA, entre un plus haut de 8 495 FCFA et un plus bas de 6 720 FCFA, témoignant d'une volatilité significative. La moyenne du cours sur la période (7 516 FCFA) et la médiane (7 528 FCFA) sont très proches, indiquant une distribution symétrique des prix, ce qui est confirmé par un Skewness de 0,395. L'écart-type de 465 FCFA, associé à un coefficient de variation de 6,2%, révèle une dispersion modérée autour de la moyenne. Le Kurtosis en excès de -0,671 indique une distribution mésokurtique, c'est-à-dire proche d'une distribution normale, avec un risque de mouvements extrêmes (pics) plus faible que la normale. La volatilité annualisée de 41,9% est très élevée, classant SPHC comme un actif risqué, dont le cours peut connaître des fluctuations importantes à court terme.</w:t>
      </w:r>
    </w:p>
    <w:p>
      <w:pPr>
        <w:spacing w:after="120" w:line="276" w:lineRule="auto" w:before="240"/>
      </w:pPr>
      <w:r>
        <w:rPr>
          <w:b/>
          <w:color w:val="003366"/>
          <w:sz w:val="24"/>
        </w:rPr>
        <w:t>**PARTIE 2 : ANALYSE TECHNIQUE DÉTAILLÉE**</w:t>
      </w:r>
    </w:p>
    <w:p>
      <w:pPr>
        <w:spacing w:after="120" w:line="276" w:lineRule="auto"/>
      </w:pPr>
      <w:r>
        <w:t>*   **Moyennes Mobiles**: La MM20 (7 693,5 FCFA) est située au-dessus de la MM50 (7 366,1 FCFA), une configuration haussière classique. Cependant, le cours actuel (7 550 FCFA) est inférieur à la MM20, ce qui indique une faiblesse à court terme. La décision "Achat" est donc nuancée par cette divergence, suggérant un potentiel de rebond si le cours repasse au-dessus de la MM20.</w:t>
        <w:br/>
        <w:t>*   **Bandes de Bollinger**: Le cours se situe à 7 550 FCFA, en dessous de la moyenne des bandes et proche de la borne inférieure (7 394 FCFA). Cela indique une pression vendeuse et une volatilité en baisse. La décision "Neutre" est justifiée, car le titre n'est ni en situation de surachat (borne supérieure) ni de survente extrême, mais se rapproche d'une zone de support potentiel.</w:t>
        <w:br/>
        <w:t>*   **MACD**: La valeur du MACD (94,069) est inférieure à sa ligne de signal (124,56), ce qui constitue un signal de vente clair. Le momentum baissier est en place, suggérant que la tendance négative récente pourrait se poursuivre à très court terme.</w:t>
        <w:br/>
        <w:t>*   **RSI**: Avec une valeur de 47,664, le RSI se situe en zone neutre (entre 30 et 70). Il n'indique ni surachat ni survente, ce qui donne une décision "Neutre". Le titre n'est pas encore considéré comme survendu malgré la baisse récente, laissant une marge de manœuvre.</w:t>
        <w:br/>
        <w:t>*   **Stochastique**: Le %K (9,184) est très bas et a croisé en dessous du %D (26,531), ce qui est un signal d'achat fort en zone de survente. Cette configuration suggère que le mouvement de baisse est excessif à court terme et qu'un rebond technique est probable.</w:t>
      </w:r>
    </w:p>
    <w:p>
      <w:pPr>
        <w:spacing w:after="120" w:line="276" w:lineRule="auto"/>
      </w:pPr>
      <w:r>
        <w:t>**Conclusion technique**: Les indicateurs techniques sont mitigés. Le MACD et la position du cours sous la MM20 signalent une faiblesse à court terme. En revanche, le Stochastique en zone de survente profonde et le RSI neutre suggèrent un potentiel de rebond imminent. La configuration des Bandes de Bollinger renforce cette idée de support proche. Le marché semble donc chercher un point d'équilibre, avec un biais baissier à très court terme mais des signaux de retournement technique qui se renforcent.</w:t>
      </w:r>
    </w:p>
    <w:p>
      <w:pPr>
        <w:spacing w:after="120" w:line="276" w:lineRule="auto" w:before="240"/>
      </w:pPr>
      <w:r>
        <w:rPr>
          <w:b/>
          <w:color w:val="003366"/>
          <w:sz w:val="24"/>
        </w:rPr>
        <w:t>**PARTIE 3 : ANALYSE FONDAMENTALE (SECTION CRITIQUE)**</w:t>
      </w:r>
    </w:p>
    <w:p>
      <w:pPr>
        <w:spacing w:after="120" w:line="276" w:lineRule="auto"/>
      </w:pPr>
      <w:r>
        <w:t>En 2025, selon les données structurées officielles, SPHC a réalisé un chiffre d'affaires de 340,83 milliards FCFA, en croissance de 22% par rapport à 2024 (279,44 milliards FCFA). Le résultat net a bondi de 32,9% pour atteindre 24,97 milliards FCFA. Cette performance s'est traduite par une rentabilité des fonds propres (ROE) exceptionnelle de 18,1% et un ROA de 11,1%, témoignant d'une utilisation très efficace de ses actifs et capitaux. En tant qu'entreprise industrielle, on note un Besoin en Fonds de Roulement (BFR) de 65,39 milliards FCFA, un niveau élevé mais cohérent avec les délais de stockage (72 jours) et de crédit clients (35 jours). L'endettement est maîtrisé (ratio d'endettement de 25,8%), et la capacité de remboursement est inférieure à un an (0,97 an), ce qui est excellent. Les rapports trimestriels de 2025 confirment cette dynamique : le rapport du 1er semestre 2025 faisait état d'un résultat net de 18,1 milliards FCFA (+449% vs S1 2024), et celui du 3ème trimestre 2025 d'un résultat net cumulé de 23,15 milliards FCFA (+131%). Cependant, le rapport du 1er trimestre 2026, daté de 2026, montre un net ralentissement avec un chiffre d'affaires de 71,8 milliards FCFA (-24%) et un résultat net de 2,6 milliards FCFA (-78%), impacté par la chute des cours mondiaux du caoutchouc et une concurrence accrue. Sur la base de ce T1 2026, on estime que l'exercice 2026 sera nettement moins performant que 2025, bien que la structure financière reste solide.</w:t>
      </w:r>
    </w:p>
    <w:p>
      <w:pPr>
        <w:spacing w:after="120" w:line="276" w:lineRule="auto" w:before="240"/>
      </w:pPr>
      <w:r>
        <w:rPr>
          <w:b/>
          <w:color w:val="003366"/>
          <w:sz w:val="24"/>
        </w:rPr>
        <w:t>**PARTIE 4 : CONCLUSION D'INVESTISSEMENT**</w:t>
      </w:r>
    </w:p>
    <w:p>
      <w:pPr>
        <w:spacing w:after="120" w:line="276" w:lineRule="auto"/>
      </w:pPr>
      <w:r>
        <w:t>La synthèse globale pour SPHC est contrastée. La **valorisation** (Partie 0) est très attractive, avec un PER et un EV/EBITDA faibles qui suggèrent une sous-évaluation évidente. Le **comportement du cours** (Partie 1) est baissier sur 100 jours et très volatil, mais les statistiques descriptives ne montrent pas de distribution anormale. Les **signaux techniques** (Partie 2) sont mitigés, avec une tendance baissière à court terme mais des indicateurs de retournement (Stochastique en survente) qui laissent présager un rebond. Les **fondamentaux** (Partie 3) sont solides pour 2025, mais les premières données de 2026 indiquent un ralentissement marqué de l'activité. Enfin, les **prédictions IA** pour les 10 prochains jours (de 7 643 à 7 578 FCFA) anticipent une légère baisse continue, en ligne avec la faiblesse technique actuelle.</w:t>
      </w:r>
    </w:p>
    <w:p>
      <w:pPr>
        <w:spacing w:after="120" w:line="276" w:lineRule="auto"/>
      </w:pPr>
      <w:r>
        <w:t>Sur cette base, la recommandation est **CONSERVER**. La convergence entre la sous-évaluation fondamentale (PER bas) et les signaux de retournement technique (Stochastique) est contrebalancée par la divergence des perspectives de résultats 2026 et la tendance baissière des prédictions IA. Le niveau de confiance est **Moyen** et le risque global est **Élevé**, principalement en raison de la volatilité des cours du caoutchouc et de l'incertitude sur les résultats 2026. L'horizon d'investissement optimal est le **moyen terme (3-12 mois)**, afin de laisser le temps à la fois à un rebond technique de se matérialiser et aux perspectives de reprise des cours du caoutchouc de se confirmer.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43.01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6,536 titres</w:t>
            </w:r>
          </w:p>
        </w:tc>
        <w:tc>
          <w:tcPr>
            <w:tcW w:type="dxa" w:w="2268"/>
            <w:shd w:fill="FFF2CC" w:val="clear"/>
          </w:tcPr>
          <w:p>
            <w:r>
              <w:rPr>
                <w:b/>
                <w:color w:val="503200"/>
                <w:sz w:val="16"/>
              </w:rPr>
              <w:t xml:space="preserve">Cours actuel : </w:t>
            </w:r>
            <w:r>
              <w:rPr>
                <w:color w:val="000000"/>
                <w:sz w:val="17"/>
              </w:rPr>
              <w:t>3,200 FCFA</w:t>
            </w:r>
          </w:p>
          <w:p>
            <w:r>
              <w:rPr>
                <w:b/>
                <w:color w:val="503200"/>
                <w:sz w:val="16"/>
              </w:rPr>
              <w:t xml:space="preserve">Var. 100 jours : </w:t>
            </w:r>
            <w:r>
              <w:rPr>
                <w:b/>
                <w:color w:val="007800"/>
                <w:sz w:val="17"/>
              </w:rPr>
              <w:t>+74.86%</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1,625 FCFA</w:t>
            </w:r>
          </w:p>
          <w:p>
            <w:r>
              <w:rPr>
                <w:b/>
                <w:color w:val="503200"/>
                <w:sz w:val="16"/>
              </w:rPr>
              <w:t xml:space="preserve">Volatilité ann. : </w:t>
            </w:r>
            <w:r>
              <w:rPr>
                <w:color w:val="000000"/>
                <w:sz w:val="17"/>
              </w:rPr>
              <w:t>74.2%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20.70% (Élevée) — μ=2,813 FCFA, σ=582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β=-0.5087 (Contre-cyclique) — Cov=-0.000021, Var(idx)=0.000042, ρ=-0.071,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6,536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σ_j=4.68%/j (Modérée) — Vol. annualisée≈74.2%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2,774</w:t>
            </w:r>
          </w:p>
        </w:tc>
        <w:tc>
          <w:tcPr>
            <w:tcW w:type="dxa" w:w="1440"/>
            <w:shd w:fill="FFDCE0" w:val="clear"/>
          </w:tcPr>
          <w:p>
            <w:r>
              <w:rPr>
                <w:b/>
                <w:sz w:val="17"/>
              </w:rPr>
              <w:t>2,965</w:t>
            </w:r>
          </w:p>
        </w:tc>
        <w:tc>
          <w:tcPr>
            <w:tcW w:type="dxa" w:w="1440"/>
            <w:shd w:fill="FFDCE0" w:val="clear"/>
          </w:tcPr>
          <w:p>
            <w:r>
              <w:rPr>
                <w:sz w:val="17"/>
              </w:rPr>
              <w:t>3,157</w:t>
            </w:r>
          </w:p>
        </w:tc>
        <w:tc>
          <w:tcPr>
            <w:tcW w:type="dxa" w:w="1440"/>
            <w:shd w:fill="FFDCE0" w:val="clear"/>
          </w:tcPr>
          <w:p>
            <w:r>
              <w:rPr>
                <w:b/>
                <w:color w:val="C00000"/>
                <w:sz w:val="17"/>
              </w:rPr>
              <w:t>-7.3%</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2,517</w:t>
            </w:r>
          </w:p>
        </w:tc>
        <w:tc>
          <w:tcPr>
            <w:tcW w:type="dxa" w:w="1440"/>
            <w:shd w:fill="FFDCE0" w:val="clear"/>
          </w:tcPr>
          <w:p>
            <w:r>
              <w:rPr>
                <w:b/>
                <w:sz w:val="17"/>
              </w:rPr>
              <w:t>2,770</w:t>
            </w:r>
          </w:p>
        </w:tc>
        <w:tc>
          <w:tcPr>
            <w:tcW w:type="dxa" w:w="1440"/>
            <w:shd w:fill="FFDCE0" w:val="clear"/>
          </w:tcPr>
          <w:p>
            <w:r>
              <w:rPr>
                <w:sz w:val="17"/>
              </w:rPr>
              <w:t>3,023</w:t>
            </w:r>
          </w:p>
        </w:tc>
        <w:tc>
          <w:tcPr>
            <w:tcW w:type="dxa" w:w="1440"/>
            <w:shd w:fill="FFDCE0" w:val="clear"/>
          </w:tcPr>
          <w:p>
            <w:r>
              <w:rPr>
                <w:b/>
                <w:color w:val="C00000"/>
                <w:sz w:val="17"/>
              </w:rPr>
              <w:t>-13.4%</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2,276</w:t>
            </w:r>
          </w:p>
        </w:tc>
        <w:tc>
          <w:tcPr>
            <w:tcW w:type="dxa" w:w="1440"/>
            <w:shd w:fill="FFDCE0" w:val="clear"/>
          </w:tcPr>
          <w:p>
            <w:r>
              <w:rPr>
                <w:b/>
                <w:sz w:val="17"/>
              </w:rPr>
              <w:t>2,563</w:t>
            </w:r>
          </w:p>
        </w:tc>
        <w:tc>
          <w:tcPr>
            <w:tcW w:type="dxa" w:w="1440"/>
            <w:shd w:fill="FFDCE0" w:val="clear"/>
          </w:tcPr>
          <w:p>
            <w:r>
              <w:rPr>
                <w:sz w:val="17"/>
              </w:rPr>
              <w:t>2,849</w:t>
            </w:r>
          </w:p>
        </w:tc>
        <w:tc>
          <w:tcPr>
            <w:tcW w:type="dxa" w:w="1440"/>
            <w:shd w:fill="FFDCE0" w:val="clear"/>
          </w:tcPr>
          <w:p>
            <w:r>
              <w:rPr>
                <w:b/>
                <w:color w:val="C00000"/>
                <w:sz w:val="17"/>
              </w:rPr>
              <w:t>-19.9%</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2,064</w:t>
            </w:r>
          </w:p>
        </w:tc>
        <w:tc>
          <w:tcPr>
            <w:tcW w:type="dxa" w:w="1440"/>
            <w:shd w:fill="FFDCE0" w:val="clear"/>
          </w:tcPr>
          <w:p>
            <w:r>
              <w:rPr>
                <w:b/>
                <w:sz w:val="17"/>
              </w:rPr>
              <w:t>2,370</w:t>
            </w:r>
          </w:p>
        </w:tc>
        <w:tc>
          <w:tcPr>
            <w:tcW w:type="dxa" w:w="1440"/>
            <w:shd w:fill="FFDCE0" w:val="clear"/>
          </w:tcPr>
          <w:p>
            <w:r>
              <w:rPr>
                <w:sz w:val="17"/>
              </w:rPr>
              <w:t>2,677</w:t>
            </w:r>
          </w:p>
        </w:tc>
        <w:tc>
          <w:tcPr>
            <w:tcW w:type="dxa" w:w="1440"/>
            <w:shd w:fill="FFDCE0" w:val="clear"/>
          </w:tcPr>
          <w:p>
            <w:r>
              <w:rPr>
                <w:b/>
                <w:color w:val="C00000"/>
                <w:sz w:val="17"/>
              </w:rPr>
              <w:t>-25.9%</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1,876</w:t>
            </w:r>
          </w:p>
        </w:tc>
        <w:tc>
          <w:tcPr>
            <w:tcW w:type="dxa" w:w="1440"/>
            <w:shd w:fill="FFDCE0" w:val="clear"/>
          </w:tcPr>
          <w:p>
            <w:r>
              <w:rPr>
                <w:b/>
                <w:sz w:val="17"/>
              </w:rPr>
              <w:t>2,193</w:t>
            </w:r>
          </w:p>
        </w:tc>
        <w:tc>
          <w:tcPr>
            <w:tcW w:type="dxa" w:w="1440"/>
            <w:shd w:fill="FFDCE0" w:val="clear"/>
          </w:tcPr>
          <w:p>
            <w:r>
              <w:rPr>
                <w:sz w:val="17"/>
              </w:rPr>
              <w:t>2,509</w:t>
            </w:r>
          </w:p>
        </w:tc>
        <w:tc>
          <w:tcPr>
            <w:tcW w:type="dxa" w:w="1440"/>
            <w:shd w:fill="FFDCE0" w:val="clear"/>
          </w:tcPr>
          <w:p>
            <w:r>
              <w:rPr>
                <w:b/>
                <w:color w:val="C00000"/>
                <w:sz w:val="17"/>
              </w:rPr>
              <w:t>-31.5%</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1,707</w:t>
            </w:r>
          </w:p>
        </w:tc>
        <w:tc>
          <w:tcPr>
            <w:tcW w:type="dxa" w:w="1440"/>
            <w:shd w:fill="FFDCE0" w:val="clear"/>
          </w:tcPr>
          <w:p>
            <w:r>
              <w:rPr>
                <w:b/>
                <w:sz w:val="17"/>
              </w:rPr>
              <w:t>2,028</w:t>
            </w:r>
          </w:p>
        </w:tc>
        <w:tc>
          <w:tcPr>
            <w:tcW w:type="dxa" w:w="1440"/>
            <w:shd w:fill="FFDCE0" w:val="clear"/>
          </w:tcPr>
          <w:p>
            <w:r>
              <w:rPr>
                <w:sz w:val="17"/>
              </w:rPr>
              <w:t>2,349</w:t>
            </w:r>
          </w:p>
        </w:tc>
        <w:tc>
          <w:tcPr>
            <w:tcW w:type="dxa" w:w="1440"/>
            <w:shd w:fill="FFDCE0" w:val="clear"/>
          </w:tcPr>
          <w:p>
            <w:r>
              <w:rPr>
                <w:b/>
                <w:color w:val="C00000"/>
                <w:sz w:val="17"/>
              </w:rPr>
              <w:t>-36.6%</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1,555</w:t>
            </w:r>
          </w:p>
        </w:tc>
        <w:tc>
          <w:tcPr>
            <w:tcW w:type="dxa" w:w="1440"/>
            <w:shd w:fill="FFDCE0" w:val="clear"/>
          </w:tcPr>
          <w:p>
            <w:r>
              <w:rPr>
                <w:b/>
                <w:sz w:val="17"/>
              </w:rPr>
              <w:t>1,876</w:t>
            </w:r>
          </w:p>
        </w:tc>
        <w:tc>
          <w:tcPr>
            <w:tcW w:type="dxa" w:w="1440"/>
            <w:shd w:fill="FFDCE0" w:val="clear"/>
          </w:tcPr>
          <w:p>
            <w:r>
              <w:rPr>
                <w:sz w:val="17"/>
              </w:rPr>
              <w:t>2,197</w:t>
            </w:r>
          </w:p>
        </w:tc>
        <w:tc>
          <w:tcPr>
            <w:tcW w:type="dxa" w:w="1440"/>
            <w:shd w:fill="FFDCE0" w:val="clear"/>
          </w:tcPr>
          <w:p>
            <w:r>
              <w:rPr>
                <w:b/>
                <w:color w:val="C00000"/>
                <w:sz w:val="17"/>
              </w:rPr>
              <w:t>-41.4%</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1,460</w:t>
            </w:r>
          </w:p>
        </w:tc>
        <w:tc>
          <w:tcPr>
            <w:tcW w:type="dxa" w:w="1440"/>
            <w:shd w:fill="FFDCE0" w:val="clear"/>
          </w:tcPr>
          <w:p>
            <w:r>
              <w:rPr>
                <w:b/>
                <w:sz w:val="17"/>
              </w:rPr>
              <w:t>1,786</w:t>
            </w:r>
          </w:p>
        </w:tc>
        <w:tc>
          <w:tcPr>
            <w:tcW w:type="dxa" w:w="1440"/>
            <w:shd w:fill="FFDCE0" w:val="clear"/>
          </w:tcPr>
          <w:p>
            <w:r>
              <w:rPr>
                <w:sz w:val="17"/>
              </w:rPr>
              <w:t>2,112</w:t>
            </w:r>
          </w:p>
        </w:tc>
        <w:tc>
          <w:tcPr>
            <w:tcW w:type="dxa" w:w="1440"/>
            <w:shd w:fill="FFDCE0" w:val="clear"/>
          </w:tcPr>
          <w:p>
            <w:r>
              <w:rPr>
                <w:b/>
                <w:color w:val="C00000"/>
                <w:sz w:val="17"/>
              </w:rPr>
              <w:t>-44.2%</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1,387</w:t>
            </w:r>
          </w:p>
        </w:tc>
        <w:tc>
          <w:tcPr>
            <w:tcW w:type="dxa" w:w="1440"/>
            <w:shd w:fill="FFDCE0" w:val="clear"/>
          </w:tcPr>
          <w:p>
            <w:r>
              <w:rPr>
                <w:b/>
                <w:sz w:val="17"/>
              </w:rPr>
              <w:t>1,720</w:t>
            </w:r>
          </w:p>
        </w:tc>
        <w:tc>
          <w:tcPr>
            <w:tcW w:type="dxa" w:w="1440"/>
            <w:shd w:fill="FFDCE0" w:val="clear"/>
          </w:tcPr>
          <w:p>
            <w:r>
              <w:rPr>
                <w:sz w:val="17"/>
              </w:rPr>
              <w:t>2,053</w:t>
            </w:r>
          </w:p>
        </w:tc>
        <w:tc>
          <w:tcPr>
            <w:tcW w:type="dxa" w:w="1440"/>
            <w:shd w:fill="FFDCE0" w:val="clear"/>
          </w:tcPr>
          <w:p>
            <w:r>
              <w:rPr>
                <w:b/>
                <w:color w:val="C00000"/>
                <w:sz w:val="17"/>
              </w:rPr>
              <w:t>-46.2%</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1,326</w:t>
            </w:r>
          </w:p>
        </w:tc>
        <w:tc>
          <w:tcPr>
            <w:tcW w:type="dxa" w:w="1440"/>
            <w:shd w:fill="FFDCE0" w:val="clear"/>
          </w:tcPr>
          <w:p>
            <w:r>
              <w:rPr>
                <w:b/>
                <w:sz w:val="17"/>
              </w:rPr>
              <w:t>1,667</w:t>
            </w:r>
          </w:p>
        </w:tc>
        <w:tc>
          <w:tcPr>
            <w:tcW w:type="dxa" w:w="1440"/>
            <w:shd w:fill="FFDCE0" w:val="clear"/>
          </w:tcPr>
          <w:p>
            <w:r>
              <w:rPr>
                <w:sz w:val="17"/>
              </w:rPr>
              <w:t>2,007</w:t>
            </w:r>
          </w:p>
        </w:tc>
        <w:tc>
          <w:tcPr>
            <w:tcW w:type="dxa" w:w="1440"/>
            <w:shd w:fill="FFDCE0" w:val="clear"/>
          </w:tcPr>
          <w:p>
            <w:r>
              <w:rPr>
                <w:b/>
                <w:color w:val="C00000"/>
                <w:sz w:val="17"/>
              </w:rPr>
              <w:t>-47.9%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Voici le rapport d'analyse structuré pour l'action STAC (SETAO) cotée à la BRVM.</w:t>
      </w:r>
    </w:p>
    <w:p>
      <w:pPr>
        <w:spacing w:after="120" w:line="276" w:lineRule="auto"/>
      </w:pPr>
      <w:r>
        <w:t>---</w:t>
      </w:r>
    </w:p>
    <w:p>
      <w:pPr>
        <w:spacing w:after="120" w:line="276" w:lineRule="auto"/>
      </w:pPr>
      <w:r>
        <w:t>### **RAPPORT D'ANALYSE FINANCIÈRE – STAC (SETAO)**</w:t>
      </w:r>
    </w:p>
    <w:p>
      <w:pPr>
        <w:spacing w:after="120" w:line="276" w:lineRule="auto" w:before="240"/>
      </w:pPr>
      <w:r>
        <w:rPr>
          <w:b/>
          <w:color w:val="003366"/>
          <w:sz w:val="24"/>
        </w:rPr>
        <w:t>**PARTIE 0 : INDICATEURS DE VALORISATION BOURSIÈRE**</w:t>
      </w:r>
    </w:p>
    <w:p>
      <w:pPr>
        <w:spacing w:after="120" w:line="276" w:lineRule="auto"/>
      </w:pPr>
      <w:r>
        <w:t>La capitalisation boursière de STAC, à 43,01 milliards FCFA, est relativement modeste dans le contexte de la BRVM, mais elle est en forte hausse récente. Le Bénéfice Par Action (BPA) est négatif à -7 FCFA, ce qui reflète les pertes nettes de la société. Par conséquent, le PER est négatif (-445,4x), ce qui est un signal d'alarme majeur indiquant que le marché valorise une entreprise déficitaire à un niveau élevé, probablement en anticipant un retour à la rentabilité. Le Price-to-Book (P/B) de 120,56x est extrêmement élevé, bien au-dessus du seuil de 4x considéré comme une prime. Cela signifie que les investisseurs paient plus de 120 fois la valeur comptable de l'entreprise, une valorisation très exigeante qui repose entièrement sur des perspectives de croissance future et non sur les actifs tangibles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STAC affiche une performance spectaculaire avec une variation totale de +74,86%, clôturant à 3 200 FCFA. La dernière séance a été particulièrement dynamique avec une hausse de +4,92%. Le cours a évolué dans une fourchette très large, allant d'un plus bas de 1 625 FCFA à un plus haut de 3 895 FCFA, illustrant une volatilité extrême. La tendance générale est fortement haussière, mais le cours actuel est en retrait de 17,8% par rapport à son plus haut, suggérant une possible phase de consolidation ou de correction. Les statistiques descriptives révèlent un cours moyen de 2 813 FCFA, inférieur à la médiane de 2 900 FCFA, indiquant une distribution légèrement asymétrique. L'écart-type de 585 FCFA et le coefficient de variation de 20,8% confirment une dispersion élevée du cours. Le kurtosis proche de zéro (-0,830) indique une distribution mésokurtique, similaire à une normale, tandis que le skewness négatif (-0,398) suggère une légère tendance aux mouvements baissiers plus fréquents. Enfin, la volatilité annualisée de 74,2% est très élevée, classant ce titre comme un actif à haut risque.</w:t>
      </w:r>
    </w:p>
    <w:p>
      <w:pPr>
        <w:spacing w:after="120" w:line="276" w:lineRule="auto" w:before="240"/>
      </w:pPr>
      <w:r>
        <w:rPr>
          <w:b/>
          <w:color w:val="003366"/>
          <w:sz w:val="24"/>
        </w:rPr>
        <w:t>**PARTIE 2 : ANALYSE TECHNIQUE DÉTAILLÉE**</w:t>
      </w:r>
    </w:p>
    <w:p>
      <w:pPr>
        <w:spacing w:after="120" w:line="276" w:lineRule="auto"/>
      </w:pPr>
      <w:r>
        <w:t>*   **Moyennes Mobiles**: Le cours actuel à 3 200 FCFA se situe en dessous de la MM20 (3 438 FCFA) mais au-dessus de la MM50 (3 134,3 FCFA). Cette configuration suggère une perte de momentum à court terme, mais une tendance haussière toujours intacte à moyen terme. La décision globale est un "Achat", car la tendance de fond reste positive.</w:t>
      </w:r>
    </w:p>
    <w:p>
      <w:pPr>
        <w:spacing w:after="120" w:line="276" w:lineRule="auto"/>
      </w:pPr>
      <w:r>
        <w:t>*   **Bandes de Bollinger**: Le cours se trouve près de la borne inférieure (3 104,15 FCFA) et en dessous de la moyenne mobile centrale. Cela indique une pression vendeuse à court terme et une possible zone de "survente" relative. La décision est "Neutre", car le prix pourrait soit rebondir depuis ce support, soit le casser pour accélérer la baisse.</w:t>
      </w:r>
    </w:p>
    <w:p>
      <w:pPr>
        <w:spacing w:after="120" w:line="276" w:lineRule="auto"/>
      </w:pPr>
      <w:r>
        <w:t>*   **MACD**: La ligne MACD (-1,66) est passée en dessous de la ligne de signal (64,92), formant un croisement baissier. Le momentum est clairement négatif et la divergence entre les deux lignes est importante. La décision de "Vente" est justifiée, signalant un affaiblissement de la dynamique haussière à court terme.</w:t>
      </w:r>
    </w:p>
    <w:p>
      <w:pPr>
        <w:spacing w:after="120" w:line="276" w:lineRule="auto"/>
      </w:pPr>
      <w:r>
        <w:t>*   **RSI**: Le RSI à 38,6 se situe dans la zone neutre (entre 30 et 70), mais proche de la zone de survente (30). Cela indique que le titre n'est ni suracheté ni survendu, mais qu'il perd de sa vigueur haussière. La décision "Neutre" est cohérente avec une absence de signal directionnel fort.</w:t>
      </w:r>
    </w:p>
    <w:p>
      <w:pPr>
        <w:spacing w:after="120" w:line="276" w:lineRule="auto"/>
      </w:pPr>
      <w:r>
        <w:t>*   **Stochastique**: Le %K (25,4) est passé en dessous du %D (8,5), ce qui est un signal baissier. Cependant, les deux lignes sont en territoire de survente (en dessous de 20), ce qui pourrait indiquer un possible rebond technique imminent. La décision "Neutre" reflète ce conflit de signaux.</w:t>
      </w:r>
    </w:p>
    <w:p>
      <w:pPr>
        <w:spacing w:after="120" w:line="276" w:lineRule="auto"/>
      </w:pPr>
      <w:r>
        <w:t>**Conclusion technique**: Les indicateurs techniques sont mitigés. Les moyennes mobiles restent globalement haussières, mais les oscillateurs (MACD, RSI, Stochastique) montrent tous un affaiblissement du momentum et une pression vendeuse à court terme. Le titre semble en phase de correction au sein d'une tendance haussière plus large. Un rebond technique est possible depuis les niveaux de support actuels, mais le risque d'une poursuite de la baisse est réel.</w:t>
      </w:r>
    </w:p>
    <w:p>
      <w:pPr>
        <w:spacing w:after="120" w:line="276" w:lineRule="auto" w:before="240"/>
      </w:pPr>
      <w:r>
        <w:rPr>
          <w:b/>
          <w:color w:val="003366"/>
          <w:sz w:val="24"/>
        </w:rPr>
        <w:t>**PARTIE 3 : ANALYSE FONDAMENTALE (SECTION CRITIQUE)**</w:t>
      </w:r>
    </w:p>
    <w:p>
      <w:pPr>
        <w:spacing w:after="120" w:line="276" w:lineRule="auto"/>
      </w:pPr>
      <w:r>
        <w:t>L'analyse des données financières structurées pour l'exercice 2025 révèle une situation financière très fragile. Le chiffre d'affaires s'élève à 3,878 milliards FCFA, mais la société affiche une perte nette de -96,56 millions FCFA. La rentabilité est négative, avec un ROE de -27,07% et un ROA de -1,77%, indiquant une destruction de valeur pour les actionnaires. La structure financière est précaire : les capitaux propres ne représentent que 6,55% du total du bilan (356,75 millions FCFA pour 5,447 milliards d'actif), ce qui est très inférieur au seuil de 30% considéré comme sain. L'endettement est colossal, avec un ratio d'endettement de 93,45%. Cependant, le BFR est négatif (-930,47 millions FCFA), ce qui est un point positif pour une entreprise, car cela signifie qu'elle se fait financer par ses fournisseurs. En croisant ces données avec les rapports narratifs, on observe une évolution inquiétante. Le rapport du 3e trimestre 2025 (date inconnue) indique un CA de 3,456 milliards sur 9 mois, soit une croissance de +176% par rapport à 2024, portée par le projet de l'aéroport d'Abidjan. Malgré cette croissance, la perte nette sur 9 mois est de -477 millions FCFA, bien que la perte d'exploitation se soit réduite de moitié. Le rapport des états financiers 2024 (date inconnue) confirme la dégradation avec un CA de seulement 1,793 milliard FCFA et une perte de -348 millions. Enfin, les rapports de 2020-2021 montrent que la société était alors très rentable (CA de 15,9 milliards, résultat net de 2,32 milliards en 2020), soulignant une volatilité extrême de son activité. La recommandation fondamentale est donc **VENTE FORTE** en raison de la faiblesse chronique des fondamentaux, de l'endettement élevé et de l'absence de rentabilité, malgré une reprise d'activité récente.</w:t>
      </w:r>
    </w:p>
    <w:p>
      <w:pPr>
        <w:spacing w:after="120" w:line="276" w:lineRule="auto" w:before="240"/>
      </w:pPr>
      <w:r>
        <w:rPr>
          <w:b/>
          <w:color w:val="003366"/>
          <w:sz w:val="24"/>
        </w:rPr>
        <w:t>**PARTIE 4 : CONCLUSION D'INVESTISSEMENT**</w:t>
      </w:r>
    </w:p>
    <w:p>
      <w:pPr>
        <w:spacing w:after="120" w:line="276" w:lineRule="auto"/>
      </w:pPr>
      <w:r>
        <w:t>En synthèse, l'action STAC présente un tableau extrêmement contrasté. La **valorisation boursière** (Partie 0) est exorbitante au vu des fondamentaux, avec un PER négatif et un P/B stratosphérique, suggérant une bulle spéculative. Le **comportement du cours** (Partie 1) est celui d'un titre très volatil et en forte hausse récente, mais les statistiques montrent une distribution avec un bais baissier. Les **signaux techniques** (Partie 2) sont mitigés, avec une tendance haussière de fond qui s'essouffle face à des indicateurs de momentum baissiers. Enfin, les **fondamentaux** (Partie 3) sont très dégradés, avec des pertes récurrentes, un endettement élevé et une dépendance à un seul projet, même si une reprise d'activité est en cours. Les **prédictions IA** pour les 10 prochains jours anticipent une chute libre du cours, passant de 3 200 à 2 193 FCFA, soit une baisse de plus de 31%, ce qui contredit totalement la tendance haussière récente.</w:t>
      </w:r>
    </w:p>
    <w:p>
      <w:pPr>
        <w:spacing w:after="120" w:line="276" w:lineRule="auto"/>
      </w:pPr>
      <w:r>
        <w:t>Sur la base de cette synthèse, la convergence entre la valorisation excessive, les signaux techniques baissiers, les fondamentaux fragiles et les prédictions IA alarmantes est frappante. La recommandation finale est **VENTE FORTE**. Le niveau de confiance est **Élevé** et le niveau de risque global est **Très Élevé**. L'horizon d'investissement optimal est le **court terme (&lt; 3 mois)** pour les spéculateurs, mais pour tout autre profil, la sortie immédiate est conseillée afin d'éviter une perte en capital significative.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432.81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3,206 titres</w:t>
            </w:r>
          </w:p>
        </w:tc>
        <w:tc>
          <w:tcPr>
            <w:tcW w:type="dxa" w:w="2268"/>
            <w:shd w:fill="FFF2CC" w:val="clear"/>
          </w:tcPr>
          <w:p>
            <w:r>
              <w:rPr>
                <w:b/>
                <w:color w:val="503200"/>
                <w:sz w:val="16"/>
              </w:rPr>
              <w:t xml:space="preserve">Cours actuel : </w:t>
            </w:r>
            <w:r>
              <w:rPr>
                <w:color w:val="000000"/>
                <w:sz w:val="17"/>
              </w:rPr>
              <w:t>24,105 FCFA</w:t>
            </w:r>
          </w:p>
          <w:p>
            <w:r>
              <w:rPr>
                <w:b/>
                <w:color w:val="503200"/>
                <w:sz w:val="16"/>
              </w:rPr>
              <w:t xml:space="preserve">Var. 100 jours : </w:t>
            </w:r>
            <w:r>
              <w:rPr>
                <w:b/>
                <w:color w:val="007800"/>
                <w:sz w:val="17"/>
              </w:rPr>
              <w:t>+22.05%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5.24% (Moyenne) — μ=21,631 FCFA, σ=1,134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β=0.4175 (Défensif) — Cov=0.000017, Var(idx)=0.000042, ρ=0.172,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23,874</w:t>
            </w:r>
          </w:p>
        </w:tc>
        <w:tc>
          <w:tcPr>
            <w:tcW w:type="dxa" w:w="1440"/>
            <w:shd w:fill="FAFAFA" w:val="clear"/>
          </w:tcPr>
          <w:p>
            <w:r>
              <w:rPr>
                <w:b/>
                <w:sz w:val="17"/>
              </w:rPr>
              <w:t>24,565</w:t>
            </w:r>
          </w:p>
        </w:tc>
        <w:tc>
          <w:tcPr>
            <w:tcW w:type="dxa" w:w="1440"/>
            <w:shd w:fill="FAFAFA" w:val="clear"/>
          </w:tcPr>
          <w:p>
            <w:r>
              <w:rPr>
                <w:sz w:val="17"/>
              </w:rPr>
              <w:t>25,256</w:t>
            </w:r>
          </w:p>
        </w:tc>
        <w:tc>
          <w:tcPr>
            <w:tcW w:type="dxa" w:w="1440"/>
            <w:shd w:fill="FAFAFA" w:val="clear"/>
          </w:tcPr>
          <w:p>
            <w:r>
              <w:rPr>
                <w:b/>
                <w:color w:val="008000"/>
                <w:sz w:val="17"/>
              </w:rPr>
              <w:t>+1.9%</w:t>
            </w:r>
          </w:p>
        </w:tc>
      </w:tr>
      <w:tr>
        <w:tc>
          <w:tcPr>
            <w:tcW w:type="dxa" w:w="1440"/>
            <w:shd w:fill="C6EFCE" w:val="clear"/>
          </w:tcPr>
          <w:p>
            <w:r>
              <w:rPr>
                <w:sz w:val="17"/>
              </w:rPr>
              <w:t>J+2  Moyenne</w:t>
            </w:r>
          </w:p>
        </w:tc>
        <w:tc>
          <w:tcPr>
            <w:tcW w:type="dxa" w:w="1440"/>
            <w:shd w:fill="C6EFCE" w:val="clear"/>
          </w:tcPr>
          <w:p>
            <w:r>
              <w:rPr>
                <w:sz w:val="17"/>
              </w:rPr>
              <w:t>2026-07-14</w:t>
            </w:r>
          </w:p>
        </w:tc>
        <w:tc>
          <w:tcPr>
            <w:tcW w:type="dxa" w:w="1440"/>
            <w:shd w:fill="C6EFCE" w:val="clear"/>
          </w:tcPr>
          <w:p>
            <w:r>
              <w:rPr>
                <w:sz w:val="17"/>
              </w:rPr>
              <w:t>23,753</w:t>
            </w:r>
          </w:p>
        </w:tc>
        <w:tc>
          <w:tcPr>
            <w:tcW w:type="dxa" w:w="1440"/>
            <w:shd w:fill="C6EFCE" w:val="clear"/>
          </w:tcPr>
          <w:p>
            <w:r>
              <w:rPr>
                <w:b/>
                <w:sz w:val="17"/>
              </w:rPr>
              <w:t>24,736</w:t>
            </w:r>
          </w:p>
        </w:tc>
        <w:tc>
          <w:tcPr>
            <w:tcW w:type="dxa" w:w="1440"/>
            <w:shd w:fill="C6EFCE" w:val="clear"/>
          </w:tcPr>
          <w:p>
            <w:r>
              <w:rPr>
                <w:sz w:val="17"/>
              </w:rPr>
              <w:t>25,720</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2026-07-15</w:t>
            </w:r>
          </w:p>
        </w:tc>
        <w:tc>
          <w:tcPr>
            <w:tcW w:type="dxa" w:w="1440"/>
            <w:shd w:fill="C6EFCE" w:val="clear"/>
          </w:tcPr>
          <w:p>
            <w:r>
              <w:rPr>
                <w:sz w:val="17"/>
              </w:rPr>
              <w:t>23,710</w:t>
            </w:r>
          </w:p>
        </w:tc>
        <w:tc>
          <w:tcPr>
            <w:tcW w:type="dxa" w:w="1440"/>
            <w:shd w:fill="C6EFCE" w:val="clear"/>
          </w:tcPr>
          <w:p>
            <w:r>
              <w:rPr>
                <w:b/>
                <w:sz w:val="17"/>
              </w:rPr>
              <w:t>24,924</w:t>
            </w:r>
          </w:p>
        </w:tc>
        <w:tc>
          <w:tcPr>
            <w:tcW w:type="dxa" w:w="1440"/>
            <w:shd w:fill="C6EFCE" w:val="clear"/>
          </w:tcPr>
          <w:p>
            <w:r>
              <w:rPr>
                <w:sz w:val="17"/>
              </w:rPr>
              <w:t>26,138</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2026-07-16</w:t>
            </w:r>
          </w:p>
        </w:tc>
        <w:tc>
          <w:tcPr>
            <w:tcW w:type="dxa" w:w="1440"/>
            <w:shd w:fill="C6EFCE" w:val="clear"/>
          </w:tcPr>
          <w:p>
            <w:r>
              <w:rPr>
                <w:sz w:val="17"/>
              </w:rPr>
              <w:t>23,736</w:t>
            </w:r>
          </w:p>
        </w:tc>
        <w:tc>
          <w:tcPr>
            <w:tcW w:type="dxa" w:w="1440"/>
            <w:shd w:fill="C6EFCE" w:val="clear"/>
          </w:tcPr>
          <w:p>
            <w:r>
              <w:rPr>
                <w:b/>
                <w:sz w:val="17"/>
              </w:rPr>
              <w:t>25,150</w:t>
            </w:r>
          </w:p>
        </w:tc>
        <w:tc>
          <w:tcPr>
            <w:tcW w:type="dxa" w:w="1440"/>
            <w:shd w:fill="C6EFCE" w:val="clear"/>
          </w:tcPr>
          <w:p>
            <w:r>
              <w:rPr>
                <w:sz w:val="17"/>
              </w:rPr>
              <w:t>26,565</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2026-07-17</w:t>
            </w:r>
          </w:p>
        </w:tc>
        <w:tc>
          <w:tcPr>
            <w:tcW w:type="dxa" w:w="1440"/>
            <w:shd w:fill="C6EFCE" w:val="clear"/>
          </w:tcPr>
          <w:p>
            <w:r>
              <w:rPr>
                <w:sz w:val="17"/>
              </w:rPr>
              <w:t>23,785</w:t>
            </w:r>
          </w:p>
        </w:tc>
        <w:tc>
          <w:tcPr>
            <w:tcW w:type="dxa" w:w="1440"/>
            <w:shd w:fill="C6EFCE" w:val="clear"/>
          </w:tcPr>
          <w:p>
            <w:r>
              <w:rPr>
                <w:b/>
                <w:sz w:val="17"/>
              </w:rPr>
              <w:t>25,381</w:t>
            </w:r>
          </w:p>
        </w:tc>
        <w:tc>
          <w:tcPr>
            <w:tcW w:type="dxa" w:w="1440"/>
            <w:shd w:fill="C6EFCE" w:val="clear"/>
          </w:tcPr>
          <w:p>
            <w:r>
              <w:rPr>
                <w:sz w:val="17"/>
              </w:rPr>
              <w:t>26,977</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2026-07-20</w:t>
            </w:r>
          </w:p>
        </w:tc>
        <w:tc>
          <w:tcPr>
            <w:tcW w:type="dxa" w:w="1440"/>
            <w:shd w:fill="C6EFCE" w:val="clear"/>
          </w:tcPr>
          <w:p>
            <w:r>
              <w:rPr>
                <w:sz w:val="17"/>
              </w:rPr>
              <w:t>23,841</w:t>
            </w:r>
          </w:p>
        </w:tc>
        <w:tc>
          <w:tcPr>
            <w:tcW w:type="dxa" w:w="1440"/>
            <w:shd w:fill="C6EFCE" w:val="clear"/>
          </w:tcPr>
          <w:p>
            <w:r>
              <w:rPr>
                <w:b/>
                <w:sz w:val="17"/>
              </w:rPr>
              <w:t>25,605</w:t>
            </w:r>
          </w:p>
        </w:tc>
        <w:tc>
          <w:tcPr>
            <w:tcW w:type="dxa" w:w="1440"/>
            <w:shd w:fill="C6EFCE" w:val="clear"/>
          </w:tcPr>
          <w:p>
            <w:r>
              <w:rPr>
                <w:sz w:val="17"/>
              </w:rPr>
              <w:t>27,368</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2026-07-21</w:t>
            </w:r>
          </w:p>
        </w:tc>
        <w:tc>
          <w:tcPr>
            <w:tcW w:type="dxa" w:w="1440"/>
            <w:shd w:fill="C6EFCE" w:val="clear"/>
          </w:tcPr>
          <w:p>
            <w:r>
              <w:rPr>
                <w:sz w:val="17"/>
              </w:rPr>
              <w:t>23,904</w:t>
            </w:r>
          </w:p>
        </w:tc>
        <w:tc>
          <w:tcPr>
            <w:tcW w:type="dxa" w:w="1440"/>
            <w:shd w:fill="C6EFCE" w:val="clear"/>
          </w:tcPr>
          <w:p>
            <w:r>
              <w:rPr>
                <w:b/>
                <w:sz w:val="17"/>
              </w:rPr>
              <w:t>25,825</w:t>
            </w:r>
          </w:p>
        </w:tc>
        <w:tc>
          <w:tcPr>
            <w:tcW w:type="dxa" w:w="1440"/>
            <w:shd w:fill="C6EFCE" w:val="clear"/>
          </w:tcPr>
          <w:p>
            <w:r>
              <w:rPr>
                <w:sz w:val="17"/>
              </w:rPr>
              <w:t>27,746</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2026-07-22</w:t>
            </w:r>
          </w:p>
        </w:tc>
        <w:tc>
          <w:tcPr>
            <w:tcW w:type="dxa" w:w="1440"/>
            <w:shd w:fill="C6EFCE" w:val="clear"/>
          </w:tcPr>
          <w:p>
            <w:r>
              <w:rPr>
                <w:sz w:val="17"/>
              </w:rPr>
              <w:t>23,965</w:t>
            </w:r>
          </w:p>
        </w:tc>
        <w:tc>
          <w:tcPr>
            <w:tcW w:type="dxa" w:w="1440"/>
            <w:shd w:fill="C6EFCE" w:val="clear"/>
          </w:tcPr>
          <w:p>
            <w:r>
              <w:rPr>
                <w:b/>
                <w:sz w:val="17"/>
              </w:rPr>
              <w:t>26,036</w:t>
            </w:r>
          </w:p>
        </w:tc>
        <w:tc>
          <w:tcPr>
            <w:tcW w:type="dxa" w:w="1440"/>
            <w:shd w:fill="C6EFCE" w:val="clear"/>
          </w:tcPr>
          <w:p>
            <w:r>
              <w:rPr>
                <w:sz w:val="17"/>
              </w:rPr>
              <w:t>28,106</w:t>
            </w:r>
          </w:p>
        </w:tc>
        <w:tc>
          <w:tcPr>
            <w:tcW w:type="dxa" w:w="1440"/>
            <w:shd w:fill="C6EFCE" w:val="clear"/>
          </w:tcPr>
          <w:p>
            <w:r>
              <w:rPr>
                <w:b/>
                <w:color w:val="008000"/>
                <w:sz w:val="17"/>
              </w:rPr>
              <w:t>+8.0%</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24,015</w:t>
            </w:r>
          </w:p>
        </w:tc>
        <w:tc>
          <w:tcPr>
            <w:tcW w:type="dxa" w:w="1440"/>
            <w:shd w:fill="C6EFCE" w:val="clear"/>
          </w:tcPr>
          <w:p>
            <w:r>
              <w:rPr>
                <w:b/>
                <w:sz w:val="17"/>
              </w:rPr>
              <w:t>26,227</w:t>
            </w:r>
          </w:p>
        </w:tc>
        <w:tc>
          <w:tcPr>
            <w:tcW w:type="dxa" w:w="1440"/>
            <w:shd w:fill="C6EFCE" w:val="clear"/>
          </w:tcPr>
          <w:p>
            <w:r>
              <w:rPr>
                <w:sz w:val="17"/>
              </w:rPr>
              <w:t>28,440</w:t>
            </w:r>
          </w:p>
        </w:tc>
        <w:tc>
          <w:tcPr>
            <w:tcW w:type="dxa" w:w="1440"/>
            <w:shd w:fill="C6EFCE" w:val="clear"/>
          </w:tcPr>
          <w:p>
            <w:r>
              <w:rPr>
                <w:b/>
                <w:color w:val="008000"/>
                <w:sz w:val="17"/>
              </w:rPr>
              <w:t>+8.8%</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24,066</w:t>
            </w:r>
          </w:p>
        </w:tc>
        <w:tc>
          <w:tcPr>
            <w:tcW w:type="dxa" w:w="1440"/>
            <w:shd w:fill="C6EFCE" w:val="clear"/>
          </w:tcPr>
          <w:p>
            <w:r>
              <w:rPr>
                <w:b/>
                <w:sz w:val="17"/>
              </w:rPr>
              <w:t>26,415</w:t>
            </w:r>
          </w:p>
        </w:tc>
        <w:tc>
          <w:tcPr>
            <w:tcW w:type="dxa" w:w="1440"/>
            <w:shd w:fill="C6EFCE" w:val="clear"/>
          </w:tcPr>
          <w:p>
            <w:r>
              <w:rPr>
                <w:sz w:val="17"/>
              </w:rPr>
              <w:t>28,763</w:t>
            </w:r>
          </w:p>
        </w:tc>
        <w:tc>
          <w:tcPr>
            <w:tcW w:type="dxa" w:w="1440"/>
            <w:shd w:fill="C6EFCE" w:val="clear"/>
          </w:tcPr>
          <w:p>
            <w:r>
              <w:rPr>
                <w:b/>
                <w:color w:val="008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Absolument. Voici le rapport d'analyse structuré pour l'action STBC (SITAB), conforme à vos instructions.</w:t>
      </w:r>
    </w:p>
    <w:p>
      <w:pPr>
        <w:spacing w:after="120" w:line="276" w:lineRule="auto"/>
      </w:pPr>
      <w:r>
        <w:t>---</w:t>
      </w:r>
    </w:p>
    <w:p>
      <w:pPr>
        <w:spacing w:after="120" w:line="276" w:lineRule="auto"/>
      </w:pPr>
      <w:r>
        <w:t>### **RAPPORT D'ANALYSE FINANCIÈRE – STBC (SITAB)**</w:t>
      </w:r>
    </w:p>
    <w:p>
      <w:pPr>
        <w:spacing w:after="120" w:line="276" w:lineRule="auto" w:before="240"/>
      </w:pPr>
      <w:r>
        <w:rPr>
          <w:b/>
          <w:color w:val="003366"/>
          <w:sz w:val="24"/>
        </w:rPr>
        <w:t>**PARTIE 0 : INDICATEURS DE VALORISATION BOURSIÈRE**</w:t>
      </w:r>
    </w:p>
    <w:p>
      <w:pPr>
        <w:spacing w:after="120" w:line="276" w:lineRule="auto"/>
      </w:pPr>
      <w:r>
        <w:t>Avec une capitalisation boursière de 432,81 milliards FCFA, STBC se positionne comme une valeur de premier plan sur la BRVM, reflétant sa position dominante sur le marché ivoirien du tabac. Le BPA de 2 014 FCFA indique que chaque action a généré un bénéfice substantiel, ce qui, rapporté au cours actuel, donne un PER de 12,0x. Ce ratio est légèrement supérieur à la moyenne historique de la BRVM (8-12x), suggérant une valorisation raisonnable mais non décotée, les investisseurs acceptant de payer une prime modeste pour la qualité de l'entreprise. En revanche, le P/B de 9,55x est très élevé, indiquant que le marché valorise l'action près de 10 fois sa valeur comptable, ce qui est typique des sociétés à forte rentabilité et à faible base d'actifs tangibles. Enfin, l'EV/EBITDA de 8,7x se situe dans une fourchette raisonnable, confirmant que la valorisation de l'entreprise par rapport à sa capacité opérationnelle n'est pas excessive.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performance remarquable avec une hausse totale de +22,05%, bien que la dernière séance ait enregistré un léger repli de -0,80% à 24 105 FCFA. Le titre a évolué dans une fourchette large de 19 705 FCFA (plus bas) à 25 000 FCFA (plus haut), démontrant une forte dynamique haussière. L'analyse des statistiques descriptives révèle que le cours moyen (21 631 FCFA) est très proche de la médiane (21 450 FCFA), indiquant une distribution relativement symétrique malgré un skewness positif de 1,265, ce qui signifie que les journées de baisse sous la moyenne ont été plus fréquentes mais de faible ampleur. L'écart-type de 1 139 FCFA, combiné à un coefficient de variation de 5,3%, témoigne d'une dispersion modérée du cours autour de sa moyenne. Le kurtosis excédentaire de 1,550 (leptokurtique) est un signal d'alerte, suggérant un risque de mouvements extrêmes et de "pics" de volatilité. Enfin, la volatilité annualisée de 24,6% classe le titre dans la catégorie "modérée", ce qui est acceptable pour une valeur de cette envergure.</w:t>
      </w:r>
    </w:p>
    <w:p>
      <w:pPr>
        <w:spacing w:after="120" w:line="276" w:lineRule="auto" w:before="240"/>
      </w:pPr>
      <w:r>
        <w:rPr>
          <w:b/>
          <w:color w:val="003366"/>
          <w:sz w:val="24"/>
        </w:rPr>
        <w:t>**PARTIE 2 : ANALYSE TECHNIQUE DÉTAILLÉE**</w:t>
      </w:r>
    </w:p>
    <w:p>
      <w:pPr>
        <w:spacing w:after="120" w:line="276" w:lineRule="auto"/>
      </w:pPr>
      <w:r>
        <w:t>- **Moyennes Mobiles**: Le cours actuel (24 105 FCFA) se situe nettement au-dessus de la MM20 (23 412 FCFA) et de la MM50 (22 060 FCFA), formant une configuration haussière classique. La pente ascendante de ces moyennes confirme la solidité de la tendance de fond, justifiant la décision d'**Achat**.</w:t>
      </w:r>
    </w:p>
    <w:p>
      <w:pPr>
        <w:spacing w:after="120" w:line="276" w:lineRule="auto"/>
      </w:pPr>
      <w:r>
        <w:t>- **Bandes de Bollinger**: Le cours évolue dans la partie haute du canal, proche de la borne supérieure (25 661 FCFA) et loin de la borne inférieure (21 163 FCFA). Cela indique une pression acheteuse soutenue mais aussi un risque de retour vers la moyenne. La décision est **Neutre**, car le titre n'est pas en situation de surachat extrême mais la marge de progression immédiate semble limitée.</w:t>
      </w:r>
    </w:p>
    <w:p>
      <w:pPr>
        <w:spacing w:after="120" w:line="276" w:lineRule="auto"/>
      </w:pPr>
      <w:r>
        <w:t>- **MACD**: Le MACD (701,57) est très proche de sa ligne de signal (704,99), avec une valeur quasi-identique. Cette quasi-absence d'écart indique un momentum atone et une perte de vigueur de la tendance haussière récente. La décision de **Vente** est un signal de prudence, suggérant une possible consolidation ou correction à court terme.</w:t>
      </w:r>
    </w:p>
    <w:p>
      <w:pPr>
        <w:spacing w:after="120" w:line="276" w:lineRule="auto"/>
      </w:pPr>
      <w:r>
        <w:t>- **RSI**: Avec une valeur de 67,07, le RSI se situe en zone neutre-haute, sans être en surachat (seuil à 70). Cela indique que la dynamique haussière est toujours présente mais qu'elle n'est pas excessive. La décision **Neutre** est cohérente avec une tendance positive qui pourrait s'essouffler.</w:t>
      </w:r>
    </w:p>
    <w:p>
      <w:pPr>
        <w:spacing w:after="120" w:line="276" w:lineRule="auto"/>
      </w:pPr>
      <w:r>
        <w:t>- **Stochastique**: Les %K (70,17) et %D (71,78) sont également en zone neutre-haute et très proches l'un de l'autre. L'absence de croisement clair ne fournit pas de signal directionnel fort. La décision **Neutre** confirme l'absence de catalyseur technique immédiat.</w:t>
      </w:r>
    </w:p>
    <w:p>
      <w:pPr>
        <w:spacing w:after="120" w:line="276" w:lineRule="auto"/>
      </w:pPr>
      <w:r>
        <w:t>**Conclusion technique**: La tendance de fond, portée par les moyennes mobiles, reste clairement haussière. Cependant, les indicateurs de momentum (MACD, RSI, Stochastique) montrent des signes d'essoufflement et de consolidation. Le signal de vente du MACD, bien que faible, est un avertissement. Le titre semble chercher un nouveau catalyseur pour franchir la résistance des 25 000 FCFA.</w:t>
      </w:r>
    </w:p>
    <w:p>
      <w:pPr>
        <w:spacing w:after="120" w:line="276" w:lineRule="auto" w:before="240"/>
      </w:pPr>
      <w:r>
        <w:rPr>
          <w:b/>
          <w:color w:val="003366"/>
          <w:sz w:val="24"/>
        </w:rPr>
        <w:t>**PARTIE 3 : ANALYSE FONDAMENTALE (SECTION CRITIQUE)**</w:t>
      </w:r>
    </w:p>
    <w:p>
      <w:pPr>
        <w:spacing w:after="120" w:line="276" w:lineRule="auto"/>
      </w:pPr>
      <w:r>
        <w:t>En 2025, selon les données financières structurées, STBC a réalisé un chiffre d'affaires de 268,537 milliards FCFA, en hausse de +25,3% par rapport à 2024. Cependant, le résultat net a reculé de 18,1% à 36,158 milliards FCFA, principalement en raison de l'augmentation des droits d'accises sur le tabac (passés de 49% à 70% en janvier 2025), ce qui a comprimé les marges. La marge nette est ainsi passée de 20,4% en 2024 à 13,5% en 2025. Malgré cette baisse, la rentabilité reste excellente, avec un ROE de 79,75% et un ROA de 48,09%, des niveaux très élevés qui témoignent d'une utilisation extrêmement efficace de ses capitaux propres et de ses actifs. La structure financière est saine, avec une trésorerie nette de 30,763 milliards FCFA et une absence quasi-totale de dette financière (0,0031% de dépendance financière). Sur la base du rapport du 1er trimestre 2026 (daté de 2026), le chiffre d'affaires a progressé de 12% à 68,8 milliards FCFA, porté par une reprise des volumes de vente (+10%), signe d'un redressement de la dynamique commerciale. On estime que l'exercice 2026 pourrait voir une stabilisation des marges, avec un résultat net potentiellement en légère hausse si la maîtrise des charges se confirme. La politique de dividende reste très généreuse, avec un taux de distribution de 105% en 2025, un niveau non soutenable à long terme mais qui reflète la volonté de récompenser les actionnaires.</w:t>
      </w:r>
    </w:p>
    <w:p>
      <w:pPr>
        <w:spacing w:after="120" w:line="276" w:lineRule="auto" w:before="240"/>
      </w:pPr>
      <w:r>
        <w:rPr>
          <w:b/>
          <w:color w:val="003366"/>
          <w:sz w:val="24"/>
        </w:rPr>
        <w:t>**PARTIE 4 : CONCLUSION D'INVESTISSEMENT**</w:t>
      </w:r>
    </w:p>
    <w:p>
      <w:pPr>
        <w:spacing w:after="120" w:line="276" w:lineRule="auto"/>
      </w:pPr>
      <w:r>
        <w:t>La valorisation de STBC (PER de 12,0x) est raisonnable pour une entreprise de cette qualité, mais le P/B très élevé (9,55x) et la dégradation des marges en 2025 incitent à la prudence. Le comportement du cours sur 100 jours est très positif (+22%), mais les statistiques (kurtosis élevé) et les signaux techniques mitigés (tendance haussière mais momentum atone) suggèrent un possible essoufflement à court terme. Les fondamentaux restent solides, avec une rentabilité exceptionnelle (ROE &gt; 79%) et une situation financière saine, mais la pression fiscale et la politique de dividende excessive sont des risques à surveiller. Les prédictions IA pour les 10 prochains jours (hausse modérée jusqu'à 25 381 FCFA) confirment une tendance positive mais sans explosion, en ligne avec les signaux techniques. En synthèse, la convergence entre la valorisation correcte, la tendance haussière du cours, les fondamentaux solides et les prédictions positives l'emporte sur les signaux techniques de court terme. Nous recommandons donc de **CONSERVER** le titre pour un horizon de **moyen à long terme** (6-12 mois). Le niveau de confiance est **Moyen**, principalement en raison de l'incertitude sur l'évolution des marges, et le risque global est jugé **Moyen**. Les investisseurs pourront profiter d'un rendement de dividende attractif tout en attendant une clarification sur la capacité de la société à restaurer sa rentabilité nette.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176.29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10,130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+14.29%</w:t>
            </w:r>
          </w:p>
          <w:p>
            <w:r>
              <w:rPr>
                <w:b/>
                <w:color w:val="503200"/>
                <w:sz w:val="16"/>
              </w:rPr>
              <w:t xml:space="preserve">Plus haut 100j : </w:t>
            </w:r>
            <w:r>
              <w:rPr>
                <w:color w:val="000000"/>
                <w:sz w:val="17"/>
              </w:rPr>
              <w:t>3,160 FCFA</w:t>
            </w:r>
          </w:p>
          <w:p>
            <w:r>
              <w:rPr>
                <w:b/>
                <w:color w:val="503200"/>
                <w:sz w:val="16"/>
              </w:rPr>
              <w:t xml:space="preserve">Plus bas 100j : </w:t>
            </w:r>
            <w:r>
              <w:rPr>
                <w:color w:val="000000"/>
                <w:sz w:val="17"/>
              </w:rPr>
              <w:t>2,450 FCFA</w:t>
            </w:r>
          </w:p>
          <w:p>
            <w:r>
              <w:rPr>
                <w:b/>
                <w:color w:val="503200"/>
                <w:sz w:val="16"/>
              </w:rPr>
              <w:t xml:space="preserve">Volatilité ann. : </w:t>
            </w:r>
            <w:r>
              <w:rPr>
                <w:color w:val="000000"/>
                <w:sz w:val="17"/>
              </w:rPr>
              <w:t>39.0%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4.57% (Faible) — μ=2,812 FCFA, σ=128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β=0.2149 (Défensif) — Cov=0.000009, Var(idx)=0.000042, ρ=0.056,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2026-07-13</w:t>
            </w:r>
          </w:p>
        </w:tc>
        <w:tc>
          <w:tcPr>
            <w:tcW w:type="dxa" w:w="1440"/>
            <w:shd w:fill="FAFAFA" w:val="clear"/>
          </w:tcPr>
          <w:p>
            <w:r>
              <w:rPr>
                <w:sz w:val="17"/>
              </w:rPr>
              <w:t>2,726</w:t>
            </w:r>
          </w:p>
        </w:tc>
        <w:tc>
          <w:tcPr>
            <w:tcW w:type="dxa" w:w="1440"/>
            <w:shd w:fill="FAFAFA" w:val="clear"/>
          </w:tcPr>
          <w:p>
            <w:r>
              <w:rPr>
                <w:b/>
                <w:sz w:val="17"/>
              </w:rPr>
              <w:t>2,812</w:t>
            </w:r>
          </w:p>
        </w:tc>
        <w:tc>
          <w:tcPr>
            <w:tcW w:type="dxa" w:w="1440"/>
            <w:shd w:fill="FAFAFA" w:val="clear"/>
          </w:tcPr>
          <w:p>
            <w:r>
              <w:rPr>
                <w:sz w:val="17"/>
              </w:rPr>
              <w:t>2,897</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2026-07-14</w:t>
            </w:r>
          </w:p>
        </w:tc>
        <w:tc>
          <w:tcPr>
            <w:tcW w:type="dxa" w:w="1440"/>
            <w:shd w:fill="FAFAFA" w:val="clear"/>
          </w:tcPr>
          <w:p>
            <w:r>
              <w:rPr>
                <w:sz w:val="17"/>
              </w:rPr>
              <w:t>2,685</w:t>
            </w:r>
          </w:p>
        </w:tc>
        <w:tc>
          <w:tcPr>
            <w:tcW w:type="dxa" w:w="1440"/>
            <w:shd w:fill="FAFAFA" w:val="clear"/>
          </w:tcPr>
          <w:p>
            <w:r>
              <w:rPr>
                <w:b/>
                <w:sz w:val="17"/>
              </w:rPr>
              <w:t>2,805</w:t>
            </w:r>
          </w:p>
        </w:tc>
        <w:tc>
          <w:tcPr>
            <w:tcW w:type="dxa" w:w="1440"/>
            <w:shd w:fill="FAFAFA" w:val="clear"/>
          </w:tcPr>
          <w:p>
            <w:r>
              <w:rPr>
                <w:sz w:val="17"/>
              </w:rPr>
              <w:t>2,926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2026-07-15</w:t>
            </w:r>
          </w:p>
        </w:tc>
        <w:tc>
          <w:tcPr>
            <w:tcW w:type="dxa" w:w="1440"/>
            <w:shd w:fill="FAFAFA" w:val="clear"/>
          </w:tcPr>
          <w:p>
            <w:r>
              <w:rPr>
                <w:sz w:val="17"/>
              </w:rPr>
              <w:t>2,657</w:t>
            </w:r>
          </w:p>
        </w:tc>
        <w:tc>
          <w:tcPr>
            <w:tcW w:type="dxa" w:w="1440"/>
            <w:shd w:fill="FAFAFA" w:val="clear"/>
          </w:tcPr>
          <w:p>
            <w:r>
              <w:rPr>
                <w:b/>
                <w:sz w:val="17"/>
              </w:rPr>
              <w:t>2,805</w:t>
            </w:r>
          </w:p>
        </w:tc>
        <w:tc>
          <w:tcPr>
            <w:tcW w:type="dxa" w:w="1440"/>
            <w:shd w:fill="FAFAFA" w:val="clear"/>
          </w:tcPr>
          <w:p>
            <w:r>
              <w:rPr>
                <w:sz w:val="17"/>
              </w:rPr>
              <w:t>2,952</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2026-07-16</w:t>
            </w:r>
          </w:p>
        </w:tc>
        <w:tc>
          <w:tcPr>
            <w:tcW w:type="dxa" w:w="1440"/>
            <w:shd w:fill="FAFAFA" w:val="clear"/>
          </w:tcPr>
          <w:p>
            <w:r>
              <w:rPr>
                <w:sz w:val="17"/>
              </w:rPr>
              <w:t>2,632</w:t>
            </w:r>
          </w:p>
        </w:tc>
        <w:tc>
          <w:tcPr>
            <w:tcW w:type="dxa" w:w="1440"/>
            <w:shd w:fill="FAFAFA" w:val="clear"/>
          </w:tcPr>
          <w:p>
            <w:r>
              <w:rPr>
                <w:b/>
                <w:sz w:val="17"/>
              </w:rPr>
              <w:t>2,802</w:t>
            </w:r>
          </w:p>
        </w:tc>
        <w:tc>
          <w:tcPr>
            <w:tcW w:type="dxa" w:w="1440"/>
            <w:shd w:fill="FAFAFA" w:val="clear"/>
          </w:tcPr>
          <w:p>
            <w:r>
              <w:rPr>
                <w:sz w:val="17"/>
              </w:rPr>
              <w:t>2,973</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2026-07-17</w:t>
            </w:r>
          </w:p>
        </w:tc>
        <w:tc>
          <w:tcPr>
            <w:tcW w:type="dxa" w:w="1440"/>
            <w:shd w:fill="FAFAFA" w:val="clear"/>
          </w:tcPr>
          <w:p>
            <w:r>
              <w:rPr>
                <w:sz w:val="17"/>
              </w:rPr>
              <w:t>2,609</w:t>
            </w:r>
          </w:p>
        </w:tc>
        <w:tc>
          <w:tcPr>
            <w:tcW w:type="dxa" w:w="1440"/>
            <w:shd w:fill="FAFAFA" w:val="clear"/>
          </w:tcPr>
          <w:p>
            <w:r>
              <w:rPr>
                <w:b/>
                <w:sz w:val="17"/>
              </w:rPr>
              <w:t>2,799</w:t>
            </w:r>
          </w:p>
        </w:tc>
        <w:tc>
          <w:tcPr>
            <w:tcW w:type="dxa" w:w="1440"/>
            <w:shd w:fill="FAFAFA" w:val="clear"/>
          </w:tcPr>
          <w:p>
            <w:r>
              <w:rPr>
                <w:sz w:val="17"/>
              </w:rPr>
              <w:t>2,990</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2026-07-20</w:t>
            </w:r>
          </w:p>
        </w:tc>
        <w:tc>
          <w:tcPr>
            <w:tcW w:type="dxa" w:w="1440"/>
            <w:shd w:fill="FAFAFA" w:val="clear"/>
          </w:tcPr>
          <w:p>
            <w:r>
              <w:rPr>
                <w:sz w:val="17"/>
              </w:rPr>
              <w:t>2,588</w:t>
            </w:r>
          </w:p>
        </w:tc>
        <w:tc>
          <w:tcPr>
            <w:tcW w:type="dxa" w:w="1440"/>
            <w:shd w:fill="FAFAFA" w:val="clear"/>
          </w:tcPr>
          <w:p>
            <w:r>
              <w:rPr>
                <w:b/>
                <w:sz w:val="17"/>
              </w:rPr>
              <w:t>2,796</w:t>
            </w:r>
          </w:p>
        </w:tc>
        <w:tc>
          <w:tcPr>
            <w:tcW w:type="dxa" w:w="1440"/>
            <w:shd w:fill="FAFAFA" w:val="clear"/>
          </w:tcPr>
          <w:p>
            <w:r>
              <w:rPr>
                <w:sz w:val="17"/>
              </w:rPr>
              <w:t>3,004</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2026-07-21</w:t>
            </w:r>
          </w:p>
        </w:tc>
        <w:tc>
          <w:tcPr>
            <w:tcW w:type="dxa" w:w="1440"/>
            <w:shd w:fill="FAFAFA" w:val="clear"/>
          </w:tcPr>
          <w:p>
            <w:r>
              <w:rPr>
                <w:sz w:val="17"/>
              </w:rPr>
              <w:t>2,568</w:t>
            </w:r>
          </w:p>
        </w:tc>
        <w:tc>
          <w:tcPr>
            <w:tcW w:type="dxa" w:w="1440"/>
            <w:shd w:fill="FAFAFA" w:val="clear"/>
          </w:tcPr>
          <w:p>
            <w:r>
              <w:rPr>
                <w:b/>
                <w:sz w:val="17"/>
              </w:rPr>
              <w:t>2,792</w:t>
            </w:r>
          </w:p>
        </w:tc>
        <w:tc>
          <w:tcPr>
            <w:tcW w:type="dxa" w:w="1440"/>
            <w:shd w:fill="FAFAFA" w:val="clear"/>
          </w:tcPr>
          <w:p>
            <w:r>
              <w:rPr>
                <w:sz w:val="17"/>
              </w:rPr>
              <w:t>3,017</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2026-07-22</w:t>
            </w:r>
          </w:p>
        </w:tc>
        <w:tc>
          <w:tcPr>
            <w:tcW w:type="dxa" w:w="1440"/>
            <w:shd w:fill="FAFAFA" w:val="clear"/>
          </w:tcPr>
          <w:p>
            <w:r>
              <w:rPr>
                <w:sz w:val="17"/>
              </w:rPr>
              <w:t>2,549</w:t>
            </w:r>
          </w:p>
        </w:tc>
        <w:tc>
          <w:tcPr>
            <w:tcW w:type="dxa" w:w="1440"/>
            <w:shd w:fill="FAFAFA" w:val="clear"/>
          </w:tcPr>
          <w:p>
            <w:r>
              <w:rPr>
                <w:b/>
                <w:sz w:val="17"/>
              </w:rPr>
              <w:t>2,789</w:t>
            </w:r>
          </w:p>
        </w:tc>
        <w:tc>
          <w:tcPr>
            <w:tcW w:type="dxa" w:w="1440"/>
            <w:shd w:fill="FAFAFA" w:val="clear"/>
          </w:tcPr>
          <w:p>
            <w:r>
              <w:rPr>
                <w:sz w:val="17"/>
              </w:rPr>
              <w:t>3,029</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2026-07-23</w:t>
            </w:r>
          </w:p>
        </w:tc>
        <w:tc>
          <w:tcPr>
            <w:tcW w:type="dxa" w:w="1440"/>
            <w:shd w:fill="FAFAFA" w:val="clear"/>
          </w:tcPr>
          <w:p>
            <w:r>
              <w:rPr>
                <w:sz w:val="17"/>
              </w:rPr>
              <w:t>2,531</w:t>
            </w:r>
          </w:p>
        </w:tc>
        <w:tc>
          <w:tcPr>
            <w:tcW w:type="dxa" w:w="1440"/>
            <w:shd w:fill="FAFAFA" w:val="clear"/>
          </w:tcPr>
          <w:p>
            <w:r>
              <w:rPr>
                <w:b/>
                <w:sz w:val="17"/>
              </w:rPr>
              <w:t>2,785</w:t>
            </w:r>
          </w:p>
        </w:tc>
        <w:tc>
          <w:tcPr>
            <w:tcW w:type="dxa" w:w="1440"/>
            <w:shd w:fill="FAFAFA" w:val="clear"/>
          </w:tcPr>
          <w:p>
            <w:r>
              <w:rPr>
                <w:sz w:val="17"/>
              </w:rPr>
              <w:t>3,039</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2026-07-24</w:t>
            </w:r>
          </w:p>
        </w:tc>
        <w:tc>
          <w:tcPr>
            <w:tcW w:type="dxa" w:w="1440"/>
            <w:shd w:fill="FAFAFA" w:val="clear"/>
          </w:tcPr>
          <w:p>
            <w:r>
              <w:rPr>
                <w:sz w:val="17"/>
              </w:rPr>
              <w:t>2,514</w:t>
            </w:r>
          </w:p>
        </w:tc>
        <w:tc>
          <w:tcPr>
            <w:tcW w:type="dxa" w:w="1440"/>
            <w:shd w:fill="FAFAFA" w:val="clear"/>
          </w:tcPr>
          <w:p>
            <w:r>
              <w:rPr>
                <w:b/>
                <w:sz w:val="17"/>
              </w:rPr>
              <w:t>2,782</w:t>
            </w:r>
          </w:p>
        </w:tc>
        <w:tc>
          <w:tcPr>
            <w:tcW w:type="dxa" w:w="1440"/>
            <w:shd w:fill="FAFAFA" w:val="clear"/>
          </w:tcPr>
          <w:p>
            <w:r>
              <w:rPr>
                <w:sz w:val="17"/>
              </w:rPr>
              <w:t>3,049</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Absolument. Voici le rapport d'analyse structuré pour l'action TTLC (TotalEnergies Marketing Côte d'Ivoire), généré par un analyste financier professionnel spécialisé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176,29 milliards FCFA, TTLC se positionne comme une valeur de premier plan sur la BRVM, reflétant sa stature de leader dans le secteur pétrolier ivoirien. Le Bénéfice Par Action (BPA) de 144 FCFA, combiné à un cours de 2 800 FCFA, donne un Price Earning Ratio (PER) de 19,4x. Ce ratio est significativement supérieur à la moyenne historique du marché BRVM (8-12x), indiquant que les investisseurs sont prêts à payer une prime substantielle pour les bénéfices de la société, probablement en raison de sa solidité et de sa politique de dividende. Le Price to Book (P/B) de 4,87x confirme cette prime, le marché valorisant l'actif net comptable près de cinq fois sa valeur, ce qui est exigeant. Enfin, le ratio EV/EBITDA de 10,3x, bien que dans une fourchette élevée (10-15x), suggère que la valeur totale de l'entreprise reste soutenable par sa capacité opérationnelle à générer des profits avant intérêts, impôts et amortissements.</w:t>
      </w:r>
    </w:p>
    <w:p>
      <w:pPr>
        <w:spacing w:after="120" w:line="276" w:lineRule="auto"/>
      </w:pPr>
      <w:r>
        <w:t>### **PARTIE 1 : ANALYSE DU COURS — STATISTIQUES ET ÉVOLUTION (100 derniers jours)**</w:t>
      </w:r>
    </w:p>
    <w:p>
      <w:pPr>
        <w:spacing w:after="120" w:line="276" w:lineRule="auto"/>
      </w:pPr>
      <w:r>
        <w:t>Sur les 100 derniers jours, l'action TTLC affiche une performance positive de +14,29%, mais la dernière séance enregistre un net repli de -4,11% à 2 800 FCFA, suggérant une prise de bénéfices après une période haussière. Le titre a évolué dans un range de trading de 710 FCFA, entre un plus bas de 2 450 FCFA et un plus haut de 3 160 FCFA, montrant une amplitude de cours significative. La moyenne du cours sur la période est de 2 812 FCFA, très proche de la médiane (2 832 FCFA) et du mode (2 850 FCFA), ce qui indique une distribution relativement symétrique autour de ces valeurs centrales. L'écart-type de 129 FCFA, associé à un coefficient de variation de 4,6%, révèle une dispersion modérée des cours autour de la moyenne. Le kurtosis en excès de 1,464 indique une distribution leptokurtique, signifiant une probabilité plus élevée de mouvements extrêmes (pics de cours) par rapport à une distribution normale. Enfin, le skewness négatif de -0,627 confirme une asymétrie vers la gauche, suggérant que les fortes baisses ont été moins fréquentes mais plus marquées que les fortes hausses. La volatilité annualisée de 39,0% classe le titre comme très volatil, ce qui est typique des valeurs du secteur pétrolier sur la BRVM.</w:t>
      </w:r>
    </w:p>
    <w:p>
      <w:pPr>
        <w:spacing w:after="120" w:line="276" w:lineRule="auto"/>
      </w:pPr>
      <w:r>
        <w:t>### **PARTIE 2 : ANALYSE TECHNIQUE DÉTAILLÉE**</w:t>
      </w:r>
    </w:p>
    <w:p>
      <w:pPr>
        <w:spacing w:after="120" w:line="276" w:lineRule="auto"/>
      </w:pPr>
      <w:r>
        <w:t>**Moyennes Mobiles:** Le cours actuel de 2 800 FCFA se situe en dessous de la MM20 (2 874,25 FCFA) et de la MM50 (2 858,6 FCFA), ce qui est un signal baissier à court terme. Cependant, la décision globale de la stratégie est un "Achat", probablement car le cours a récemment cassé ces moyennes à la hausse avant ce repli, et la tendance de fond reste positive.</w:t>
      </w:r>
    </w:p>
    <w:p>
      <w:pPr>
        <w:spacing w:after="120" w:line="276" w:lineRule="auto"/>
      </w:pPr>
      <w:r>
        <w:t>**Bandes de Bollinger:** Le cours à 2 800 FCFA est proche de la borne inférieure (2 766,83 FCFA), indiquant que le titre est potentiellement survendu à très court terme. La décision "Neutre" est cohérente, car le cours n'a pas encore franchi la borne inférieure, mais s'en approche, ce qui pourrait précéder un rebond technique.</w:t>
      </w:r>
    </w:p>
    <w:p>
      <w:pPr>
        <w:spacing w:after="120" w:line="276" w:lineRule="auto"/>
      </w:pPr>
      <w:r>
        <w:t>**MACD:** Le MACD (8,717) est passé sous sa ligne de signal (13,981), générant un signal de Vente clair. Cette divergence baissière indique un ralentissement du momentum haussier et une pression vendeuse croissante à court terme, confirmant le repli de la dernière séance.</w:t>
      </w:r>
    </w:p>
    <w:p>
      <w:pPr>
        <w:spacing w:after="120" w:line="276" w:lineRule="auto"/>
      </w:pPr>
      <w:r>
        <w:t>**RSI:** Le RSI à 43,15 se situe en zone neutre (entre 30 et 70), mais en dessous de 50, ce qui suggère une dynamique baissière naissante. La décision "Neutre" est appropriée, car le titre n'est ni suracheté ni survendu, laissant la place à une poursuite de la baisse ou à un rebond.</w:t>
      </w:r>
    </w:p>
    <w:p>
      <w:pPr>
        <w:spacing w:after="120" w:line="276" w:lineRule="auto"/>
      </w:pPr>
      <w:r>
        <w:t>**Stochastique:** Le %K (11,765) est très bas et a fortement divergé du %D (45,098), ce qui est un signal d'achat précoce. Cela indique que le titre est entré en zone de survente extrême à très court terme, ce qui pourrait déclencher un rebond technique imminent.</w:t>
      </w:r>
    </w:p>
    <w:p>
      <w:pPr>
        <w:spacing w:after="120" w:line="276" w:lineRule="auto"/>
      </w:pPr>
      <w:r>
        <w:t>**Conclusion technique:** Les indicateurs techniques sont mitigés. Le MACD et la position sous les moyennes mobiles plaident pour une poursuite du mouvement baissier à court terme. En revanche, la proximité de la borne inférieure des Bandes de Bollinger et le Stochastique en zone de survente extrême suggèrent un potentiel de rebond technique. Le RSI neutre ne permet pas de trancher. Le signal global est donc celui d'une consolidation baissière à court terme, avec un risque de rebond technique.</w:t>
      </w:r>
    </w:p>
    <w:p>
      <w:pPr>
        <w:spacing w:after="120" w:line="276" w:lineRule="auto"/>
      </w:pPr>
      <w:r>
        <w:t>### **PARTIE 3 : ANALYSE FONDAMENTALE (SECTION CRITIQUE)**</w:t>
      </w:r>
    </w:p>
    <w:p>
      <w:pPr>
        <w:spacing w:after="120" w:line="276" w:lineRule="auto"/>
      </w:pPr>
      <w:r>
        <w:t>En se basant sur les données structurées de l'exercice 2025, TTLC a réalisé un chiffre d'affaires de 588,709 milliards FCFA, en baisse de -5,2% par rapport à 2024. Le résultat net s'établit à 9,087 milliards FCFA, en recul de -3% sur un an. Malgré cette baisse, la rentabilité des capitaux propres (ROE) reste excellente à 25,1%, et la marge nette s'améliore légèrement à 1,54%. En tant qu'entreprise de distribution, l'analyse du BFR est cruciale : le BFR est négatif à -9,662 milliards FCFA, ce qui est très favorable car cela signifie que l'entreprise se finance auprès de ses fournisseurs (délai fournisseur de 49,72 jours) avant de devoir payer ses stocks (durée de stockage de 13,80 jours). Cependant, la structure financière montre des signes de tension : le ratio d'autonomie financière est faible (19,2%) et la trésorerie nette est fortement négative à -21,926 milliards FCFA. Les rapports trimestriels de 2025 confirment une année difficile, avec un recul du CA de -5,7% sur les 9 premiers mois et une chute du résultat net de -30,2% à fin septembre, principalement due à un effet de base défavorable et à une hausse de la charge fiscale. Le rapport du T1 2026, le plus récent, est un signal positif majeur : le CA progresse de +4,3% et le résultat net de +5,5%, suggérant un net redressement de la dynamique commerciale. Sur la base de ce T1 2026, on estime que l'exercice 2026 pourrait renouer avec une croissance du chiffre d'affaires et une amélioration de la rentabilité nette, après une année 2025 difficile. La politique de dividende reste très généreuse, avec un taux de distribution de 110% en 2025, ce qui, bien qu'attrayant, pèse sur la trésorerie.</w:t>
      </w:r>
    </w:p>
    <w:p>
      <w:pPr>
        <w:spacing w:after="120" w:line="276" w:lineRule="auto"/>
      </w:pPr>
      <w:r>
        <w:t>### **PARTIE 4 : CONCLUSION D'INVESTISSEMENT**</w:t>
      </w:r>
    </w:p>
    <w:p>
      <w:pPr>
        <w:spacing w:after="120" w:line="276" w:lineRule="auto"/>
      </w:pPr>
      <w:r>
        <w:t>La valorisation boursière de TTLC (PER de 19,4x, P/B de 4,87x) est exigeante et reflète une prime de marché pour la qualité de l'actif et sa politique de dividende, mais elle n'offre pas de marge de sécurité. Le comportement du cours montre une tendance haussière sur 100 jours, mais avec une volatilité élevée (39%) et une asymétrie négative, suggérant un risque de corrections brutales, comme celle observée lors de la dernière séance. Les signaux techniques sont mitigés, avec des indicateurs de momentum baissier à court terme (MACD) mais des signaux de survente (Stochastique, Bandes de Bollinger) qui pourraient annoncer un rebond. Les fondamentaux, bien que solides (ROE &gt; 25%, BFR négatif), montrent une fragilité financière (trésorerie nette négative) et une dépendance à une politique de dividende très agressive. Cependant, le récent rapport du T1 2026, qui indique un retour à la croissance, est un signal fondamental très positif. Les prédictions IA pour les 10 prochains jours (autour de 2 800 FCFA) suggèrent une stabilisation, en ligne avec un possible rebond technique après la baisse récente. En synthèse, la convergence entre le retour de la croissance fondamentale (T1 2026) et les signaux techniques de survente plaide pour une opportunité d'achat à moyen terme, malgré une valorisation élevée et des risques de court terme.</w:t>
      </w:r>
    </w:p>
    <w:p>
      <w:pPr>
        <w:spacing w:after="120" w:line="276" w:lineRule="auto"/>
      </w:pPr>
      <w:r>
        <w:t>**Recommandation finale : ACHAT**</w:t>
        <w:br/>
        <w:t>**Niveau de confiance : Moyen**</w:t>
        <w:br/>
        <w:t>**Risque global : Élevé** (volatilité du cours, endettement, valorisation exigeante)</w:t>
        <w:br/>
        <w:t>**Horizon d'investissement optimal : Moyen terme (3-12 mois)** pour capitaliser sur le redressement attendu en 2026 et les éventuels rebonds techniques.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croissance solide du CA et des b\u00e9n\u00e9fices malgr\u00e9 un contexte difficile. Cependant, l'exposition aux variations des cours p\u00e9troliers et l'environnement g\u00e9opolitique incertain justifient une prudence."}</w:t>
      </w:r>
    </w:p>
    <w:p>
      <w:pPr>
        <w:spacing w:before="40"/>
        <w:ind w:left="400"/>
      </w:pPr>
      <w:r>
        <w:rPr>
          <w:sz w:val="18"/>
        </w:rPr>
        <w:t>TotalEnergies Marketing Côte d'Ivoire affiche une performance solide au 3ème trimestre 2022 avec un chiffre d'affaires en hausse de 14,4% à 419,384 milliards FCFA. Le résultat net progresse de 5,9% à 9,149 milliards FCFA malgré un environnement économique tendu lié à la guerre en Ukraine. La hausse des prix des produits pétroliers a soutenu les revenus tandis que la bonne performance commerciale a compensé la réduction des ventes spots. L'évolution des cours mondiaux du pétrole a eu un impact mitigé avec un effet favorable sur le premier semestre et défavorable sur le troisième trimestre. La société démontre une résilience remarquable dans un contexte géopolitique et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'14,4%', 'capital_social': '3,148 milliards FCFA', 'croissance_resultat_net': '5,9%', 'resultat_activites_ordinaires': '11,971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9,149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419,384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14,4% à 419,384 milliards FCFA</w:t>
      </w:r>
    </w:p>
    <w:p>
      <w:pPr>
        <w:pStyle w:val="ListBullet"/>
        <w:spacing w:before="20" w:after="20"/>
        <w:ind w:left="700"/>
      </w:pPr>
      <w:r>
        <w:rPr>
          <w:sz w:val="18"/>
        </w:rPr>
        <w:t>Résultat net en progression de 5,9% à 9,149 milliards FCFA</w:t>
      </w:r>
    </w:p>
    <w:p>
      <w:pPr>
        <w:pStyle w:val="ListBullet"/>
        <w:spacing w:before="20" w:after="20"/>
        <w:ind w:left="700"/>
      </w:pPr>
      <w:r>
        <w:rPr>
          <w:sz w:val="18"/>
        </w:rPr>
        <w:t>Hausse des prix des produits pétroliers favorisant la croissance du CA</w:t>
      </w:r>
    </w:p>
    <w:p>
      <w:pPr>
        <w:pStyle w:val="ListBullet"/>
        <w:spacing w:before="20" w:after="20"/>
        <w:ind w:left="700"/>
      </w:pPr>
      <w:r>
        <w:rPr>
          <w:sz w:val="18"/>
        </w:rPr>
        <w:t>Bonne performance commerciale malgré la réduction des ventes spots</w:t>
      </w:r>
    </w:p>
    <w:p>
      <w:pPr>
        <w:pStyle w:val="ListBullet"/>
        <w:spacing w:before="20" w:after="20"/>
        <w:ind w:left="700"/>
      </w:pPr>
      <w:r>
        <w:rPr>
          <w:sz w:val="18"/>
        </w:rPr>
        <w:t>Impact négatif de la guerre en Ukraine sur l'environnement économique</w:t>
      </w:r>
    </w:p>
    <w:p>
      <w:pPr>
        <w:pStyle w:val="ListBullet"/>
        <w:spacing w:before="20" w:after="20"/>
        <w:ind w:left="700"/>
      </w:pPr>
      <w:r>
        <w:rPr>
          <w:sz w:val="18"/>
        </w:rPr>
        <w:t>Effet défavorable des cours pétroliers mondiaux sur le 3ème trimestre</w:t>
      </w:r>
    </w:p>
    <w:p>
      <w:pPr>
        <w:spacing w:before="40"/>
        <w:ind w:left="400"/>
      </w:pPr>
      <w:r>
        <w:rPr>
          <w:b/>
          <w:color w:val="C05000"/>
          <w:sz w:val="18"/>
        </w:rPr>
        <w:t xml:space="preserve">⚠️ Risques : </w:t>
      </w:r>
      <w:r>
        <w:rPr>
          <w:sz w:val="18"/>
        </w:rPr>
        <w:t>["Volatilit\u00e9 des cours mondiaux du p\u00e9trole impactant directement les r\u00e9sultats", "Environnement \u00e9conomique tendu li\u00e9 aux cons\u00e9quences de la guerre en Ukraine", "D\u00e9pendance aux prix des produits p\u00e9troliers pour la croissance du chiffre d'affaires"]</w:t>
      </w:r>
    </w:p>
    <w:p>
      <w:pPr>
        <w:spacing w:before="40"/>
        <w:ind w:left="400"/>
      </w:pPr>
      <w:r>
        <w:rPr>
          <w:b/>
          <w:color w:val="0064A0"/>
          <w:sz w:val="18"/>
        </w:rPr>
        <w:t xml:space="preserve">🔮 Perspectives : </w:t>
      </w:r>
      <w:r>
        <w:rPr>
          <w:sz w:val="18"/>
        </w:rPr>
        <w:t>Les perspectives dépendront largement de l'évolution des cours pétroliers et de la stabilisation de l'environnement géopolitique mondial. La capacité de la société à maintenir sa performance commerciale et à gérer l'impact des fluctuations des prix sera déterminante pour 2023.</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3,177 titres</w:t>
            </w:r>
          </w:p>
        </w:tc>
        <w:tc>
          <w:tcPr>
            <w:tcW w:type="dxa" w:w="2268"/>
            <w:shd w:fill="FFF2CC" w:val="clear"/>
          </w:tcPr>
          <w:p>
            <w:r>
              <w:rPr>
                <w:b/>
                <w:color w:val="503200"/>
                <w:sz w:val="16"/>
              </w:rPr>
              <w:t xml:space="preserve">Cours actuel : </w:t>
            </w:r>
            <w:r>
              <w:rPr>
                <w:color w:val="000000"/>
                <w:sz w:val="17"/>
              </w:rPr>
              <w:t>4,260 FCFA</w:t>
            </w:r>
          </w:p>
          <w:p>
            <w:r>
              <w:rPr>
                <w:b/>
                <w:color w:val="503200"/>
                <w:sz w:val="16"/>
              </w:rPr>
              <w:t xml:space="preserve">Var. 100 jours : </w:t>
            </w:r>
            <w:r>
              <w:rPr>
                <w:b/>
                <w:color w:val="007800"/>
                <w:sz w:val="17"/>
              </w:rPr>
              <w:t>+56.62%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μ=3,275 FCFA, σ=356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β=0.8663 (Neutre (suit le marché)) — Cov=0.000036, Var(idx)=0.000042, ρ=0.186,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3,177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σ_j=2.98%/j (Stable) — Vol. annualisée≈47.3%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2026-07-13</w:t>
            </w:r>
          </w:p>
        </w:tc>
        <w:tc>
          <w:tcPr>
            <w:tcW w:type="dxa" w:w="1440"/>
            <w:shd w:fill="FFDCE0" w:val="clear"/>
          </w:tcPr>
          <w:p>
            <w:r>
              <w:rPr>
                <w:sz w:val="17"/>
              </w:rPr>
              <w:t>3,852</w:t>
            </w:r>
          </w:p>
        </w:tc>
        <w:tc>
          <w:tcPr>
            <w:tcW w:type="dxa" w:w="1440"/>
            <w:shd w:fill="FFDCE0" w:val="clear"/>
          </w:tcPr>
          <w:p>
            <w:r>
              <w:rPr>
                <w:b/>
                <w:sz w:val="17"/>
              </w:rPr>
              <w:t>4,010</w:t>
            </w:r>
          </w:p>
        </w:tc>
        <w:tc>
          <w:tcPr>
            <w:tcW w:type="dxa" w:w="1440"/>
            <w:shd w:fill="FFDCE0" w:val="clear"/>
          </w:tcPr>
          <w:p>
            <w:r>
              <w:rPr>
                <w:sz w:val="17"/>
              </w:rPr>
              <w:t>4,169</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2026-07-14</w:t>
            </w:r>
          </w:p>
        </w:tc>
        <w:tc>
          <w:tcPr>
            <w:tcW w:type="dxa" w:w="1440"/>
            <w:shd w:fill="FFDCE0" w:val="clear"/>
          </w:tcPr>
          <w:p>
            <w:r>
              <w:rPr>
                <w:sz w:val="17"/>
              </w:rPr>
              <w:t>3,687</w:t>
            </w:r>
          </w:p>
        </w:tc>
        <w:tc>
          <w:tcPr>
            <w:tcW w:type="dxa" w:w="1440"/>
            <w:shd w:fill="FFDCE0" w:val="clear"/>
          </w:tcPr>
          <w:p>
            <w:r>
              <w:rPr>
                <w:b/>
                <w:sz w:val="17"/>
              </w:rPr>
              <w:t>3,906</w:t>
            </w:r>
          </w:p>
        </w:tc>
        <w:tc>
          <w:tcPr>
            <w:tcW w:type="dxa" w:w="1440"/>
            <w:shd w:fill="FFDCE0" w:val="clear"/>
          </w:tcPr>
          <w:p>
            <w:r>
              <w:rPr>
                <w:sz w:val="17"/>
              </w:rPr>
              <w:t>4,124</w:t>
            </w:r>
          </w:p>
        </w:tc>
        <w:tc>
          <w:tcPr>
            <w:tcW w:type="dxa" w:w="1440"/>
            <w:shd w:fill="FFDCE0" w:val="clear"/>
          </w:tcPr>
          <w:p>
            <w:r>
              <w:rPr>
                <w:b/>
                <w:color w:val="C00000"/>
                <w:sz w:val="17"/>
              </w:rPr>
              <w:t>-8.3%</w:t>
            </w:r>
          </w:p>
        </w:tc>
      </w:tr>
      <w:tr>
        <w:tc>
          <w:tcPr>
            <w:tcW w:type="dxa" w:w="1440"/>
            <w:shd w:fill="FFDCE0" w:val="clear"/>
          </w:tcPr>
          <w:p>
            <w:r>
              <w:rPr>
                <w:sz w:val="17"/>
              </w:rPr>
              <w:t>J+3  ⭐</w:t>
            </w:r>
          </w:p>
        </w:tc>
        <w:tc>
          <w:tcPr>
            <w:tcW w:type="dxa" w:w="1440"/>
            <w:shd w:fill="FFDCE0" w:val="clear"/>
          </w:tcPr>
          <w:p>
            <w:r>
              <w:rPr>
                <w:sz w:val="17"/>
              </w:rPr>
              <w:t>2026-07-15</w:t>
            </w:r>
          </w:p>
        </w:tc>
        <w:tc>
          <w:tcPr>
            <w:tcW w:type="dxa" w:w="1440"/>
            <w:shd w:fill="FFDCE0" w:val="clear"/>
          </w:tcPr>
          <w:p>
            <w:r>
              <w:rPr>
                <w:sz w:val="17"/>
              </w:rPr>
              <w:t>3,559</w:t>
            </w:r>
          </w:p>
        </w:tc>
        <w:tc>
          <w:tcPr>
            <w:tcW w:type="dxa" w:w="1440"/>
            <w:shd w:fill="FFDCE0" w:val="clear"/>
          </w:tcPr>
          <w:p>
            <w:r>
              <w:rPr>
                <w:b/>
                <w:sz w:val="17"/>
              </w:rPr>
              <w:t>3,821</w:t>
            </w:r>
          </w:p>
        </w:tc>
        <w:tc>
          <w:tcPr>
            <w:tcW w:type="dxa" w:w="1440"/>
            <w:shd w:fill="FFDCE0" w:val="clear"/>
          </w:tcPr>
          <w:p>
            <w:r>
              <w:rPr>
                <w:sz w:val="17"/>
              </w:rPr>
              <w:t>4,083</w:t>
            </w:r>
          </w:p>
        </w:tc>
        <w:tc>
          <w:tcPr>
            <w:tcW w:type="dxa" w:w="1440"/>
            <w:shd w:fill="FFDCE0" w:val="clear"/>
          </w:tcPr>
          <w:p>
            <w:r>
              <w:rPr>
                <w:b/>
                <w:color w:val="C00000"/>
                <w:sz w:val="17"/>
              </w:rPr>
              <w:t>-10.3%</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3,454</w:t>
            </w:r>
          </w:p>
        </w:tc>
        <w:tc>
          <w:tcPr>
            <w:tcW w:type="dxa" w:w="1440"/>
            <w:shd w:fill="FFDCE0" w:val="clear"/>
          </w:tcPr>
          <w:p>
            <w:r>
              <w:rPr>
                <w:b/>
                <w:sz w:val="17"/>
              </w:rPr>
              <w:t>3,751</w:t>
            </w:r>
          </w:p>
        </w:tc>
        <w:tc>
          <w:tcPr>
            <w:tcW w:type="dxa" w:w="1440"/>
            <w:shd w:fill="FFDCE0" w:val="clear"/>
          </w:tcPr>
          <w:p>
            <w:r>
              <w:rPr>
                <w:sz w:val="17"/>
              </w:rPr>
              <w:t>4,048</w:t>
            </w:r>
          </w:p>
        </w:tc>
        <w:tc>
          <w:tcPr>
            <w:tcW w:type="dxa" w:w="1440"/>
            <w:shd w:fill="FFDCE0" w:val="clear"/>
          </w:tcPr>
          <w:p>
            <w:r>
              <w:rPr>
                <w:b/>
                <w:color w:val="C00000"/>
                <w:sz w:val="17"/>
              </w:rPr>
              <w:t>-11.9%</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3,363</w:t>
            </w:r>
          </w:p>
        </w:tc>
        <w:tc>
          <w:tcPr>
            <w:tcW w:type="dxa" w:w="1440"/>
            <w:shd w:fill="FFDCE0" w:val="clear"/>
          </w:tcPr>
          <w:p>
            <w:r>
              <w:rPr>
                <w:b/>
                <w:sz w:val="17"/>
              </w:rPr>
              <w:t>3,690</w:t>
            </w:r>
          </w:p>
        </w:tc>
        <w:tc>
          <w:tcPr>
            <w:tcW w:type="dxa" w:w="1440"/>
            <w:shd w:fill="FFDCE0" w:val="clear"/>
          </w:tcPr>
          <w:p>
            <w:r>
              <w:rPr>
                <w:sz w:val="17"/>
              </w:rPr>
              <w:t>4,017</w:t>
            </w:r>
          </w:p>
        </w:tc>
        <w:tc>
          <w:tcPr>
            <w:tcW w:type="dxa" w:w="1440"/>
            <w:shd w:fill="FFDCE0" w:val="clear"/>
          </w:tcPr>
          <w:p>
            <w:r>
              <w:rPr>
                <w:b/>
                <w:color w:val="C00000"/>
                <w:sz w:val="17"/>
              </w:rPr>
              <w:t>-13.4%</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3,282</w:t>
            </w:r>
          </w:p>
        </w:tc>
        <w:tc>
          <w:tcPr>
            <w:tcW w:type="dxa" w:w="1440"/>
            <w:shd w:fill="FFDCE0" w:val="clear"/>
          </w:tcPr>
          <w:p>
            <w:r>
              <w:rPr>
                <w:b/>
                <w:sz w:val="17"/>
              </w:rPr>
              <w:t>3,634</w:t>
            </w:r>
          </w:p>
        </w:tc>
        <w:tc>
          <w:tcPr>
            <w:tcW w:type="dxa" w:w="1440"/>
            <w:shd w:fill="FFDCE0" w:val="clear"/>
          </w:tcPr>
          <w:p>
            <w:r>
              <w:rPr>
                <w:sz w:val="17"/>
              </w:rPr>
              <w:t>3,987</w:t>
            </w:r>
          </w:p>
        </w:tc>
        <w:tc>
          <w:tcPr>
            <w:tcW w:type="dxa" w:w="1440"/>
            <w:shd w:fill="FFDCE0" w:val="clear"/>
          </w:tcPr>
          <w:p>
            <w:r>
              <w:rPr>
                <w:b/>
                <w:color w:val="C00000"/>
                <w:sz w:val="17"/>
              </w:rPr>
              <w:t>-14.7%</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3,207</w:t>
            </w:r>
          </w:p>
        </w:tc>
        <w:tc>
          <w:tcPr>
            <w:tcW w:type="dxa" w:w="1440"/>
            <w:shd w:fill="FFDCE0" w:val="clear"/>
          </w:tcPr>
          <w:p>
            <w:r>
              <w:rPr>
                <w:b/>
                <w:sz w:val="17"/>
              </w:rPr>
              <w:t>3,582</w:t>
            </w:r>
          </w:p>
        </w:tc>
        <w:tc>
          <w:tcPr>
            <w:tcW w:type="dxa" w:w="1440"/>
            <w:shd w:fill="FFDCE0" w:val="clear"/>
          </w:tcPr>
          <w:p>
            <w:r>
              <w:rPr>
                <w:sz w:val="17"/>
              </w:rPr>
              <w:t>3,957</w:t>
            </w:r>
          </w:p>
        </w:tc>
        <w:tc>
          <w:tcPr>
            <w:tcW w:type="dxa" w:w="1440"/>
            <w:shd w:fill="FFDCE0" w:val="clear"/>
          </w:tcPr>
          <w:p>
            <w:r>
              <w:rPr>
                <w:b/>
                <w:color w:val="C00000"/>
                <w:sz w:val="17"/>
              </w:rPr>
              <w:t>-15.9%</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3,138</w:t>
            </w:r>
          </w:p>
        </w:tc>
        <w:tc>
          <w:tcPr>
            <w:tcW w:type="dxa" w:w="1440"/>
            <w:shd w:fill="FFDCE0" w:val="clear"/>
          </w:tcPr>
          <w:p>
            <w:r>
              <w:rPr>
                <w:b/>
                <w:sz w:val="17"/>
              </w:rPr>
              <w:t>3,534</w:t>
            </w:r>
          </w:p>
        </w:tc>
        <w:tc>
          <w:tcPr>
            <w:tcW w:type="dxa" w:w="1440"/>
            <w:shd w:fill="FFDCE0" w:val="clear"/>
          </w:tcPr>
          <w:p>
            <w:r>
              <w:rPr>
                <w:sz w:val="17"/>
              </w:rPr>
              <w:t>3,929</w:t>
            </w:r>
          </w:p>
        </w:tc>
        <w:tc>
          <w:tcPr>
            <w:tcW w:type="dxa" w:w="1440"/>
            <w:shd w:fill="FFDCE0" w:val="clear"/>
          </w:tcPr>
          <w:p>
            <w:r>
              <w:rPr>
                <w:b/>
                <w:color w:val="C00000"/>
                <w:sz w:val="17"/>
              </w:rPr>
              <w:t>-17.1%</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3,074</w:t>
            </w:r>
          </w:p>
        </w:tc>
        <w:tc>
          <w:tcPr>
            <w:tcW w:type="dxa" w:w="1440"/>
            <w:shd w:fill="FFDCE0" w:val="clear"/>
          </w:tcPr>
          <w:p>
            <w:r>
              <w:rPr>
                <w:b/>
                <w:sz w:val="17"/>
              </w:rPr>
              <w:t>3,488</w:t>
            </w:r>
          </w:p>
        </w:tc>
        <w:tc>
          <w:tcPr>
            <w:tcW w:type="dxa" w:w="1440"/>
            <w:shd w:fill="FFDCE0" w:val="clear"/>
          </w:tcPr>
          <w:p>
            <w:r>
              <w:rPr>
                <w:sz w:val="17"/>
              </w:rPr>
              <w:t>3,902</w:t>
            </w:r>
          </w:p>
        </w:tc>
        <w:tc>
          <w:tcPr>
            <w:tcW w:type="dxa" w:w="1440"/>
            <w:shd w:fill="FFDCE0" w:val="clear"/>
          </w:tcPr>
          <w:p>
            <w:r>
              <w:rPr>
                <w:b/>
                <w:color w:val="C00000"/>
                <w:sz w:val="17"/>
              </w:rPr>
              <w:t>-18.1%</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3,014</w:t>
            </w:r>
          </w:p>
        </w:tc>
        <w:tc>
          <w:tcPr>
            <w:tcW w:type="dxa" w:w="1440"/>
            <w:shd w:fill="FFDCE0" w:val="clear"/>
          </w:tcPr>
          <w:p>
            <w:r>
              <w:rPr>
                <w:b/>
                <w:sz w:val="17"/>
              </w:rPr>
              <w:t>3,446</w:t>
            </w:r>
          </w:p>
        </w:tc>
        <w:tc>
          <w:tcPr>
            <w:tcW w:type="dxa" w:w="1440"/>
            <w:shd w:fill="FFDCE0" w:val="clear"/>
          </w:tcPr>
          <w:p>
            <w:r>
              <w:rPr>
                <w:sz w:val="17"/>
              </w:rPr>
              <w:t>3,877</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Absolument. Voici le rapport d'analyse structuré pour l'action TotalEnergies Marketing Sénégal (TTLS) sur la BRVM, conforme à vos instructions.</w:t>
      </w:r>
    </w:p>
    <w:p>
      <w:pPr>
        <w:spacing w:after="120" w:line="276" w:lineRule="auto"/>
      </w:pPr>
      <w:r>
        <w:t>---</w:t>
      </w:r>
    </w:p>
    <w:p>
      <w:pPr>
        <w:spacing w:after="120" w:line="276" w:lineRule="auto"/>
      </w:pPr>
      <w:r>
        <w:t>### **RAPPORT D'ANALYSE FINANCIÈRE — TTLS (TotalEnergies Marketing Sénégal)**</w:t>
      </w:r>
    </w:p>
    <w:p>
      <w:pPr>
        <w:spacing w:after="120" w:line="276" w:lineRule="auto"/>
      </w:pPr>
      <w:r>
        <w:t>**Date de l'analyse : 13 juillet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138,78 milliards FCFA, TTLS se positionne comme une valeur de poids moyen sur la BRVM, reflétant sa position de leader sur le marché sénégalais des produits pétroliers. Le Bénéfice Par Action (BPA) de 208 FCFA est le socle de la valorisation. Le PER de 20,5x est très élevé par rapport à la moyenne historique de la BRVM (8-12x), ce qui suggère que le marché intègre des anticipations de croissance future ou une prime de rareté pour ce titre défensif. Le Price-to-Book (P/B) de 4,91x confirme cette prime, indiquant que les investisseurs paient près de 5 fois la valeur comptable des actifs, un niveau exigeant qui ne laisse que peu de marge d’erreur. Enfin, le ratio EV/EBITDA de 8,7x, dans une fourchette de 5 à 10x, est plus raisonnable et tempère le jugement, suggérant que la valorisation de l'entreprise dans son ensemble (dette incluse) est en ligne avec sa capacité bénéficiaire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performance spectaculaire de +56,62%, clôturant à 4 260 FCFA, avec une légère progression de +0,24% lors de la dernière séance. Le cours a évolué dans un large range, oscillant entre un plus bas de 2 720 FCFA et un plus haut de 4 500 FCFA, illustrant une dynamique haussière très forte. L'analyse des statistiques descriptives révèle des informations clés sur le comportement du titre. La moyenne (3 275 FCFA) est très proche de la médiane (3 250 FCFA), ce qui indique une distribution relativement symétrique des cours autour de la moyenne sur la période. L'écart-type de 358 FCFA, combiné à un coefficient de variation de 10,9%, montre une dispersion modérée des prix. Cependant, le kurtosis (excès) de 1,916 signale une distribution leptokurtique, c’est-à-dire avec des "queues épaisses", ce qui implique un risque accru de mouvements extrêmes et de pics de volatilité. Le skewness positif de 1,233 confirme que la majorité des séances se sont déroulées sous la moyenne, mais que les fortes hausses récentes ont tiré la moyenne vers le haut. Enfin, la volatilité annualisée de 47,3% est très élevée, classant TTLS comme un titre à haut risque, ce qui est cohérent avec sa forte progression récente.</w:t>
      </w:r>
    </w:p>
    <w:p>
      <w:pPr>
        <w:spacing w:after="120" w:line="276" w:lineRule="auto"/>
      </w:pPr>
      <w:r>
        <w:t>---</w:t>
      </w:r>
    </w:p>
    <w:p>
      <w:pPr>
        <w:spacing w:after="120" w:line="276" w:lineRule="auto"/>
      </w:pPr>
      <w:r>
        <w:t>### **PARTIE 2 : ANALYSE TECHNIQUE DÉTAILLÉE**</w:t>
      </w:r>
    </w:p>
    <w:p>
      <w:pPr>
        <w:spacing w:after="120" w:line="276" w:lineRule="auto"/>
      </w:pPr>
      <w:r>
        <w:t>*   **Moyennes Mobiles**: Le cours actuel à 4 260 FCFA évolue nettement au-dessus de la MM20 (3 788 FCFA) et de la MM50 (3 436 FCFA). Cette configuration haussière, où les moyennes courtes sont au-dessus des longues, confirme une tendance positive solide et justifie la décision d'**Achat**.</w:t>
        <w:br/>
        <w:t>*   **Bandes de Bollinger**: Le cours à 4 260 FCFA se situe sous la borne supérieure à 4 545 FCFA, mais dans la moitié haute de la bande. Cela indique une pression acheteuse persistante sans pour autant être en situation de surachat extrême. La décision est **Neutre**, car le titre n'a pas encore touché la bande haute, ce qui laisse un potentiel de hausse à court terme.</w:t>
        <w:br/>
        <w:t>*   **MACD**: La ligne MACD (255,5) est positionnée au-dessus de sa ligne de signal (204,0), ce qui est un signal haussier classique. Le momentum est donc positif et semble s'accélérer, justifiant la décision d'**Achat**.</w:t>
        <w:br/>
        <w:t>*   **RSI**: Avec une valeur de 80,4, le RSI est en territoire de surachat (&gt;70). C'est un signal de **Vente** à court terme, indiquant que le titre est potentiellement surévalué et qu'une correction technique est probable dans les prochaines séances.</w:t>
        <w:br/>
        <w:t>*   **Stochastique**: Les valeurs du %K (77,1) et du %D (78,1) sont élevées, proches de la zone de surachat (80). Le croisement n'est pas encore baissier, ce qui explique la décision **Neutre**. Le marché est en attente d'un signal directionnel plus clair.</w:t>
      </w:r>
    </w:p>
    <w:p>
      <w:pPr>
        <w:spacing w:after="120" w:line="276" w:lineRule="auto"/>
      </w:pPr>
      <w:r>
        <w:t>**Conclusion technique :** Le tableau technique est mitigé. Les indicateurs de tendance (Moyennes Mobiles, MACD) sont très positifs et confirment une dynamique haussière solide. En revanche, les oscillateurs de momentum (RSI, Stochastique) signalent une zone de surachat, suggérant un essoufflement possible à très court terme. Le titre est dans une phase de "bull run" mais avec un risque de consolidation ou de correction technique imminente.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TTLS a réalisé un chiffre d'affaires de 455,2 milliards FCFA, en baisse de 6,1% par rapport à 2024. Le résultat net s'établit à 6,78 milliards FCFA, en recul de 5,1%. En tant qu'entreprise de distribution, la marge nette est structurellement faible à 1,49%, mais le ROE est excellent à 24%, démontrant une utilisation très efficace des capitaux propres. Le BFR est négatif de -36,9 milliards FCFA, ce qui est un signe de force : l'entreprise se fait payer par ses clients avant de payer ses fournisseurs, ce qui améliore sa trésorerie. Cependant, le délai client de 47 jours est un point de vigilance, car il représente un risque de trésorerie si le recouvrement se dégrade. Les rapports narratifs confirment cette tendance. Le rapport annuel 2025 (daté du 31/12/2025) explique la baisse du CA par l'arrêt stratégique de la commercialisation du fuel lourd. Le rapport du T1 2026 (31/03/2026) montre une résilience opérationnelle : malgré une baisse du CA de 10% due à une baisse réglementaire des prix à la pompe, le résultat net a progressé de +5% à 1,585 milliard FCFA, grâce à une amélioration des marges sur les lubrifiants. Sur cette base trimestrielle, on estime que l'exercice 2026 pourrait voir une stabilisation, voire une légère amélioration du résultat net, si la tendance se maintient. La société affiche une trésorerie nette positive de 13,9 milliards FCFA et une capacité de remboursement de moins d'un an (0,94 an), ce qui lui confère une solidité financière indéniable. Les perspectives de croissance sont liées à la diversification vers le GPL et les lubrifiants, ainsi qu'aux retombées des projets pétroliers et gaziers sénégalais (Sangomar, GTA).</w:t>
      </w:r>
    </w:p>
    <w:p>
      <w:pPr>
        <w:spacing w:after="120" w:line="276" w:lineRule="auto"/>
      </w:pPr>
      <w:r>
        <w:t>---</w:t>
      </w:r>
    </w:p>
    <w:p>
      <w:pPr>
        <w:spacing w:after="120" w:line="276" w:lineRule="auto"/>
      </w:pPr>
      <w:r>
        <w:t>### **PARTIE 4 : CONCLUSION D'INVESTISSEMENT**</w:t>
      </w:r>
    </w:p>
    <w:p>
      <w:pPr>
        <w:spacing w:after="120" w:line="276" w:lineRule="auto"/>
      </w:pPr>
      <w:r>
        <w:t>La synthèse globale pour TTLS est complexe et contrastée. La **valorisation** (Partie 0) est exigeante avec un PER de 20,5x, suggérant une prime de risque élevée. Le **comportement du cours** (Partie 1) est haussier mais avec une volatilité très élevée (47,3%) et un risque de mouvements extrêmes (kurtosis). Les **signaux techniques** (Partie 2) sont en divergence : la tendance est haussière (MM, MACD) mais les oscillateurs (RSI à 80) crient surachat. Enfin, les **fondamentaux** (Partie 3) sont solides (ROE élevé, trésorerie nette positive, BFR négatif) mais la croissance du chiffre d'affaires est atone, et la rentabilité nette reste faible. Les **prédictions IA** pour les 10 prochains jours anticipent une correction significative, avec un cours passant de 4 010 à 3 690 FCFA, ce qui est cohérent avec les signaux de surachat technique.</w:t>
      </w:r>
    </w:p>
    <w:p>
      <w:pPr>
        <w:spacing w:after="120" w:line="276" w:lineRule="auto"/>
      </w:pPr>
      <w:r>
        <w:t>**Recommandation finale : VENTE**</w:t>
      </w:r>
    </w:p>
    <w:p>
      <w:pPr>
        <w:spacing w:after="120" w:line="276" w:lineRule="auto"/>
      </w:pPr>
      <w:r>
        <w:t>**Justification :** La convergence des signaux est défavorable à court terme. La valorisation est élevée, le RSI est en zone de surachat critique, et les prédictions IA anticipent une baisse. Bien que les fondamentaux soient solides, le marché semble avoir intégré toutes les bonnes nouvelles, et le risque d'une correction technique est désormais trop important pour justifier une position acheteuse. Nous recommandons de prendre ses profits.</w:t>
      </w:r>
    </w:p>
    <w:p>
      <w:pPr>
        <w:spacing w:after="120" w:line="276" w:lineRule="auto"/>
      </w:pPr>
      <w:r>
        <w:t>*   **Niveau de confiance :** Élevé</w:t>
        <w:br/>
        <w:t>*   **Niveau de risque global :** Élevé</w:t>
        <w:br/>
        <w:t>*   **Horizon d'investissement optimal :** Court terme (&lt; 3 mois) pour une sortie, Long terme (&gt; 1 an) pour un réinvestissement après correction.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463.76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 titres</w:t>
            </w:r>
          </w:p>
        </w:tc>
        <w:tc>
          <w:tcPr>
            <w:tcW w:type="dxa" w:w="2268"/>
            <w:shd w:fill="FFF2CC" w:val="clear"/>
          </w:tcPr>
          <w:p>
            <w:r>
              <w:rPr>
                <w:b/>
                <w:color w:val="503200"/>
                <w:sz w:val="16"/>
              </w:rPr>
              <w:t xml:space="preserve">Cours actuel : </w:t>
            </w:r>
            <w:r>
              <w:rPr>
                <w:color w:val="000000"/>
                <w:sz w:val="17"/>
              </w:rPr>
              <w:t>50,500 FCFA</w:t>
            </w:r>
          </w:p>
          <w:p>
            <w:r>
              <w:rPr>
                <w:b/>
                <w:color w:val="503200"/>
                <w:sz w:val="16"/>
              </w:rPr>
              <w:t xml:space="preserve">Var. 100 jours : </w:t>
            </w:r>
            <w:r>
              <w:rPr>
                <w:b/>
                <w:color w:val="B40000"/>
                <w:sz w:val="17"/>
              </w:rPr>
              <w:t>-23.08%</w:t>
            </w:r>
          </w:p>
          <w:p>
            <w:r>
              <w:rPr>
                <w:b/>
                <w:color w:val="503200"/>
                <w:sz w:val="16"/>
              </w:rPr>
              <w:t xml:space="preserve">Plus haut 100j : </w:t>
            </w:r>
            <w:r>
              <w:rPr>
                <w:color w:val="000000"/>
                <w:sz w:val="17"/>
              </w:rPr>
              <w:t>85,500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73.8%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12.71% (Moyenne) — μ=61,665 FCFA, σ=7,837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β=1.7694 (Agressif) — Cov=0.000073, Var(idx)=0.000041, ρ=0.250,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39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σ_j=4.65%/j (Modérée) — Vol. annualisée≈73.8%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2026-07-13</w:t>
            </w:r>
          </w:p>
        </w:tc>
        <w:tc>
          <w:tcPr>
            <w:tcW w:type="dxa" w:w="1440"/>
            <w:shd w:fill="C6EFCE" w:val="clear"/>
          </w:tcPr>
          <w:p>
            <w:r>
              <w:rPr>
                <w:sz w:val="17"/>
              </w:rPr>
              <w:t>50,723</w:t>
            </w:r>
          </w:p>
        </w:tc>
        <w:tc>
          <w:tcPr>
            <w:tcW w:type="dxa" w:w="1440"/>
            <w:shd w:fill="C6EFCE" w:val="clear"/>
          </w:tcPr>
          <w:p>
            <w:r>
              <w:rPr>
                <w:b/>
                <w:sz w:val="17"/>
              </w:rPr>
              <w:t>53,522</w:t>
            </w:r>
          </w:p>
        </w:tc>
        <w:tc>
          <w:tcPr>
            <w:tcW w:type="dxa" w:w="1440"/>
            <w:shd w:fill="C6EFCE" w:val="clear"/>
          </w:tcPr>
          <w:p>
            <w:r>
              <w:rPr>
                <w:sz w:val="17"/>
              </w:rPr>
              <w:t>56,321</w:t>
            </w:r>
          </w:p>
        </w:tc>
        <w:tc>
          <w:tcPr>
            <w:tcW w:type="dxa" w:w="1440"/>
            <w:shd w:fill="C6EFCE" w:val="clear"/>
          </w:tcPr>
          <w:p>
            <w:r>
              <w:rPr>
                <w:b/>
                <w:color w:val="008000"/>
                <w:sz w:val="17"/>
              </w:rPr>
              <w:t>+6.0%</w:t>
            </w:r>
          </w:p>
        </w:tc>
      </w:tr>
      <w:tr>
        <w:tc>
          <w:tcPr>
            <w:tcW w:type="dxa" w:w="1440"/>
            <w:shd w:fill="C6EFCE" w:val="clear"/>
          </w:tcPr>
          <w:p>
            <w:r>
              <w:rPr>
                <w:sz w:val="17"/>
              </w:rPr>
              <w:t>J+2  ⭐</w:t>
            </w:r>
          </w:p>
        </w:tc>
        <w:tc>
          <w:tcPr>
            <w:tcW w:type="dxa" w:w="1440"/>
            <w:shd w:fill="C6EFCE" w:val="clear"/>
          </w:tcPr>
          <w:p>
            <w:r>
              <w:rPr>
                <w:sz w:val="17"/>
              </w:rPr>
              <w:t>2026-07-14</w:t>
            </w:r>
          </w:p>
        </w:tc>
        <w:tc>
          <w:tcPr>
            <w:tcW w:type="dxa" w:w="1440"/>
            <w:shd w:fill="C6EFCE" w:val="clear"/>
          </w:tcPr>
          <w:p>
            <w:r>
              <w:rPr>
                <w:sz w:val="17"/>
              </w:rPr>
              <w:t>49,793</w:t>
            </w:r>
          </w:p>
        </w:tc>
        <w:tc>
          <w:tcPr>
            <w:tcW w:type="dxa" w:w="1440"/>
            <w:shd w:fill="C6EFCE" w:val="clear"/>
          </w:tcPr>
          <w:p>
            <w:r>
              <w:rPr>
                <w:b/>
                <w:sz w:val="17"/>
              </w:rPr>
              <w:t>53,770</w:t>
            </w:r>
          </w:p>
        </w:tc>
        <w:tc>
          <w:tcPr>
            <w:tcW w:type="dxa" w:w="1440"/>
            <w:shd w:fill="C6EFCE" w:val="clear"/>
          </w:tcPr>
          <w:p>
            <w:r>
              <w:rPr>
                <w:sz w:val="17"/>
              </w:rPr>
              <w:t>57,746</w:t>
            </w:r>
          </w:p>
        </w:tc>
        <w:tc>
          <w:tcPr>
            <w:tcW w:type="dxa" w:w="1440"/>
            <w:shd w:fill="C6EFCE" w:val="clear"/>
          </w:tcPr>
          <w:p>
            <w:r>
              <w:rPr>
                <w:b/>
                <w:color w:val="008000"/>
                <w:sz w:val="17"/>
              </w:rPr>
              <w:t>+6.5%</w:t>
            </w:r>
          </w:p>
        </w:tc>
      </w:tr>
      <w:tr>
        <w:tc>
          <w:tcPr>
            <w:tcW w:type="dxa" w:w="1440"/>
            <w:shd w:fill="C6EFCE" w:val="clear"/>
          </w:tcPr>
          <w:p>
            <w:r>
              <w:rPr>
                <w:sz w:val="17"/>
              </w:rPr>
              <w:t>J+3  ⭐</w:t>
            </w:r>
          </w:p>
        </w:tc>
        <w:tc>
          <w:tcPr>
            <w:tcW w:type="dxa" w:w="1440"/>
            <w:shd w:fill="C6EFCE" w:val="clear"/>
          </w:tcPr>
          <w:p>
            <w:r>
              <w:rPr>
                <w:sz w:val="17"/>
              </w:rPr>
              <w:t>2026-07-15</w:t>
            </w:r>
          </w:p>
        </w:tc>
        <w:tc>
          <w:tcPr>
            <w:tcW w:type="dxa" w:w="1440"/>
            <w:shd w:fill="C6EFCE" w:val="clear"/>
          </w:tcPr>
          <w:p>
            <w:r>
              <w:rPr>
                <w:sz w:val="17"/>
              </w:rPr>
              <w:t>49,363</w:t>
            </w:r>
          </w:p>
        </w:tc>
        <w:tc>
          <w:tcPr>
            <w:tcW w:type="dxa" w:w="1440"/>
            <w:shd w:fill="C6EFCE" w:val="clear"/>
          </w:tcPr>
          <w:p>
            <w:r>
              <w:rPr>
                <w:b/>
                <w:sz w:val="17"/>
              </w:rPr>
              <w:t>54,279</w:t>
            </w:r>
          </w:p>
        </w:tc>
        <w:tc>
          <w:tcPr>
            <w:tcW w:type="dxa" w:w="1440"/>
            <w:shd w:fill="C6EFCE" w:val="clear"/>
          </w:tcPr>
          <w:p>
            <w:r>
              <w:rPr>
                <w:sz w:val="17"/>
              </w:rPr>
              <w:t>59,195</w:t>
            </w:r>
          </w:p>
        </w:tc>
        <w:tc>
          <w:tcPr>
            <w:tcW w:type="dxa" w:w="1440"/>
            <w:shd w:fill="C6EFCE" w:val="clear"/>
          </w:tcPr>
          <w:p>
            <w:r>
              <w:rPr>
                <w:b/>
                <w:color w:val="008000"/>
                <w:sz w:val="17"/>
              </w:rPr>
              <w:t>+7.5%</w:t>
            </w:r>
          </w:p>
        </w:tc>
      </w:tr>
      <w:tr>
        <w:tc>
          <w:tcPr>
            <w:tcW w:type="dxa" w:w="1440"/>
            <w:shd w:fill="C6EFCE" w:val="clear"/>
          </w:tcPr>
          <w:p>
            <w:r>
              <w:rPr>
                <w:sz w:val="17"/>
              </w:rPr>
              <w:t>J+4  ⭐</w:t>
            </w:r>
          </w:p>
        </w:tc>
        <w:tc>
          <w:tcPr>
            <w:tcW w:type="dxa" w:w="1440"/>
            <w:shd w:fill="C6EFCE" w:val="clear"/>
          </w:tcPr>
          <w:p>
            <w:r>
              <w:rPr>
                <w:sz w:val="17"/>
              </w:rPr>
              <w:t>2026-07-16</w:t>
            </w:r>
          </w:p>
        </w:tc>
        <w:tc>
          <w:tcPr>
            <w:tcW w:type="dxa" w:w="1440"/>
            <w:shd w:fill="C6EFCE" w:val="clear"/>
          </w:tcPr>
          <w:p>
            <w:r>
              <w:rPr>
                <w:sz w:val="17"/>
              </w:rPr>
              <w:t>49,122</w:t>
            </w:r>
          </w:p>
        </w:tc>
        <w:tc>
          <w:tcPr>
            <w:tcW w:type="dxa" w:w="1440"/>
            <w:shd w:fill="C6EFCE" w:val="clear"/>
          </w:tcPr>
          <w:p>
            <w:r>
              <w:rPr>
                <w:b/>
                <w:sz w:val="17"/>
              </w:rPr>
              <w:t>54,860</w:t>
            </w:r>
          </w:p>
        </w:tc>
        <w:tc>
          <w:tcPr>
            <w:tcW w:type="dxa" w:w="1440"/>
            <w:shd w:fill="C6EFCE" w:val="clear"/>
          </w:tcPr>
          <w:p>
            <w:r>
              <w:rPr>
                <w:sz w:val="17"/>
              </w:rPr>
              <w:t>60,597</w:t>
            </w:r>
          </w:p>
        </w:tc>
        <w:tc>
          <w:tcPr>
            <w:tcW w:type="dxa" w:w="1440"/>
            <w:shd w:fill="C6EFCE" w:val="clear"/>
          </w:tcPr>
          <w:p>
            <w:r>
              <w:rPr>
                <w:b/>
                <w:color w:val="008000"/>
                <w:sz w:val="17"/>
              </w:rPr>
              <w:t>+8.6%</w:t>
            </w:r>
          </w:p>
        </w:tc>
      </w:tr>
      <w:tr>
        <w:tc>
          <w:tcPr>
            <w:tcW w:type="dxa" w:w="1440"/>
            <w:shd w:fill="C6EFCE" w:val="clear"/>
          </w:tcPr>
          <w:p>
            <w:r>
              <w:rPr>
                <w:sz w:val="17"/>
              </w:rPr>
              <w:t>J+5  ⭐</w:t>
            </w:r>
          </w:p>
        </w:tc>
        <w:tc>
          <w:tcPr>
            <w:tcW w:type="dxa" w:w="1440"/>
            <w:shd w:fill="C6EFCE" w:val="clear"/>
          </w:tcPr>
          <w:p>
            <w:r>
              <w:rPr>
                <w:sz w:val="17"/>
              </w:rPr>
              <w:t>2026-07-17</w:t>
            </w:r>
          </w:p>
        </w:tc>
        <w:tc>
          <w:tcPr>
            <w:tcW w:type="dxa" w:w="1440"/>
            <w:shd w:fill="C6EFCE" w:val="clear"/>
          </w:tcPr>
          <w:p>
            <w:r>
              <w:rPr>
                <w:sz w:val="17"/>
              </w:rPr>
              <w:t>48,982</w:t>
            </w:r>
          </w:p>
        </w:tc>
        <w:tc>
          <w:tcPr>
            <w:tcW w:type="dxa" w:w="1440"/>
            <w:shd w:fill="C6EFCE" w:val="clear"/>
          </w:tcPr>
          <w:p>
            <w:r>
              <w:rPr>
                <w:b/>
                <w:sz w:val="17"/>
              </w:rPr>
              <w:t>55,468</w:t>
            </w:r>
          </w:p>
        </w:tc>
        <w:tc>
          <w:tcPr>
            <w:tcW w:type="dxa" w:w="1440"/>
            <w:shd w:fill="C6EFCE" w:val="clear"/>
          </w:tcPr>
          <w:p>
            <w:r>
              <w:rPr>
                <w:sz w:val="17"/>
              </w:rPr>
              <w:t>61,954</w:t>
            </w:r>
          </w:p>
        </w:tc>
        <w:tc>
          <w:tcPr>
            <w:tcW w:type="dxa" w:w="1440"/>
            <w:shd w:fill="C6EFCE" w:val="clear"/>
          </w:tcPr>
          <w:p>
            <w:r>
              <w:rPr>
                <w:b/>
                <w:color w:val="008000"/>
                <w:sz w:val="17"/>
              </w:rPr>
              <w:t>+9.8%</w:t>
            </w:r>
          </w:p>
        </w:tc>
      </w:tr>
      <w:tr>
        <w:tc>
          <w:tcPr>
            <w:tcW w:type="dxa" w:w="1440"/>
            <w:shd w:fill="C6EFCE" w:val="clear"/>
          </w:tcPr>
          <w:p>
            <w:r>
              <w:rPr>
                <w:sz w:val="17"/>
              </w:rPr>
              <w:t>J+6  ⭐</w:t>
            </w:r>
          </w:p>
        </w:tc>
        <w:tc>
          <w:tcPr>
            <w:tcW w:type="dxa" w:w="1440"/>
            <w:shd w:fill="C6EFCE" w:val="clear"/>
          </w:tcPr>
          <w:p>
            <w:r>
              <w:rPr>
                <w:sz w:val="17"/>
              </w:rPr>
              <w:t>2026-07-20</w:t>
            </w:r>
          </w:p>
        </w:tc>
        <w:tc>
          <w:tcPr>
            <w:tcW w:type="dxa" w:w="1440"/>
            <w:shd w:fill="C6EFCE" w:val="clear"/>
          </w:tcPr>
          <w:p>
            <w:r>
              <w:rPr>
                <w:sz w:val="17"/>
              </w:rPr>
              <w:t>48,906</w:t>
            </w:r>
          </w:p>
        </w:tc>
        <w:tc>
          <w:tcPr>
            <w:tcW w:type="dxa" w:w="1440"/>
            <w:shd w:fill="C6EFCE" w:val="clear"/>
          </w:tcPr>
          <w:p>
            <w:r>
              <w:rPr>
                <w:b/>
                <w:sz w:val="17"/>
              </w:rPr>
              <w:t>56,091</w:t>
            </w:r>
          </w:p>
        </w:tc>
        <w:tc>
          <w:tcPr>
            <w:tcW w:type="dxa" w:w="1440"/>
            <w:shd w:fill="C6EFCE" w:val="clear"/>
          </w:tcPr>
          <w:p>
            <w:r>
              <w:rPr>
                <w:sz w:val="17"/>
              </w:rPr>
              <w:t>63,276</w:t>
            </w:r>
          </w:p>
        </w:tc>
        <w:tc>
          <w:tcPr>
            <w:tcW w:type="dxa" w:w="1440"/>
            <w:shd w:fill="C6EFCE" w:val="clear"/>
          </w:tcPr>
          <w:p>
            <w:r>
              <w:rPr>
                <w:b/>
                <w:color w:val="008000"/>
                <w:sz w:val="17"/>
              </w:rPr>
              <w:t>+11.1%</w:t>
            </w:r>
          </w:p>
        </w:tc>
      </w:tr>
      <w:tr>
        <w:tc>
          <w:tcPr>
            <w:tcW w:type="dxa" w:w="1440"/>
            <w:shd w:fill="C6EFCE" w:val="clear"/>
          </w:tcPr>
          <w:p>
            <w:r>
              <w:rPr>
                <w:sz w:val="17"/>
              </w:rPr>
              <w:t>J+7  ⭐</w:t>
            </w:r>
          </w:p>
        </w:tc>
        <w:tc>
          <w:tcPr>
            <w:tcW w:type="dxa" w:w="1440"/>
            <w:shd w:fill="C6EFCE" w:val="clear"/>
          </w:tcPr>
          <w:p>
            <w:r>
              <w:rPr>
                <w:sz w:val="17"/>
              </w:rPr>
              <w:t>2026-07-21</w:t>
            </w:r>
          </w:p>
        </w:tc>
        <w:tc>
          <w:tcPr>
            <w:tcW w:type="dxa" w:w="1440"/>
            <w:shd w:fill="C6EFCE" w:val="clear"/>
          </w:tcPr>
          <w:p>
            <w:r>
              <w:rPr>
                <w:sz w:val="17"/>
              </w:rPr>
              <w:t>48,876</w:t>
            </w:r>
          </w:p>
        </w:tc>
        <w:tc>
          <w:tcPr>
            <w:tcW w:type="dxa" w:w="1440"/>
            <w:shd w:fill="C6EFCE" w:val="clear"/>
          </w:tcPr>
          <w:p>
            <w:r>
              <w:rPr>
                <w:b/>
                <w:sz w:val="17"/>
              </w:rPr>
              <w:t>56,724</w:t>
            </w:r>
          </w:p>
        </w:tc>
        <w:tc>
          <w:tcPr>
            <w:tcW w:type="dxa" w:w="1440"/>
            <w:shd w:fill="C6EFCE" w:val="clear"/>
          </w:tcPr>
          <w:p>
            <w:r>
              <w:rPr>
                <w:sz w:val="17"/>
              </w:rPr>
              <w:t>64,572</w:t>
            </w:r>
          </w:p>
        </w:tc>
        <w:tc>
          <w:tcPr>
            <w:tcW w:type="dxa" w:w="1440"/>
            <w:shd w:fill="C6EFCE" w:val="clear"/>
          </w:tcPr>
          <w:p>
            <w:r>
              <w:rPr>
                <w:b/>
                <w:color w:val="008000"/>
                <w:sz w:val="17"/>
              </w:rPr>
              <w:t>+12.3%</w:t>
            </w:r>
          </w:p>
        </w:tc>
      </w:tr>
      <w:tr>
        <w:tc>
          <w:tcPr>
            <w:tcW w:type="dxa" w:w="1440"/>
            <w:shd w:fill="C6EFCE" w:val="clear"/>
          </w:tcPr>
          <w:p>
            <w:r>
              <w:rPr>
                <w:sz w:val="17"/>
              </w:rPr>
              <w:t>J+8  ⭐</w:t>
            </w:r>
          </w:p>
        </w:tc>
        <w:tc>
          <w:tcPr>
            <w:tcW w:type="dxa" w:w="1440"/>
            <w:shd w:fill="C6EFCE" w:val="clear"/>
          </w:tcPr>
          <w:p>
            <w:r>
              <w:rPr>
                <w:sz w:val="17"/>
              </w:rPr>
              <w:t>2026-07-22</w:t>
            </w:r>
          </w:p>
        </w:tc>
        <w:tc>
          <w:tcPr>
            <w:tcW w:type="dxa" w:w="1440"/>
            <w:shd w:fill="C6EFCE" w:val="clear"/>
          </w:tcPr>
          <w:p>
            <w:r>
              <w:rPr>
                <w:sz w:val="17"/>
              </w:rPr>
              <w:t>48,878</w:t>
            </w:r>
          </w:p>
        </w:tc>
        <w:tc>
          <w:tcPr>
            <w:tcW w:type="dxa" w:w="1440"/>
            <w:shd w:fill="C6EFCE" w:val="clear"/>
          </w:tcPr>
          <w:p>
            <w:r>
              <w:rPr>
                <w:b/>
                <w:sz w:val="17"/>
              </w:rPr>
              <w:t>57,363</w:t>
            </w:r>
          </w:p>
        </w:tc>
        <w:tc>
          <w:tcPr>
            <w:tcW w:type="dxa" w:w="1440"/>
            <w:shd w:fill="C6EFCE" w:val="clear"/>
          </w:tcPr>
          <w:p>
            <w:r>
              <w:rPr>
                <w:sz w:val="17"/>
              </w:rPr>
              <w:t>65,847</w:t>
            </w:r>
          </w:p>
        </w:tc>
        <w:tc>
          <w:tcPr>
            <w:tcW w:type="dxa" w:w="1440"/>
            <w:shd w:fill="C6EFCE" w:val="clear"/>
          </w:tcPr>
          <w:p>
            <w:r>
              <w:rPr>
                <w:b/>
                <w:color w:val="008000"/>
                <w:sz w:val="17"/>
              </w:rPr>
              <w:t>+13.6%</w:t>
            </w:r>
          </w:p>
        </w:tc>
      </w:tr>
      <w:tr>
        <w:tc>
          <w:tcPr>
            <w:tcW w:type="dxa" w:w="1440"/>
            <w:shd w:fill="C6EFCE" w:val="clear"/>
          </w:tcPr>
          <w:p>
            <w:r>
              <w:rPr>
                <w:sz w:val="17"/>
              </w:rPr>
              <w:t>J+9  ⭐</w:t>
            </w:r>
          </w:p>
        </w:tc>
        <w:tc>
          <w:tcPr>
            <w:tcW w:type="dxa" w:w="1440"/>
            <w:shd w:fill="C6EFCE" w:val="clear"/>
          </w:tcPr>
          <w:p>
            <w:r>
              <w:rPr>
                <w:sz w:val="17"/>
              </w:rPr>
              <w:t>2026-07-23</w:t>
            </w:r>
          </w:p>
        </w:tc>
        <w:tc>
          <w:tcPr>
            <w:tcW w:type="dxa" w:w="1440"/>
            <w:shd w:fill="C6EFCE" w:val="clear"/>
          </w:tcPr>
          <w:p>
            <w:r>
              <w:rPr>
                <w:sz w:val="17"/>
              </w:rPr>
              <w:t>48,906</w:t>
            </w:r>
          </w:p>
        </w:tc>
        <w:tc>
          <w:tcPr>
            <w:tcW w:type="dxa" w:w="1440"/>
            <w:shd w:fill="C6EFCE" w:val="clear"/>
          </w:tcPr>
          <w:p>
            <w:r>
              <w:rPr>
                <w:b/>
                <w:sz w:val="17"/>
              </w:rPr>
              <w:t>58,006</w:t>
            </w:r>
          </w:p>
        </w:tc>
        <w:tc>
          <w:tcPr>
            <w:tcW w:type="dxa" w:w="1440"/>
            <w:shd w:fill="C6EFCE" w:val="clear"/>
          </w:tcPr>
          <w:p>
            <w:r>
              <w:rPr>
                <w:sz w:val="17"/>
              </w:rPr>
              <w:t>67,106</w:t>
            </w:r>
          </w:p>
        </w:tc>
        <w:tc>
          <w:tcPr>
            <w:tcW w:type="dxa" w:w="1440"/>
            <w:shd w:fill="C6EFCE" w:val="clear"/>
          </w:tcPr>
          <w:p>
            <w:r>
              <w:rPr>
                <w:b/>
                <w:color w:val="008000"/>
                <w:sz w:val="17"/>
              </w:rPr>
              <w:t>+14.9%</w:t>
            </w:r>
          </w:p>
        </w:tc>
      </w:tr>
      <w:tr>
        <w:tc>
          <w:tcPr>
            <w:tcW w:type="dxa" w:w="1440"/>
            <w:shd w:fill="C6EFCE" w:val="clear"/>
          </w:tcPr>
          <w:p>
            <w:r>
              <w:rPr>
                <w:sz w:val="17"/>
              </w:rPr>
              <w:t>J+10  ⭐</w:t>
            </w:r>
          </w:p>
        </w:tc>
        <w:tc>
          <w:tcPr>
            <w:tcW w:type="dxa" w:w="1440"/>
            <w:shd w:fill="C6EFCE" w:val="clear"/>
          </w:tcPr>
          <w:p>
            <w:r>
              <w:rPr>
                <w:sz w:val="17"/>
              </w:rPr>
              <w:t>2026-07-24</w:t>
            </w:r>
          </w:p>
        </w:tc>
        <w:tc>
          <w:tcPr>
            <w:tcW w:type="dxa" w:w="1440"/>
            <w:shd w:fill="C6EFCE" w:val="clear"/>
          </w:tcPr>
          <w:p>
            <w:r>
              <w:rPr>
                <w:sz w:val="17"/>
              </w:rPr>
              <w:t>48,955</w:t>
            </w:r>
          </w:p>
        </w:tc>
        <w:tc>
          <w:tcPr>
            <w:tcW w:type="dxa" w:w="1440"/>
            <w:shd w:fill="C6EFCE" w:val="clear"/>
          </w:tcPr>
          <w:p>
            <w:r>
              <w:rPr>
                <w:b/>
                <w:sz w:val="17"/>
              </w:rPr>
              <w:t>58,654</w:t>
            </w:r>
          </w:p>
        </w:tc>
        <w:tc>
          <w:tcPr>
            <w:tcW w:type="dxa" w:w="1440"/>
            <w:shd w:fill="C6EFCE" w:val="clear"/>
          </w:tcPr>
          <w:p>
            <w:r>
              <w:rPr>
                <w:sz w:val="17"/>
              </w:rPr>
              <w:t>68,353</w:t>
            </w:r>
          </w:p>
        </w:tc>
        <w:tc>
          <w:tcPr>
            <w:tcW w:type="dxa" w:w="1440"/>
            <w:shd w:fill="C6EFCE" w:val="clear"/>
          </w:tcPr>
          <w:p>
            <w:r>
              <w:rPr>
                <w:b/>
                <w:color w:val="008000"/>
                <w:sz w:val="17"/>
              </w:rPr>
              <w:t>+16.1%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le rapport d'analyse structuré pour l'action UNLC (Unilever Côte d'Ivoire) à la BRVM, basé sur les données et instructions fournies.</w:t>
      </w:r>
    </w:p>
    <w:p>
      <w:pPr>
        <w:spacing w:after="120" w:line="276" w:lineRule="auto"/>
      </w:pPr>
      <w:r>
        <w:t>---</w:t>
      </w:r>
    </w:p>
    <w:p>
      <w:pPr>
        <w:spacing w:after="120" w:line="276" w:lineRule="auto"/>
      </w:pPr>
      <w:r>
        <w:t>### **Rapport d'Analyse Financière – UNILEVER COTE D'IVOIRE (UNLC)**</w:t>
      </w:r>
    </w:p>
    <w:p>
      <w:pPr>
        <w:spacing w:after="120" w:line="276" w:lineRule="auto"/>
      </w:pPr>
      <w:r>
        <w:t>**Date de l'analyse : 13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**463,76 milliards FCFA**, un niveau significatif qui la positionne comme une valeur de moyenne capitalisation sur la BRVM. Malheureusement, les ratios de valorisation clés (BPA, PER, P/B, EV/EBITDA) ne sont pas calculables en l'absence de données financières structurées récentes et certifiées dans la base de données. Cette absence est un signal d'alarme pour l'analyste, car elle empêche de déterminer si le marché valorise actuellement la société à un niveau attractif ou non par rapport à ses pairs et à sa propre histoire. En l'état, il est impossible de savoir si le cours de 50 500 FCFA représente une opportunité d'achat (PER bas) ou une décote justifiée par des fondamentaux dégradés. L'investisseur doit donc se montrer extrêmement prudent en l'absence de cette boussole fondamentale essentielle.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 subi une **correction sévère de -23,08%** , avec une accélération baissière notable lors de la dernière séance (-6,02%). Le cours a oscillé dans une large fourchette de 35 870 FCFA, entre un plus haut de **85 500 FCFA** et un plus bas de **49 630 FCFA**, démontrant une volatilité extrême. La tendance est clairement baissière. L'analyse des statistiques descriptives révèle que la moyenne (61 665 FCFA) est supérieure à la médiane (59 000 FCFA), ce qui, combiné à un *skewness* positif de 1.130, confirme une asymétrie positive : la majorité des séances se sont déroulées sous la moyenne, avec quelques pics à la hausse qui ont tiré la moyenne vers le haut. Le coefficient de variation (CV) de 12,8% indique une dispersion modérée du cours autour de la moyenne. Le *kurtosis* (excès) de 0.627 suggère une distribution proche de la normale, sans risque accru de mouvements extrêmes. Enfin, la **volatilité annualisée de 73,8%** est très élevée, classant UNLC comme un actif à haut risque, bien au-dessus du seuil de 30%.</w:t>
      </w:r>
    </w:p>
    <w:p>
      <w:pPr>
        <w:spacing w:after="120" w:line="276" w:lineRule="auto"/>
      </w:pPr>
      <w:r>
        <w:t>---</w:t>
      </w:r>
    </w:p>
    <w:p>
      <w:pPr>
        <w:spacing w:after="120" w:line="276" w:lineRule="auto"/>
      </w:pPr>
      <w:r>
        <w:t>### **PARTIE 2 : ANALYSE TECHNIQUE DÉTAILLÉE**</w:t>
      </w:r>
    </w:p>
    <w:p>
      <w:pPr>
        <w:spacing w:after="120" w:line="276" w:lineRule="auto"/>
      </w:pPr>
      <w:r>
        <w:t>*   **Moyennes Mobiles**: Le cours actuel de 50 500 FCFA se situe nettement sous ses moyennes mobiles à 20 jours (55 208,75 FCFA) et 50 jours (57 209,3 FCFA). Cette configuration en "death cross" (moyenne courte sous la moyenne longue) est un signal baissier puissant, confirmant la tendance négative de fond. La décision de **Vente** est justifiée par cette dynamique défavorable.</w:t>
      </w:r>
    </w:p>
    <w:p>
      <w:pPr>
        <w:spacing w:after="120" w:line="276" w:lineRule="auto"/>
      </w:pPr>
      <w:r>
        <w:t>*   **Bandes de Bollinger**: Le cours touche quasiment la borne inférieure des bandes de Bollinger (50 492,63 FCFA), ce qui indique que le titre est en territoire de survente extrême à court terme. La largeur des bandes suggère une volatilité persistante. La décision **Neutre** est cohérente, car si le titre est "bon marché" selon cet indicateur, la tendance baissière pourrait le pousser à casser cette borne, rendant tout rebond incertain.</w:t>
      </w:r>
    </w:p>
    <w:p>
      <w:pPr>
        <w:spacing w:after="120" w:line="276" w:lineRule="auto"/>
      </w:pPr>
      <w:r>
        <w:t>*   **MACD**: Le MACD (-1496,15) est négatif et se situe sous sa ligne de signal (-1129,403), formant une divergence baissière. Cela indique que le momentum est résolument négatif et que la pression vendeuse reste dominante. La décision de **Vente** est claire et sans équivoque.</w:t>
      </w:r>
    </w:p>
    <w:p>
      <w:pPr>
        <w:spacing w:after="120" w:line="276" w:lineRule="auto"/>
      </w:pPr>
      <w:r>
        <w:t>*   **RSI**: Avec une valeur de 33,699, le RSI se trouve en zone de survente (en dessous de 30) mais ne l'a pas encore franchie. Il est en territoire "neutre" mais frôle la zone critique. Cela suggère que la dynamique baissière s'essouffle, mais qu'un signal de retournement n'est pas encore confirmé. La décision **Neutre** est prudente et adaptée.</w:t>
      </w:r>
    </w:p>
    <w:p>
      <w:pPr>
        <w:spacing w:after="120" w:line="276" w:lineRule="auto"/>
      </w:pPr>
      <w:r>
        <w:t>*   **Stochastique**: Le %K (6,289) est extrêmement bas et a croisé sous le %D (33,417), ce qui est un signal d'achat classique en cas de rebond. Cette lecture indique une condition de survente très sévère, souvent précurseur d'un rebond technique à très court terme. La décision **Achat** est un signal contradictoire fort par rapport aux autres indicateurs.</w:t>
      </w:r>
    </w:p>
    <w:p>
      <w:pPr>
        <w:spacing w:after="120" w:line="276" w:lineRule="auto"/>
      </w:pPr>
      <w:r>
        <w:t>**Conclusion technique** : Le tableau technique est très contrasté. Les indicateurs de tendance (Moyennes Mobiles, MACD) sont unanimement baissiers et plaident pour une **Vente**. En revanche, les oscillateurs de momentum (RSI, Stochastique) signalent une condition de survente extrême, suggérant un possible rebond technique imminent. Cette divergence indique que la tendance baissière est forte, mais que le titre est "trop vendu" et pourrait connaître un sursaut à court terme.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L'analyse fondamentale s'appuie sur les rapports financiers officiels fournis, datant de 2021 à 2023. **En 2023**, UNLC a réalisé un **chiffre d'affaires stable de 24,34 milliards FCFA** et un **bénéfice net de 640 millions FCFA**, soit une marge nette de 2,63%, en amélioration par rapport à la **perte nette massive de 6,9 milliards FCFA en 2022**. Cette année 2022 avait été catastrophique, marquée par une perte d'exploitation de 6,26 milliards FCFA, des charges financières élevées et des provisions pour risques. Le retour à un bénéfice modeste en 2023 est un signe de redressement opérationnel, mais la marge reste très faible comparée à la moyenne du secteur FMCG (5-10%). Le rapport de 2023 souligne que les **capitaux propres restent négatifs à -10,66 milliards FCFA**, ce qui est une fragilité structurelle majeure. Aucun dividende n'a été versé en 2023, la priorité étant donnée au réinvestissement. En l'absence de rapports plus récents (2024, 2025), il est impossible de confirmer si cette tendance au redressement s'est poursuivie. Les perspectives restent donc très incertaines, avec des risques de liquidité et de dépendance au marché ivoirien, mais une opportunité de rebond si la restructuration porte ses fruits.</w:t>
      </w:r>
    </w:p>
    <w:p>
      <w:pPr>
        <w:spacing w:after="120" w:line="276" w:lineRule="auto"/>
      </w:pPr>
      <w:r>
        <w:t>---</w:t>
      </w:r>
    </w:p>
    <w:p>
      <w:pPr>
        <w:spacing w:after="120" w:line="276" w:lineRule="auto"/>
      </w:pPr>
      <w:r>
        <w:t>### **PARTIE 4 : CONCLUSION D'INVESTISSEMENT**</w:t>
      </w:r>
    </w:p>
    <w:p>
      <w:pPr>
        <w:spacing w:after="120" w:line="276" w:lineRule="auto"/>
      </w:pPr>
      <w:r>
        <w:t>La synthèse globale pour UNLC est extrêmement négative. La **valorisation (Partie 0)** est un point d'aveugle total, rendant toute évaluation de prix impossible. Le **comportement du cours (Partie 1)** est alarmant, avec une tendance baissière violente, une volatilité annualisée de 73,8% et une asymétrie positive qui indique que le titre a passé la majorité du temps à baisser. Les **signaux techniques (Partie 2)** sont en conflit : la tendance de fond est baissière (MM, MACD), mais les oscillateurs (RSI, Stochastique) crient à la survente, suggérant un possible rebond technique de courte durée. Enfin, les **fondamentaux (Partie 3)** sont très fragiles, avec des pertes historiques, des capitaux propres négatifs et une rentabilité à peine revenue à l'équilibre en 2023. Les **prédictions IA** pour les 10 prochains jours (de 53 522 à 55 468 FCFA) anticipent un rebond technique, ce qui est cohérent avec les signaux de survente, mais en totale contradiction avec la tendance baissière et les fondamentaux dégradés.</w:t>
      </w:r>
    </w:p>
    <w:p>
      <w:pPr>
        <w:spacing w:after="120" w:line="276" w:lineRule="auto"/>
      </w:pPr>
      <w:r>
        <w:t>**Recommandation finale : VENTE FORTE**</w:t>
        <w:br/>
        <w:t>**Justification** : La convergence entre la tendance technique baissière et les fondamentaux très fragiles l'emporte largement sur les signaux de survente à court terme. Le rebond prédit par l'IA est risqué et pourrait n'être qu'une "pompe à gaz" avant une nouvelle baisse. Investir dans UNLC revient à parier sur un redressement qui n'est pas garanti, avec un risque de perte en capital très élevé.</w:t>
        <w:br/>
        <w:t>**Niveau de confiance : Élevé**</w:t>
        <w:br/>
        <w:t>**Niveau de risque global : Élevé**</w:t>
        <w:br/>
        <w:t>**Horizon d'investissement optimal : Aucun (éviter le titre)**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17,618 titres</w:t>
            </w:r>
          </w:p>
        </w:tc>
        <w:tc>
          <w:tcPr>
            <w:tcW w:type="dxa" w:w="2268"/>
            <w:shd w:fill="FFF2CC" w:val="clear"/>
          </w:tcPr>
          <w:p>
            <w:r>
              <w:rPr>
                <w:b/>
                <w:color w:val="503200"/>
                <w:sz w:val="16"/>
              </w:rPr>
              <w:t xml:space="preserve">Cours actuel : </w:t>
            </w:r>
            <w:r>
              <w:rPr>
                <w:color w:val="000000"/>
                <w:sz w:val="17"/>
              </w:rPr>
              <w:t>1,340 FCFA</w:t>
            </w:r>
          </w:p>
          <w:p>
            <w:r>
              <w:rPr>
                <w:b/>
                <w:color w:val="503200"/>
                <w:sz w:val="16"/>
              </w:rPr>
              <w:t xml:space="preserve">Var. 100 jours : </w:t>
            </w:r>
            <w:r>
              <w:rPr>
                <w:b/>
                <w:color w:val="B40000"/>
                <w:sz w:val="17"/>
              </w:rPr>
              <w:t>-41.23%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11.42% (Moyenne) — μ=1,949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β=-0.5756 (Contre-cyclique) — Cov=-0.000024, Var(idx)=0.000042, ρ=-0.122,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17,618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2026-07-13</w:t>
            </w:r>
          </w:p>
        </w:tc>
        <w:tc>
          <w:tcPr>
            <w:tcW w:type="dxa" w:w="1440"/>
            <w:shd w:fill="FFDCE0" w:val="clear"/>
          </w:tcPr>
          <w:p>
            <w:r>
              <w:rPr>
                <w:sz w:val="17"/>
              </w:rPr>
              <w:t>1,232</w:t>
            </w:r>
          </w:p>
        </w:tc>
        <w:tc>
          <w:tcPr>
            <w:tcW w:type="dxa" w:w="1440"/>
            <w:shd w:fill="FFDCE0" w:val="clear"/>
          </w:tcPr>
          <w:p>
            <w:r>
              <w:rPr>
                <w:b/>
                <w:sz w:val="17"/>
              </w:rPr>
              <w:t>1,304</w:t>
            </w:r>
          </w:p>
        </w:tc>
        <w:tc>
          <w:tcPr>
            <w:tcW w:type="dxa" w:w="1440"/>
            <w:shd w:fill="FFDCE0" w:val="clear"/>
          </w:tcPr>
          <w:p>
            <w:r>
              <w:rPr>
                <w:sz w:val="17"/>
              </w:rPr>
              <w:t>1,376</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2026-07-14</w:t>
            </w:r>
          </w:p>
        </w:tc>
        <w:tc>
          <w:tcPr>
            <w:tcW w:type="dxa" w:w="1440"/>
            <w:shd w:fill="FFDCE0" w:val="clear"/>
          </w:tcPr>
          <w:p>
            <w:r>
              <w:rPr>
                <w:sz w:val="17"/>
              </w:rPr>
              <w:t>1,200</w:t>
            </w:r>
          </w:p>
        </w:tc>
        <w:tc>
          <w:tcPr>
            <w:tcW w:type="dxa" w:w="1440"/>
            <w:shd w:fill="FFDCE0" w:val="clear"/>
          </w:tcPr>
          <w:p>
            <w:r>
              <w:rPr>
                <w:b/>
                <w:sz w:val="17"/>
              </w:rPr>
              <w:t>1,301</w:t>
            </w:r>
          </w:p>
        </w:tc>
        <w:tc>
          <w:tcPr>
            <w:tcW w:type="dxa" w:w="1440"/>
            <w:shd w:fill="FFDCE0" w:val="clear"/>
          </w:tcPr>
          <w:p>
            <w:r>
              <w:rPr>
                <w:sz w:val="17"/>
              </w:rPr>
              <w:t>1,403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2026-07-15</w:t>
            </w:r>
          </w:p>
        </w:tc>
        <w:tc>
          <w:tcPr>
            <w:tcW w:type="dxa" w:w="1440"/>
            <w:shd w:fill="FFDCE0" w:val="clear"/>
          </w:tcPr>
          <w:p>
            <w:r>
              <w:rPr>
                <w:sz w:val="17"/>
              </w:rPr>
              <w:t>1,173</w:t>
            </w:r>
          </w:p>
        </w:tc>
        <w:tc>
          <w:tcPr>
            <w:tcW w:type="dxa" w:w="1440"/>
            <w:shd w:fill="FFDCE0" w:val="clear"/>
          </w:tcPr>
          <w:p>
            <w:r>
              <w:rPr>
                <w:b/>
                <w:sz w:val="17"/>
              </w:rPr>
              <w:t>1,297</w:t>
            </w:r>
          </w:p>
        </w:tc>
        <w:tc>
          <w:tcPr>
            <w:tcW w:type="dxa" w:w="1440"/>
            <w:shd w:fill="FFDCE0" w:val="clear"/>
          </w:tcPr>
          <w:p>
            <w:r>
              <w:rPr>
                <w:sz w:val="17"/>
              </w:rPr>
              <w:t>1,421</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2026-07-16</w:t>
            </w:r>
          </w:p>
        </w:tc>
        <w:tc>
          <w:tcPr>
            <w:tcW w:type="dxa" w:w="1440"/>
            <w:shd w:fill="FFDCE0" w:val="clear"/>
          </w:tcPr>
          <w:p>
            <w:r>
              <w:rPr>
                <w:sz w:val="17"/>
              </w:rPr>
              <w:t>1,150</w:t>
            </w:r>
          </w:p>
        </w:tc>
        <w:tc>
          <w:tcPr>
            <w:tcW w:type="dxa" w:w="1440"/>
            <w:shd w:fill="FFDCE0" w:val="clear"/>
          </w:tcPr>
          <w:p>
            <w:r>
              <w:rPr>
                <w:b/>
                <w:sz w:val="17"/>
              </w:rPr>
              <w:t>1,293</w:t>
            </w:r>
          </w:p>
        </w:tc>
        <w:tc>
          <w:tcPr>
            <w:tcW w:type="dxa" w:w="1440"/>
            <w:shd w:fill="FFDCE0" w:val="clear"/>
          </w:tcPr>
          <w:p>
            <w:r>
              <w:rPr>
                <w:sz w:val="17"/>
              </w:rPr>
              <w:t>1,435</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2026-07-17</w:t>
            </w:r>
          </w:p>
        </w:tc>
        <w:tc>
          <w:tcPr>
            <w:tcW w:type="dxa" w:w="1440"/>
            <w:shd w:fill="FFDCE0" w:val="clear"/>
          </w:tcPr>
          <w:p>
            <w:r>
              <w:rPr>
                <w:sz w:val="17"/>
              </w:rPr>
              <w:t>1,129</w:t>
            </w:r>
          </w:p>
        </w:tc>
        <w:tc>
          <w:tcPr>
            <w:tcW w:type="dxa" w:w="1440"/>
            <w:shd w:fill="FFDCE0" w:val="clear"/>
          </w:tcPr>
          <w:p>
            <w:r>
              <w:rPr>
                <w:b/>
                <w:sz w:val="17"/>
              </w:rPr>
              <w:t>1,288</w:t>
            </w:r>
          </w:p>
        </w:tc>
        <w:tc>
          <w:tcPr>
            <w:tcW w:type="dxa" w:w="1440"/>
            <w:shd w:fill="FFDCE0" w:val="clear"/>
          </w:tcPr>
          <w:p>
            <w:r>
              <w:rPr>
                <w:sz w:val="17"/>
              </w:rPr>
              <w:t>1,446</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2026-07-20</w:t>
            </w:r>
          </w:p>
        </w:tc>
        <w:tc>
          <w:tcPr>
            <w:tcW w:type="dxa" w:w="1440"/>
            <w:shd w:fill="FFDCE0" w:val="clear"/>
          </w:tcPr>
          <w:p>
            <w:r>
              <w:rPr>
                <w:sz w:val="17"/>
              </w:rPr>
              <w:t>1,110</w:t>
            </w:r>
          </w:p>
        </w:tc>
        <w:tc>
          <w:tcPr>
            <w:tcW w:type="dxa" w:w="1440"/>
            <w:shd w:fill="FFDCE0" w:val="clear"/>
          </w:tcPr>
          <w:p>
            <w:r>
              <w:rPr>
                <w:b/>
                <w:sz w:val="17"/>
              </w:rPr>
              <w:t>1,283</w:t>
            </w:r>
          </w:p>
        </w:tc>
        <w:tc>
          <w:tcPr>
            <w:tcW w:type="dxa" w:w="1440"/>
            <w:shd w:fill="FFDCE0" w:val="clear"/>
          </w:tcPr>
          <w:p>
            <w:r>
              <w:rPr>
                <w:sz w:val="17"/>
              </w:rPr>
              <w:t>1,456</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2026-07-21</w:t>
            </w:r>
          </w:p>
        </w:tc>
        <w:tc>
          <w:tcPr>
            <w:tcW w:type="dxa" w:w="1440"/>
            <w:shd w:fill="FFDCE0" w:val="clear"/>
          </w:tcPr>
          <w:p>
            <w:r>
              <w:rPr>
                <w:sz w:val="17"/>
              </w:rPr>
              <w:t>1,092</w:t>
            </w:r>
          </w:p>
        </w:tc>
        <w:tc>
          <w:tcPr>
            <w:tcW w:type="dxa" w:w="1440"/>
            <w:shd w:fill="FFDCE0" w:val="clear"/>
          </w:tcPr>
          <w:p>
            <w:r>
              <w:rPr>
                <w:b/>
                <w:sz w:val="17"/>
              </w:rPr>
              <w:t>1,278</w:t>
            </w:r>
          </w:p>
        </w:tc>
        <w:tc>
          <w:tcPr>
            <w:tcW w:type="dxa" w:w="1440"/>
            <w:shd w:fill="FFDCE0" w:val="clear"/>
          </w:tcPr>
          <w:p>
            <w:r>
              <w:rPr>
                <w:sz w:val="17"/>
              </w:rPr>
              <w:t>1,464</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2026-07-22</w:t>
            </w:r>
          </w:p>
        </w:tc>
        <w:tc>
          <w:tcPr>
            <w:tcW w:type="dxa" w:w="1440"/>
            <w:shd w:fill="FFDCE0" w:val="clear"/>
          </w:tcPr>
          <w:p>
            <w:r>
              <w:rPr>
                <w:sz w:val="17"/>
              </w:rPr>
              <w:t>1,075</w:t>
            </w:r>
          </w:p>
        </w:tc>
        <w:tc>
          <w:tcPr>
            <w:tcW w:type="dxa" w:w="1440"/>
            <w:shd w:fill="FFDCE0" w:val="clear"/>
          </w:tcPr>
          <w:p>
            <w:r>
              <w:rPr>
                <w:b/>
                <w:sz w:val="17"/>
              </w:rPr>
              <w:t>1,273</w:t>
            </w:r>
          </w:p>
        </w:tc>
        <w:tc>
          <w:tcPr>
            <w:tcW w:type="dxa" w:w="1440"/>
            <w:shd w:fill="FFDCE0" w:val="clear"/>
          </w:tcPr>
          <w:p>
            <w:r>
              <w:rPr>
                <w:sz w:val="17"/>
              </w:rPr>
              <w:t>1,472</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2026-07-23</w:t>
            </w:r>
          </w:p>
        </w:tc>
        <w:tc>
          <w:tcPr>
            <w:tcW w:type="dxa" w:w="1440"/>
            <w:shd w:fill="FFDCE0" w:val="clear"/>
          </w:tcPr>
          <w:p>
            <w:r>
              <w:rPr>
                <w:sz w:val="17"/>
              </w:rPr>
              <w:t>1,059</w:t>
            </w:r>
          </w:p>
        </w:tc>
        <w:tc>
          <w:tcPr>
            <w:tcW w:type="dxa" w:w="1440"/>
            <w:shd w:fill="FFDCE0" w:val="clear"/>
          </w:tcPr>
          <w:p>
            <w:r>
              <w:rPr>
                <w:b/>
                <w:sz w:val="17"/>
              </w:rPr>
              <w:t>1,268</w:t>
            </w:r>
          </w:p>
        </w:tc>
        <w:tc>
          <w:tcPr>
            <w:tcW w:type="dxa" w:w="1440"/>
            <w:shd w:fill="FFDCE0" w:val="clear"/>
          </w:tcPr>
          <w:p>
            <w:r>
              <w:rPr>
                <w:sz w:val="17"/>
              </w:rPr>
              <w:t>1,478</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2026-07-24</w:t>
            </w:r>
          </w:p>
        </w:tc>
        <w:tc>
          <w:tcPr>
            <w:tcW w:type="dxa" w:w="1440"/>
            <w:shd w:fill="FFDCE0" w:val="clear"/>
          </w:tcPr>
          <w:p>
            <w:r>
              <w:rPr>
                <w:sz w:val="17"/>
              </w:rPr>
              <w:t>1,043</w:t>
            </w:r>
          </w:p>
        </w:tc>
        <w:tc>
          <w:tcPr>
            <w:tcW w:type="dxa" w:w="1440"/>
            <w:shd w:fill="FFDCE0" w:val="clear"/>
          </w:tcPr>
          <w:p>
            <w:r>
              <w:rPr>
                <w:b/>
                <w:sz w:val="17"/>
              </w:rPr>
              <w:t>1,263</w:t>
            </w:r>
          </w:p>
        </w:tc>
        <w:tc>
          <w:tcPr>
            <w:tcW w:type="dxa" w:w="1440"/>
            <w:shd w:fill="FFDCE0" w:val="clear"/>
          </w:tcPr>
          <w:p>
            <w:r>
              <w:rPr>
                <w:sz w:val="17"/>
              </w:rPr>
              <w:t>1,484</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Absolument. Voici le rapport d'analyse structuré pour l'action UNXC (UNIWAX) sur le marché de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27,80 milliards FCFA, UNXC se positionne comme une valeur de taille moyenne sur la BRVM, reflétant un intérêt mesuré des investisseurs pour le secteur textile. Le BPA (Bénéfice Par Action) est négatif à -105 FCFA, ce qui est cohérent avec les pertes nettes enregistrées en 2024. En conséquence, le PER est également négatif (-12,7x), indiquant que la société est déficitaire et que ce ratio de valorisation n'est pas pertinent pour comparer avec le marché. Le P/B (Price/Book) de 1,78x est plus instructif : il suggère que le marché valorise l'entreprise à près de 1,8 fois ses capitaux propres, un niveau considéré comme raisonnable pour une entreprise en difficulté, mais qui n'offre pas de décote significative par rapport à son actif net comptable. L'absence de ratio EV/EBITDA est due à un EBITDA négatif, ce qui empêche tout calcul pertinent. En résumé, les ratios de valorisation actuels sont fortement impactés par la situation déficitaire de l'entreprise et ne permettent pas de conclure à une sous-évaluation évidente.</w:t>
      </w:r>
    </w:p>
    <w:p>
      <w:pPr>
        <w:spacing w:after="120" w:line="276" w:lineRule="auto"/>
      </w:pPr>
      <w:r>
        <w:t>### **PARTIE 1 : ANALYSE DU COURS — STATISTIQUES ET ÉVOLUTION (100 derniers jours)**</w:t>
      </w:r>
    </w:p>
    <w:p>
      <w:pPr>
        <w:spacing w:after="120" w:line="276" w:lineRule="auto"/>
      </w:pPr>
      <w:r>
        <w:t>Sur les 100 derniers jours, l'action UNXC a subi une dépréciation massive de -41,23%, passant d'un plus haut de 2 400 FCFA à un plus bas de 1 250 FCFA, avant de clôturer à 1 340 FCFA. La dernière séance a toutefois enregistré un rebond significatif de +7,20%, suggérant un possible regain d'intérêt à ces niveaux de prix. La tendance générale reste néanmoins fortement baissière. L'analyse des statistiques descriptives révèle que le cours moyen sur la période (1 949 FCFA) et la médiane (1 952 FCFA) sont très proches, indiquant une distribution relativement symétrique des prix autour de la moyenne. L'écart-type de 224 FCFA, combiné à un coefficient de variation (CV) de 11,5%, montre une dispersion modérée du cours. Le kurtosis en excès de 1,450 confirme une distribution leptokurtique, signifiant un risque accru de mouvements extrêmes (pics de volatilité). Enfin, le skewness négatif de -0,507 indique une asymétrie vers les valeurs basses, ce qui signifie que les fortes baisses ont été plus fréquentes ou plus amples que les fortes hausses. La volatilité annualisée de 49,6% est extrêmement élevée, classant UNXC comme un actif à très haut risque.</w:t>
      </w:r>
    </w:p>
    <w:p>
      <w:pPr>
        <w:spacing w:after="120" w:line="276" w:lineRule="auto"/>
      </w:pPr>
      <w:r>
        <w:t>### **PARTIE 2 : ANALYSE TECHNIQUE DÉTAILLÉE**</w:t>
      </w:r>
    </w:p>
    <w:p>
      <w:pPr>
        <w:spacing w:after="120" w:line="276" w:lineRule="auto"/>
      </w:pPr>
      <w:r>
        <w:t>- **Moyennes Mobiles** : Le cours actuel de 1 340 FCFA est très inférieur à la MM20 (1 745,5 FCFA) et à la MM50 (1 808,5 FCFA), confirmant une tendance baissière puissante. Les deux moyennes sont orientées à la baisse, et le cours évolue en dessous d'elles, ce qui justifie une décision de **Vente**. Le titre est en "bear market" technique.</w:t>
      </w:r>
    </w:p>
    <w:p>
      <w:pPr>
        <w:spacing w:after="120" w:line="276" w:lineRule="auto"/>
      </w:pPr>
      <w:r>
        <w:t>- **Bandes de Bollinger** : Le cours (1 340 FCFA) se situe près de la borne inférieure (1 198,5 FCFA), ce qui indique que le titre est potentiellement survendu. La largeur des bandes est importante, reflétant la forte volatilité. La décision est **Neutre** car, bien que proche d'une zone de support, la tendance baissière ne montre pas de signe de retournement clair.</w:t>
      </w:r>
    </w:p>
    <w:p>
      <w:pPr>
        <w:spacing w:after="120" w:line="276" w:lineRule="auto"/>
      </w:pPr>
      <w:r>
        <w:t>- **MACD** : Le MACD (-151,7) est très négatif et se situe sous sa ligne de signal (-86,5). Cette divergence négative et l'écart important entre les deux lignes confirment un momentum baissier très fort et une dynamique de vente persistante. La décision est **Vente**.</w:t>
      </w:r>
    </w:p>
    <w:p>
      <w:pPr>
        <w:spacing w:after="120" w:line="276" w:lineRule="auto"/>
      </w:pPr>
      <w:r>
        <w:t>- **RSI** : Avec une valeur de 15,5, le RSI est en zone de **survente** extrême (en dessous de 30). Cela indique que le titre est très fortement vendu et qu'un rebond technique est statistiquement probable à court terme. La décision est **Achat** pour un éventuel rebond.</w:t>
      </w:r>
    </w:p>
    <w:p>
      <w:pPr>
        <w:spacing w:after="120" w:line="276" w:lineRule="auto"/>
      </w:pPr>
      <w:r>
        <w:t>- **Stochastique** : Le %K (12,2) et le %D (4,1) sont tous deux en zone de survente profonde. Le %K a entamé un croisement au-dessus du %D, ce qui est un signal haussier précoce. La décision est **Achat**, suggérant un potentiel de rebond technique.</w:t>
      </w:r>
    </w:p>
    <w:p>
      <w:pPr>
        <w:spacing w:after="120" w:line="276" w:lineRule="auto"/>
      </w:pPr>
      <w:r>
        <w:t>**Conclusion technique** : Les indicateurs de tendance (Moyennes Mobiles, MACD) sont unanimement baissiers, indiquant une dynamique négative dominante. Cependant, les oscillateurs (RSI, Stochastique) sont en zone de survente extrême, signalant un épuisement de la pression vendeuse et un fort potentiel de rebond technique à court terme. Le titre est donc dans une configuration de "contre-tendance" où le risque de baisse supplémentaire coexiste avec une opportunité de rebond.</w:t>
      </w:r>
    </w:p>
    <w:p>
      <w:pPr>
        <w:spacing w:after="120" w:line="276" w:lineRule="auto"/>
      </w:pPr>
      <w:r>
        <w:t>### **PARTIE 3 : ANALYSE FONDAMENTALE (SECTION CRITIQUE)**</w:t>
      </w:r>
    </w:p>
    <w:p>
      <w:pPr>
        <w:spacing w:after="120" w:line="276" w:lineRule="auto"/>
      </w:pPr>
      <w:r>
        <w:t>**Données structurées 2024** : L'exercice 2024 a été difficile pour UNIWAX. Le chiffre d'affaires s'élevait à 27,333 milliards FCFA, mais l'entreprise a enregistré un résultat net déficitaire de -2,189 milliards FCFA. La rentabilité s'est effondrée, avec une marge nette de -8,0%, un ROE de -14,0% et un ROA de -6,4%. La structure financière reste fragile, avec un endettement total représentant 119,6% des capitaux propres. Le délai de stockage (254,7 jours) et le délai fournisseur (267,8 jours) sont très élevés, ce qui immobilise du capital et peut indiquer des difficultés de gestion des stocks et de trésorerie.</w:t>
      </w:r>
    </w:p>
    <w:p>
      <w:pPr>
        <w:spacing w:after="120" w:line="276" w:lineRule="auto"/>
      </w:pPr>
      <w:r>
        <w:t>**Estimations basées sur les rapports 2025** : Les rapports semestriels et trimestriels de 2025, datés du 31 décembre 2025, montrent une situation contrastée. Le chiffre d'affaires des 9 premiers mois de 2025 a progressé de 13% à 22,474 milliards FCFA, confirmant une dynamique commerciale positive. Cependant, le résultat des activités ordinaires reste déficitaire à -371 millions FCFA sur 9 mois. Le bénéfice net exceptionnel de 8,143 milliards FCFA est entièrement dû à une cession-bail immobilière unique. **On estime** que sans cet élément exceptionnel, l'entreprise resterait structurellement déficitaire. Le signal le plus encourageant est l'absence de perte opérationnelle au seul 3ème trimestre 2025, ce qui suggère une possible amélioration de la rentabilité de base. La priorité de la direction est l'assainissement financier et la croissance à l'export.</w:t>
      </w:r>
    </w:p>
    <w:p>
      <w:pPr>
        <w:spacing w:after="120" w:line="276" w:lineRule="auto"/>
      </w:pPr>
      <w:r>
        <w:t>**Conclusion fondamentale** : UNIWAX est en pleine restructuration. Sa performance opérationnelle récurrente reste négative, mais la croissance du chiffre d'affaires et l'amélioration des marges au T3 2025 sont des signaux positifs. La solidité financière est artificiellement renforcée par la cession d'actif. Le risque principal demeure l'incapacité à générer une rentabilité durable sur son cœur de métier.</w:t>
      </w:r>
    </w:p>
    <w:p>
      <w:pPr>
        <w:spacing w:after="120" w:line="276" w:lineRule="auto"/>
      </w:pPr>
      <w:r>
        <w:t>### **PARTIE 4 : CONCLUSION D'INVESTISSEMENT**</w:t>
      </w:r>
    </w:p>
    <w:p>
      <w:pPr>
        <w:spacing w:after="120" w:line="276" w:lineRule="auto"/>
      </w:pPr>
      <w:r>
        <w:t>La synthèse des analyses révèle un profil de risque très élevé pour UNXC. La **valorisation** (Partie 0) est difficile à interpréter en raison des pertes, mais le P/B de 1,78x n'offre pas de décote de sécurité évidente. Le **comportement du cours** (Partie 1) est alarmant avec une baisse de 41% sur 100 jours et une volatilité annualisée de près de 50%, indiquant un actif spéculatif. Les **signaux techniques** (Partie 2) sont en conflit : une tendance baissière forte (MM, MACD) s'oppose à un état de survente extrême (RSI, Stochastique), suggérant un possible rebond technique à court terme. Les **fondamentaux** (Partie 3) montrent une entreprise en perte récurrente, dont la rentabilité apparente en 2025 est un artefact comptable. Les **prédictions IA** pour les 10 prochains jours (de 1 304 à 1 288 FCFA) anticipent une poursuite de la baisse, ce qui contredit les signaux de survente et suggère que la tendance baissière pourrait se poursuivre.</w:t>
      </w:r>
    </w:p>
    <w:p>
      <w:pPr>
        <w:spacing w:after="120" w:line="276" w:lineRule="auto"/>
      </w:pPr>
      <w:r>
        <w:t>Sur la base de cette synthèse, la recommandation est **VENTE**. La convergence entre la tendance baissière technique, les fondamentaux dégradés et les prédictions IA l'emporte sur les signaux de survente à court terme. Le niveau de confiance est **Moyen**, car un rebond technique violent reste possible. Le niveau de risque global est **Élevé**. L'horizon d'investissement optimal est le **court terme (&lt; 3 mois)** pour les spéculateurs tentant de jouer un rebond, mais pour un investisseur classique, l'horizon est défavorable à tous les termes.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l'effondrement de la rentabilit\u00e9, l'entreprise maintient son chiffre d'affaires et anticipe une am\u00e9lioration au T4. La situation difficile est conjoncturelle et li\u00e9e aux crises externes."}</w:t>
      </w:r>
    </w:p>
    <w:p>
      <w:pPr>
        <w:spacing w:before="40"/>
        <w:ind w:left="400"/>
      </w:pPr>
      <w:r>
        <w:rPr>
          <w:sz w:val="18"/>
        </w:rPr>
        <w:t>UNIWAX S.A., entreprise ivoirienne du secteur textile, affiche un chiffre d'affaires stable au 3ème trimestre 2022 (29,25 milliards FCFA vs 29,07 milliards en 2021). Cependant, la rentabilité s'effondre avec un résultat d'exploitation en chute de 77,5% et un résultat net en baisse de 80,6%. Cette dégradation s'explique par la flambée des coûts des matières premières suite aux crises post-Covid et ukrainienne. L'entreprise n'a pas pu répercuter intégralement ces hausses de coûts sur ses prix de vente. Les perspectives du 4ème trimestre restent prudentes malgré les célébrations de fin d'année.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'4,15 milliards FCFA', 'resultat_financier': '-73 millions FCFA', 'resultat_exploitation': '452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296 millions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29,25 milliards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au T3 2022 : 29,25 milliards FCFA (+0,6%)</w:t>
      </w:r>
    </w:p>
    <w:p>
      <w:pPr>
        <w:pStyle w:val="ListBullet"/>
        <w:spacing w:before="20" w:after="20"/>
        <w:ind w:left="700"/>
      </w:pPr>
      <w:r>
        <w:rPr>
          <w:sz w:val="18"/>
        </w:rPr>
        <w:t>Effondrement du résultat d'exploitation : -77,5% à 452 millions FCFA</w:t>
      </w:r>
    </w:p>
    <w:p>
      <w:pPr>
        <w:pStyle w:val="ListBullet"/>
        <w:spacing w:before="20" w:after="20"/>
        <w:ind w:left="700"/>
      </w:pPr>
      <w:r>
        <w:rPr>
          <w:sz w:val="18"/>
        </w:rPr>
        <w:t>Résultat net en forte baisse : -80,6% à 296 millions FCFA</w:t>
      </w:r>
    </w:p>
    <w:p>
      <w:pPr>
        <w:pStyle w:val="ListBullet"/>
        <w:spacing w:before="20" w:after="20"/>
        <w:ind w:left="700"/>
      </w:pPr>
      <w:r>
        <w:rPr>
          <w:sz w:val="18"/>
        </w:rPr>
        <w:t>Résultat financier négatif de -73 millions FCFA contre +22 millions en 2021</w:t>
      </w:r>
    </w:p>
    <w:p>
      <w:pPr>
        <w:pStyle w:val="ListBullet"/>
        <w:spacing w:before="20" w:after="20"/>
        <w:ind w:left="700"/>
      </w:pPr>
      <w:r>
        <w:rPr>
          <w:sz w:val="18"/>
        </w:rPr>
        <w:t>Flambée des coûts de matières premières non compensée par les prix de vente</w:t>
      </w:r>
    </w:p>
    <w:p>
      <w:pPr>
        <w:pStyle w:val="ListBullet"/>
        <w:spacing w:before="20" w:after="20"/>
        <w:ind w:left="700"/>
      </w:pPr>
      <w:r>
        <w:rPr>
          <w:sz w:val="18"/>
        </w:rPr>
        <w:t>Impact négatif des crises post-Covid et ukrainienne sur la rentabilité</w:t>
      </w:r>
    </w:p>
    <w:p>
      <w:pPr>
        <w:spacing w:before="40"/>
        <w:ind w:left="400"/>
      </w:pPr>
      <w:r>
        <w:rPr>
          <w:b/>
          <w:color w:val="C05000"/>
          <w:sz w:val="18"/>
        </w:rPr>
        <w:t xml:space="preserve">⚠️ Risques : </w:t>
      </w:r>
      <w:r>
        <w:rPr>
          <w:sz w:val="18"/>
        </w:rPr>
        <w:t>["Volatilit\u00e9 continue des cours des mati\u00e8res premi\u00e8res impactant les marges", "Difficult\u00e9s \u00e0 r\u00e9percuter les hausses de co\u00fbts sur les prix de vente", "Contexte \u00e9conomique global incertain et march\u00e9s volatils"]</w:t>
      </w:r>
    </w:p>
    <w:p>
      <w:pPr>
        <w:spacing w:before="40"/>
        <w:ind w:left="400"/>
      </w:pPr>
      <w:r>
        <w:rPr>
          <w:b/>
          <w:color w:val="0064A0"/>
          <w:sz w:val="18"/>
        </w:rPr>
        <w:t xml:space="preserve">🔮 Perspectives : </w:t>
      </w:r>
      <w:r>
        <w:rPr>
          <w:sz w:val="18"/>
        </w:rPr>
        <w:t>La direction anticipe un 4ème trimestre plus favorable grâce aux célébrations de fin d'année et aux efforts de réduction des coûts. Cependant, l'entreprise reste vigilante face à la volatilité des marchés et au contexte économique global incertain.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d'activit\u00e9, la soci\u00e9t\u00e9 maintient sa rentabilit\u00e9 et engage des actions correctives. Les perspectives d'am\u00e9lioration saisonni\u00e8re et les initiatives commerciales justifient une approche prudente."}</w:t>
      </w:r>
    </w:p>
    <w:p>
      <w:pPr>
        <w:spacing w:before="40"/>
        <w:ind w:left="400"/>
      </w:pPr>
      <w:r>
        <w:rPr>
          <w:sz w:val="18"/>
        </w:rPr>
        <w:t>UNIWAX S.A. affiche une performance contrastée au T1 2023 avec un chiffre d'affaires en baisse de 16% à 9,4 milliards FCFA impacté par la faiblesse de la demande locale et export. Le résultat d'exploitation chute drastiquement de 90% à 71,6 millions FCFA, reflétant les difficultés macro-économiques. Malgré cette contraction opérationnelle, la société parvient à dégager un résultat net positif de 48,2 millions FCFA contre 527 millions en 2022. L'entreprise textile ivoirienne fait face à un environnement économique difficile mais mise sur l'optimisation des coûts et l'ouverture d'une boutique Uniwax. La société reste prudente quant aux perspectives dans un contexte socio-économique volatil.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'4 150 000 000 FCFA', 'resultat_financier': '-7 242 975 FCFA', 'resultat_exploitation': '71 554 797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48 233 867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9 397 016 068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15,97% à 9,4 milliards FCFA au T1 2023</w:t>
      </w:r>
    </w:p>
    <w:p>
      <w:pPr>
        <w:pStyle w:val="ListBullet"/>
        <w:spacing w:before="20" w:after="20"/>
        <w:ind w:left="700"/>
      </w:pPr>
      <w:r>
        <w:rPr>
          <w:sz w:val="18"/>
        </w:rPr>
        <w:t>Résultat d'exploitation en chute libre de 89,90% à 71,6 millions FCFA</w:t>
      </w:r>
    </w:p>
    <w:p>
      <w:pPr>
        <w:pStyle w:val="ListBullet"/>
        <w:spacing w:before="20" w:after="20"/>
        <w:ind w:left="700"/>
      </w:pPr>
      <w:r>
        <w:rPr>
          <w:sz w:val="18"/>
        </w:rPr>
        <w:t>Résultat net positif maintenu à 48,2 millions FCFA malgré la baisse de 90,85%</w:t>
      </w:r>
    </w:p>
    <w:p>
      <w:pPr>
        <w:pStyle w:val="ListBullet"/>
        <w:spacing w:before="20" w:after="20"/>
        <w:ind w:left="700"/>
      </w:pPr>
      <w:r>
        <w:rPr>
          <w:sz w:val="18"/>
        </w:rPr>
        <w:t>Baisse des volumes vendus due aux difficultés macro-économiques</w:t>
      </w:r>
    </w:p>
    <w:p>
      <w:pPr>
        <w:pStyle w:val="ListBullet"/>
        <w:spacing w:before="20" w:after="20"/>
        <w:ind w:left="700"/>
      </w:pPr>
      <w:r>
        <w:rPr>
          <w:sz w:val="18"/>
        </w:rPr>
        <w:t>Impact négatif sur les marchés local et export</w:t>
      </w:r>
    </w:p>
    <w:p>
      <w:pPr>
        <w:pStyle w:val="ListBullet"/>
        <w:spacing w:before="20" w:after="20"/>
        <w:ind w:left="700"/>
      </w:pPr>
      <w:r>
        <w:rPr>
          <w:sz w:val="18"/>
        </w:rPr>
        <w:t>Ouverture de la première boutique Uniwax pour renforcer la visibilité de la marque</w:t>
      </w:r>
    </w:p>
    <w:p>
      <w:pPr>
        <w:spacing w:before="40"/>
        <w:ind w:left="400"/>
      </w:pPr>
      <w:r>
        <w:rPr>
          <w:b/>
          <w:color w:val="C05000"/>
          <w:sz w:val="18"/>
        </w:rPr>
        <w:t xml:space="preserve">⚠️ Risques : </w:t>
      </w:r>
      <w:r>
        <w:rPr>
          <w:sz w:val="18"/>
        </w:rPr>
        <w:t>["Volatilit\u00e9 persistante du contexte socio-\u00e9conomique impactant la demande", "Forte d\u00e9pendance aux march\u00e9s local et export en difficult\u00e9", "Pression continue sur les marges op\u00e9rationnelles"]</w:t>
      </w:r>
    </w:p>
    <w:p>
      <w:pPr>
        <w:spacing w:before="40"/>
        <w:ind w:left="400"/>
      </w:pPr>
      <w:r>
        <w:rPr>
          <w:b/>
          <w:color w:val="0064A0"/>
          <w:sz w:val="18"/>
        </w:rPr>
        <w:t xml:space="preserve">🔮 Perspectives : </w:t>
      </w:r>
      <w:r>
        <w:rPr>
          <w:sz w:val="18"/>
        </w:rPr>
        <w:t>La direction mise sur la saisonnalité favorable du deuxième trimestre et les efforts d'optimisation des coûts pour améliorer la performance. L'ouverture de la première boutique Uniwax devrait contribuer au renforcement de la visibilité de la marque. Cependant, la société reste vigilante face aux flu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