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26/08/2026 à 05:00</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47 ACHAT  |  0 NEUTRE  |  0 VENTE  (sur 47 sociétés)</w:t>
      </w:r>
    </w:p>
    <w:p>
      <w:pPr>
        <w:spacing w:before="20" w:after="20"/>
        <w:ind w:left="360" w:right="360"/>
        <w:shd w:val="clear" w:color="auto" w:fill="EBF5FB"/>
      </w:pPr>
      <w:r>
        <w:rPr>
          <w:b/>
          <w:sz w:val="19"/>
        </w:rPr>
        <w:t xml:space="preserve">Top opportunité :  </w:t>
      </w:r>
      <w:r>
        <w:rPr>
          <w:color w:val="008000"/>
          <w:sz w:val="19"/>
        </w:rPr>
        <w:t>SCRC  (score 80/100)</w:t>
      </w:r>
    </w:p>
    <w:p>
      <w:pPr>
        <w:spacing w:before="20" w:after="20"/>
        <w:ind w:left="360" w:right="360"/>
        <w:shd w:val="clear" w:color="auto" w:fill="EBF5FB"/>
      </w:pPr>
      <w:r>
        <w:rPr>
          <w:b/>
          <w:sz w:val="19"/>
        </w:rPr>
        <w:t xml:space="preserve">Secteur surperformant :  </w:t>
      </w:r>
      <w:r>
        <w:rPr>
          <w:color w:val="008000"/>
          <w:sz w:val="19"/>
        </w:rPr>
        <w:t>SERVICES PUBLICS  (+86.7%)</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18 sociétés — vérifier avant d'investir</w:t>
      </w:r>
    </w:p>
    <w:p>
      <w:pPr>
        <w:spacing w:before="20" w:after="20"/>
        <w:ind w:left="360" w:right="360"/>
        <w:shd w:val="clear" w:color="auto" w:fill="EBF5FB"/>
      </w:pPr>
      <w:r>
        <w:rPr>
          <w:b/>
          <w:sz w:val="19"/>
        </w:rPr>
        <w:t xml:space="preserve">⚠️ Liquidité réduite :  </w:t>
      </w:r>
      <w:r>
        <w:rPr>
          <w:color w:val="C00000"/>
          <w:sz w:val="19"/>
        </w:rPr>
        <w:t>8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530.07 points </w:t>
      </w:r>
      <w:r>
        <w:rPr>
          <w:color w:val="008000"/>
        </w:rPr>
        <w:t>(+0.17%)</w:t>
      </w:r>
      <w:r>
        <w:t xml:space="preserve"> sur la séance. </w:t>
      </w:r>
      <w:r>
        <w:t>La capitalisation globale du marché atteint 2 044,034 milliards FCFA.</w:t>
      </w:r>
    </w:p>
    <w:p/>
    <w:p>
      <w:pPr>
        <w:pStyle w:val="Heading3"/>
      </w:pPr>
      <w:r>
        <w:t>📊 Évolution de l'indice BRVM Composite (100 derniers jours)</w:t>
      </w:r>
    </w:p>
    <w:p>
      <w:r>
        <w:rPr>
          <w:b/>
        </w:rPr>
        <w:t xml:space="preserve">BRVM Composite — </w:t>
      </w:r>
      <w:r>
        <w:t xml:space="preserve">Sur les 100 derniers jours de cotation (2026-03-30 au 2026-08-24), l'indice BRVM Composite a évolué de </w:t>
      </w:r>
      <w:r>
        <w:rPr>
          <w:b/>
          <w:color w:val="008000"/>
        </w:rPr>
        <w:t>+31.41%</w:t>
      </w:r>
      <w:r>
        <w:t>, passant de 403.36 pts à 530.07 pts. Le plus haut atteint est 530.07 pts et le plus bas 397.33 pts. Sur l'ensemble de la période, la moyenne de l'indice s'établit à 444.02 pts, la médiane à 436.85 pts et le mode à 403.36 pts</w:t>
      </w:r>
      <w:r>
        <w:t xml:space="preserve"> (asymétrie positive — plus de jours sous la moyenne). </w:t>
      </w:r>
      <w:r>
        <w:t xml:space="preserve">L'écart-type de 36.40 pts (CV=8.2%) traduit une modérée dispersion des cotations. Le kurtosis de -0.98 indique une distribution distribution normale.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C00000"/>
        </w:rPr>
        <w:t>-86.86%</w:t>
      </w:r>
      <w:r>
        <w:t xml:space="preserve"> sur la période, passant de 15 551,972 Mds FCFA à 2 044,034 Mds FCFA. Le pic de capitalisation observé est de 19 886,911 Mds FCFA et le plancher de 2 003,618 Mds FCFA. La moyenne de la capitalisation sur la période s'établit à 16 564,619 Mds FCFA, la médiane à 16 816,942 Mds FCFA et le mode à 2 003,618 Mds FCFA</w:t>
      </w:r>
      <w:r>
        <w:t xml:space="preserve"> (asymétrie négative). </w:t>
      </w:r>
      <w:r>
        <w:t>L'écart-type de 2 871,319 Mds FCFA (CV=17.3%) reflète une forte variabilité de la valorisation du marché. Le kurtosis de 17.22 indique une distribution leptokurtique — risque de pics de valorisation.</w:t>
      </w:r>
      <w:r>
        <w:t xml:space="preserve"> La contraction de la capitalisation traduit une sortie de capitaux et une pression baissière structurelle.</w:t>
      </w:r>
    </w:p>
    <w:p>
      <w:pPr>
        <w:jc w:val="center"/>
      </w:pPr>
      <w:r>
        <w:drawing>
          <wp:inline xmlns:a="http://schemas.openxmlformats.org/drawingml/2006/main" xmlns:pic="http://schemas.openxmlformats.org/drawingml/2006/picture">
            <wp:extent cx="5943600" cy="195840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58409"/>
                    </a:xfrm>
                    <a:prstGeom prst="rect"/>
                  </pic:spPr>
                </pic:pic>
              </a:graphicData>
            </a:graphic>
          </wp:inline>
        </w:drawing>
      </w:r>
    </w:p>
    <w:p/>
    <w:p>
      <w:pPr>
        <w:pStyle w:val="Heading2"/>
      </w:pPr>
      <w:r>
        <w:t>📈 TOP 10 DES OPPORTUNITÉS D'ACHAT</w:t>
      </w:r>
    </w:p>
    <w:p>
      <w:pPr>
        <w:pStyle w:val="ListNumber"/>
      </w:pPr>
      <w:r>
        <w:rPr>
          <w:b/>
        </w:rPr>
        <w:t>ABJC - ABJC - SERVAIR ABIDJAN CI</w:t>
      </w:r>
      <w:r>
        <w:t xml:space="preserve"> | Prix: 3600 FCFA | </w:t>
      </w:r>
      <w:r>
        <w:rPr>
          <w:b/>
          <w:color w:val="008000"/>
        </w:rPr>
        <w:t>ACHAT</w:t>
      </w:r>
      <w:r>
        <w:t xml:space="preserve"> | Confiance: Faible | Risque: Faible</w:t>
      </w:r>
    </w:p>
    <w:p>
      <w:pPr>
        <w:pStyle w:val="ListNumber"/>
      </w:pPr>
      <w:r>
        <w:rPr>
          <w:b/>
        </w:rPr>
        <w:t>BICB - BIIC BN - Banque internationale pour le commerce du benin</w:t>
      </w:r>
      <w:r>
        <w:t xml:space="preserve"> | Prix: 8495 FCFA | </w:t>
      </w:r>
      <w:r>
        <w:rPr>
          <w:b/>
          <w:color w:val="008000"/>
        </w:rPr>
        <w:t>ACHAT</w:t>
      </w:r>
      <w:r>
        <w:t xml:space="preserve"> | Confiance: Faible | Risque: Moyen</w:t>
      </w:r>
    </w:p>
    <w:p>
      <w:pPr>
        <w:pStyle w:val="ListNumber"/>
      </w:pPr>
      <w:r>
        <w:rPr>
          <w:b/>
        </w:rPr>
        <w:t>BICC - BICI CI - Banque internationale pour le commerce et l'industrie de la Côte d'Ivoire</w:t>
      </w:r>
      <w:r>
        <w:t xml:space="preserve"> | Prix: 28600 FCFA | </w:t>
      </w:r>
      <w:r>
        <w:rPr>
          <w:b/>
          <w:color w:val="008000"/>
        </w:rPr>
        <w:t>ACHAT</w:t>
      </w:r>
      <w:r>
        <w:t xml:space="preserve"> | Confiance: Élevée | Risque: Moyen</w:t>
      </w:r>
    </w:p>
    <w:p>
      <w:pPr>
        <w:pStyle w:val="ListNumber"/>
      </w:pPr>
      <w:r>
        <w:rPr>
          <w:b/>
        </w:rPr>
        <w:t>BNBC - BNBC - BERNABE CI</w:t>
      </w:r>
      <w:r>
        <w:t xml:space="preserve"> | Prix: 1990 FCFA | </w:t>
      </w:r>
      <w:r>
        <w:rPr>
          <w:b/>
          <w:color w:val="008000"/>
        </w:rPr>
        <w:t>ACHAT</w:t>
      </w:r>
      <w:r>
        <w:t xml:space="preserve"> | Confiance: Élevée | Risque: Faible</w:t>
      </w:r>
    </w:p>
    <w:p>
      <w:pPr>
        <w:pStyle w:val="ListNumber"/>
      </w:pPr>
      <w:r>
        <w:rPr>
          <w:b/>
        </w:rPr>
        <w:t>BOAB - BANK OF AFRICA BENIN</w:t>
      </w:r>
      <w:r>
        <w:t xml:space="preserve"> | Prix: 9990 FCFA | </w:t>
      </w:r>
      <w:r>
        <w:rPr>
          <w:b/>
          <w:color w:val="008000"/>
        </w:rPr>
        <w:t>ACHAT</w:t>
      </w:r>
      <w:r>
        <w:t xml:space="preserve"> | Confiance: Faible | Risque: Moyen</w:t>
      </w:r>
    </w:p>
    <w:p>
      <w:pPr>
        <w:pStyle w:val="ListNumber"/>
      </w:pPr>
      <w:r>
        <w:rPr>
          <w:b/>
        </w:rPr>
        <w:t>BOABF - BANK OF AFRICA BURKINA FASO</w:t>
      </w:r>
      <w:r>
        <w:t xml:space="preserve"> | Prix: 8000 FCFA | </w:t>
      </w:r>
      <w:r>
        <w:rPr>
          <w:b/>
          <w:color w:val="008000"/>
        </w:rPr>
        <w:t>ACHAT</w:t>
      </w:r>
      <w:r>
        <w:t xml:space="preserve"> | Confiance: Faible | Risque: Faible</w:t>
      </w:r>
    </w:p>
    <w:p>
      <w:pPr>
        <w:pStyle w:val="ListNumber"/>
      </w:pPr>
      <w:r>
        <w:rPr>
          <w:b/>
        </w:rPr>
        <w:t>BOAC - BANK OF AFRICA COTE D'IVOIRE</w:t>
      </w:r>
      <w:r>
        <w:t xml:space="preserve"> | Prix: 12985 FCFA | </w:t>
      </w:r>
      <w:r>
        <w:rPr>
          <w:b/>
          <w:color w:val="008000"/>
        </w:rPr>
        <w:t>ACHAT</w:t>
      </w:r>
      <w:r>
        <w:t xml:space="preserve"> | Confiance: Élevée | Risque: Faible</w:t>
      </w:r>
    </w:p>
    <w:p>
      <w:pPr>
        <w:pStyle w:val="ListNumber"/>
      </w:pPr>
      <w:r>
        <w:rPr>
          <w:b/>
        </w:rPr>
        <w:t>BOAM - BANK OF AFRICA MALI</w:t>
      </w:r>
      <w:r>
        <w:t xml:space="preserve"> | Prix: 6550 FCFA | </w:t>
      </w:r>
      <w:r>
        <w:rPr>
          <w:b/>
          <w:color w:val="008000"/>
        </w:rPr>
        <w:t>ACHAT</w:t>
      </w:r>
      <w:r>
        <w:t xml:space="preserve"> | Confiance: Moyen | Risque: Faible</w:t>
      </w:r>
    </w:p>
    <w:p>
      <w:pPr>
        <w:pStyle w:val="ListNumber"/>
      </w:pPr>
      <w:r>
        <w:rPr>
          <w:b/>
        </w:rPr>
        <w:t>BOAN - BANK OF AFRICA NIGER</w:t>
      </w:r>
      <w:r>
        <w:t xml:space="preserve"> | Prix: 5345 FCFA | </w:t>
      </w:r>
      <w:r>
        <w:rPr>
          <w:b/>
          <w:color w:val="008000"/>
        </w:rPr>
        <w:t>ACHAT</w:t>
      </w:r>
      <w:r>
        <w:t xml:space="preserve"> | Confiance: Faible | Risque: Moyen</w:t>
      </w:r>
    </w:p>
    <w:p>
      <w:pPr>
        <w:pStyle w:val="ListNumber"/>
      </w:pPr>
      <w:r>
        <w:rPr>
          <w:b/>
        </w:rPr>
        <w:t>BOAS - BANK OF AFRICA SENEGAL</w:t>
      </w:r>
      <w:r>
        <w:t xml:space="preserve"> | Prix: 8500 FCFA | </w:t>
      </w:r>
      <w:r>
        <w:rPr>
          <w:b/>
          <w:color w:val="008000"/>
        </w:rPr>
        <w:t>ACHAT</w:t>
      </w:r>
      <w:r>
        <w:t xml:space="preserve"> | Confiance: Faible | Risque: Faible</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47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86.69%</w:t>
      </w:r>
      <w:r>
        <w:t xml:space="preserve">  |  </w:t>
      </w:r>
      <w:r>
        <w:rPr>
          <w:b/>
        </w:rPr>
        <w:t xml:space="preserve">vs BRVM Composite: </w:t>
      </w:r>
      <w:r>
        <w:rPr>
          <w:b/>
          <w:color w:val="008000"/>
        </w:rPr>
        <w:t>+55.27%  🟢 Surperformance</w:t>
      </w:r>
      <w:r>
        <w:br/>
      </w:r>
      <w:r>
        <w:rPr>
          <w:b/>
        </w:rPr>
        <w:t xml:space="preserve">Sentiment général: </w:t>
      </w:r>
      <w:r>
        <w:t xml:space="preserve">ACHAT  |  </w:t>
      </w:r>
      <w:r>
        <w:rPr>
          <w:b/>
        </w:rPr>
        <w:t xml:space="preserve">Risque moyen: </w:t>
      </w:r>
      <w:r>
        <w:t xml:space="preserve">Moyen  |  </w:t>
      </w:r>
      <w:r>
        <w:rPr>
          <w:b/>
        </w:rPr>
        <w:t xml:space="preserve">Prix moyen: </w:t>
      </w:r>
      <w:r>
        <w:t>9485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43.34%</w:t>
      </w:r>
      <w:r>
        <w:t xml:space="preserve">  |  </w:t>
      </w:r>
      <w:r>
        <w:rPr>
          <w:b/>
        </w:rPr>
        <w:t xml:space="preserve">vs BRVM Composite: </w:t>
      </w:r>
      <w:r>
        <w:rPr>
          <w:b/>
          <w:color w:val="008000"/>
        </w:rPr>
        <w:t>+11.93%  🟢 Surperformance</w:t>
      </w:r>
      <w:r>
        <w:br/>
      </w:r>
      <w:r>
        <w:rPr>
          <w:b/>
        </w:rPr>
        <w:t xml:space="preserve">Sentiment général: </w:t>
      </w:r>
      <w:r>
        <w:t xml:space="preserve">ACHAT  |  </w:t>
      </w:r>
      <w:r>
        <w:rPr>
          <w:b/>
        </w:rPr>
        <w:t xml:space="preserve">Risque moyen: </w:t>
      </w:r>
      <w:r>
        <w:t xml:space="preserve">Moyen  |  </w:t>
      </w:r>
      <w:r>
        <w:rPr>
          <w:b/>
        </w:rPr>
        <w:t xml:space="preserve">Prix moyen: </w:t>
      </w:r>
      <w:r>
        <w:t>13390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33.01%</w:t>
      </w:r>
      <w:r>
        <w:t xml:space="preserve">  |  </w:t>
      </w:r>
      <w:r>
        <w:rPr>
          <w:b/>
        </w:rPr>
        <w:t xml:space="preserve">vs BRVM Composite: </w:t>
      </w:r>
      <w:r>
        <w:rPr>
          <w:b/>
          <w:color w:val="008000"/>
        </w:rPr>
        <w:t>+1.59%  🟢 Surperformance</w:t>
      </w:r>
      <w:r>
        <w:br/>
      </w:r>
      <w:r>
        <w:rPr>
          <w:b/>
        </w:rPr>
        <w:t xml:space="preserve">Sentiment général: </w:t>
      </w:r>
      <w:r>
        <w:t xml:space="preserve">ACHAT  |  </w:t>
      </w:r>
      <w:r>
        <w:rPr>
          <w:b/>
        </w:rPr>
        <w:t xml:space="preserve">Risque moyen: </w:t>
      </w:r>
      <w:r>
        <w:t xml:space="preserve">Moyen  |  </w:t>
      </w:r>
      <w:r>
        <w:rPr>
          <w:b/>
        </w:rPr>
        <w:t xml:space="preserve">Prix moyen: </w:t>
      </w:r>
      <w:r>
        <w:t>18657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23.81%</w:t>
      </w:r>
      <w:r>
        <w:t xml:space="preserve">  |  </w:t>
      </w:r>
      <w:r>
        <w:rPr>
          <w:b/>
        </w:rPr>
        <w:t xml:space="preserve">vs BRVM Composite: </w:t>
      </w:r>
      <w:r>
        <w:rPr>
          <w:b/>
          <w:color w:val="C00000"/>
        </w:rPr>
        <w:t>-7.61%  🔴 Sous-performance</w:t>
      </w:r>
      <w:r>
        <w:br/>
      </w:r>
      <w:r>
        <w:rPr>
          <w:b/>
        </w:rPr>
        <w:t xml:space="preserve">Sentiment général: </w:t>
      </w:r>
      <w:r>
        <w:t xml:space="preserve">ACHAT  |  </w:t>
      </w:r>
      <w:r>
        <w:rPr>
          <w:b/>
        </w:rPr>
        <w:t xml:space="preserve">Risque moyen: </w:t>
      </w:r>
      <w:r>
        <w:t xml:space="preserve">Moyen  |  </w:t>
      </w:r>
      <w:r>
        <w:rPr>
          <w:b/>
        </w:rPr>
        <w:t xml:space="preserve">Prix moyen: </w:t>
      </w:r>
      <w:r>
        <w:t>20197 FCFA</w:t>
        <w:br/>
      </w:r>
      <w:r>
        <w:rPr>
          <w:b/>
        </w:rPr>
        <w:br/>
        <w:t xml:space="preserve">Sociétés: </w:t>
      </w:r>
      <w:r>
        <w:t>ONTBF (ONTBF - ONATEL BURKINA FASO), ORAC (ORAC - ORANGE COTE D'IVOIRE), SNTS (SNTS - SONATEL SN)</w:t>
      </w:r>
    </w:p>
    <w:p/>
    <w:p>
      <w:pPr>
        <w:pStyle w:val="Heading3"/>
      </w:pPr>
      <w:r>
        <w:t>Secteur: ENERGIE</w:t>
      </w:r>
    </w:p>
    <w:p>
      <w:r>
        <w:rPr>
          <w:b/>
        </w:rPr>
        <w:t xml:space="preserve">Nombre de sociétés: </w:t>
      </w:r>
      <w:r>
        <w:t xml:space="preserve">4  |  </w:t>
      </w:r>
      <w:r>
        <w:rPr>
          <w:b/>
        </w:rPr>
        <w:t xml:space="preserve">Performance moyenne (100j): </w:t>
      </w:r>
      <w:r>
        <w:rPr>
          <w:color w:val="008000"/>
        </w:rPr>
        <w:t>19.87%</w:t>
      </w:r>
      <w:r>
        <w:t xml:space="preserve">  |  </w:t>
      </w:r>
      <w:r>
        <w:rPr>
          <w:b/>
        </w:rPr>
        <w:t xml:space="preserve">vs BRVM Composite: </w:t>
      </w:r>
      <w:r>
        <w:rPr>
          <w:b/>
          <w:color w:val="C00000"/>
        </w:rPr>
        <w:t>-11.54%  🔴 Sous-performance</w:t>
      </w:r>
      <w:r>
        <w:br/>
      </w:r>
      <w:r>
        <w:rPr>
          <w:b/>
        </w:rPr>
        <w:t xml:space="preserve">Sentiment général: </w:t>
      </w:r>
      <w:r>
        <w:t xml:space="preserve">ACHAT  |  </w:t>
      </w:r>
      <w:r>
        <w:rPr>
          <w:b/>
        </w:rPr>
        <w:t xml:space="preserve">Risque moyen: </w:t>
      </w:r>
      <w:r>
        <w:t xml:space="preserve">Faible  |  </w:t>
      </w:r>
      <w:r>
        <w:rPr>
          <w:b/>
        </w:rPr>
        <w:t xml:space="preserve">Prix moyen: </w:t>
      </w:r>
      <w:r>
        <w:t>6632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18.36%</w:t>
      </w:r>
      <w:r>
        <w:t xml:space="preserve">  |  </w:t>
      </w:r>
      <w:r>
        <w:rPr>
          <w:b/>
        </w:rPr>
        <w:t xml:space="preserve">vs BRVM Composite: </w:t>
      </w:r>
      <w:r>
        <w:rPr>
          <w:b/>
          <w:color w:val="C00000"/>
        </w:rPr>
        <w:t>-13.06%  🔴 Sous-performance</w:t>
      </w:r>
      <w:r>
        <w:br/>
      </w:r>
      <w:r>
        <w:rPr>
          <w:b/>
        </w:rPr>
        <w:t xml:space="preserve">Sentiment général: </w:t>
      </w:r>
      <w:r>
        <w:t xml:space="preserve">ACHAT  |  </w:t>
      </w:r>
      <w:r>
        <w:rPr>
          <w:b/>
        </w:rPr>
        <w:t xml:space="preserve">Risque moyen: </w:t>
      </w:r>
      <w:r>
        <w:t xml:space="preserve">Moyen  |  </w:t>
      </w:r>
      <w:r>
        <w:rPr>
          <w:b/>
        </w:rPr>
        <w:t xml:space="preserve">Prix moyen: </w:t>
      </w:r>
      <w:r>
        <w:t>2985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-0.62%</w:t>
      </w:r>
      <w:r>
        <w:t xml:space="preserve">  |  </w:t>
      </w:r>
      <w:r>
        <w:rPr>
          <w:b/>
        </w:rPr>
        <w:t xml:space="preserve">vs BRVM Composite: </w:t>
      </w:r>
      <w:r>
        <w:rPr>
          <w:b/>
          <w:color w:val="C00000"/>
        </w:rPr>
        <w:t>-32.03%  🔴 Sous-performance</w:t>
      </w:r>
      <w:r>
        <w:br/>
      </w:r>
      <w:r>
        <w:rPr>
          <w:b/>
        </w:rPr>
        <w:t xml:space="preserve">Sentiment général: </w:t>
      </w:r>
      <w:r>
        <w:t xml:space="preserve">ACHAT  |  </w:t>
      </w:r>
      <w:r>
        <w:rPr>
          <w:b/>
        </w:rPr>
        <w:t xml:space="preserve">Risque moyen: </w:t>
      </w:r>
      <w:r>
        <w:t xml:space="preserve">Moyen  |  </w:t>
      </w:r>
      <w:r>
        <w:rPr>
          <w:b/>
        </w:rPr>
        <w:t xml:space="preserve">Prix moyen: </w:t>
      </w:r>
      <w:r>
        <w:t>2499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BICC, BNBC, BOAC, LNBB, NSBC, PALC, SAFC, SCRC, SEMC, SHEC, STAC, TTLC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BOAM, CABC, CBIBF, CIEC, ETIT, FTSC, NEIC, NTLC, ONTBF, SDSC, SIBC, SICC, SLBC, SPHC, STBC, TTLS,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ABJC, BICB, BOAB, BOABF, BOAN, BOAS, CFAC, ECOC, ORAC, ORGT, PRSC, SDCC, SGBC, SIVC, SMBC, SNTS, SOGC, UNLC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1663609</w:t>
            </w:r>
          </w:p>
        </w:tc>
        <w:tc>
          <w:tcPr>
            <w:tcW w:type="dxa" w:w="1728"/>
          </w:tcPr>
          <w:p>
            <w:r>
              <w:t>110172958 FCFA</w:t>
            </w:r>
          </w:p>
        </w:tc>
        <w:tc>
          <w:tcPr>
            <w:tcW w:type="dxa" w:w="1728"/>
          </w:tcPr>
          <w:p>
            <w:r>
              <w:t>109.38%</w:t>
            </w:r>
          </w:p>
        </w:tc>
        <w:tc>
          <w:tcPr>
            <w:tcW w:type="dxa" w:w="1728"/>
          </w:tcPr>
          <w:p>
            <w:r>
              <w:t>ACHAT</w:t>
            </w:r>
          </w:p>
        </w:tc>
      </w:tr>
      <w:tr>
        <w:tc>
          <w:tcPr>
            <w:tcW w:type="dxa" w:w="1728"/>
          </w:tcPr>
          <w:p>
            <w:r>
              <w:t>BICB (BIIC BN - Banque internationale pour le commerce du benin)</w:t>
            </w:r>
          </w:p>
        </w:tc>
        <w:tc>
          <w:tcPr>
            <w:tcW w:type="dxa" w:w="1728"/>
          </w:tcPr>
          <w:p>
            <w:r>
              <w:t>20502</w:t>
            </w:r>
          </w:p>
        </w:tc>
        <w:tc>
          <w:tcPr>
            <w:tcW w:type="dxa" w:w="1728"/>
          </w:tcPr>
          <w:p>
            <w:r>
              <w:t>164658584 FCFA</w:t>
            </w:r>
          </w:p>
        </w:tc>
        <w:tc>
          <w:tcPr>
            <w:tcW w:type="dxa" w:w="1728"/>
          </w:tcPr>
          <w:p>
            <w:r>
              <w:t>66.90%</w:t>
            </w:r>
          </w:p>
        </w:tc>
        <w:tc>
          <w:tcPr>
            <w:tcW w:type="dxa" w:w="1728"/>
          </w:tcPr>
          <w:p>
            <w:r>
              <w:t>ACHAT</w:t>
            </w:r>
          </w:p>
        </w:tc>
      </w:tr>
      <w:tr>
        <w:tc>
          <w:tcPr>
            <w:tcW w:type="dxa" w:w="1728"/>
          </w:tcPr>
          <w:p>
            <w:r>
              <w:t>SDSC (SDSC - AFRICA GLOBAL LOGISTICS CI)</w:t>
            </w:r>
          </w:p>
        </w:tc>
        <w:tc>
          <w:tcPr>
            <w:tcW w:type="dxa" w:w="1728"/>
          </w:tcPr>
          <w:p>
            <w:r>
              <w:t>15751</w:t>
            </w:r>
          </w:p>
        </w:tc>
        <w:tc>
          <w:tcPr>
            <w:tcW w:type="dxa" w:w="1728"/>
          </w:tcPr>
          <w:p>
            <w:r>
              <w:t>40322706 FCFA</w:t>
            </w:r>
          </w:p>
        </w:tc>
        <w:tc>
          <w:tcPr>
            <w:tcW w:type="dxa" w:w="1728"/>
          </w:tcPr>
          <w:p>
            <w:r>
              <w:t>38.82%</w:t>
            </w:r>
          </w:p>
        </w:tc>
        <w:tc>
          <w:tcPr>
            <w:tcW w:type="dxa" w:w="1728"/>
          </w:tcPr>
          <w:p>
            <w:r>
              <w:t>ACHAT</w:t>
            </w:r>
          </w:p>
        </w:tc>
      </w:tr>
      <w:tr>
        <w:tc>
          <w:tcPr>
            <w:tcW w:type="dxa" w:w="1728"/>
          </w:tcPr>
          <w:p>
            <w:r>
              <w:t>UNXC (UNXC - UNIWAX COTE D'IVOIRE)</w:t>
            </w:r>
          </w:p>
        </w:tc>
        <w:tc>
          <w:tcPr>
            <w:tcW w:type="dxa" w:w="1728"/>
          </w:tcPr>
          <w:p>
            <w:r>
              <w:t>14538</w:t>
            </w:r>
          </w:p>
        </w:tc>
        <w:tc>
          <w:tcPr>
            <w:tcW w:type="dxa" w:w="1728"/>
          </w:tcPr>
          <w:p>
            <w:r>
              <w:t>31254089 FCFA</w:t>
            </w:r>
          </w:p>
        </w:tc>
        <w:tc>
          <w:tcPr>
            <w:tcW w:type="dxa" w:w="1728"/>
          </w:tcPr>
          <w:p>
            <w:r>
              <w:t>24.75%</w:t>
            </w:r>
          </w:p>
        </w:tc>
        <w:tc>
          <w:tcPr>
            <w:tcW w:type="dxa" w:w="1728"/>
          </w:tcPr>
          <w:p>
            <w:r>
              <w:t>ACHAT</w:t>
            </w:r>
          </w:p>
        </w:tc>
      </w:tr>
      <w:tr>
        <w:tc>
          <w:tcPr>
            <w:tcW w:type="dxa" w:w="1728"/>
          </w:tcPr>
          <w:p>
            <w:r>
              <w:t>SNTS (SNTS - SONATEL SN)</w:t>
            </w:r>
          </w:p>
        </w:tc>
        <w:tc>
          <w:tcPr>
            <w:tcW w:type="dxa" w:w="1728"/>
          </w:tcPr>
          <w:p>
            <w:r>
              <w:t>12787</w:t>
            </w:r>
          </w:p>
        </w:tc>
        <w:tc>
          <w:tcPr>
            <w:tcW w:type="dxa" w:w="1728"/>
          </w:tcPr>
          <w:p>
            <w:r>
              <w:t>405796940 FCFA</w:t>
            </w:r>
          </w:p>
        </w:tc>
        <w:tc>
          <w:tcPr>
            <w:tcW w:type="dxa" w:w="1728"/>
          </w:tcPr>
          <w:p>
            <w:r>
              <w:t>28.41%</w:t>
            </w:r>
          </w:p>
        </w:tc>
        <w:tc>
          <w:tcPr>
            <w:tcW w:type="dxa" w:w="1728"/>
          </w:tcPr>
          <w:p>
            <w:r>
              <w:t>ACHAT</w:t>
            </w:r>
          </w:p>
        </w:tc>
      </w:tr>
      <w:tr>
        <w:tc>
          <w:tcPr>
            <w:tcW w:type="dxa" w:w="1728"/>
          </w:tcPr>
          <w:p>
            <w:r>
              <w:t>SOGC (SOGC - Société des caoutchoucs de Grand-Béréby)</w:t>
            </w:r>
          </w:p>
        </w:tc>
        <w:tc>
          <w:tcPr>
            <w:tcW w:type="dxa" w:w="1728"/>
          </w:tcPr>
          <w:p>
            <w:r>
              <w:t>11137</w:t>
            </w:r>
          </w:p>
        </w:tc>
        <w:tc>
          <w:tcPr>
            <w:tcW w:type="dxa" w:w="1728"/>
          </w:tcPr>
          <w:p>
            <w:r>
              <w:t>83914268 FCFA</w:t>
            </w:r>
          </w:p>
        </w:tc>
        <w:tc>
          <w:tcPr>
            <w:tcW w:type="dxa" w:w="1728"/>
          </w:tcPr>
          <w:p>
            <w:r>
              <w:t>4.43%</w:t>
            </w:r>
          </w:p>
        </w:tc>
        <w:tc>
          <w:tcPr>
            <w:tcW w:type="dxa" w:w="1728"/>
          </w:tcPr>
          <w:p>
            <w:r>
              <w:t>ACHAT</w:t>
            </w:r>
          </w:p>
        </w:tc>
      </w:tr>
      <w:tr>
        <w:tc>
          <w:tcPr>
            <w:tcW w:type="dxa" w:w="1728"/>
          </w:tcPr>
          <w:p>
            <w:r>
              <w:t>BOAS (BANK OF AFRICA SENEGAL)</w:t>
            </w:r>
          </w:p>
        </w:tc>
        <w:tc>
          <w:tcPr>
            <w:tcW w:type="dxa" w:w="1728"/>
          </w:tcPr>
          <w:p>
            <w:r>
              <w:t>10628</w:t>
            </w:r>
          </w:p>
        </w:tc>
        <w:tc>
          <w:tcPr>
            <w:tcW w:type="dxa" w:w="1728"/>
          </w:tcPr>
          <w:p>
            <w:r>
              <w:t>82404556 FCFA</w:t>
            </w:r>
          </w:p>
        </w:tc>
        <w:tc>
          <w:tcPr>
            <w:tcW w:type="dxa" w:w="1728"/>
          </w:tcPr>
          <w:p>
            <w:r>
              <w:t>28.98%</w:t>
            </w:r>
          </w:p>
        </w:tc>
        <w:tc>
          <w:tcPr>
            <w:tcW w:type="dxa" w:w="1728"/>
          </w:tcPr>
          <w:p>
            <w:r>
              <w:t>ACHAT</w:t>
            </w:r>
          </w:p>
        </w:tc>
      </w:tr>
      <w:tr>
        <w:tc>
          <w:tcPr>
            <w:tcW w:type="dxa" w:w="1728"/>
          </w:tcPr>
          <w:p>
            <w:r>
              <w:t>BOAC (BANK OF AFRICA COTE D'IVOIRE)</w:t>
            </w:r>
          </w:p>
        </w:tc>
        <w:tc>
          <w:tcPr>
            <w:tcW w:type="dxa" w:w="1728"/>
          </w:tcPr>
          <w:p>
            <w:r>
              <w:t>9267</w:t>
            </w:r>
          </w:p>
        </w:tc>
        <w:tc>
          <w:tcPr>
            <w:tcW w:type="dxa" w:w="1728"/>
          </w:tcPr>
          <w:p>
            <w:r>
              <w:t>113250023 FCFA</w:t>
            </w:r>
          </w:p>
        </w:tc>
        <w:tc>
          <w:tcPr>
            <w:tcW w:type="dxa" w:w="1728"/>
          </w:tcPr>
          <w:p>
            <w:r>
              <w:t>60.31%</w:t>
            </w:r>
          </w:p>
        </w:tc>
        <w:tc>
          <w:tcPr>
            <w:tcW w:type="dxa" w:w="1728"/>
          </w:tcPr>
          <w:p>
            <w:r>
              <w:t>ACHAT</w:t>
            </w:r>
          </w:p>
        </w:tc>
      </w:tr>
      <w:tr>
        <w:tc>
          <w:tcPr>
            <w:tcW w:type="dxa" w:w="1728"/>
          </w:tcPr>
          <w:p>
            <w:r>
              <w:t>SIBC (SIBC - SOCIETE IVOIRIENNE DE BANQUE)</w:t>
            </w:r>
          </w:p>
        </w:tc>
        <w:tc>
          <w:tcPr>
            <w:tcW w:type="dxa" w:w="1728"/>
          </w:tcPr>
          <w:p>
            <w:r>
              <w:t>8968</w:t>
            </w:r>
          </w:p>
        </w:tc>
        <w:tc>
          <w:tcPr>
            <w:tcW w:type="dxa" w:w="1728"/>
          </w:tcPr>
          <w:p>
            <w:r>
              <w:t>82026276 FCFA</w:t>
            </w:r>
          </w:p>
        </w:tc>
        <w:tc>
          <w:tcPr>
            <w:tcW w:type="dxa" w:w="1728"/>
          </w:tcPr>
          <w:p>
            <w:r>
              <w:t>30.00%</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SIVC (SIVC - ERIUM CI (Ex AIR LIQUIDECI))</w:t>
            </w:r>
          </w:p>
        </w:tc>
        <w:tc>
          <w:tcPr>
            <w:tcW w:type="dxa" w:w="1728"/>
          </w:tcPr>
          <w:p>
            <w:r>
              <w:t>3329</w:t>
            </w:r>
          </w:p>
        </w:tc>
        <w:tc>
          <w:tcPr>
            <w:tcW w:type="dxa" w:w="1728"/>
          </w:tcPr>
          <w:p>
            <w:r>
              <w:t>7531104 FCFA</w:t>
            </w:r>
          </w:p>
        </w:tc>
        <w:tc>
          <w:tcPr>
            <w:tcW w:type="dxa" w:w="1728"/>
          </w:tcPr>
          <w:p>
            <w:r>
              <w:t>-20.00%</w:t>
            </w:r>
          </w:p>
        </w:tc>
        <w:tc>
          <w:tcPr>
            <w:tcW w:type="dxa" w:w="1728"/>
          </w:tcPr>
          <w:p>
            <w:r>
              <w:t>ACHAT</w:t>
            </w:r>
          </w:p>
        </w:tc>
      </w:tr>
      <w:tr>
        <w:tc>
          <w:tcPr>
            <w:tcW w:type="dxa" w:w="1728"/>
          </w:tcPr>
          <w:p>
            <w:r>
              <w:t>ABJC (ABJC - SERVAIR ABIDJAN CI)</w:t>
            </w:r>
          </w:p>
        </w:tc>
        <w:tc>
          <w:tcPr>
            <w:tcW w:type="dxa" w:w="1728"/>
          </w:tcPr>
          <w:p>
            <w:r>
              <w:t>3086</w:t>
            </w:r>
          </w:p>
        </w:tc>
        <w:tc>
          <w:tcPr>
            <w:tcW w:type="dxa" w:w="1728"/>
          </w:tcPr>
          <w:p>
            <w:r>
              <w:t>9813992 FCFA</w:t>
            </w:r>
          </w:p>
        </w:tc>
        <w:tc>
          <w:tcPr>
            <w:tcW w:type="dxa" w:w="1728"/>
          </w:tcPr>
          <w:p>
            <w:r>
              <w:t>-2.44%</w:t>
            </w:r>
          </w:p>
        </w:tc>
        <w:tc>
          <w:tcPr>
            <w:tcW w:type="dxa" w:w="1728"/>
          </w:tcPr>
          <w:p>
            <w:r>
              <w:t>ACHAT</w:t>
            </w:r>
          </w:p>
        </w:tc>
      </w:tr>
      <w:tr>
        <w:tc>
          <w:tcPr>
            <w:tcW w:type="dxa" w:w="1728"/>
          </w:tcPr>
          <w:p>
            <w:r>
              <w:t>CFAC (CFAC - CFAO MOTORS CI)</w:t>
            </w:r>
          </w:p>
        </w:tc>
        <w:tc>
          <w:tcPr>
            <w:tcW w:type="dxa" w:w="1728"/>
          </w:tcPr>
          <w:p>
            <w:r>
              <w:t>2894</w:t>
            </w:r>
          </w:p>
        </w:tc>
        <w:tc>
          <w:tcPr>
            <w:tcW w:type="dxa" w:w="1728"/>
          </w:tcPr>
          <w:p>
            <w:r>
              <w:t>4837210 FCFA</w:t>
            </w:r>
          </w:p>
        </w:tc>
        <w:tc>
          <w:tcPr>
            <w:tcW w:type="dxa" w:w="1728"/>
          </w:tcPr>
          <w:p>
            <w:r>
              <w:t>9.63%</w:t>
            </w:r>
          </w:p>
        </w:tc>
        <w:tc>
          <w:tcPr>
            <w:tcW w:type="dxa" w:w="1728"/>
          </w:tcPr>
          <w:p>
            <w:r>
              <w:t>ACHAT</w:t>
            </w:r>
          </w:p>
        </w:tc>
      </w:tr>
      <w:tr>
        <w:tc>
          <w:tcPr>
            <w:tcW w:type="dxa" w:w="1728"/>
          </w:tcPr>
          <w:p>
            <w:r>
              <w:t>CABC (CABC - SICABLE COTE D'IVOIRE)</w:t>
            </w:r>
          </w:p>
        </w:tc>
        <w:tc>
          <w:tcPr>
            <w:tcW w:type="dxa" w:w="1728"/>
          </w:tcPr>
          <w:p>
            <w:r>
              <w:t>2709</w:t>
            </w:r>
          </w:p>
        </w:tc>
        <w:tc>
          <w:tcPr>
            <w:tcW w:type="dxa" w:w="1728"/>
          </w:tcPr>
          <w:p>
            <w:r>
              <w:t>9619450 FCFA</w:t>
            </w:r>
          </w:p>
        </w:tc>
        <w:tc>
          <w:tcPr>
            <w:tcW w:type="dxa" w:w="1728"/>
          </w:tcPr>
          <w:p>
            <w:r>
              <w:t>11.38%</w:t>
            </w:r>
          </w:p>
        </w:tc>
        <w:tc>
          <w:tcPr>
            <w:tcW w:type="dxa" w:w="1728"/>
          </w:tcPr>
          <w:p>
            <w:r>
              <w:t>ACHAT</w:t>
            </w:r>
          </w:p>
        </w:tc>
      </w:tr>
      <w:tr>
        <w:tc>
          <w:tcPr>
            <w:tcW w:type="dxa" w:w="1728"/>
          </w:tcPr>
          <w:p>
            <w:r>
              <w:t>PALC (PALC - PALM COTE D'IVOIRE)</w:t>
            </w:r>
          </w:p>
        </w:tc>
        <w:tc>
          <w:tcPr>
            <w:tcW w:type="dxa" w:w="1728"/>
          </w:tcPr>
          <w:p>
            <w:r>
              <w:t>2443</w:t>
            </w:r>
          </w:p>
        </w:tc>
        <w:tc>
          <w:tcPr>
            <w:tcW w:type="dxa" w:w="1728"/>
          </w:tcPr>
          <w:p>
            <w:r>
              <w:t>22272046 FCFA</w:t>
            </w:r>
          </w:p>
        </w:tc>
        <w:tc>
          <w:tcPr>
            <w:tcW w:type="dxa" w:w="1728"/>
          </w:tcPr>
          <w:p>
            <w:r>
              <w:t>18.01%</w:t>
            </w:r>
          </w:p>
        </w:tc>
        <w:tc>
          <w:tcPr>
            <w:tcW w:type="dxa" w:w="1728"/>
          </w:tcPr>
          <w:p>
            <w:r>
              <w:t>ACHAT</w:t>
            </w:r>
          </w:p>
        </w:tc>
      </w:tr>
      <w:tr>
        <w:tc>
          <w:tcPr>
            <w:tcW w:type="dxa" w:w="1728"/>
          </w:tcPr>
          <w:p>
            <w:r>
              <w:t>TTLS (TTLS - TOTAL ENERGIES MARKETING SENEGAL)</w:t>
            </w:r>
          </w:p>
        </w:tc>
        <w:tc>
          <w:tcPr>
            <w:tcW w:type="dxa" w:w="1728"/>
          </w:tcPr>
          <w:p>
            <w:r>
              <w:t>2387</w:t>
            </w:r>
          </w:p>
        </w:tc>
        <w:tc>
          <w:tcPr>
            <w:tcW w:type="dxa" w:w="1728"/>
          </w:tcPr>
          <w:p>
            <w:r>
              <w:t>8784563 FCFA</w:t>
            </w:r>
          </w:p>
        </w:tc>
        <w:tc>
          <w:tcPr>
            <w:tcW w:type="dxa" w:w="1728"/>
          </w:tcPr>
          <w:p>
            <w:r>
              <w:t>14.93%</w:t>
            </w:r>
          </w:p>
        </w:tc>
        <w:tc>
          <w:tcPr>
            <w:tcW w:type="dxa" w:w="1728"/>
          </w:tcPr>
          <w:p>
            <w:r>
              <w:t>ACHAT</w:t>
            </w:r>
          </w:p>
        </w:tc>
      </w:tr>
      <w:tr>
        <w:tc>
          <w:tcPr>
            <w:tcW w:type="dxa" w:w="1728"/>
          </w:tcPr>
          <w:p>
            <w:r>
              <w:t>SMBC (SMBC - Société Multinationale de Bitumes COTE D'IVOIRE)</w:t>
            </w:r>
          </w:p>
        </w:tc>
        <w:tc>
          <w:tcPr>
            <w:tcW w:type="dxa" w:w="1728"/>
          </w:tcPr>
          <w:p>
            <w:r>
              <w:t>2079</w:t>
            </w:r>
          </w:p>
        </w:tc>
        <w:tc>
          <w:tcPr>
            <w:tcW w:type="dxa" w:w="1728"/>
          </w:tcPr>
          <w:p>
            <w:r>
              <w:t>33564116 FCFA</w:t>
            </w:r>
          </w:p>
        </w:tc>
        <w:tc>
          <w:tcPr>
            <w:tcW w:type="dxa" w:w="1728"/>
          </w:tcPr>
          <w:p>
            <w:r>
              <w:t>34.40%</w:t>
            </w:r>
          </w:p>
        </w:tc>
        <w:tc>
          <w:tcPr>
            <w:tcW w:type="dxa" w:w="1728"/>
          </w:tcPr>
          <w:p>
            <w:r>
              <w:t>ACHAT</w:t>
            </w:r>
          </w:p>
        </w:tc>
      </w:tr>
      <w:tr>
        <w:tc>
          <w:tcPr>
            <w:tcW w:type="dxa" w:w="1728"/>
          </w:tcPr>
          <w:p>
            <w:r>
              <w:t>ORAC (ORAC - ORANGE COTE D'IVOIRE)</w:t>
            </w:r>
          </w:p>
        </w:tc>
        <w:tc>
          <w:tcPr>
            <w:tcW w:type="dxa" w:w="1728"/>
          </w:tcPr>
          <w:p>
            <w:r>
              <w:t>2060</w:t>
            </w:r>
          </w:p>
        </w:tc>
        <w:tc>
          <w:tcPr>
            <w:tcW w:type="dxa" w:w="1728"/>
          </w:tcPr>
          <w:p>
            <w:r>
              <w:t>38371247 FCFA</w:t>
            </w:r>
          </w:p>
        </w:tc>
        <w:tc>
          <w:tcPr>
            <w:tcW w:type="dxa" w:w="1728"/>
          </w:tcPr>
          <w:p>
            <w:r>
              <w:t>44.71%</w:t>
            </w:r>
          </w:p>
        </w:tc>
        <w:tc>
          <w:tcPr>
            <w:tcW w:type="dxa" w:w="1728"/>
          </w:tcPr>
          <w:p>
            <w:r>
              <w:t>ACHAT</w:t>
            </w:r>
          </w:p>
        </w:tc>
      </w:tr>
      <w:tr>
        <w:tc>
          <w:tcPr>
            <w:tcW w:type="dxa" w:w="1728"/>
          </w:tcPr>
          <w:p>
            <w:r>
              <w:t>BNBC (BNBC - BERNABE CI)</w:t>
            </w:r>
          </w:p>
        </w:tc>
        <w:tc>
          <w:tcPr>
            <w:tcW w:type="dxa" w:w="1728"/>
          </w:tcPr>
          <w:p>
            <w:r>
              <w:t>2044</w:t>
            </w:r>
          </w:p>
        </w:tc>
        <w:tc>
          <w:tcPr>
            <w:tcW w:type="dxa" w:w="1728"/>
          </w:tcPr>
          <w:p>
            <w:r>
              <w:t>3988362 FCFA</w:t>
            </w:r>
          </w:p>
        </w:tc>
        <w:tc>
          <w:tcPr>
            <w:tcW w:type="dxa" w:w="1728"/>
          </w:tcPr>
          <w:p>
            <w:r>
              <w:t>25.55%</w:t>
            </w:r>
          </w:p>
        </w:tc>
        <w:tc>
          <w:tcPr>
            <w:tcW w:type="dxa" w:w="1728"/>
          </w:tcPr>
          <w:p>
            <w:r>
              <w:t>ACHAT</w:t>
            </w:r>
          </w:p>
        </w:tc>
      </w:tr>
      <w:tr>
        <w:tc>
          <w:tcPr>
            <w:tcW w:type="dxa" w:w="1728"/>
          </w:tcPr>
          <w:p>
            <w:r>
              <w:t>SLBC (SLBC - SOLIBRA COTE D'IVOIRE)</w:t>
            </w:r>
          </w:p>
        </w:tc>
        <w:tc>
          <w:tcPr>
            <w:tcW w:type="dxa" w:w="1728"/>
          </w:tcPr>
          <w:p>
            <w:r>
              <w:t>2003</w:t>
            </w:r>
          </w:p>
        </w:tc>
        <w:tc>
          <w:tcPr>
            <w:tcW w:type="dxa" w:w="1728"/>
          </w:tcPr>
          <w:p>
            <w:r>
              <w:t>76624665 FCFA</w:t>
            </w:r>
          </w:p>
        </w:tc>
        <w:tc>
          <w:tcPr>
            <w:tcW w:type="dxa" w:w="1728"/>
          </w:tcPr>
          <w:p>
            <w:r>
              <w:t>-2.97%</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ABJC - ABJC - SERVAIR ABIDJAN CI</w:t>
      </w:r>
    </w:p>
    <w:p>
      <w:r>
        <w:rPr>
          <w:b/>
        </w:rPr>
        <w:t xml:space="preserve">Score de divergence: </w:t>
      </w:r>
      <w:r>
        <w:t>6/8</w:t>
        <w:br/>
      </w:r>
      <w:r>
        <w:rPr>
          <w:b/>
        </w:rPr>
        <w:t xml:space="preserve">Description: </w:t>
      </w:r>
      <w:r>
        <w:t>Signaux d'achat: MACD | Signaux de vente: MM, Bollinger, RSI, Stochastique | Recommandation finale: ACHAT</w:t>
        <w:br/>
      </w:r>
    </w:p>
    <w:p/>
    <w:p>
      <w:pPr>
        <w:pStyle w:val="Heading3"/>
      </w:pPr>
      <w:r>
        <w:t>2. BICB - BIIC BN - Banque internationale pour le commerce du benin</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3. CFAC - CFAC - CFAO MOTORS CI</w:t>
      </w:r>
    </w:p>
    <w:p>
      <w:r>
        <w:rPr>
          <w:b/>
        </w:rPr>
        <w:t xml:space="preserve">Score de divergence: </w:t>
      </w:r>
      <w:r>
        <w:t>5/8</w:t>
        <w:br/>
      </w:r>
      <w:r>
        <w:rPr>
          <w:b/>
        </w:rPr>
        <w:t xml:space="preserve">Description: </w:t>
      </w:r>
      <w:r>
        <w:t>Signaux d'achat: MACD | Signaux de vente: MM, Bollinger, Stochastique | Recommandation finale: ACHAT</w:t>
        <w:br/>
      </w:r>
    </w:p>
    <w:p/>
    <w:p>
      <w:pPr>
        <w:pStyle w:val="Heading3"/>
      </w:pPr>
      <w:r>
        <w:t>4. PRSC - PRSC - TRACTAFRIC MOTORS CI</w:t>
      </w:r>
    </w:p>
    <w:p>
      <w:r>
        <w:rPr>
          <w:b/>
        </w:rPr>
        <w:t xml:space="preserve">Score de divergence: </w:t>
      </w:r>
      <w:r>
        <w:t>5/8</w:t>
        <w:br/>
      </w:r>
      <w:r>
        <w:rPr>
          <w:b/>
        </w:rPr>
        <w:t xml:space="preserve">Description: </w:t>
      </w:r>
      <w:r>
        <w:t>Signaux de vente: MM, MACD | Recommandation finale: ACHAT</w:t>
        <w:br/>
      </w:r>
    </w:p>
    <w:p/>
    <w:p>
      <w:pPr>
        <w:pStyle w:val="Heading3"/>
      </w:pPr>
      <w:r>
        <w:t>5. SMBC - SMBC - Société Multinationale de Bitumes COTE D'IVOIRE</w:t>
      </w:r>
    </w:p>
    <w:p>
      <w:r>
        <w:rPr>
          <w:b/>
        </w:rPr>
        <w:t xml:space="preserve">Score de divergence: </w:t>
      </w:r>
      <w:r>
        <w:t>5/8</w:t>
        <w:br/>
      </w:r>
      <w:r>
        <w:rPr>
          <w:b/>
        </w:rPr>
        <w:t xml:space="preserve">Description: </w:t>
      </w:r>
      <w:r>
        <w:t>Signaux d'achat: MACD | Signaux de vente: MM, RSI, Stochastique | Recommandation finale: ACHAT</w:t>
        <w:br/>
      </w:r>
    </w:p>
    <w:p/>
    <w:p>
      <w:pPr>
        <w:pStyle w:val="Heading3"/>
      </w:pPr>
      <w:r>
        <w:t>6. BOAB - BANK OF AFRICA BENIN</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7. BOABF - BANK OF AFRICA BURKINA FASO</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8. BOAN - BANK OF AFRICA NIGER</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9. BOAS - BANK OF AFRICA SENEGAL</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10. ECOC - ECOC - ECOBANK COTE D'IVOIRE</w:t>
      </w:r>
    </w:p>
    <w:p>
      <w:r>
        <w:rPr>
          <w:b/>
        </w:rPr>
        <w:t xml:space="preserve">Score de divergence: </w:t>
      </w:r>
      <w:r>
        <w:t>4/8</w:t>
        <w:br/>
      </w:r>
      <w:r>
        <w:rPr>
          <w:b/>
        </w:rPr>
        <w:t xml:space="preserve">Description: </w:t>
      </w:r>
      <w:r>
        <w:t>Signaux d'achat: MACD | Signaux de vente: MM,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19</w:t>
            </w:r>
          </w:p>
        </w:tc>
        <w:tc>
          <w:tcPr>
            <w:tcW w:type="dxa" w:w="2160"/>
          </w:tcPr>
          <w:p>
            <w:r>
              <w:t>0</w:t>
            </w:r>
          </w:p>
        </w:tc>
      </w:tr>
      <w:tr>
        <w:tc>
          <w:tcPr>
            <w:tcW w:type="dxa" w:w="2160"/>
          </w:tcPr>
          <w:p>
            <w:r>
              <w:t>Risque Moyen</w:t>
            </w:r>
          </w:p>
        </w:tc>
        <w:tc>
          <w:tcPr>
            <w:tcW w:type="dxa" w:w="2160"/>
          </w:tcPr>
          <w:p>
            <w:r>
              <w:t>0</w:t>
            </w:r>
          </w:p>
        </w:tc>
        <w:tc>
          <w:tcPr>
            <w:tcW w:type="dxa" w:w="2160"/>
          </w:tcPr>
          <w:p>
            <w:r>
              <w:t>28</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BNBC (BNBC - BERNABE CI)</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BOAS (BANK OF AFRICA SENEGAL)</w:t>
      </w:r>
    </w:p>
    <w:p>
      <w:pPr>
        <w:pStyle w:val="ListBullet"/>
      </w:pPr>
      <w:r>
        <w:t>• ECOC (ECOC - ECOBANK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TTLC (TTLC - TOTAL ENERGIES MARKETING COTE D'IVOIRE)</w:t>
      </w:r>
    </w:p>
    <w:p>
      <w:pPr>
        <w:pStyle w:val="ListBullet"/>
      </w:pPr>
      <w:r>
        <w:t>• TTLS (TTLS - TOTAL ENERGIES MARKETING SENEGAL)</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 (BANK OF AFRICA BENIN)</w:t>
      </w:r>
    </w:p>
    <w:p>
      <w:pPr>
        <w:pStyle w:val="ListBullet"/>
      </w:pPr>
      <w:r>
        <w:t>• BOAN (BANK OF AFRICA NIGER)</w:t>
      </w:r>
    </w:p>
    <w:p>
      <w:pPr>
        <w:pStyle w:val="ListBullet"/>
      </w:pPr>
      <w:r>
        <w:t>• CABC (CABC - SICABLE COTE D'IVOIRE)</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FTSC (FTSC - FILTISAC COTE D'IVOIRE)</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SPHC (SPHC - Société Africaine de Plantation d'Hévéas de Côte d'Ivoire)</w:t>
      </w:r>
    </w:p>
    <w:p>
      <w:pPr>
        <w:pStyle w:val="ListBullet"/>
      </w:pPr>
      <w:r>
        <w:t>• STAC (STAC - SETAO COTE D'IVOIRE)</w:t>
      </w:r>
    </w:p>
    <w:p>
      <w:pPr>
        <w:pStyle w:val="ListBullet"/>
      </w:pPr>
      <w:r>
        <w:t>• STBC (STBC - SITAB COTE D'IVOIRE)</w:t>
      </w:r>
    </w:p>
    <w:p>
      <w:pPr>
        <w:pStyle w:val="ListBullet"/>
      </w:pPr>
      <w:r>
        <w:t>• UNLC (UNLC - UNILEVER COTE D'IVOIRE)</w:t>
      </w:r>
    </w:p>
    <w:p>
      <w:pPr>
        <w:pStyle w:val="ListBullet"/>
      </w:pPr>
      <w:r>
        <w:t>• UNXC (UNXC - UNIWAX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Les marchés européens montrent des signes d'essoufflement, avec des doutes croissants sur leur trajectoire, alimentés par des incertitudes de politique monétaire. Parallèlement, les prix du pétrole s'effondrent tandis que ceux du café grimpent de plus de 5%, illustrant une divergence marquée sur les marchés de matières premières. L'indice MXV des matières premières a inversé sa tendance haussière récente pour reculer légèrement, signalant une volatilité accrue. Ces mouvements traduisent une prudence générale des investisseurs internationaux face à un environnement macro-économique incertain.</w:t>
      </w:r>
    </w:p>
    <w:p>
      <w:pPr>
        <w:pStyle w:val="Heading3"/>
      </w:pPr>
      <w:r>
        <w:rPr>
          <w:color w:val="500050"/>
        </w:rPr>
        <w:t>⚡ Impact estimé sur la BRVM</w:t>
      </w:r>
    </w:p>
    <w:p>
      <w:pPr>
        <w:spacing w:before="20" w:after="40"/>
        <w:ind w:left="280"/>
      </w:pPr>
      <w:r>
        <w:rPr>
          <w:i/>
          <w:sz w:val="18"/>
        </w:rPr>
        <w:t>La chute des prix du pétrole est une nouvelle positive pour les secteurs consommateurs d'énergie, notamment les industriels comme FTSC, mais pèse sur les perspectives du secteur énergétique local (SHEC, TTLC). La hausse du café pourrait bénéficier aux économies de la région si des producteurs sont cotés, mais l'effet direct sur la BRVM reste limité. La prudence sur les marchés européens pourrait réduire l'appétit pour le risque des investisseurs étrangers vis-à-vis des marchés émergents, y compris la BRVM.</w:t>
      </w:r>
    </w:p>
    <w:p>
      <w:pPr>
        <w:pStyle w:val="Heading2"/>
      </w:pPr>
      <w:r>
        <w:rPr>
          <w:color w:val="006E32"/>
        </w:rPr>
        <w:t>🌍 Plan Africain</w:t>
      </w:r>
    </w:p>
    <w:p>
      <w:pPr>
        <w:spacing w:before="20" w:after="40"/>
        <w:ind w:left="0"/>
      </w:pPr>
      <w:r>
        <w:rPr>
          <w:sz w:val="18"/>
        </w:rPr>
        <w:t>Les secteurs porteurs en Afrique identifiés par Bpifrance incluent les infrastructures, l'agro-industrie et les énergies renouvelables, offrant des perspectives de croissance à long terme. Au Sénégal, l'investissement dans l'économie des soins est présenté comme un levier de croissance stratégique par un responsable officiel. Par ailleurs, Senelec a émis 108 milliards de FCFA de dette verte à la Bourse de Luxembourg, illustrant l'innovation financière sur le continent.</w:t>
      </w:r>
    </w:p>
    <w:p>
      <w:pPr>
        <w:pStyle w:val="Heading3"/>
      </w:pPr>
      <w:r>
        <w:rPr>
          <w:color w:val="500050"/>
        </w:rPr>
        <w:t>⚡ Impact estimé sur la BRVM</w:t>
      </w:r>
    </w:p>
    <w:p>
      <w:pPr>
        <w:spacing w:before="20" w:after="40"/>
        <w:ind w:left="280"/>
      </w:pPr>
      <w:r>
        <w:rPr>
          <w:i/>
          <w:sz w:val="18"/>
        </w:rPr>
        <w:t>Les secteurs identifiés comme porteurs en Afrique (infrastructures, agro-industrie) correspondent à des domaines où opèrent plusieurs sociétés cotées à la BRVM, notamment dans les services publics et l'industrie. L'émission de dette verte par Senelec pourrait inspirer d'autres entreprises de la zone UEMOA à recourir aux marchés financiers, renforçant potentiellement l'attractivité du secteur financier régional. Les banques cotées comme BOAC, NSBC et BOAB pourraient bénéficier de cette dynamique de financement.</w:t>
      </w:r>
    </w:p>
    <w:p>
      <w:pPr>
        <w:pStyle w:val="Heading2"/>
      </w:pPr>
      <w:r>
        <w:rPr>
          <w:color w:val="145A28"/>
        </w:rPr>
        <w:t>🌍 Plan Afrique de l'Ouest</w:t>
      </w:r>
    </w:p>
    <w:p>
      <w:pPr>
        <w:spacing w:before="20" w:after="40"/>
        <w:ind w:left="0"/>
      </w:pPr>
      <w:r>
        <w:rPr>
          <w:sz w:val="18"/>
        </w:rPr>
        <w:t>La CEDEAO a annoncé des actions coordonnées pour soutenir l'économie et la santé dans la région, visant à atténuer les effets des chocs économiques. La croissance économique du Libéria est estimée à 5% pour 2026, reflétant une dynamique positive dans la sous-région. La FEWACCI appelle à lever les barrières commerciales et non tarifaires au sein de la CEDEAO pour stimuler les échanges intrarégionaux.</w:t>
      </w:r>
    </w:p>
    <w:p>
      <w:pPr>
        <w:pStyle w:val="Heading3"/>
      </w:pPr>
      <w:r>
        <w:rPr>
          <w:color w:val="500050"/>
        </w:rPr>
        <w:t>⚡ Impact estimé sur la BRVM</w:t>
      </w:r>
    </w:p>
    <w:p>
      <w:pPr>
        <w:spacing w:before="20" w:after="40"/>
        <w:ind w:left="280"/>
      </w:pPr>
      <w:r>
        <w:rPr>
          <w:i/>
          <w:sz w:val="18"/>
        </w:rPr>
        <w:t>Les actions de soutien économique de la CEDEAO et la levée potentielle des barrières commerciales sont positives pour les entreprises cotées opérant dans plusieurs pays de la région, comme les banques et les sociétés de distribution. La croissance estimée du Libéria et les initiatives régionales renforcent la confiance dans l'environnement économique ouest-africain. Les sociétés comme PALC et SCRC, actives dans la consommation de base, pourraient bénéficier d'une amélioration du commerce régional.</w:t>
      </w:r>
    </w:p>
    <w:p>
      <w:pPr>
        <w:pStyle w:val="Heading2"/>
      </w:pPr>
      <w:r>
        <w:rPr>
          <w:color w:val="8C4600"/>
        </w:rPr>
        <w:t>🏦 Plan UEMOA / Zone Franc</w:t>
      </w:r>
    </w:p>
    <w:p>
      <w:pPr>
        <w:spacing w:before="20" w:after="40"/>
        <w:ind w:left="0"/>
      </w:pPr>
      <w:r>
        <w:rPr>
          <w:sz w:val="18"/>
        </w:rPr>
        <w:t>Les données spécifiques à l'UEMOA sont limitées dans les actualités collectées. On note la reprise du dialogue entre le Mali et l'Algérie, qui pourrait apaiser les tensions régionales. Aucune décision BCEAO, donnée d'inflation ou information sur la liquidité bancaire n'est disponible dans les actualités fournies.</w:t>
      </w:r>
    </w:p>
    <w:p>
      <w:pPr>
        <w:pStyle w:val="Heading3"/>
      </w:pPr>
      <w:r>
        <w:rPr>
          <w:color w:val="500050"/>
        </w:rPr>
        <w:t>⚡ Impact estimé sur la BRVM</w:t>
      </w:r>
    </w:p>
    <w:p>
      <w:pPr>
        <w:spacing w:before="20" w:after="40"/>
        <w:ind w:left="280"/>
      </w:pPr>
      <w:r>
        <w:rPr>
          <w:i/>
          <w:sz w:val="18"/>
        </w:rPr>
        <w:t>Données insuffisantes pour établir un impact précis sur les secteurs bancaires et agro-industriels de la BRVM. La reprise du dialogue Mali-Algérie est un signe de stabilité régionale qui pourrait indirectement soutenir la confiance des investisseurs. Les banques cotées (BOAC, NSBC, BNBC) restent dépendantes des conditions de liquidité dans la zone, non documentées ici.</w:t>
      </w:r>
    </w:p>
    <w:p>
      <w:pPr>
        <w:pStyle w:val="Heading2"/>
      </w:pPr>
      <w:r>
        <w:rPr>
          <w:color w:val="003366"/>
        </w:rPr>
        <w:t>📈 Plan BRVM</w:t>
      </w:r>
    </w:p>
    <w:p>
      <w:pPr>
        <w:spacing w:before="20" w:after="40"/>
        <w:ind w:left="0"/>
      </w:pPr>
      <w:r>
        <w:rPr>
          <w:sz w:val="18"/>
        </w:rPr>
        <w:t>Les résultats encourageants des sociétés cotées ivoiriennes à la BRVM ont été mis en avant par La Tribune, reflétant une dynamique positive du marché régional. L'indice BRVM Composite s'établit à 530.07 points. Aucune information sur les volumes, les IPO ou les dividendes n'est disponible dans les actualités fournies.</w:t>
      </w:r>
    </w:p>
    <w:p>
      <w:pPr>
        <w:pStyle w:val="Heading3"/>
      </w:pPr>
      <w:r>
        <w:rPr>
          <w:color w:val="500050"/>
        </w:rPr>
        <w:t>⚡ Impact estimé sur la BRVM</w:t>
      </w:r>
    </w:p>
    <w:p>
      <w:pPr>
        <w:spacing w:before="20" w:after="40"/>
        <w:ind w:left="280"/>
      </w:pPr>
      <w:r>
        <w:rPr>
          <w:i/>
          <w:sz w:val="18"/>
        </w:rPr>
        <w:t>Les résultats encourageants des sociétés ivoiriennes soutiennent la confiance des investisseurs dans la BRVM. Cette dynamique positive pourrait attirer davantage de capitaux vers les valeurs bancaires (SGBC, BICB) et industrielles (SOGC, ETIT). Les sociétés de consommation (NTLC, SIVC, ONTBF) pourraient également bénéficier de cette tendance si les fondamentaux économiques restent solides.</w:t>
      </w:r>
    </w:p>
    <w:p>
      <w:pPr>
        <w:spacing w:before="20" w:after="40"/>
        <w:ind w:left="280"/>
      </w:pPr>
      <w:r>
        <w:rPr>
          <w:i/>
          <w:sz w:val="18"/>
        </w:rPr>
        <w:t>---</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Les doutes sur les Bourses européennes sont liés à des incertitudes de politique monétaire, sans événement géopolitique majeur identifié dans les actualités fournies. Les sanctions américaines contre la CPI et le soutien du Sénégal à un magistrat visé constituent un point de friction diplomatique. Aucun conflit majeur ou élection à fort impact n'est mentionné dans les actualités collectées.</w:t>
      </w:r>
    </w:p>
    <w:p>
      <w:pPr>
        <w:pStyle w:val="Heading3"/>
      </w:pPr>
      <w:r>
        <w:rPr>
          <w:color w:val="500050"/>
        </w:rPr>
        <w:t>⚡ Impact estimé sur la BRVM</w:t>
      </w:r>
    </w:p>
    <w:p>
      <w:pPr>
        <w:spacing w:before="20" w:after="40"/>
        <w:ind w:left="280"/>
      </w:pPr>
      <w:r>
        <w:rPr>
          <w:i/>
          <w:sz w:val="18"/>
        </w:rPr>
        <w:t>L'instabilité géopolitique mondiale reste modérée, ce qui limite les effets de contagion sur la BRVM. Les tensions diplomatiques entre le Sénégal et les États-Unis sont sans impact direct sur les sociétés cotées. La BRVM reste relativement protégée des chocs géopolitiques mondiaux grâce à sa faible intégration aux marchés internationaux.</w:t>
      </w:r>
    </w:p>
    <w:p>
      <w:pPr>
        <w:pStyle w:val="Heading2"/>
      </w:pPr>
      <w:r>
        <w:rPr>
          <w:color w:val="006E32"/>
        </w:rPr>
        <w:t>🌍 Plan Africain</w:t>
      </w:r>
    </w:p>
    <w:p>
      <w:pPr>
        <w:spacing w:before="20" w:after="40"/>
        <w:ind w:left="0"/>
      </w:pPr>
      <w:r>
        <w:rPr>
          <w:sz w:val="18"/>
        </w:rPr>
        <w:t>Le Sénégal exprime son soutien au magistrat Abdoulaye Seye face aux sanctions américaines contre la CPI, marquant une position diplomatique affirmée. Les relations politique/religion au Sénégal font l'objet de discussions sur l'institutionnalisation du culte. Le président sénégalais Bassirou Diomaye Faye soutient finalement Macky Sall pour un poste à l'ONU, marquant une réconciliation politique.</w:t>
      </w:r>
    </w:p>
    <w:p>
      <w:pPr>
        <w:pStyle w:val="Heading3"/>
      </w:pPr>
      <w:r>
        <w:rPr>
          <w:color w:val="500050"/>
        </w:rPr>
        <w:t>⚡ Impact estimé sur la BRVM</w:t>
      </w:r>
    </w:p>
    <w:p>
      <w:pPr>
        <w:spacing w:before="20" w:after="40"/>
        <w:ind w:left="280"/>
      </w:pPr>
      <w:r>
        <w:rPr>
          <w:i/>
          <w:sz w:val="18"/>
        </w:rPr>
        <w:t>La stabilité politique au Sénégal, principal marché de la BRVM, est un facteur positif pour la confiance des investisseurs. La réconciliation entre les dirigeants sénégalais réduit les risques politiques dans la zone. Les banques sénégalaises cotées comme BOAS et BOABF pourraient bénéficier d'un environnement politique apaisé.</w:t>
      </w:r>
    </w:p>
    <w:p>
      <w:pPr>
        <w:pStyle w:val="Heading2"/>
      </w:pPr>
      <w:r>
        <w:rPr>
          <w:color w:val="145A28"/>
        </w:rPr>
        <w:t>🌍 Plan Afrique de l'Ouest</w:t>
      </w:r>
    </w:p>
    <w:p>
      <w:pPr>
        <w:spacing w:before="20" w:after="40"/>
        <w:ind w:left="0"/>
      </w:pPr>
      <w:r>
        <w:rPr>
          <w:sz w:val="18"/>
        </w:rPr>
        <w:t>Les actualités politiques de la sous-région sont dominées par les développements au Sénégal, sans information majeure sur les transitions politiques ou les tensions sécuritaires dans les pays de la CEDEAO. La reprise du dialogue entre le Mali et l'Algérie est un signe d'apaisement régional. Aucune information sur l'AES ou les relations régionales n'est disponible.</w:t>
      </w:r>
    </w:p>
    <w:p>
      <w:pPr>
        <w:pStyle w:val="Heading3"/>
      </w:pPr>
      <w:r>
        <w:rPr>
          <w:color w:val="500050"/>
        </w:rPr>
        <w:t>⚡ Impact estimé sur la BRVM</w:t>
      </w:r>
    </w:p>
    <w:p>
      <w:pPr>
        <w:spacing w:before="20" w:after="40"/>
        <w:ind w:left="280"/>
      </w:pPr>
      <w:r>
        <w:rPr>
          <w:i/>
          <w:sz w:val="18"/>
        </w:rPr>
        <w:t>La stabilité politique relative dans la sous-région est favorable aux activités des sociétés cotées opérant dans plusieurs pays. La reprise du dialogue Mali-Algérie pourrait réduire les risques sécuritaires dans la région. Les entreprises comme FTSC et SHEC, présentes dans plusieurs pays, bénéficient d'un environnement plus prévisible.</w:t>
      </w:r>
    </w:p>
    <w:p>
      <w:pPr>
        <w:pStyle w:val="Heading2"/>
      </w:pPr>
      <w:r>
        <w:rPr>
          <w:color w:val="8C4600"/>
        </w:rPr>
        <w:t>🏦 Plan UEMOA / Zone Franc</w:t>
      </w:r>
    </w:p>
    <w:p>
      <w:pPr>
        <w:spacing w:before="20" w:after="40"/>
        <w:ind w:left="0"/>
      </w:pPr>
      <w:r>
        <w:rPr>
          <w:sz w:val="18"/>
        </w:rPr>
        <w:t>Les actualités politiques de la zone UEMOA sont limitées, avec des informations principalement centrées sur le Sénégal. Aucune réforme institutionnelle ou situation politique particulière dans les autres pays membres n'est mentionnée. La réconciliation politique au Sénégal est le fait marquant de la zone.</w:t>
      </w:r>
    </w:p>
    <w:p>
      <w:pPr>
        <w:pStyle w:val="Heading3"/>
      </w:pPr>
      <w:r>
        <w:rPr>
          <w:color w:val="500050"/>
        </w:rPr>
        <w:t>⚡ Impact estimé sur la BRVM</w:t>
      </w:r>
    </w:p>
    <w:p>
      <w:pPr>
        <w:spacing w:before="20" w:after="40"/>
        <w:ind w:left="280"/>
      </w:pPr>
      <w:r>
        <w:rPr>
          <w:i/>
          <w:sz w:val="18"/>
        </w:rPr>
        <w:t>L'absence de tensions politiques majeures dans la zone UEMOA est un facteur de stabilité pour la BRVM. La situation politique apaisée au Sénégal, pays clé de la zone, soutient la confiance des investisseurs. Les risques réglementaires et politiques directs pour la BRVM restent limités.</w:t>
      </w:r>
    </w:p>
    <w:p>
      <w:pPr>
        <w:pStyle w:val="Heading2"/>
      </w:pPr>
      <w:r>
        <w:rPr>
          <w:color w:val="003366"/>
        </w:rPr>
        <w:t>📈 Plan BRVM</w:t>
      </w:r>
    </w:p>
    <w:p>
      <w:pPr>
        <w:spacing w:before="20" w:after="40"/>
        <w:ind w:left="0"/>
      </w:pPr>
      <w:r>
        <w:rPr>
          <w:sz w:val="18"/>
        </w:rPr>
        <w:t>Aucune information spécifique sur la réglementation CREPMF, les nouvelles cotations ou la gouvernance des sociétés n'est disponible dans les actualités fournies. Le marché semble évoluer sans changement réglementaire majeur à signaler.</w:t>
      </w:r>
    </w:p>
    <w:p>
      <w:pPr>
        <w:pStyle w:val="Heading3"/>
      </w:pPr>
      <w:r>
        <w:rPr>
          <w:color w:val="500050"/>
        </w:rPr>
        <w:t>⚡ Impact estimé sur la BRVM</w:t>
      </w:r>
    </w:p>
    <w:p>
      <w:pPr>
        <w:spacing w:before="20" w:after="40"/>
        <w:ind w:left="280"/>
      </w:pPr>
      <w:r>
        <w:rPr>
          <w:i/>
          <w:sz w:val="18"/>
        </w:rPr>
        <w:t>Données insuffisantes pour évaluer l'impact des décisions réglementaires sur le marché. L'absence de nouvelles réglementaires majeures suggère une continuité dans l'environnement des affaires. Les investisseurs peuvent se concentrer sur les fondamentaux des sociétés cotées.</w:t>
      </w:r>
    </w:p>
    <w:p>
      <w:pPr>
        <w:spacing w:before="20" w:after="40"/>
        <w:ind w:left="280"/>
      </w:pPr>
      <w:r>
        <w:rPr>
          <w:i/>
          <w:sz w:val="18"/>
        </w:rPr>
        <w:t>---</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Les Bourses européennes montrent des signes de faiblesse avec des doutes croissants sur leur trajectoire. Les prix du pétrole s'effondrent tandis que le café grimpe de plus de 5%, créant des opportunités sectorielles. L'indice MXV des matières premières recule légèrement après une tendance haussière récente. Aucune information sur Wall Street, les taux ou les cryptomonnaies n'est disponible.</w:t>
      </w:r>
    </w:p>
    <w:p>
      <w:pPr>
        <w:pStyle w:val="Heading3"/>
      </w:pPr>
      <w:r>
        <w:rPr>
          <w:color w:val="500050"/>
        </w:rPr>
        <w:t>⚡ Impact estimé sur la BRVM</w:t>
      </w:r>
    </w:p>
    <w:p>
      <w:pPr>
        <w:spacing w:before="20" w:after="40"/>
        <w:ind w:left="280"/>
      </w:pPr>
      <w:r>
        <w:rPr>
          <w:i/>
          <w:sz w:val="18"/>
        </w:rPr>
        <w:t>La faiblesse des marchés européens pourrait inciter les investisseurs à rechercher des rendements plus élevés sur les marchés émergents, dont la BRVM. La chute du pétrole est favorable aux secteurs industriels et de consommation, mais défavorable à l'énergie. Les flux de capitaux vers la BRVM pourraient s'intensifier si les investisseurs cherchent à diversifier leurs portefeuilles.</w:t>
      </w:r>
    </w:p>
    <w:p>
      <w:pPr>
        <w:pStyle w:val="Heading2"/>
      </w:pPr>
      <w:r>
        <w:rPr>
          <w:color w:val="006E32"/>
        </w:rPr>
        <w:t>🌍 Plan Africain</w:t>
      </w:r>
    </w:p>
    <w:p>
      <w:pPr>
        <w:spacing w:before="20" w:after="40"/>
        <w:ind w:left="0"/>
      </w:pPr>
      <w:r>
        <w:rPr>
          <w:sz w:val="18"/>
        </w:rPr>
        <w:t>Les marchés obligataires africains sont marqués par l'émission de 108 milliards de FCFA de dette verte par Senelec à la Bourse de Luxembourg. Cette opération illustre l'accès des entreprises africaines aux marchés internationaux de capitaux. Aucune information sur les eurobonds ou les notations souveraines n'est disponible.</w:t>
      </w:r>
    </w:p>
    <w:p>
      <w:pPr>
        <w:pStyle w:val="Heading3"/>
      </w:pPr>
      <w:r>
        <w:rPr>
          <w:color w:val="500050"/>
        </w:rPr>
        <w:t>⚡ Impact estimé sur la BRVM</w:t>
      </w:r>
    </w:p>
    <w:p>
      <w:pPr>
        <w:spacing w:before="20" w:after="40"/>
        <w:ind w:left="280"/>
      </w:pPr>
      <w:r>
        <w:rPr>
          <w:i/>
          <w:sz w:val="18"/>
        </w:rPr>
        <w:t>L'émission de dette verte par Senelec démontre la capacité des entreprises de la zone à accéder aux marchés internationaux, ce qui pourrait inspirer d'autres sociétés. Cette dynamique renforce l'attractivité du secteur financier régional. Les banques cotées comme BOAC et NSBC pourraient jouer un rôle croissant dans l'intermédiation de ces flux.</w:t>
      </w:r>
    </w:p>
    <w:p>
      <w:pPr>
        <w:pStyle w:val="Heading2"/>
      </w:pPr>
      <w:r>
        <w:rPr>
          <w:color w:val="145A28"/>
        </w:rPr>
        <w:t>🌍 Plan Afrique de l'Ouest</w:t>
      </w:r>
    </w:p>
    <w:p>
      <w:pPr>
        <w:spacing w:before="20" w:after="40"/>
        <w:ind w:left="0"/>
      </w:pPr>
      <w:r>
        <w:rPr>
          <w:sz w:val="18"/>
        </w:rPr>
        <w:t>Aucune information spécifique sur les bourses régionales concurrentes ou les flux de capitaux sous-régionaux n'est disponible dans les actualités fournies. La BRVM reste la principale place financière de la sous-région.</w:t>
      </w:r>
    </w:p>
    <w:p>
      <w:pPr>
        <w:pStyle w:val="Heading3"/>
      </w:pPr>
      <w:r>
        <w:rPr>
          <w:color w:val="500050"/>
        </w:rPr>
        <w:t>⚡ Impact estimé sur la BRVM</w:t>
      </w:r>
    </w:p>
    <w:p>
      <w:pPr>
        <w:spacing w:before="20" w:after="40"/>
        <w:ind w:left="280"/>
      </w:pPr>
      <w:r>
        <w:rPr>
          <w:i/>
          <w:sz w:val="18"/>
        </w:rPr>
        <w:t>Données insuffisantes pour évaluer le positionnement concurrentiel de la BRVM. La BRVM conserve son statut de principale bourse de la région ouest-africaine. Les initiatives de la CEDEAO pour soutenir l'économie pourraient indirectement renforcer l'activité boursière.</w:t>
      </w:r>
    </w:p>
    <w:p>
      <w:pPr>
        <w:pStyle w:val="Heading2"/>
      </w:pPr>
      <w:r>
        <w:rPr>
          <w:color w:val="8C4600"/>
        </w:rPr>
        <w:t>🏦 Plan UEMOA / Zone Franc</w:t>
      </w:r>
    </w:p>
    <w:p>
      <w:pPr>
        <w:spacing w:before="20" w:after="40"/>
        <w:ind w:left="0"/>
      </w:pPr>
      <w:r>
        <w:rPr>
          <w:sz w:val="18"/>
        </w:rPr>
        <w:t>Aucune information sur le marché des titres publics UEMOA, le taux interbancaire ou la liquidité n'est disponible dans les actualités fournies. Les conditions de financement dans la zone restent non documentées.</w:t>
      </w:r>
    </w:p>
    <w:p>
      <w:pPr>
        <w:pStyle w:val="Heading3"/>
      </w:pPr>
      <w:r>
        <w:rPr>
          <w:color w:val="500050"/>
        </w:rPr>
        <w:t>⚡ Impact estimé sur la BRVM</w:t>
      </w:r>
    </w:p>
    <w:p>
      <w:pPr>
        <w:spacing w:before="20" w:after="40"/>
        <w:ind w:left="280"/>
      </w:pPr>
      <w:r>
        <w:rPr>
          <w:i/>
          <w:sz w:val="18"/>
        </w:rPr>
        <w:t>Données insuffisantes pour analyser l'arbitrage entre titres publics et actions BRVM. L'absence d'information sur les conditions de liquidité limite l'analyse des flux entre obligations et actions. Les investisseurs doivent surveiller l'évolution des taux dans la zone.</w:t>
      </w:r>
    </w:p>
    <w:p>
      <w:pPr>
        <w:pStyle w:val="Heading2"/>
      </w:pPr>
      <w:r>
        <w:rPr>
          <w:color w:val="003366"/>
        </w:rPr>
        <w:t>📈 Plan BRVM</w:t>
      </w:r>
    </w:p>
    <w:p>
      <w:pPr>
        <w:spacing w:before="20" w:after="40"/>
        <w:ind w:left="0"/>
      </w:pPr>
      <w:r>
        <w:rPr>
          <w:sz w:val="18"/>
        </w:rPr>
        <w:t>L'indice BRVM Composite s'établit à 530.07 points, avec des résultats encourageants des sociétés cotées ivoiriennes. Aucune information sur les performances individuelles, les volumes ou les perspectives n'est disponible dans les actualités fournies.</w:t>
      </w:r>
    </w:p>
    <w:p>
      <w:pPr>
        <w:pStyle w:val="Heading3"/>
      </w:pPr>
      <w:r>
        <w:rPr>
          <w:color w:val="500050"/>
        </w:rPr>
        <w:t>⚡ Impact estimé sur la BRVM</w:t>
      </w:r>
    </w:p>
    <w:p>
      <w:pPr>
        <w:spacing w:before="20" w:after="40"/>
        <w:ind w:left="280"/>
      </w:pPr>
      <w:r>
        <w:rPr>
          <w:i/>
          <w:sz w:val="18"/>
        </w:rPr>
        <w:t>Les résultats encourageants des sociétés ivoiriennes soutiennent les valorisations actuelles. Les valeurs bancaires (SGBC, BICB, BOAC) et industrielles (SOGC, ETIT) semblent bien positionnées. Les titres de consommation (PALC, SCRC, NTLC, SIVC, ONTBF) pourraient offrir des opportunités si la dynamique économique se maintient. Les investisseurs devraient surveiller les publications de résultats pour ajuster leurs positions.</w:t>
      </w:r>
    </w:p>
    <w:p>
      <w:pPr>
        <w:spacing w:before="20" w:after="40"/>
        <w:ind w:left="280"/>
      </w:pPr>
      <w:r>
        <w:rPr>
          <w:i/>
          <w:sz w:val="18"/>
        </w:rPr>
        <w:t>---</w:t>
      </w:r>
    </w:p>
    <w:p>
      <w:pPr>
        <w:pStyle w:val="Heading1"/>
      </w:pPr>
      <w:r>
        <w:rPr>
          <w:color w:val="003366"/>
        </w:rPr>
        <w:t>🎯 SYNTHÈSE &amp; RECOMMANDATION FINALE</w:t>
      </w:r>
    </w:p>
    <w:p>
      <w:pPr>
        <w:spacing w:before="120"/>
      </w:pPr>
      <w:r>
        <w:rPr>
          <w:b/>
          <w:color w:val="008000"/>
          <w:sz w:val="22"/>
        </w:rPr>
        <w:t>Niveau d'alerte global pour un investisseur BRVM : **VERT**</w:t>
      </w:r>
    </w:p>
    <w:p>
      <w:pPr>
        <w:spacing w:before="20" w:after="40"/>
        <w:ind w:left="0"/>
      </w:pPr>
      <w:r>
        <w:rPr>
          <w:sz w:val="18"/>
        </w:rPr>
        <w:t>L'environnement macro-économique et politique reste globalement favorable pour la BRVM, avec des résultats encourageants des sociétés cotées et une stabilité politique dans la zone UEMOA. Les incertitudes sur les marchés européens et la volatilité des matières premières créent des risques modérés, mais la BRVM semble relativement protégée grâce à sa faible intégration internationale. La chute du pétrole et la hausse du café pourraient créer des opportunités sectorielles. Recommandation : maintenir une position constructive sur les valeurs bancaires et industrielles, tout en surveillant l'évolution des conditions de liquidité dans la zone UEMOA.</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2026-08-25</w:t>
            </w:r>
          </w:p>
        </w:tc>
        <w:tc>
          <w:tcPr>
            <w:tcW w:type="dxa" w:w="1728"/>
          </w:tcPr>
          <w:p>
            <w:r>
              <w:rPr>
                <w:sz w:val="14"/>
              </w:rPr>
              <w:t>Les doutes s'accumulent sur la trajectoire des Bourses européennes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2026-08-25</w:t>
            </w:r>
          </w:p>
        </w:tc>
        <w:tc>
          <w:tcPr>
            <w:tcW w:type="dxa" w:w="1728"/>
          </w:tcPr>
          <w:p>
            <w:r>
              <w:rPr>
                <w:sz w:val="14"/>
              </w:rPr>
              <w:t>Les prix du pétrole s'effondrent, ceux du café grimpent de plus de 5 %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2026-08-25</w:t>
            </w:r>
          </w:p>
        </w:tc>
        <w:tc>
          <w:tcPr>
            <w:tcW w:type="dxa" w:w="1728"/>
          </w:tcPr>
          <w:p>
            <w:r>
              <w:rPr>
                <w:sz w:val="14"/>
              </w:rPr>
              <w:t>Marché des matières premières : l'indice MXV inverse sa tendance et re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2026-08-24</w:t>
            </w:r>
          </w:p>
        </w:tc>
        <w:tc>
          <w:tcPr>
            <w:tcW w:type="dxa" w:w="1728"/>
          </w:tcPr>
          <w:p>
            <w:r>
              <w:rPr>
                <w:sz w:val="14"/>
              </w:rPr>
              <w:t xml:space="preserve">L'indice MXV a progressé de 4,3 %, les marchés des matières premières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2026-08-19</w:t>
            </w:r>
          </w:p>
        </w:tc>
        <w:tc>
          <w:tcPr>
            <w:tcW w:type="dxa" w:w="1728"/>
          </w:tcPr>
          <w:p>
            <w:r>
              <w:rPr>
                <w:sz w:val="14"/>
              </w:rPr>
              <w:t>Tribune - Inflation américaine, Fed et prix de l’or : Quelles conséque</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2026-08-17</w:t>
            </w:r>
          </w:p>
        </w:tc>
        <w:tc>
          <w:tcPr>
            <w:tcW w:type="dxa" w:w="1728"/>
          </w:tcPr>
          <w:p>
            <w:r>
              <w:rPr>
                <w:sz w:val="14"/>
              </w:rPr>
              <w:t>Matières premières Canada : les prix du pétrole progressent, l'Iran re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2026-08-11</w:t>
            </w:r>
          </w:p>
        </w:tc>
        <w:tc>
          <w:tcPr>
            <w:tcW w:type="dxa" w:w="1728"/>
          </w:tcPr>
          <w:p>
            <w:r>
              <w:rPr>
                <w:sz w:val="14"/>
              </w:rPr>
              <w:t>Les secteurs porteurs en Afrique : où investir ? - Bpifrance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2026-07-18</w:t>
            </w:r>
          </w:p>
        </w:tc>
        <w:tc>
          <w:tcPr>
            <w:tcW w:type="dxa" w:w="1728"/>
          </w:tcPr>
          <w:p>
            <w:r>
              <w:rPr>
                <w:sz w:val="14"/>
              </w:rPr>
              <w:t>Sénégal | Senelec frappe un grand coup : 108 milliards de FCFA de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2026-07-14</w:t>
            </w:r>
          </w:p>
        </w:tc>
        <w:tc>
          <w:tcPr>
            <w:tcW w:type="dxa" w:w="1728"/>
          </w:tcPr>
          <w:p>
            <w:r>
              <w:rPr>
                <w:sz w:val="14"/>
              </w:rPr>
              <w:t xml:space="preserve">Sénégal : Senelec cote ses premières obligations durables à la Bourse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2026-08-24</w:t>
            </w:r>
          </w:p>
        </w:tc>
        <w:tc>
          <w:tcPr>
            <w:tcW w:type="dxa" w:w="1728"/>
          </w:tcPr>
          <w:p>
            <w:r>
              <w:rPr>
                <w:sz w:val="14"/>
              </w:rPr>
              <w:t>CEDEAO : Actions coordonnées de soutien à l’économie et à la santé -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COUNTRY REPORT - CEDEAO REPORT : la croissance du Libéria économique 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 xml:space="preserve">PORTRAIT – CEDEAO REPORT : la FEWACCI appelle à lever les barrières -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2026-08-19</w:t>
            </w:r>
          </w:p>
        </w:tc>
        <w:tc>
          <w:tcPr>
            <w:tcW w:type="dxa" w:w="1728"/>
          </w:tcPr>
          <w:p>
            <w:r>
              <w:rPr>
                <w:sz w:val="14"/>
              </w:rPr>
              <w:t>Migration en Afrique de l’Ouest: la CEDEAO engage ses États membres ve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2026-08-18</w:t>
            </w:r>
          </w:p>
        </w:tc>
        <w:tc>
          <w:tcPr>
            <w:tcW w:type="dxa" w:w="1728"/>
          </w:tcPr>
          <w:p>
            <w:r>
              <w:rPr>
                <w:sz w:val="14"/>
              </w:rPr>
              <w:t>Russie-CEDEAO : Lavrov annonce un mémorandum de coopération - Yeni Şaf</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2026-08-18</w:t>
            </w:r>
          </w:p>
        </w:tc>
        <w:tc>
          <w:tcPr>
            <w:tcW w:type="dxa" w:w="1728"/>
          </w:tcPr>
          <w:p>
            <w:r>
              <w:rPr>
                <w:sz w:val="14"/>
              </w:rPr>
              <w:t>Renforcement de la production des données migratoires en Afrique de l’</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2026-08-24</w:t>
            </w:r>
          </w:p>
        </w:tc>
        <w:tc>
          <w:tcPr>
            <w:tcW w:type="dxa" w:w="1728"/>
          </w:tcPr>
          <w:p>
            <w:r>
              <w:rPr>
                <w:sz w:val="14"/>
              </w:rPr>
              <w:t>Sénégal : Dakar soutient le magistrat Abdoulaye Seye face aux sanction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2026-08-25</w:t>
            </w:r>
          </w:p>
        </w:tc>
        <w:tc>
          <w:tcPr>
            <w:tcW w:type="dxa" w:w="1728"/>
          </w:tcPr>
          <w:p>
            <w:r>
              <w:rPr>
                <w:sz w:val="14"/>
              </w:rPr>
              <w:t>RAPPORTS POLITIQUE/RELIGIEUX AU SÉNÉGAL : La pertinence d’institutionn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2026-08-23</w:t>
            </w:r>
          </w:p>
        </w:tc>
        <w:tc>
          <w:tcPr>
            <w:tcW w:type="dxa" w:w="1728"/>
          </w:tcPr>
          <w:p>
            <w:r>
              <w:rPr>
                <w:sz w:val="14"/>
              </w:rPr>
              <w:t>VIDÉO. Sénégal: Bassirou Diomaye Faye soutient finalement Macky Sall p</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2026-08-25</w:t>
            </w:r>
          </w:p>
        </w:tc>
        <w:tc>
          <w:tcPr>
            <w:tcW w:type="dxa" w:w="1728"/>
          </w:tcPr>
          <w:p>
            <w:r>
              <w:rPr>
                <w:sz w:val="14"/>
              </w:rPr>
              <w:t>Mali : reprise du dialogue avec l’Algérie - Africa24 TV</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2026-08-25</w:t>
            </w:r>
          </w:p>
        </w:tc>
        <w:tc>
          <w:tcPr>
            <w:tcW w:type="dxa" w:w="1728"/>
          </w:tcPr>
          <w:p>
            <w:r>
              <w:rPr>
                <w:sz w:val="14"/>
              </w:rPr>
              <w:t>BRVM et Ghana Stock Exchange: les champions africains de la performanc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2026-08-24</w:t>
            </w:r>
          </w:p>
        </w:tc>
        <w:tc>
          <w:tcPr>
            <w:tcW w:type="dxa" w:w="1728"/>
          </w:tcPr>
          <w:p>
            <w:r>
              <w:rPr>
                <w:sz w:val="14"/>
              </w:rPr>
              <w:t>Mali-Algérie : Abdoulaye Maïga reçu à Alger par Abdelmadjid Tebboune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2026-08-25</w:t>
            </w:r>
          </w:p>
        </w:tc>
        <w:tc>
          <w:tcPr>
            <w:tcW w:type="dxa" w:w="1728"/>
          </w:tcPr>
          <w:p>
            <w:r>
              <w:rPr>
                <w:sz w:val="14"/>
              </w:rPr>
              <w:t>Les doutes s'accumulent sur la trajectoire des Bourses européennes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2026-08-25</w:t>
            </w:r>
          </w:p>
        </w:tc>
        <w:tc>
          <w:tcPr>
            <w:tcW w:type="dxa" w:w="1728"/>
          </w:tcPr>
          <w:p>
            <w:r>
              <w:rPr>
                <w:sz w:val="14"/>
              </w:rPr>
              <w:t>Les prix du pétrole s'effondrent, ceux du café grimpent de plus de 5 %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2026-08-25</w:t>
            </w:r>
          </w:p>
        </w:tc>
        <w:tc>
          <w:tcPr>
            <w:tcW w:type="dxa" w:w="1728"/>
          </w:tcPr>
          <w:p>
            <w:r>
              <w:rPr>
                <w:sz w:val="14"/>
              </w:rPr>
              <w:t>Marché des matières premières : l'indice MXV inverse sa tendance et re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2026-08-24</w:t>
            </w:r>
          </w:p>
        </w:tc>
        <w:tc>
          <w:tcPr>
            <w:tcW w:type="dxa" w:w="1728"/>
          </w:tcPr>
          <w:p>
            <w:r>
              <w:rPr>
                <w:sz w:val="14"/>
              </w:rPr>
              <w:t>Sénégal : Dakar soutient le magistrat Abdoulaye Seye face aux sanction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2026-08-25</w:t>
            </w:r>
          </w:p>
        </w:tc>
        <w:tc>
          <w:tcPr>
            <w:tcW w:type="dxa" w:w="1728"/>
          </w:tcPr>
          <w:p>
            <w:r>
              <w:rPr>
                <w:sz w:val="14"/>
              </w:rPr>
              <w:t>RAPPORTS POLITIQUE/RELIGIEUX AU SÉNÉGAL : La pertinence d’institutionn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2026-08-25</w:t>
            </w:r>
          </w:p>
        </w:tc>
        <w:tc>
          <w:tcPr>
            <w:tcW w:type="dxa" w:w="1728"/>
          </w:tcPr>
          <w:p>
            <w:r>
              <w:rPr>
                <w:sz w:val="14"/>
              </w:rPr>
              <w:t>Les doutes s'accumulent sur la trajectoire des Bourses européennes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2026-08-24</w:t>
            </w:r>
          </w:p>
        </w:tc>
        <w:tc>
          <w:tcPr>
            <w:tcW w:type="dxa" w:w="1728"/>
          </w:tcPr>
          <w:p>
            <w:r>
              <w:rPr>
                <w:sz w:val="14"/>
              </w:rPr>
              <w:t>Sénégal : Dakar soutient le magistrat Abdoulaye Seye face aux sanction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2026-08-25</w:t>
            </w:r>
          </w:p>
        </w:tc>
        <w:tc>
          <w:tcPr>
            <w:tcW w:type="dxa" w:w="1728"/>
          </w:tcPr>
          <w:p>
            <w:r>
              <w:rPr>
                <w:sz w:val="14"/>
              </w:rPr>
              <w:t>RAPPORTS POLITIQUE/RELIGIEUX AU SÉNÉGAL : La pertinence d’institutionn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2026-08-23</w:t>
            </w:r>
          </w:p>
        </w:tc>
        <w:tc>
          <w:tcPr>
            <w:tcW w:type="dxa" w:w="1728"/>
          </w:tcPr>
          <w:p>
            <w:r>
              <w:rPr>
                <w:sz w:val="14"/>
              </w:rPr>
              <w:t>VIDÉO. Sénégal: Bassirou Diomaye Faye soutient finalement Macky Sall p</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2026-08-25</w:t>
            </w:r>
          </w:p>
        </w:tc>
        <w:tc>
          <w:tcPr>
            <w:tcW w:type="dxa" w:w="1728"/>
          </w:tcPr>
          <w:p>
            <w:r>
              <w:rPr>
                <w:sz w:val="14"/>
              </w:rPr>
              <w:t>Mali : reprise du dialogue avec l’Algérie - Africa24 TV</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2026-08-25</w:t>
            </w:r>
          </w:p>
        </w:tc>
        <w:tc>
          <w:tcPr>
            <w:tcW w:type="dxa" w:w="1728"/>
          </w:tcPr>
          <w:p>
            <w:r>
              <w:rPr>
                <w:sz w:val="14"/>
              </w:rPr>
              <w:t>Les doutes s'accumulent sur la trajectoire des Bourses européennes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2026-08-24</w:t>
            </w:r>
          </w:p>
        </w:tc>
        <w:tc>
          <w:tcPr>
            <w:tcW w:type="dxa" w:w="1728"/>
          </w:tcPr>
          <w:p>
            <w:r>
              <w:rPr>
                <w:sz w:val="14"/>
              </w:rPr>
              <w:t>Sénégal : Dakar soutient le magistrat Abdoulaye Seye face aux sanction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2026-08-25</w:t>
            </w:r>
          </w:p>
        </w:tc>
        <w:tc>
          <w:tcPr>
            <w:tcW w:type="dxa" w:w="1728"/>
          </w:tcPr>
          <w:p>
            <w:r>
              <w:rPr>
                <w:sz w:val="14"/>
              </w:rPr>
              <w:t>RAPPORTS POLITIQUE/RELIGIEUX AU SÉNÉGAL : La pertinence d’institutionn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2026-08-23</w:t>
            </w:r>
          </w:p>
        </w:tc>
        <w:tc>
          <w:tcPr>
            <w:tcW w:type="dxa" w:w="1728"/>
          </w:tcPr>
          <w:p>
            <w:r>
              <w:rPr>
                <w:sz w:val="14"/>
              </w:rPr>
              <w:t>VIDÉO. Sénégal: Bassirou Diomaye Faye soutient finalement Macky Sall p</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2026-08-25</w:t>
            </w:r>
          </w:p>
        </w:tc>
        <w:tc>
          <w:tcPr>
            <w:tcW w:type="dxa" w:w="1728"/>
          </w:tcPr>
          <w:p>
            <w:r>
              <w:rPr>
                <w:sz w:val="14"/>
              </w:rPr>
              <w:t>Mali : reprise du dialogue avec l’Algérie - Africa24 TV</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2026-08-25</w:t>
            </w:r>
          </w:p>
        </w:tc>
        <w:tc>
          <w:tcPr>
            <w:tcW w:type="dxa" w:w="1728"/>
          </w:tcPr>
          <w:p>
            <w:r>
              <w:rPr>
                <w:sz w:val="14"/>
              </w:rPr>
              <w:t>Les doutes s'accumulent sur la trajectoire des Bourses européennes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2026-08-24</w:t>
            </w:r>
          </w:p>
        </w:tc>
        <w:tc>
          <w:tcPr>
            <w:tcW w:type="dxa" w:w="1728"/>
          </w:tcPr>
          <w:p>
            <w:r>
              <w:rPr>
                <w:sz w:val="14"/>
              </w:rPr>
              <w:t>Sénégal : Dakar soutient le magistrat Abdoulaye Seye face aux sanction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2026-08-25</w:t>
            </w:r>
          </w:p>
        </w:tc>
        <w:tc>
          <w:tcPr>
            <w:tcW w:type="dxa" w:w="1728"/>
          </w:tcPr>
          <w:p>
            <w:r>
              <w:rPr>
                <w:sz w:val="14"/>
              </w:rPr>
              <w:t>RAPPORTS POLITIQUE/RELIGIEUX AU SÉNÉGAL : La pertinence d’institutionn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2026-08-23</w:t>
            </w:r>
          </w:p>
        </w:tc>
        <w:tc>
          <w:tcPr>
            <w:tcW w:type="dxa" w:w="1728"/>
          </w:tcPr>
          <w:p>
            <w:r>
              <w:rPr>
                <w:sz w:val="14"/>
              </w:rPr>
              <w:t>VIDÉO. Sénégal: Bassirou Diomaye Faye soutient finalement Macky Sall p</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2026-08-25</w:t>
            </w:r>
          </w:p>
        </w:tc>
        <w:tc>
          <w:tcPr>
            <w:tcW w:type="dxa" w:w="1728"/>
          </w:tcPr>
          <w:p>
            <w:r>
              <w:rPr>
                <w:sz w:val="14"/>
              </w:rPr>
              <w:t>Mali : reprise du dialogue avec l’Algérie - Africa24 TV</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2026-08-25</w:t>
            </w:r>
          </w:p>
        </w:tc>
        <w:tc>
          <w:tcPr>
            <w:tcW w:type="dxa" w:w="1728"/>
          </w:tcPr>
          <w:p>
            <w:r>
              <w:rPr>
                <w:sz w:val="14"/>
              </w:rPr>
              <w:t>Les doutes s'accumulent sur la trajectoire des Bourses européennes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2026-08-24</w:t>
            </w:r>
          </w:p>
        </w:tc>
        <w:tc>
          <w:tcPr>
            <w:tcW w:type="dxa" w:w="1728"/>
          </w:tcPr>
          <w:p>
            <w:r>
              <w:rPr>
                <w:sz w:val="14"/>
              </w:rPr>
              <w:t>Sénégal : Dakar soutient le magistrat Abdoulaye Seye face aux sanction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2026-08-25</w:t>
            </w:r>
          </w:p>
        </w:tc>
        <w:tc>
          <w:tcPr>
            <w:tcW w:type="dxa" w:w="1728"/>
          </w:tcPr>
          <w:p>
            <w:r>
              <w:rPr>
                <w:sz w:val="14"/>
              </w:rPr>
              <w:t>RAPPORTS POLITIQUE/RELIGIEUX AU SÉNÉGAL : La pertinence d’institutionn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2026-08-23</w:t>
            </w:r>
          </w:p>
        </w:tc>
        <w:tc>
          <w:tcPr>
            <w:tcW w:type="dxa" w:w="1728"/>
          </w:tcPr>
          <w:p>
            <w:r>
              <w:rPr>
                <w:sz w:val="14"/>
              </w:rPr>
              <w:t>VIDÉO. Sénégal: Bassirou Diomaye Faye soutient finalement Macky Sall p</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2026-08-25</w:t>
            </w:r>
          </w:p>
        </w:tc>
        <w:tc>
          <w:tcPr>
            <w:tcW w:type="dxa" w:w="1728"/>
          </w:tcPr>
          <w:p>
            <w:r>
              <w:rPr>
                <w:sz w:val="14"/>
              </w:rPr>
              <w:t>Mali : reprise du dialogue avec l’Algérie - Africa24 TV</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2026-08-25</w:t>
            </w:r>
          </w:p>
        </w:tc>
        <w:tc>
          <w:tcPr>
            <w:tcW w:type="dxa" w:w="1728"/>
          </w:tcPr>
          <w:p>
            <w:r>
              <w:rPr>
                <w:sz w:val="14"/>
              </w:rPr>
              <w:t>Les doutes s'accumulent sur la trajectoire des Bourses européennes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2026-08-25</w:t>
            </w:r>
          </w:p>
        </w:tc>
        <w:tc>
          <w:tcPr>
            <w:tcW w:type="dxa" w:w="1728"/>
          </w:tcPr>
          <w:p>
            <w:r>
              <w:rPr>
                <w:sz w:val="14"/>
              </w:rPr>
              <w:t>Les prix du pétrole s'effondrent, ceux du café grimpent de plus de 5 %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2026-08-25</w:t>
            </w:r>
          </w:p>
        </w:tc>
        <w:tc>
          <w:tcPr>
            <w:tcW w:type="dxa" w:w="1728"/>
          </w:tcPr>
          <w:p>
            <w:r>
              <w:rPr>
                <w:sz w:val="14"/>
              </w:rPr>
              <w:t>Marché des matières premières : l'indice MXV inverse sa tendance et re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2026-08-25</w:t>
            </w:r>
          </w:p>
        </w:tc>
        <w:tc>
          <w:tcPr>
            <w:tcW w:type="dxa" w:w="1728"/>
          </w:tcPr>
          <w:p>
            <w:r>
              <w:rPr>
                <w:sz w:val="14"/>
              </w:rPr>
              <w:t>Mali : reprise du dialogue avec l’Algérie - Africa24 TV</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2026-08-25</w:t>
            </w:r>
          </w:p>
        </w:tc>
        <w:tc>
          <w:tcPr>
            <w:tcW w:type="dxa" w:w="1728"/>
          </w:tcPr>
          <w:p>
            <w:r>
              <w:rPr>
                <w:sz w:val="14"/>
              </w:rPr>
              <w:t>BRVM et Ghana Stock Exchange: les champions africains de la performanc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2026-08-25</w:t>
            </w:r>
          </w:p>
        </w:tc>
        <w:tc>
          <w:tcPr>
            <w:tcW w:type="dxa" w:w="1728"/>
          </w:tcPr>
          <w:p>
            <w:r>
              <w:rPr>
                <w:sz w:val="14"/>
              </w:rPr>
              <w:t>Les doutes s'accumulent sur la trajectoire des Bourses européennes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2026-08-25</w:t>
            </w:r>
          </w:p>
        </w:tc>
        <w:tc>
          <w:tcPr>
            <w:tcW w:type="dxa" w:w="1728"/>
          </w:tcPr>
          <w:p>
            <w:r>
              <w:rPr>
                <w:sz w:val="14"/>
              </w:rPr>
              <w:t>Marché des matières premières : l'indice MXV inverse sa tendance et re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2026-08-25</w:t>
            </w:r>
          </w:p>
        </w:tc>
        <w:tc>
          <w:tcPr>
            <w:tcW w:type="dxa" w:w="1728"/>
          </w:tcPr>
          <w:p>
            <w:r>
              <w:rPr>
                <w:sz w:val="14"/>
              </w:rPr>
              <w:t>RAPPORTS POLITIQUE/RELIGIEUX AU SÉNÉGAL : La pertinence d’institutionn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2026-08-25</w:t>
            </w:r>
          </w:p>
        </w:tc>
        <w:tc>
          <w:tcPr>
            <w:tcW w:type="dxa" w:w="1728"/>
          </w:tcPr>
          <w:p>
            <w:r>
              <w:rPr>
                <w:sz w:val="14"/>
              </w:rPr>
              <w:t>Mali : reprise du dialogue avec l’Algérie - Africa24 TV</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2026-08-25</w:t>
            </w:r>
          </w:p>
        </w:tc>
        <w:tc>
          <w:tcPr>
            <w:tcW w:type="dxa" w:w="1728"/>
          </w:tcPr>
          <w:p>
            <w:r>
              <w:rPr>
                <w:sz w:val="14"/>
              </w:rPr>
              <w:t>BRVM et Ghana Stock Exchange: les champions africains de la performanc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2026-08-25</w:t>
            </w:r>
          </w:p>
        </w:tc>
        <w:tc>
          <w:tcPr>
            <w:tcW w:type="dxa" w:w="1728"/>
          </w:tcPr>
          <w:p>
            <w:r>
              <w:rPr>
                <w:sz w:val="14"/>
              </w:rPr>
              <w:t>Les doutes s'accumulent sur la trajectoire des Bourses européennes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2026-08-25</w:t>
            </w:r>
          </w:p>
        </w:tc>
        <w:tc>
          <w:tcPr>
            <w:tcW w:type="dxa" w:w="1728"/>
          </w:tcPr>
          <w:p>
            <w:r>
              <w:rPr>
                <w:sz w:val="14"/>
              </w:rPr>
              <w:t>Marché des matières premières : l'indice MXV inverse sa tendance et re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2026-08-25</w:t>
            </w:r>
          </w:p>
        </w:tc>
        <w:tc>
          <w:tcPr>
            <w:tcW w:type="dxa" w:w="1728"/>
          </w:tcPr>
          <w:p>
            <w:r>
              <w:rPr>
                <w:sz w:val="14"/>
              </w:rPr>
              <w:t>Mali : reprise du dialogue avec l’Algérie - Africa24 TV</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2026-08-25</w:t>
            </w:r>
          </w:p>
        </w:tc>
        <w:tc>
          <w:tcPr>
            <w:tcW w:type="dxa" w:w="1728"/>
          </w:tcPr>
          <w:p>
            <w:r>
              <w:rPr>
                <w:sz w:val="14"/>
              </w:rPr>
              <w:t>BRVM et Ghana Stock Exchange: les champions africains de la performanc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2026-08-24</w:t>
            </w:r>
          </w:p>
        </w:tc>
        <w:tc>
          <w:tcPr>
            <w:tcW w:type="dxa" w:w="1728"/>
          </w:tcPr>
          <w:p>
            <w:r>
              <w:rPr>
                <w:sz w:val="14"/>
              </w:rPr>
              <w:t xml:space="preserve">L'indice MXV a progressé de 4,3 %, les marchés des matières premières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2026-08-25</w:t>
            </w:r>
          </w:p>
        </w:tc>
        <w:tc>
          <w:tcPr>
            <w:tcW w:type="dxa" w:w="1728"/>
          </w:tcPr>
          <w:p>
            <w:r>
              <w:rPr>
                <w:sz w:val="14"/>
              </w:rPr>
              <w:t>Les doutes s'accumulent sur la trajectoire des Bourses européennes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2026-08-25</w:t>
            </w:r>
          </w:p>
        </w:tc>
        <w:tc>
          <w:tcPr>
            <w:tcW w:type="dxa" w:w="1728"/>
          </w:tcPr>
          <w:p>
            <w:r>
              <w:rPr>
                <w:sz w:val="14"/>
              </w:rPr>
              <w:t>Marché des matières premières : l'indice MXV inverse sa tendance et re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2026-08-24</w:t>
            </w:r>
          </w:p>
        </w:tc>
        <w:tc>
          <w:tcPr>
            <w:tcW w:type="dxa" w:w="1728"/>
          </w:tcPr>
          <w:p>
            <w:r>
              <w:rPr>
                <w:sz w:val="14"/>
              </w:rPr>
              <w:t>Sénégal : Dakar soutient le magistrat Abdoulaye Seye face aux sanction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2026-08-25</w:t>
            </w:r>
          </w:p>
        </w:tc>
        <w:tc>
          <w:tcPr>
            <w:tcW w:type="dxa" w:w="1728"/>
          </w:tcPr>
          <w:p>
            <w:r>
              <w:rPr>
                <w:sz w:val="14"/>
              </w:rPr>
              <w:t>RAPPORTS POLITIQUE/RELIGIEUX AU SÉNÉGAL : La pertinence d’institutionn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2026-08-23</w:t>
            </w:r>
          </w:p>
        </w:tc>
        <w:tc>
          <w:tcPr>
            <w:tcW w:type="dxa" w:w="1728"/>
          </w:tcPr>
          <w:p>
            <w:r>
              <w:rPr>
                <w:sz w:val="14"/>
              </w:rPr>
              <w:t>VIDÉO. Sénégal: Bassirou Diomaye Faye soutient finalement Macky Sall p</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2026-08-25</w:t>
            </w:r>
          </w:p>
        </w:tc>
        <w:tc>
          <w:tcPr>
            <w:tcW w:type="dxa" w:w="1728"/>
          </w:tcPr>
          <w:p>
            <w:r>
              <w:rPr>
                <w:sz w:val="14"/>
              </w:rPr>
              <w:t>Les doutes s'accumulent sur la trajectoire des Bourses européennes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2026-08-25</w:t>
            </w:r>
          </w:p>
        </w:tc>
        <w:tc>
          <w:tcPr>
            <w:tcW w:type="dxa" w:w="1728"/>
          </w:tcPr>
          <w:p>
            <w:r>
              <w:rPr>
                <w:sz w:val="14"/>
              </w:rPr>
              <w:t>Marché des matières premières : l'indice MXV inverse sa tendance et re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2026-08-25</w:t>
            </w:r>
          </w:p>
        </w:tc>
        <w:tc>
          <w:tcPr>
            <w:tcW w:type="dxa" w:w="1728"/>
          </w:tcPr>
          <w:p>
            <w:r>
              <w:rPr>
                <w:sz w:val="14"/>
              </w:rPr>
              <w:t>Mali : reprise du dialogue avec l’Algérie - Africa24 TV</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2026-08-25</w:t>
            </w:r>
          </w:p>
        </w:tc>
        <w:tc>
          <w:tcPr>
            <w:tcW w:type="dxa" w:w="1728"/>
          </w:tcPr>
          <w:p>
            <w:r>
              <w:rPr>
                <w:sz w:val="14"/>
              </w:rPr>
              <w:t>BRVM et Ghana Stock Exchange: les champions africains de la performanc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2026-08-24</w:t>
            </w:r>
          </w:p>
        </w:tc>
        <w:tc>
          <w:tcPr>
            <w:tcW w:type="dxa" w:w="1728"/>
          </w:tcPr>
          <w:p>
            <w:r>
              <w:rPr>
                <w:sz w:val="14"/>
              </w:rPr>
              <w:t xml:space="preserve">L'indice MXV a progressé de 4,3 %, les marchés des matières premières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(12 alerte(s))</w:t>
      </w:r>
    </w:p>
    <w:p>
      <w:pPr>
        <w:spacing w:before="40" w:after="40"/>
        <w:ind w:left="360"/>
      </w:pPr>
      <w:r>
        <w:rPr>
          <w:color w:val="646464"/>
          <w:sz w:val="17"/>
        </w:rPr>
        <w:t xml:space="preserve">[25/08/2026] 🟢  </w:t>
      </w:r>
      <w:r>
        <w:rPr>
          <w:b/>
          <w:color w:val="008000"/>
          <w:sz w:val="18"/>
        </w:rPr>
        <w:t>Mali : reprise du dialogue avec l’Algérie - Africa24 TV</w:t>
      </w:r>
      <w:r>
        <w:rPr>
          <w:color w:val="787878"/>
          <w:sz w:val="15"/>
        </w:rPr>
        <w:t xml:space="preserve">  [politique]</w:t>
      </w:r>
      <w:r>
        <w:rPr>
          <w:color w:val="B47800"/>
          <w:sz w:val="16"/>
        </w:rPr>
        <w:t xml:space="preserve">  ★ 50/10</w:t>
      </w:r>
    </w:p>
    <w:p>
      <w:pPr>
        <w:spacing w:before="0" w:after="20"/>
        <w:ind w:left="600"/>
      </w:pPr>
      <w:r>
        <w:rPr>
          <w:color w:val="323232"/>
          <w:sz w:val="17"/>
        </w:rPr>
        <w:t xml:space="preserve">Le Mali et l'Algérie reprennent leur dialogue, ce qui pourrait apaiser les tensions régionales dans la zone UEMOA. Cette reprise est un signe de stabilité politique potentielle pour la sous-région, bien que les détails des discussions restent à préciser. Pour les marchés financiers de la BRVM, une détente diplomatique est généralement perçue comme </w:t>
      </w:r>
    </w:p>
    <w:p>
      <w:pPr>
        <w:spacing w:before="0" w:after="40"/>
        <w:ind w:left="600"/>
      </w:pPr>
      <w:r>
        <w:rPr>
          <w:color w:val="00643C"/>
          <w:sz w:val="16"/>
        </w:rPr>
        <w:t>Points clés : Reprise du dialogue diplomatique entre le Mali et l'Algérie.  •  Potentiel de réduction des tensions sécuritaires dans la région.  •  Impact indirect sur la stabilité politique et économique de l'UEMOA.</w:t>
      </w:r>
    </w:p>
    <w:p>
      <w:pPr>
        <w:spacing w:before="0" w:after="60"/>
        <w:ind w:left="600"/>
      </w:pPr>
      <w:r>
        <w:rPr>
          <w:color w:val="0064B4"/>
          <w:sz w:val="15"/>
        </w:rPr>
        <w:t>Source : https://news.google.com/rss/articles/CBMib0FVX3lxTE9CS0VPNWNGTzdhalh3Ulp3RjU5bGx</w:t>
      </w:r>
    </w:p>
    <w:p>
      <w:pPr>
        <w:spacing w:before="40" w:after="40"/>
        <w:ind w:left="360"/>
      </w:pPr>
      <w:r>
        <w:rPr>
          <w:color w:val="646464"/>
          <w:sz w:val="17"/>
        </w:rPr>
        <w:t xml:space="preserve">[25/08/2026] ⚪  </w:t>
      </w:r>
      <w:r>
        <w:rPr>
          <w:b/>
          <w:color w:val="505050"/>
          <w:sz w:val="18"/>
        </w:rPr>
        <w:t>RAPPORTS POLITIQUE/RELIGIEUX AU SÉNÉGAL : La pertinence d’institutionnaliser le culte - EnquetePlus.com</w:t>
      </w:r>
      <w:r>
        <w:rPr>
          <w:color w:val="787878"/>
          <w:sz w:val="15"/>
        </w:rPr>
        <w:t xml:space="preserve">  [politique]</w:t>
      </w:r>
      <w:r>
        <w:rPr>
          <w:color w:val="B47800"/>
          <w:sz w:val="16"/>
        </w:rPr>
        <w:t xml:space="preserve">  ★ 50/10</w:t>
      </w:r>
    </w:p>
    <w:p>
      <w:pPr>
        <w:spacing w:before="0" w:after="20"/>
        <w:ind w:left="600"/>
      </w:pPr>
      <w:r>
        <w:rPr>
          <w:color w:val="323232"/>
          <w:sz w:val="17"/>
        </w:rPr>
        <w:t xml:space="preserve">L'article traite des relations entre la politique et la religion au Sénégal, en soulignant la pertinence d'institutionnaliser le culte pour mieux encadrer ces rapports. Il analyse les enjeux de cette institutionnalisation dans un contexte ouest-africain, notamment en termes de stabilité politique et de gouvernance. Le texte semble plaider pour une </w:t>
      </w:r>
    </w:p>
    <w:p>
      <w:pPr>
        <w:spacing w:before="0" w:after="40"/>
        <w:ind w:left="600"/>
      </w:pPr>
      <w:r>
        <w:rPr>
          <w:color w:val="00643C"/>
          <w:sz w:val="16"/>
        </w:rPr>
        <w:t>Points clés : Discussion sur l'institutionnalisation du culte au Sénégal  •  Analyse des rapports entre politique et religion dans la zone UEMOA</w:t>
      </w:r>
    </w:p>
    <w:p>
      <w:pPr>
        <w:spacing w:before="0" w:after="60"/>
        <w:ind w:left="600"/>
      </w:pPr>
      <w:r>
        <w:rPr>
          <w:color w:val="0064B4"/>
          <w:sz w:val="15"/>
        </w:rPr>
        <w:t>Source : https://news.google.com/rss/articles/CBMi0gFBVV95cUxNcnRuWi05YVBaZ0lTWnBkU0RtRHF</w:t>
      </w:r>
    </w:p>
    <w:p>
      <w:pPr>
        <w:spacing w:before="40" w:after="40"/>
        <w:ind w:left="360"/>
      </w:pPr>
      <w:r>
        <w:rPr>
          <w:color w:val="646464"/>
          <w:sz w:val="17"/>
        </w:rPr>
        <w:t xml:space="preserve">[24/08/2026] ⚪  </w:t>
      </w:r>
      <w:r>
        <w:rPr>
          <w:b/>
          <w:color w:val="505050"/>
          <w:sz w:val="18"/>
        </w:rPr>
        <w:t>Mali-Algérie : Abdoulaye Maïga reçu à Alger par Abdelmadjid Tebboune - Benin Web TV</w:t>
      </w:r>
      <w:r>
        <w:rPr>
          <w:color w:val="787878"/>
          <w:sz w:val="15"/>
        </w:rPr>
        <w:t xml:space="preserve">  [politique]</w:t>
      </w:r>
      <w:r>
        <w:rPr>
          <w:color w:val="B47800"/>
          <w:sz w:val="16"/>
        </w:rPr>
        <w:t xml:space="preserve">  ★ 50/10</w:t>
      </w:r>
    </w:p>
    <w:p>
      <w:pPr>
        <w:spacing w:before="0" w:after="20"/>
        <w:ind w:left="600"/>
      </w:pPr>
      <w:r>
        <w:rPr>
          <w:color w:val="323232"/>
          <w:sz w:val="17"/>
        </w:rPr>
        <w:t>Le Premier ministre malien Abdoulaye Maïga a été reçu à Alger par le président algérien Abdelmadjid Tebboune, dans un contexte de tensions diplomatiques entre les deux pays. Cette rencontre pourrait marquer une tentative d'apaisement des relations bilatérales, notamment sur les questions sécuritaires et frontalières. L'événement est suivi de près p</w:t>
      </w:r>
    </w:p>
    <w:p>
      <w:pPr>
        <w:spacing w:before="0" w:after="40"/>
        <w:ind w:left="600"/>
      </w:pPr>
      <w:r>
        <w:rPr>
          <w:color w:val="00643C"/>
          <w:sz w:val="16"/>
        </w:rPr>
        <w:t>Points clés : Rencontre officielle entre les autorités maliennes et algériennes à Alger.  •  Sujets probables : sécurité, coopération transfrontalière et apaisement des tensions.  •  Contexte de tensions diplomatiques récentes entre Bamako et Alger.</w:t>
      </w:r>
    </w:p>
    <w:p>
      <w:pPr>
        <w:spacing w:before="0" w:after="60"/>
        <w:ind w:left="600"/>
      </w:pPr>
      <w:r>
        <w:rPr>
          <w:color w:val="0064B4"/>
          <w:sz w:val="15"/>
        </w:rPr>
        <w:t>Source : https://news.google.com/rss/articles/CBMikwFBVV95cUxPZTJVS2x3YjRFMHpBdWl0UVpLeEp</w:t>
      </w:r>
    </w:p>
    <w:p>
      <w:pPr>
        <w:spacing w:before="40" w:after="40"/>
        <w:ind w:left="360"/>
      </w:pPr>
      <w:r>
        <w:rPr>
          <w:color w:val="646464"/>
          <w:sz w:val="17"/>
        </w:rPr>
        <w:t xml:space="preserve">[24/08/2026] 🟢  </w:t>
      </w:r>
      <w:r>
        <w:rPr>
          <w:b/>
          <w:color w:val="008000"/>
          <w:sz w:val="18"/>
        </w:rPr>
        <w:t>Mali–Algérie : Abdoulaye Maïga à Alger pour renforcer la coopération - koaci.com</w:t>
      </w:r>
      <w:r>
        <w:rPr>
          <w:color w:val="787878"/>
          <w:sz w:val="15"/>
        </w:rPr>
        <w:t xml:space="preserve">  [politique]</w:t>
      </w:r>
      <w:r>
        <w:rPr>
          <w:color w:val="B47800"/>
          <w:sz w:val="16"/>
        </w:rPr>
        <w:t xml:space="preserve">  ★ 50/10</w:t>
      </w:r>
    </w:p>
    <w:p>
      <w:pPr>
        <w:spacing w:before="0" w:after="20"/>
        <w:ind w:left="600"/>
      </w:pPr>
      <w:r>
        <w:rPr>
          <w:color w:val="323232"/>
          <w:sz w:val="17"/>
        </w:rPr>
        <w:t>Le Premier ministre malien Abdoulaye Maïga s'est rendu à Alger pour renforcer la coopération bilatérale entre le Mali et l'Algérie. Cette visite intervient dans un contexte de tensions passées, mais vise à relancer le dialogue et la coopération économique et sécuritaire. Les discussions portent probablement sur la stabilisation de la région sahélo-</w:t>
      </w:r>
    </w:p>
    <w:p>
      <w:pPr>
        <w:spacing w:before="0" w:after="40"/>
        <w:ind w:left="600"/>
      </w:pPr>
      <w:r>
        <w:rPr>
          <w:color w:val="00643C"/>
          <w:sz w:val="16"/>
        </w:rPr>
        <w:t>Points clés : Visite officielle d'Abdoulaye Maïga à Alger pour renforcer la coopération Mali-Algérie.  •  Sujets probables : sécurité régionale, commerce et stabilité au Sahel.  •  Contexte de tensions passées, mais volonté de dialogue affichée.</w:t>
      </w:r>
    </w:p>
    <w:p>
      <w:pPr>
        <w:spacing w:before="0" w:after="60"/>
        <w:ind w:left="600"/>
      </w:pPr>
      <w:r>
        <w:rPr>
          <w:color w:val="0064B4"/>
          <w:sz w:val="15"/>
        </w:rPr>
        <w:t>Source : https://news.google.com/rss/articles/CBMizgFBVV95cUxOVTE4b28ybThhaHQ1eXk4RkQyeUF</w:t>
      </w:r>
    </w:p>
    <w:p>
      <w:pPr>
        <w:spacing w:before="40" w:after="40"/>
        <w:ind w:left="360"/>
      </w:pPr>
      <w:r>
        <w:rPr>
          <w:color w:val="646464"/>
          <w:sz w:val="17"/>
        </w:rPr>
        <w:t xml:space="preserve">[24/08/2026] 🟢  </w:t>
      </w:r>
      <w:r>
        <w:rPr>
          <w:b/>
          <w:color w:val="008000"/>
          <w:sz w:val="18"/>
        </w:rPr>
        <w:t>Le Mali et l'Algérie renouent le dialogue - dw.com</w:t>
      </w:r>
      <w:r>
        <w:rPr>
          <w:color w:val="787878"/>
          <w:sz w:val="15"/>
        </w:rPr>
        <w:t xml:space="preserve">  [politique]</w:t>
      </w:r>
      <w:r>
        <w:rPr>
          <w:color w:val="B47800"/>
          <w:sz w:val="16"/>
        </w:rPr>
        <w:t xml:space="preserve">  ★ 50/10</w:t>
      </w:r>
    </w:p>
    <w:p>
      <w:pPr>
        <w:spacing w:before="0" w:after="20"/>
        <w:ind w:left="600"/>
      </w:pPr>
      <w:r>
        <w:rPr>
          <w:color w:val="323232"/>
          <w:sz w:val="17"/>
        </w:rPr>
        <w:t>Le Mali et l'Algérie ont décidé de renouer le dialogue après une période de tensions diplomatiques. Cette reprise des discussions pourrait apaiser les relations bilatérales et favoriser la stabilité régionale dans le Sahel. Bien que l'article soit bref, il signale une évolution politique notable pour la zone UEMOA, dont le Mali est membre.</w:t>
      </w:r>
    </w:p>
    <w:p>
      <w:pPr>
        <w:spacing w:before="0" w:after="40"/>
        <w:ind w:left="600"/>
      </w:pPr>
      <w:r>
        <w:rPr>
          <w:color w:val="00643C"/>
          <w:sz w:val="16"/>
        </w:rPr>
        <w:t>Points clés : Reprise du dialogue diplomatique entre le Mali et l'Algérie.  •  Potentiel impact positif sur la stabilité régionale et la coopération sécuritaire.</w:t>
      </w:r>
    </w:p>
    <w:p>
      <w:pPr>
        <w:spacing w:before="0" w:after="60"/>
        <w:ind w:left="600"/>
      </w:pPr>
      <w:r>
        <w:rPr>
          <w:color w:val="0064B4"/>
          <w:sz w:val="15"/>
        </w:rPr>
        <w:t>Source : https://news.google.com/rss/articles/CBMiowFBVV95cUxQTTdZTWNUdnRCbDRNMHJCbEFsYWh</w:t>
      </w:r>
    </w:p>
    <w:p>
      <w:pPr>
        <w:spacing w:before="120" w:after="40"/>
      </w:pPr>
      <w:r>
        <w:rPr>
          <w:b/>
          <w:color w:val="00467F"/>
          <w:sz w:val="20"/>
        </w:rPr>
        <w:t>🔑 marche_financier  (2 alerte(s))</w:t>
      </w:r>
    </w:p>
    <w:p>
      <w:pPr>
        <w:spacing w:before="40" w:after="40"/>
        <w:ind w:left="360"/>
      </w:pPr>
      <w:r>
        <w:rPr>
          <w:color w:val="646464"/>
          <w:sz w:val="17"/>
        </w:rPr>
        <w:t xml:space="preserve">[25/08/2026] 🔴  </w:t>
      </w:r>
      <w:r>
        <w:rPr>
          <w:b/>
          <w:color w:val="C00000"/>
          <w:sz w:val="18"/>
        </w:rPr>
        <w:t>Les doutes s'accumulent sur la trajectoire des Bourses européennes - Les Echos</w:t>
      </w:r>
      <w:r>
        <w:rPr>
          <w:color w:val="787878"/>
          <w:sz w:val="15"/>
        </w:rPr>
        <w:t xml:space="preserve">  [marche_financier]</w:t>
      </w:r>
      <w:r>
        <w:rPr>
          <w:color w:val="B47800"/>
          <w:sz w:val="16"/>
        </w:rPr>
        <w:t xml:space="preserve">  ★ 50/10</w:t>
      </w:r>
    </w:p>
    <w:p>
      <w:pPr>
        <w:spacing w:before="0" w:after="20"/>
        <w:ind w:left="600"/>
      </w:pPr>
      <w:r>
        <w:rPr>
          <w:color w:val="323232"/>
          <w:sz w:val="17"/>
        </w:rPr>
        <w:t>L'article des Echos met en évidence les incertitudes croissantes qui pèsent sur les marchés boursiers européens, notamment en raison de la politique monétaire restrictive, des risques géopolitiques et de la faiblesse de la croissance économique. Les investisseurs s'interrogent sur la capacité des entreprises à maintenir leurs marges et sur la durab</w:t>
      </w:r>
    </w:p>
    <w:p>
      <w:pPr>
        <w:spacing w:before="0" w:after="40"/>
        <w:ind w:left="600"/>
      </w:pPr>
      <w:r>
        <w:rPr>
          <w:color w:val="00643C"/>
          <w:sz w:val="16"/>
        </w:rPr>
        <w:t>Points clés : Accumulation de doutes sur la trajectoire des Bourses européennes.  •  Facteurs de risque : politique monétaire, géopolitique, croissance faible.  •  Incertitude sur les bénéfices des entreprises et la valorisation des actions.</w:t>
      </w:r>
    </w:p>
    <w:p>
      <w:pPr>
        <w:spacing w:before="0" w:after="60"/>
        <w:ind w:left="600"/>
      </w:pPr>
      <w:r>
        <w:rPr>
          <w:color w:val="0064B4"/>
          <w:sz w:val="15"/>
        </w:rPr>
        <w:t>Source : https://news.google.com/rss/articles/CBMizAFBVV95cUxNVU5kX0RkQUFzSUhzV2d3S0dMejh</w:t>
      </w:r>
    </w:p>
    <w:p>
      <w:pPr>
        <w:spacing w:before="40" w:after="40"/>
        <w:ind w:left="360"/>
      </w:pPr>
      <w:r>
        <w:rPr>
          <w:color w:val="646464"/>
          <w:sz w:val="17"/>
        </w:rPr>
        <w:t xml:space="preserve">[25/08/2026] 🟢  </w:t>
      </w:r>
      <w:r>
        <w:rPr>
          <w:b/>
          <w:color w:val="008000"/>
          <w:sz w:val="18"/>
        </w:rPr>
        <w:t>BRVM et Ghana Stock Exchange: les champions africains de la performance depuis le 1er janvier - Capmad</w:t>
      </w:r>
      <w:r>
        <w:rPr>
          <w:color w:val="787878"/>
          <w:sz w:val="15"/>
        </w:rPr>
        <w:t xml:space="preserve">  [marche_financier]</w:t>
      </w:r>
      <w:r>
        <w:rPr>
          <w:color w:val="B47800"/>
          <w:sz w:val="16"/>
        </w:rPr>
        <w:t xml:space="preserve">  ★ 50/10</w:t>
      </w:r>
    </w:p>
    <w:p>
      <w:pPr>
        <w:spacing w:before="0" w:after="20"/>
        <w:ind w:left="600"/>
      </w:pPr>
      <w:r>
        <w:rPr>
          <w:color w:val="323232"/>
          <w:sz w:val="17"/>
        </w:rPr>
        <w:t>Depuis le 1er janvier, la BRVM et le Ghana Stock Exchange se distinguent comme les marchés boursiers les plus performants d'Afrique, affichant des gains notables. Cette performance est attribuée à une combinaison de facteurs macroéconomiques favorables, d'afflux d'investisseurs étrangers et de réformes locales. La BRVM, en particulier, bénéficie d'</w:t>
      </w:r>
    </w:p>
    <w:p>
      <w:pPr>
        <w:spacing w:before="0" w:after="40"/>
        <w:ind w:left="600"/>
      </w:pPr>
      <w:r>
        <w:rPr>
          <w:color w:val="00643C"/>
          <w:sz w:val="16"/>
        </w:rPr>
        <w:t>Points clés : La BRVM et le Ghana Stock Exchange sont les meilleurs marchés africains en termes de performance depuis janvier.  •  Les gains sont soutenus par des flux d'investissement étrangers et des fondamentaux économiques solides.  •  La BRVM tire sa force des secteurs bancaire et des télécommunications.  •  Cette performance renforce l'attractivité de la zone UEMOA pour les investisseurs.</w:t>
      </w:r>
    </w:p>
    <w:p>
      <w:pPr>
        <w:spacing w:before="0" w:after="60"/>
        <w:ind w:left="600"/>
      </w:pPr>
      <w:r>
        <w:rPr>
          <w:color w:val="0064B4"/>
          <w:sz w:val="15"/>
        </w:rPr>
        <w:t>Source : https://news.google.com/rss/articles/CBMiwAFBVV95cUxQTG5pSzd0SlQyNnR1b3g2cDJ4Uzg</w:t>
      </w:r>
    </w:p>
    <w:p>
      <w:pPr>
        <w:spacing w:before="120" w:after="40"/>
      </w:pPr>
      <w:r>
        <w:rPr>
          <w:b/>
          <w:color w:val="00467F"/>
          <w:sz w:val="20"/>
        </w:rPr>
        <w:t>🔑 matieres_premieres  (3 alerte(s))</w:t>
      </w:r>
    </w:p>
    <w:p>
      <w:pPr>
        <w:spacing w:before="40" w:after="40"/>
        <w:ind w:left="360"/>
      </w:pPr>
      <w:r>
        <w:rPr>
          <w:color w:val="646464"/>
          <w:sz w:val="17"/>
        </w:rPr>
        <w:t xml:space="preserve">[25/08/2026] ⚪  </w:t>
      </w:r>
      <w:r>
        <w:rPr>
          <w:b/>
          <w:color w:val="505050"/>
          <w:sz w:val="18"/>
        </w:rPr>
        <w:t>Marché des matières premières : l'indice MXV inverse sa tendance et recule légèrement. - Vietnam.vn</w:t>
      </w:r>
      <w:r>
        <w:rPr>
          <w:color w:val="787878"/>
          <w:sz w:val="15"/>
        </w:rPr>
        <w:t xml:space="preserve">  [matieres_premieres]</w:t>
      </w:r>
      <w:r>
        <w:rPr>
          <w:color w:val="B47800"/>
          <w:sz w:val="16"/>
        </w:rPr>
        <w:t xml:space="preserve">  ★ 50/10</w:t>
      </w:r>
    </w:p>
    <w:p>
      <w:pPr>
        <w:spacing w:before="0" w:after="20"/>
        <w:ind w:left="600"/>
      </w:pPr>
      <w:r>
        <w:rPr>
          <w:color w:val="323232"/>
          <w:sz w:val="17"/>
        </w:rPr>
        <w:t>L'indice MXV, qui suit les prix des matières premières, a inversé sa tendance haussière récente et a enregistré un léger recul. Cette évolution reflète une certaine volatilité sur les marchés internationaux des matières premières. Les investisseurs surveillent de près ces fluctuations, qui peuvent influencer les coûts des intrants pour les entrepri</w:t>
      </w:r>
    </w:p>
    <w:p>
      <w:pPr>
        <w:spacing w:before="0" w:after="40"/>
        <w:ind w:left="600"/>
      </w:pPr>
      <w:r>
        <w:rPr>
          <w:color w:val="00643C"/>
          <w:sz w:val="16"/>
        </w:rPr>
        <w:t>Points clés : L'indice MXV a inversé sa tendance et recule légèrement.  •  Le recul est modeste, mais signale une volatilité sur les marchés de matières premières.</w:t>
      </w:r>
    </w:p>
    <w:p>
      <w:pPr>
        <w:spacing w:before="0" w:after="60"/>
        <w:ind w:left="600"/>
      </w:pPr>
      <w:r>
        <w:rPr>
          <w:color w:val="0064B4"/>
          <w:sz w:val="15"/>
        </w:rPr>
        <w:t>Source : https://news.google.com/rss/articles/CBMifkFVX3lxTE9WanBXSWZRd0tTMGlsTklTY3pqako</w:t>
      </w:r>
    </w:p>
    <w:p>
      <w:pPr>
        <w:spacing w:before="40" w:after="40"/>
        <w:ind w:left="360"/>
      </w:pPr>
      <w:r>
        <w:rPr>
          <w:color w:val="646464"/>
          <w:sz w:val="17"/>
        </w:rPr>
        <w:t xml:space="preserve">[25/08/2026] ⚪  </w:t>
      </w:r>
      <w:r>
        <w:rPr>
          <w:b/>
          <w:color w:val="505050"/>
          <w:sz w:val="18"/>
        </w:rPr>
        <w:t>Les prix du pétrole s'effondrent, ceux du café grimpent de plus de 5 %.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ont chuté de manière significative, tandis que ceux du café ont bondi de plus de 5 %. Cette évolution des matières premières est susceptible d'affecter les économies dépendantes du pétrole et les producteurs de café. L'article, provenant de Vietnam.vn, met en lumière une volatilité marquée sur les marchés internationaux.</w:t>
      </w:r>
    </w:p>
    <w:p>
      <w:pPr>
        <w:spacing w:before="0" w:after="40"/>
        <w:ind w:left="600"/>
      </w:pPr>
      <w:r>
        <w:rPr>
          <w:color w:val="00643C"/>
          <w:sz w:val="16"/>
        </w:rPr>
        <w:t>Points clés : Chute des prix du pétrole  •  Hausse de plus de 5 % des prix du café</w:t>
      </w:r>
    </w:p>
    <w:p>
      <w:pPr>
        <w:spacing w:before="0" w:after="60"/>
        <w:ind w:left="600"/>
      </w:pPr>
      <w:r>
        <w:rPr>
          <w:color w:val="0064B4"/>
          <w:sz w:val="15"/>
        </w:rPr>
        <w:t>Source : https://news.google.com/rss/articles/CBMic0FVX3lxTE43N3R3NzkweFlNUG0zaTJHSFpxY2N</w:t>
      </w:r>
    </w:p>
    <w:p>
      <w:pPr>
        <w:spacing w:before="40" w:after="40"/>
        <w:ind w:left="360"/>
      </w:pPr>
      <w:r>
        <w:rPr>
          <w:color w:val="646464"/>
          <w:sz w:val="17"/>
        </w:rPr>
        <w:t xml:space="preserve">[24/08/2026] 🟢  </w:t>
      </w:r>
      <w:r>
        <w:rPr>
          <w:b/>
          <w:color w:val="008000"/>
          <w:sz w:val="18"/>
        </w:rPr>
        <w:t>L'indice MXV a progressé de 4,3 %, les marchés des matières premières ont affiché de bonnes performances la semaine dern</w:t>
      </w:r>
      <w:r>
        <w:rPr>
          <w:color w:val="787878"/>
          <w:sz w:val="15"/>
        </w:rPr>
        <w:t xml:space="preserve">  [matieres_premieres]</w:t>
      </w:r>
      <w:r>
        <w:rPr>
          <w:color w:val="B47800"/>
          <w:sz w:val="16"/>
        </w:rPr>
        <w:t xml:space="preserve">  ★ 50/10</w:t>
      </w:r>
    </w:p>
    <w:p>
      <w:pPr>
        <w:spacing w:before="0" w:after="20"/>
        <w:ind w:left="600"/>
      </w:pPr>
      <w:r>
        <w:rPr>
          <w:color w:val="323232"/>
          <w:sz w:val="17"/>
        </w:rPr>
        <w:t>La semaine dernière, les marchés des matières premières ont enregistré de bonnes performances, avec l'indice MXV en hausse de 4,3 %. Cette progression reflète un dynamisme général sur les matières premières, ce qui pourrait avoir des répercussions sur les économies dépendantes de ces ressources. L'article, bien que bref, souligne une tendance posit</w:t>
      </w:r>
    </w:p>
    <w:p>
      <w:pPr>
        <w:spacing w:before="0" w:after="40"/>
        <w:ind w:left="600"/>
      </w:pPr>
      <w:r>
        <w:rPr>
          <w:color w:val="00643C"/>
          <w:sz w:val="16"/>
        </w:rPr>
        <w:t>Points clés : L'indice MXV a augmenté de 4,3 % la semaine dernière.  •  Les marchés des matières premières ont affiché de bonnes performances.</w:t>
      </w:r>
    </w:p>
    <w:p>
      <w:pPr>
        <w:spacing w:before="0" w:after="60"/>
        <w:ind w:left="600"/>
      </w:pPr>
      <w:r>
        <w:rPr>
          <w:color w:val="0064B4"/>
          <w:sz w:val="15"/>
        </w:rPr>
        <w:t>Source : https://news.google.com/rss/articles/CBMiigFBVV95cUxPZldUTjlFUElhbDNmS3hneENJcUh</w:t>
      </w:r>
    </w:p>
    <w:p>
      <w:pPr>
        <w:spacing w:before="120" w:after="40"/>
      </w:pPr>
      <w:r>
        <w:rPr>
          <w:b/>
          <w:color w:val="00467F"/>
          <w:sz w:val="20"/>
        </w:rPr>
        <w:t>🔑 économique  (3 alerte(s))</w:t>
      </w:r>
    </w:p>
    <w:p>
      <w:pPr>
        <w:spacing w:before="40" w:after="40"/>
        <w:ind w:left="360"/>
      </w:pPr>
      <w:r>
        <w:rPr>
          <w:color w:val="646464"/>
          <w:sz w:val="17"/>
        </w:rPr>
        <w:t xml:space="preserve">[24/08/2026] 🟢  </w:t>
      </w:r>
      <w:r>
        <w:rPr>
          <w:b/>
          <w:color w:val="008000"/>
          <w:sz w:val="18"/>
        </w:rPr>
        <w:t>CEDEAO : Actions coordonnées de soutien à l’économie et à la santé - lopinion.ma</w:t>
      </w:r>
      <w:r>
        <w:rPr>
          <w:color w:val="787878"/>
          <w:sz w:val="15"/>
        </w:rPr>
        <w:t xml:space="preserve">  [économique]</w:t>
      </w:r>
      <w:r>
        <w:rPr>
          <w:color w:val="B47800"/>
          <w:sz w:val="16"/>
        </w:rPr>
        <w:t xml:space="preserve">  ★ 50/10</w:t>
      </w:r>
    </w:p>
    <w:p>
      <w:pPr>
        <w:spacing w:before="0" w:after="20"/>
        <w:ind w:left="600"/>
      </w:pPr>
      <w:r>
        <w:rPr>
          <w:color w:val="323232"/>
          <w:sz w:val="17"/>
        </w:rPr>
        <w:t>La CEDEAO a annoncé des actions coordonnées pour soutenir l'économie et la santé dans la région ouest-africaine. Ces mesures visent à atténuer les effets de la crise sanitaire et à stimuler la reprise économique. L'initiative reflète une coopération régionale renforcée face aux défis communs.</w:t>
      </w:r>
    </w:p>
    <w:p>
      <w:pPr>
        <w:spacing w:before="0" w:after="40"/>
        <w:ind w:left="600"/>
      </w:pPr>
      <w:r>
        <w:rPr>
          <w:color w:val="00643C"/>
          <w:sz w:val="16"/>
        </w:rPr>
        <w:t>Points clés : Coordination régionale pour le soutien économique et sanitaire  •  Renforcement de la résilience face aux crises</w:t>
      </w:r>
    </w:p>
    <w:p>
      <w:pPr>
        <w:spacing w:before="0" w:after="60"/>
        <w:ind w:left="600"/>
      </w:pPr>
      <w:r>
        <w:rPr>
          <w:color w:val="0064B4"/>
          <w:sz w:val="15"/>
        </w:rPr>
        <w:t>Source : https://news.google.com/rss/articles/CBMi6wFBVV95cUxPY1ROQXNmZjZXTmFMbXZBZ1RydWx</w:t>
      </w:r>
    </w:p>
    <w:p>
      <w:pPr>
        <w:spacing w:before="40" w:after="40"/>
        <w:ind w:left="360"/>
      </w:pPr>
      <w:r>
        <w:rPr>
          <w:color w:val="646464"/>
          <w:sz w:val="17"/>
        </w:rPr>
        <w:t xml:space="preserve">[22/08/2026] 🟢  </w:t>
      </w:r>
      <w:r>
        <w:rPr>
          <w:b/>
          <w:color w:val="008000"/>
          <w:sz w:val="18"/>
        </w:rPr>
        <w:t>COUNTRY REPORT - CEDEAO REPORT : la croissance du Libéria économique estimée à 5% pour 2026 - Africa24 TV</w:t>
      </w:r>
      <w:r>
        <w:rPr>
          <w:color w:val="787878"/>
          <w:sz w:val="15"/>
        </w:rPr>
        <w:t xml:space="preserve">  [économique]</w:t>
      </w:r>
      <w:r>
        <w:rPr>
          <w:color w:val="B47800"/>
          <w:sz w:val="16"/>
        </w:rPr>
        <w:t xml:space="preserve">  ★ 50/10</w:t>
      </w:r>
    </w:p>
    <w:p>
      <w:pPr>
        <w:spacing w:before="0" w:after="20"/>
        <w:ind w:left="600"/>
      </w:pPr>
      <w:r>
        <w:rPr>
          <w:color w:val="323232"/>
          <w:sz w:val="17"/>
        </w:rPr>
        <w:t>Le rapport Country Report de la CEDEAO indique que la croissance économique du Libéria est estimée à 5% pour 2026, reflétant une dynamique positive dans la sous-région ouest-africaine. Cette prévision s'inscrit dans un contexte de reprise économique et de consolidation des activités dans les pays membres de la CEDEAO. Le Libéria, bien que de taille</w:t>
      </w:r>
    </w:p>
    <w:p>
      <w:pPr>
        <w:spacing w:before="0" w:after="40"/>
        <w:ind w:left="600"/>
      </w:pPr>
      <w:r>
        <w:rPr>
          <w:color w:val="00643C"/>
          <w:sz w:val="16"/>
        </w:rPr>
        <w:t>Points clés : Croissance économique du Libéria estimée à 5% pour 2026.  •  Perspectives positives pour la sous-région CEDEAO.  •  Réformes et investissements soutiennent la reprise au Libéria.</w:t>
      </w:r>
    </w:p>
    <w:p>
      <w:pPr>
        <w:spacing w:before="0" w:after="60"/>
        <w:ind w:left="600"/>
      </w:pPr>
      <w:r>
        <w:rPr>
          <w:color w:val="0064B4"/>
          <w:sz w:val="15"/>
        </w:rPr>
        <w:t>Source : https://news.google.com/rss/articles/CBMirwFBVV95cUxNOWk4ajA1bkJpVnh6RVFUUUNhdUt</w:t>
      </w:r>
    </w:p>
    <w:p>
      <w:pPr>
        <w:spacing w:before="40" w:after="40"/>
        <w:ind w:left="360"/>
      </w:pPr>
      <w:r>
        <w:rPr>
          <w:color w:val="646464"/>
          <w:sz w:val="17"/>
        </w:rPr>
        <w:t xml:space="preserve">[22/08/2026] 🟢  </w:t>
      </w:r>
      <w:r>
        <w:rPr>
          <w:b/>
          <w:color w:val="008000"/>
          <w:sz w:val="18"/>
        </w:rPr>
        <w:t>PORTRAIT – CEDEAO REPORT : la FEWACCI appelle à lever les barrières - Africa24 TV</w:t>
      </w:r>
      <w:r>
        <w:rPr>
          <w:color w:val="787878"/>
          <w:sz w:val="15"/>
        </w:rPr>
        <w:t xml:space="preserve">  [économique]</w:t>
      </w:r>
      <w:r>
        <w:rPr>
          <w:color w:val="B47800"/>
          <w:sz w:val="16"/>
        </w:rPr>
        <w:t xml:space="preserve">  ★ 50/10</w:t>
      </w:r>
    </w:p>
    <w:p>
      <w:pPr>
        <w:spacing w:before="0" w:after="20"/>
        <w:ind w:left="600"/>
      </w:pPr>
      <w:r>
        <w:rPr>
          <w:color w:val="323232"/>
          <w:sz w:val="17"/>
        </w:rPr>
        <w:t>La Fédération des chambres de commerce et d'industrie de la CEDEAO (FEWACCI) a appelé à la levée des barrières commerciales et non tarifaires au sein de la région, lors d'un rapport présenté dans le cadre de la CEDEAO. Cette initiative vise à renforcer l'intégration économique régionale et à faciliter les échanges transfrontaliers. L'article soulig</w:t>
      </w:r>
    </w:p>
    <w:p>
      <w:pPr>
        <w:spacing w:before="0" w:after="40"/>
        <w:ind w:left="600"/>
      </w:pPr>
      <w:r>
        <w:rPr>
          <w:color w:val="00643C"/>
          <w:sz w:val="16"/>
        </w:rPr>
        <w:t>Points clés : La FEWACCI appelle à lever les barrières commerciales dans la CEDEAO.  •  L'objectif est de renforcer l'intégration économique régionale et les échanges transfrontaliers.</w:t>
      </w:r>
    </w:p>
    <w:p>
      <w:pPr>
        <w:spacing w:before="0" w:after="60"/>
        <w:ind w:left="600"/>
      </w:pPr>
      <w:r>
        <w:rPr>
          <w:color w:val="0064B4"/>
          <w:sz w:val="15"/>
        </w:rPr>
        <w:t>Source : https://news.google.com/rss/articles/CBMikAFBVV95cUxQUHZ2cHc4MXpQa0c5cXZzX1l4WEN</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3,360</w:t>
            </w:r>
          </w:p>
        </w:tc>
        <w:tc>
          <w:tcPr>
            <w:tcW w:type="dxa" w:w="1080"/>
            <w:shd w:fill="C6EFCE" w:val="clear"/>
          </w:tcPr>
          <w:p>
            <w:r>
              <w:rPr>
                <w:b/>
                <w:sz w:val="16"/>
              </w:rPr>
              <w:t>80/100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LNBB</w:t>
            </w:r>
          </w:p>
        </w:tc>
        <w:tc>
          <w:tcPr>
            <w:tcW w:type="dxa" w:w="1080"/>
            <w:shd w:fill="C6EFCE" w:val="clear"/>
          </w:tcPr>
          <w:p>
            <w:r>
              <w:rPr>
                <w:sz w:val="16"/>
              </w:rPr>
              <w:t>CONSOMMATION DISCR</w:t>
            </w:r>
          </w:p>
        </w:tc>
        <w:tc>
          <w:tcPr>
            <w:tcW w:type="dxa" w:w="1080"/>
            <w:shd w:fill="C6EFCE" w:val="clear"/>
          </w:tcPr>
          <w:p>
            <w:r>
              <w:rPr>
                <w:sz w:val="16"/>
              </w:rPr>
              <w:t>4,075</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12,985</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22,800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2,495</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3,400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1,990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BOAB</w:t>
            </w:r>
          </w:p>
        </w:tc>
        <w:tc>
          <w:tcPr>
            <w:tcW w:type="dxa" w:w="1080"/>
            <w:shd w:fill="C6EFCE" w:val="clear"/>
          </w:tcPr>
          <w:p>
            <w:r>
              <w:rPr>
                <w:sz w:val="16"/>
              </w:rPr>
              <w:t>SERVICES FINANCIER</w:t>
            </w:r>
          </w:p>
        </w:tc>
        <w:tc>
          <w:tcPr>
            <w:tcW w:type="dxa" w:w="1080"/>
            <w:shd w:fill="C6EFCE" w:val="clear"/>
          </w:tcPr>
          <w:p>
            <w:r>
              <w:rPr>
                <w:sz w:val="16"/>
              </w:rPr>
              <w:t>9,990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BOABF</w:t>
            </w:r>
          </w:p>
        </w:tc>
        <w:tc>
          <w:tcPr>
            <w:tcW w:type="dxa" w:w="1080"/>
            <w:shd w:fill="C6EFCE" w:val="clear"/>
          </w:tcPr>
          <w:p>
            <w:r>
              <w:rPr>
                <w:sz w:val="16"/>
              </w:rPr>
              <w:t>SERVICES FINANCIER</w:t>
            </w:r>
          </w:p>
        </w:tc>
        <w:tc>
          <w:tcPr>
            <w:tcW w:type="dxa" w:w="1080"/>
            <w:shd w:fill="C6EFCE" w:val="clear"/>
          </w:tcPr>
          <w:p>
            <w:r>
              <w:rPr>
                <w:sz w:val="16"/>
              </w:rPr>
              <w:t>8,000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6,550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8,500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FTSC</w:t>
            </w:r>
          </w:p>
        </w:tc>
        <w:tc>
          <w:tcPr>
            <w:tcW w:type="dxa" w:w="1080"/>
            <w:shd w:fill="C6EFCE" w:val="clear"/>
          </w:tcPr>
          <w:p>
            <w:r>
              <w:rPr>
                <w:sz w:val="16"/>
              </w:rPr>
              <w:t>INDUSTRIELS</w:t>
            </w:r>
          </w:p>
        </w:tc>
        <w:tc>
          <w:tcPr>
            <w:tcW w:type="dxa" w:w="1080"/>
            <w:shd w:fill="C6EFCE" w:val="clear"/>
          </w:tcPr>
          <w:p>
            <w:r>
              <w:rPr>
                <w:sz w:val="16"/>
              </w:rPr>
              <w:t>2,150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9,500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2,480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9,250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2,595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21,200</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36,500</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2,500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5,800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CIEC</w:t>
            </w:r>
          </w:p>
        </w:tc>
        <w:tc>
          <w:tcPr>
            <w:tcW w:type="dxa" w:w="1080"/>
            <w:shd w:fill="EBF5FB" w:val="clear"/>
          </w:tcPr>
          <w:p>
            <w:r>
              <w:rPr>
                <w:sz w:val="16"/>
              </w:rPr>
              <w:t>SERVICES PUBLICS</w:t>
            </w:r>
          </w:p>
        </w:tc>
        <w:tc>
          <w:tcPr>
            <w:tcW w:type="dxa" w:w="1080"/>
            <w:shd w:fill="EBF5FB" w:val="clear"/>
          </w:tcPr>
          <w:p>
            <w:r>
              <w:rPr>
                <w:sz w:val="16"/>
              </w:rPr>
              <w:t>6,970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BICB</w:t>
            </w:r>
          </w:p>
        </w:tc>
        <w:tc>
          <w:tcPr>
            <w:tcW w:type="dxa" w:w="1080"/>
            <w:shd w:fill="EBF5FB" w:val="clear"/>
          </w:tcPr>
          <w:p>
            <w:r>
              <w:rPr>
                <w:sz w:val="16"/>
              </w:rPr>
              <w:t>SERVICES FINANCIER</w:t>
            </w:r>
          </w:p>
        </w:tc>
        <w:tc>
          <w:tcPr>
            <w:tcW w:type="dxa" w:w="1080"/>
            <w:shd w:fill="EBF5FB" w:val="clear"/>
          </w:tcPr>
          <w:p>
            <w:r>
              <w:rPr>
                <w:sz w:val="16"/>
              </w:rPr>
              <w:t>8,495</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5,345</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16,830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2,890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2,700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37,550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8,250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28,600</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16,900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3,190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1,550</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SIBC</w:t>
            </w:r>
          </w:p>
        </w:tc>
        <w:tc>
          <w:tcPr>
            <w:tcW w:type="dxa" w:w="1080"/>
            <w:shd w:fill="EBF5FB" w:val="clear"/>
          </w:tcPr>
          <w:p>
            <w:r>
              <w:rPr>
                <w:sz w:val="16"/>
              </w:rPr>
              <w:t>SERVICES FINANCIER</w:t>
            </w:r>
          </w:p>
        </w:tc>
        <w:tc>
          <w:tcPr>
            <w:tcW w:type="dxa" w:w="1080"/>
            <w:shd w:fill="EBF5FB" w:val="clear"/>
          </w:tcPr>
          <w:p>
            <w:r>
              <w:rPr>
                <w:sz w:val="16"/>
              </w:rPr>
              <w:t>9,100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ABJC</w:t>
            </w:r>
          </w:p>
        </w:tc>
        <w:tc>
          <w:tcPr>
            <w:tcW w:type="dxa" w:w="1080"/>
            <w:shd w:fill="EBF5FB" w:val="clear"/>
          </w:tcPr>
          <w:p>
            <w:r>
              <w:rPr>
                <w:sz w:val="16"/>
              </w:rPr>
              <w:t>CONSOMMATION DISCR</w:t>
            </w:r>
          </w:p>
        </w:tc>
        <w:tc>
          <w:tcPr>
            <w:tcW w:type="dxa" w:w="1080"/>
            <w:shd w:fill="EBF5FB" w:val="clear"/>
          </w:tcPr>
          <w:p>
            <w:r>
              <w:rPr>
                <w:sz w:val="16"/>
              </w:rPr>
              <w:t>3,600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3,620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1,765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67</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2,380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16,800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22,900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3,850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12,000</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29,000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38,985</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8,005</w:t>
            </w:r>
          </w:p>
        </w:tc>
        <w:tc>
          <w:tcPr>
            <w:tcW w:type="dxa" w:w="1080"/>
            <w:shd w:fill="EBF5FB" w:val="clear"/>
          </w:tcPr>
          <w:p>
            <w:r>
              <w:rPr>
                <w:b/>
                <w:sz w:val="16"/>
              </w:rPr>
              <w:t>58/100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4,470</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52,200</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LNBB</w:t>
            </w:r>
          </w:p>
        </w:tc>
        <w:tc>
          <w:tcPr>
            <w:tcW w:type="dxa" w:w="1728"/>
            <w:shd w:fill="DEEAF1" w:val="clear"/>
          </w:tcPr>
          <w:p>
            <w:r>
              <w:rPr>
                <w:sz w:val="17"/>
              </w:rPr>
              <w:t xml:space="preserve">LNBB - LOTERIE NATIONALE DU </w:t>
            </w:r>
          </w:p>
        </w:tc>
        <w:tc>
          <w:tcPr>
            <w:tcW w:type="dxa" w:w="1728"/>
            <w:shd w:fill="DEEAF1" w:val="clear"/>
          </w:tcPr>
          <w:p>
            <w:r>
              <w:rPr>
                <w:sz w:val="17"/>
              </w:rPr>
              <w:t>4,075</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BOAC</w:t>
            </w:r>
          </w:p>
        </w:tc>
        <w:tc>
          <w:tcPr>
            <w:tcW w:type="dxa" w:w="1728"/>
            <w:shd w:fill="DEEAF1" w:val="clear"/>
          </w:tcPr>
          <w:p>
            <w:r>
              <w:rPr>
                <w:sz w:val="17"/>
              </w:rPr>
              <w:t>BANK OF AFRICA COTE D'IVOIRE</w:t>
            </w:r>
          </w:p>
        </w:tc>
        <w:tc>
          <w:tcPr>
            <w:tcW w:type="dxa" w:w="1728"/>
            <w:shd w:fill="DEEAF1" w:val="clear"/>
          </w:tcPr>
          <w:p>
            <w:r>
              <w:rPr>
                <w:sz w:val="17"/>
              </w:rPr>
              <w:t>12,985</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TTLC</w:t>
            </w:r>
          </w:p>
        </w:tc>
        <w:tc>
          <w:tcPr>
            <w:tcW w:type="dxa" w:w="1728"/>
            <w:shd w:fill="DEEAF1" w:val="clear"/>
          </w:tcPr>
          <w:p>
            <w:r>
              <w:rPr>
                <w:sz w:val="17"/>
              </w:rPr>
              <w:t>TTLC - TOTAL ENERGIES MARKET</w:t>
            </w:r>
          </w:p>
        </w:tc>
        <w:tc>
          <w:tcPr>
            <w:tcW w:type="dxa" w:w="1728"/>
            <w:shd w:fill="DEEAF1" w:val="clear"/>
          </w:tcPr>
          <w:p>
            <w:r>
              <w:rPr>
                <w:sz w:val="17"/>
              </w:rPr>
              <w:t>3,400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BNBC</w:t>
            </w:r>
          </w:p>
        </w:tc>
        <w:tc>
          <w:tcPr>
            <w:tcW w:type="dxa" w:w="1728"/>
            <w:shd w:fill="DEEAF1" w:val="clear"/>
          </w:tcPr>
          <w:p>
            <w:r>
              <w:rPr>
                <w:sz w:val="17"/>
              </w:rPr>
              <w:t>BNBC - BERNABE CI</w:t>
            </w:r>
          </w:p>
        </w:tc>
        <w:tc>
          <w:tcPr>
            <w:tcW w:type="dxa" w:w="1728"/>
            <w:shd w:fill="DEEAF1" w:val="clear"/>
          </w:tcPr>
          <w:p>
            <w:r>
              <w:rPr>
                <w:sz w:val="17"/>
              </w:rPr>
              <w:t>1,990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BOABF</w:t>
            </w:r>
          </w:p>
        </w:tc>
        <w:tc>
          <w:tcPr>
            <w:tcW w:type="dxa" w:w="1728"/>
            <w:shd w:fill="DEEAF1" w:val="clear"/>
          </w:tcPr>
          <w:p>
            <w:r>
              <w:rPr>
                <w:sz w:val="17"/>
              </w:rPr>
              <w:t>BANK OF AFRICA BURKINA FASO</w:t>
            </w:r>
          </w:p>
        </w:tc>
        <w:tc>
          <w:tcPr>
            <w:tcW w:type="dxa" w:w="1728"/>
            <w:shd w:fill="DEEAF1" w:val="clear"/>
          </w:tcPr>
          <w:p>
            <w:r>
              <w:rPr>
                <w:sz w:val="17"/>
              </w:rPr>
              <w:t>8,000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BOAM</w:t>
            </w:r>
          </w:p>
        </w:tc>
        <w:tc>
          <w:tcPr>
            <w:tcW w:type="dxa" w:w="1728"/>
            <w:shd w:fill="DEEAF1" w:val="clear"/>
          </w:tcPr>
          <w:p>
            <w:r>
              <w:rPr>
                <w:sz w:val="17"/>
              </w:rPr>
              <w:t>BANK OF AFRICA MALI</w:t>
            </w:r>
          </w:p>
        </w:tc>
        <w:tc>
          <w:tcPr>
            <w:tcW w:type="dxa" w:w="1728"/>
            <w:shd w:fill="DEEAF1" w:val="clear"/>
          </w:tcPr>
          <w:p>
            <w:r>
              <w:rPr>
                <w:sz w:val="17"/>
              </w:rPr>
              <w:t>6,550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8,500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SHEC</w:t>
            </w:r>
          </w:p>
        </w:tc>
        <w:tc>
          <w:tcPr>
            <w:tcW w:type="dxa" w:w="1728"/>
            <w:shd w:fill="DEEAF1" w:val="clear"/>
          </w:tcPr>
          <w:p>
            <w:r>
              <w:rPr>
                <w:sz w:val="17"/>
              </w:rPr>
              <w:t>SHEC - VIVO ENERGY COTE D'IV</w:t>
            </w:r>
          </w:p>
        </w:tc>
        <w:tc>
          <w:tcPr>
            <w:tcW w:type="dxa" w:w="1728"/>
            <w:shd w:fill="DEEAF1" w:val="clear"/>
          </w:tcPr>
          <w:p>
            <w:r>
              <w:rPr>
                <w:sz w:val="17"/>
              </w:rPr>
              <w:t>2,480</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3,360</w:t>
            </w:r>
          </w:p>
        </w:tc>
        <w:tc>
          <w:tcPr>
            <w:tcW w:type="dxa" w:w="1728"/>
            <w:shd w:fill="E2EFDA" w:val="clear"/>
          </w:tcPr>
          <w:p>
            <w:r>
              <w:rPr>
                <w:sz w:val="17"/>
              </w:rPr>
              <w:t>80/100</w:t>
            </w:r>
          </w:p>
        </w:tc>
        <w:tc>
          <w:tcPr>
            <w:tcW w:type="dxa" w:w="1728"/>
            <w:shd w:fill="E2EFDA" w:val="clear"/>
          </w:tcPr>
          <w:p>
            <w:r>
              <w:rPr>
                <w:sz w:val="17"/>
              </w:rPr>
              <w:t>11.2%</w:t>
            </w:r>
          </w:p>
        </w:tc>
      </w:tr>
      <w:tr>
        <w:tc>
          <w:tcPr>
            <w:tcW w:type="dxa" w:w="1728"/>
            <w:shd w:fill="E2EFDA" w:val="clear"/>
          </w:tcPr>
          <w:p>
            <w:r>
              <w:rPr>
                <w:sz w:val="17"/>
              </w:rPr>
              <w:t>LNBB</w:t>
            </w:r>
          </w:p>
        </w:tc>
        <w:tc>
          <w:tcPr>
            <w:tcW w:type="dxa" w:w="1728"/>
            <w:shd w:fill="E2EFDA" w:val="clear"/>
          </w:tcPr>
          <w:p>
            <w:r>
              <w:rPr>
                <w:sz w:val="17"/>
              </w:rPr>
              <w:t xml:space="preserve">LNBB - LOTERIE NATIONALE DU </w:t>
            </w:r>
          </w:p>
        </w:tc>
        <w:tc>
          <w:tcPr>
            <w:tcW w:type="dxa" w:w="1728"/>
            <w:shd w:fill="E2EFDA" w:val="clear"/>
          </w:tcPr>
          <w:p>
            <w:r>
              <w:rPr>
                <w:sz w:val="17"/>
              </w:rPr>
              <w:t>4,075</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12,985</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NSBC</w:t>
            </w:r>
          </w:p>
        </w:tc>
        <w:tc>
          <w:tcPr>
            <w:tcW w:type="dxa" w:w="1728"/>
            <w:shd w:fill="E2EFDA" w:val="clear"/>
          </w:tcPr>
          <w:p>
            <w:r>
              <w:rPr>
                <w:sz w:val="17"/>
              </w:rPr>
              <w:t>NSBC - NSIA BANQUE COTE D'IV</w:t>
            </w:r>
          </w:p>
        </w:tc>
        <w:tc>
          <w:tcPr>
            <w:tcW w:type="dxa" w:w="1728"/>
            <w:shd w:fill="E2EFDA" w:val="clear"/>
          </w:tcPr>
          <w:p>
            <w:r>
              <w:rPr>
                <w:sz w:val="17"/>
              </w:rPr>
              <w:t>22,800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2,495</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TTLC</w:t>
            </w:r>
          </w:p>
        </w:tc>
        <w:tc>
          <w:tcPr>
            <w:tcW w:type="dxa" w:w="1728"/>
            <w:shd w:fill="E2EFDA" w:val="clear"/>
          </w:tcPr>
          <w:p>
            <w:r>
              <w:rPr>
                <w:sz w:val="17"/>
              </w:rPr>
              <w:t>TTLC - TOTAL ENERGIES MARKET</w:t>
            </w:r>
          </w:p>
        </w:tc>
        <w:tc>
          <w:tcPr>
            <w:tcW w:type="dxa" w:w="1728"/>
            <w:shd w:fill="E2EFDA" w:val="clear"/>
          </w:tcPr>
          <w:p>
            <w:r>
              <w:rPr>
                <w:sz w:val="17"/>
              </w:rPr>
              <w:t>3,400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BNBC</w:t>
            </w:r>
          </w:p>
        </w:tc>
        <w:tc>
          <w:tcPr>
            <w:tcW w:type="dxa" w:w="1728"/>
            <w:shd w:fill="E2EFDA" w:val="clear"/>
          </w:tcPr>
          <w:p>
            <w:r>
              <w:rPr>
                <w:sz w:val="17"/>
              </w:rPr>
              <w:t>BNBC - BERNABE CI</w:t>
            </w:r>
          </w:p>
        </w:tc>
        <w:tc>
          <w:tcPr>
            <w:tcW w:type="dxa" w:w="1728"/>
            <w:shd w:fill="E2EFDA" w:val="clear"/>
          </w:tcPr>
          <w:p>
            <w:r>
              <w:rPr>
                <w:sz w:val="17"/>
              </w:rPr>
              <w:t>1,990</w:t>
            </w:r>
          </w:p>
        </w:tc>
        <w:tc>
          <w:tcPr>
            <w:tcW w:type="dxa" w:w="1728"/>
            <w:shd w:fill="E2EFDA" w:val="clear"/>
          </w:tcPr>
          <w:p>
            <w:r>
              <w:rPr>
                <w:sz w:val="17"/>
              </w:rPr>
              <w:t>72/100</w:t>
            </w:r>
          </w:p>
        </w:tc>
        <w:tc>
          <w:tcPr>
            <w:tcW w:type="dxa" w:w="1728"/>
            <w:shd w:fill="E2EFDA" w:val="clear"/>
          </w:tcPr>
          <w:p>
            <w:r>
              <w:rPr>
                <w:sz w:val="17"/>
              </w:rPr>
              <w:t>11.2%</w:t>
            </w:r>
          </w:p>
        </w:tc>
      </w:tr>
      <w:tr>
        <w:tc>
          <w:tcPr>
            <w:tcW w:type="dxa" w:w="1728"/>
            <w:shd w:fill="E2EFDA" w:val="clear"/>
          </w:tcPr>
          <w:p>
            <w:r>
              <w:rPr>
                <w:sz w:val="17"/>
              </w:rPr>
              <w:t>BOAB</w:t>
            </w:r>
          </w:p>
        </w:tc>
        <w:tc>
          <w:tcPr>
            <w:tcW w:type="dxa" w:w="1728"/>
            <w:shd w:fill="E2EFDA" w:val="clear"/>
          </w:tcPr>
          <w:p>
            <w:r>
              <w:rPr>
                <w:sz w:val="17"/>
              </w:rPr>
              <w:t>BANK OF AFRICA BENIN</w:t>
            </w:r>
          </w:p>
        </w:tc>
        <w:tc>
          <w:tcPr>
            <w:tcW w:type="dxa" w:w="1728"/>
            <w:shd w:fill="E2EFDA" w:val="clear"/>
          </w:tcPr>
          <w:p>
            <w:r>
              <w:rPr>
                <w:sz w:val="17"/>
              </w:rPr>
              <w:t>9,990</w:t>
            </w:r>
          </w:p>
        </w:tc>
        <w:tc>
          <w:tcPr>
            <w:tcW w:type="dxa" w:w="1728"/>
            <w:shd w:fill="E2EFDA" w:val="clear"/>
          </w:tcPr>
          <w:p>
            <w:r>
              <w:rPr>
                <w:sz w:val="17"/>
              </w:rPr>
              <w:t>72/100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3,360</w:t>
            </w:r>
          </w:p>
        </w:tc>
        <w:tc>
          <w:tcPr>
            <w:tcW w:type="dxa" w:w="1728"/>
            <w:shd w:fill="FCE4D6" w:val="clear"/>
          </w:tcPr>
          <w:p>
            <w:r>
              <w:rPr>
                <w:sz w:val="17"/>
              </w:rPr>
              <w:t>80/100</w:t>
            </w:r>
          </w:p>
        </w:tc>
        <w:tc>
          <w:tcPr>
            <w:tcW w:type="dxa" w:w="1728"/>
            <w:shd w:fill="FCE4D6" w:val="clear"/>
          </w:tcPr>
          <w:p>
            <w:r>
              <w:rPr>
                <w:sz w:val="17"/>
              </w:rPr>
              <w:t>11.9%</w:t>
            </w:r>
          </w:p>
        </w:tc>
      </w:tr>
      <w:tr>
        <w:tc>
          <w:tcPr>
            <w:tcW w:type="dxa" w:w="1728"/>
            <w:shd w:fill="FCE4D6" w:val="clear"/>
          </w:tcPr>
          <w:p>
            <w:r>
              <w:rPr>
                <w:sz w:val="17"/>
              </w:rPr>
              <w:t>LNBB</w:t>
            </w:r>
          </w:p>
        </w:tc>
        <w:tc>
          <w:tcPr>
            <w:tcW w:type="dxa" w:w="1728"/>
            <w:shd w:fill="FCE4D6" w:val="clear"/>
          </w:tcPr>
          <w:p>
            <w:r>
              <w:rPr>
                <w:sz w:val="17"/>
              </w:rPr>
              <w:t xml:space="preserve">LNBB - LOTERIE NATIONALE DU </w:t>
            </w:r>
          </w:p>
        </w:tc>
        <w:tc>
          <w:tcPr>
            <w:tcW w:type="dxa" w:w="1728"/>
            <w:shd w:fill="FCE4D6" w:val="clear"/>
          </w:tcPr>
          <w:p>
            <w:r>
              <w:rPr>
                <w:sz w:val="17"/>
              </w:rPr>
              <w:t>4,075</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12,985</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NSBC</w:t>
            </w:r>
          </w:p>
        </w:tc>
        <w:tc>
          <w:tcPr>
            <w:tcW w:type="dxa" w:w="1728"/>
            <w:shd w:fill="FCE4D6" w:val="clear"/>
          </w:tcPr>
          <w:p>
            <w:r>
              <w:rPr>
                <w:sz w:val="17"/>
              </w:rPr>
              <w:t>NSBC - NSIA BANQUE COTE D'IV</w:t>
            </w:r>
          </w:p>
        </w:tc>
        <w:tc>
          <w:tcPr>
            <w:tcW w:type="dxa" w:w="1728"/>
            <w:shd w:fill="FCE4D6" w:val="clear"/>
          </w:tcPr>
          <w:p>
            <w:r>
              <w:rPr>
                <w:sz w:val="17"/>
              </w:rPr>
              <w:t>22,800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2,495</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TTLC</w:t>
            </w:r>
          </w:p>
        </w:tc>
        <w:tc>
          <w:tcPr>
            <w:tcW w:type="dxa" w:w="1728"/>
            <w:shd w:fill="FCE4D6" w:val="clear"/>
          </w:tcPr>
          <w:p>
            <w:r>
              <w:rPr>
                <w:sz w:val="17"/>
              </w:rPr>
              <w:t>TTLC - TOTAL ENERGIES MARKET</w:t>
            </w:r>
          </w:p>
        </w:tc>
        <w:tc>
          <w:tcPr>
            <w:tcW w:type="dxa" w:w="1728"/>
            <w:shd w:fill="FCE4D6" w:val="clear"/>
          </w:tcPr>
          <w:p>
            <w:r>
              <w:rPr>
                <w:sz w:val="17"/>
              </w:rPr>
              <w:t>3,400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BNBC</w:t>
            </w:r>
          </w:p>
        </w:tc>
        <w:tc>
          <w:tcPr>
            <w:tcW w:type="dxa" w:w="1728"/>
            <w:shd w:fill="FCE4D6" w:val="clear"/>
          </w:tcPr>
          <w:p>
            <w:r>
              <w:rPr>
                <w:sz w:val="17"/>
              </w:rPr>
              <w:t>BNBC - BERNABE CI</w:t>
            </w:r>
          </w:p>
        </w:tc>
        <w:tc>
          <w:tcPr>
            <w:tcW w:type="dxa" w:w="1728"/>
            <w:shd w:fill="FCE4D6" w:val="clear"/>
          </w:tcPr>
          <w:p>
            <w:r>
              <w:rPr>
                <w:sz w:val="17"/>
              </w:rPr>
              <w:t>1,990</w:t>
            </w:r>
          </w:p>
        </w:tc>
        <w:tc>
          <w:tcPr>
            <w:tcW w:type="dxa" w:w="1728"/>
            <w:shd w:fill="FCE4D6" w:val="clear"/>
          </w:tcPr>
          <w:p>
            <w:r>
              <w:rPr>
                <w:sz w:val="17"/>
              </w:rPr>
              <w:t>72/100</w:t>
            </w:r>
          </w:p>
        </w:tc>
        <w:tc>
          <w:tcPr>
            <w:tcW w:type="dxa" w:w="1728"/>
            <w:shd w:fill="FCE4D6" w:val="clear"/>
          </w:tcPr>
          <w:p>
            <w:r>
              <w:rPr>
                <w:sz w:val="17"/>
              </w:rPr>
              <w:t>11.9%</w:t>
            </w:r>
          </w:p>
        </w:tc>
      </w:tr>
      <w:tr>
        <w:tc>
          <w:tcPr>
            <w:tcW w:type="dxa" w:w="1728"/>
            <w:shd w:fill="FCE4D6" w:val="clear"/>
          </w:tcPr>
          <w:p>
            <w:r>
              <w:rPr>
                <w:sz w:val="17"/>
              </w:rPr>
              <w:t>BOAB</w:t>
            </w:r>
          </w:p>
        </w:tc>
        <w:tc>
          <w:tcPr>
            <w:tcW w:type="dxa" w:w="1728"/>
            <w:shd w:fill="FCE4D6" w:val="clear"/>
          </w:tcPr>
          <w:p>
            <w:r>
              <w:rPr>
                <w:sz w:val="17"/>
              </w:rPr>
              <w:t>BANK OF AFRICA BENIN</w:t>
            </w:r>
          </w:p>
        </w:tc>
        <w:tc>
          <w:tcPr>
            <w:tcW w:type="dxa" w:w="1728"/>
            <w:shd w:fill="FCE4D6" w:val="clear"/>
          </w:tcPr>
          <w:p>
            <w:r>
              <w:rPr>
                <w:sz w:val="17"/>
              </w:rPr>
              <w:t>9,990</w:t>
            </w:r>
          </w:p>
        </w:tc>
        <w:tc>
          <w:tcPr>
            <w:tcW w:type="dxa" w:w="1728"/>
            <w:shd w:fill="FCE4D6" w:val="clear"/>
          </w:tcPr>
          <w:p>
            <w:r>
              <w:rPr>
                <w:sz w:val="17"/>
              </w:rPr>
              <w:t>72/100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BICB — BIIC BN - Banque internationale pour le commerce du benin</w:t>
      </w:r>
    </w:p>
    <w:p>
      <w:pPr>
        <w:pStyle w:val="ListBullet"/>
        <w:spacing w:before="20"/>
        <w:ind w:left="400"/>
      </w:pPr>
      <w:r>
        <w:rPr>
          <w:sz w:val="18"/>
        </w:rPr>
        <w:t>🔴 RSI surachat (70.1 &gt; 70) — risque de correction</w:t>
      </w:r>
    </w:p>
    <w:p>
      <w:pPr>
        <w:pStyle w:val="ListBullet"/>
        <w:spacing w:before="20"/>
        <w:ind w:left="400"/>
      </w:pPr>
      <w:r>
        <w:rPr>
          <w:sz w:val="18"/>
        </w:rPr>
        <w:t>⚠️ Cours à 0.1% du plus haut 100j (8,500 FCFA)</w:t>
      </w:r>
    </w:p>
    <w:p>
      <w:pPr>
        <w:pStyle w:val="ListBullet"/>
        <w:spacing w:before="20"/>
        <w:ind w:left="400"/>
      </w:pPr>
      <w:r>
        <w:rPr>
          <w:sz w:val="18"/>
        </w:rPr>
        <w:t>🟠 Divergence tech(VENTE) / fond(ACHAT) — recommandation ajustée à ACHAT</w:t>
      </w:r>
    </w:p>
    <w:p>
      <w:pPr>
        <w:spacing w:before="120"/>
      </w:pPr>
      <w:r>
        <w:rPr>
          <w:b/>
          <w:color w:val="0050A0"/>
          <w:sz w:val="20"/>
        </w:rPr>
        <w:t>BOAB — BANK OF AFRICA BENIN</w:t>
      </w:r>
    </w:p>
    <w:p>
      <w:pPr>
        <w:pStyle w:val="ListBullet"/>
        <w:spacing w:before="20"/>
        <w:ind w:left="400"/>
      </w:pPr>
      <w:r>
        <w:rPr>
          <w:sz w:val="18"/>
        </w:rPr>
        <w:t>🔴 RSI surachat (81.5 &gt; 70) — risque de correction</w:t>
      </w:r>
    </w:p>
    <w:p>
      <w:pPr>
        <w:pStyle w:val="ListBullet"/>
        <w:spacing w:before="20"/>
        <w:ind w:left="400"/>
      </w:pPr>
      <w:r>
        <w:rPr>
          <w:sz w:val="18"/>
        </w:rPr>
        <w:t>⚠️ Cours à 0.0% du plus haut 100j (9,990 FCFA)</w:t>
      </w:r>
    </w:p>
    <w:p>
      <w:pPr>
        <w:pStyle w:val="ListBullet"/>
        <w:spacing w:before="20"/>
        <w:ind w:left="400"/>
      </w:pPr>
      <w:r>
        <w:rPr>
          <w:sz w:val="18"/>
        </w:rPr>
        <w:t>🟠 Divergence tech(VENTE) / fond(ACHAT) — recommandation ajustée à ACHAT</w:t>
      </w:r>
    </w:p>
    <w:p>
      <w:pPr>
        <w:spacing w:before="120"/>
      </w:pPr>
      <w:r>
        <w:rPr>
          <w:b/>
          <w:color w:val="0050A0"/>
          <w:sz w:val="20"/>
        </w:rPr>
        <w:t>BOABF — BANK OF AFRICA BURKINA FASO</w:t>
      </w:r>
    </w:p>
    <w:p>
      <w:pPr>
        <w:pStyle w:val="ListBullet"/>
        <w:spacing w:before="20"/>
        <w:ind w:left="400"/>
      </w:pPr>
      <w:r>
        <w:rPr>
          <w:sz w:val="18"/>
        </w:rPr>
        <w:t>🔴 RSI surachat (78.6 &gt; 70) — risque de correction</w:t>
      </w:r>
    </w:p>
    <w:p>
      <w:pPr>
        <w:pStyle w:val="ListBullet"/>
        <w:spacing w:before="20"/>
        <w:ind w:left="400"/>
      </w:pPr>
      <w:r>
        <w:rPr>
          <w:sz w:val="18"/>
        </w:rPr>
        <w:t>⚠️ Cours à 0.0% du plus haut 100j (8,000 FCFA)</w:t>
      </w:r>
    </w:p>
    <w:p>
      <w:pPr>
        <w:pStyle w:val="ListBullet"/>
        <w:spacing w:before="20"/>
        <w:ind w:left="400"/>
      </w:pPr>
      <w:r>
        <w:rPr>
          <w:sz w:val="18"/>
        </w:rPr>
        <w:t>🟠 Divergence tech(VENTE) / fond(ACHAT) — recommandation ajustée à ACHAT</w:t>
      </w:r>
    </w:p>
    <w:p>
      <w:pPr>
        <w:spacing w:before="120"/>
      </w:pPr>
      <w:r>
        <w:rPr>
          <w:b/>
          <w:color w:val="0050A0"/>
          <w:sz w:val="20"/>
        </w:rPr>
        <w:t>BOAS — BANK OF AFRICA SENEGAL</w:t>
      </w:r>
    </w:p>
    <w:p>
      <w:pPr>
        <w:pStyle w:val="ListBullet"/>
        <w:spacing w:before="20"/>
        <w:ind w:left="400"/>
      </w:pPr>
      <w:r>
        <w:rPr>
          <w:sz w:val="18"/>
        </w:rPr>
        <w:t>🔴 RSI surachat (85.9 &gt; 70) — risque de correction</w:t>
      </w:r>
    </w:p>
    <w:p>
      <w:pPr>
        <w:pStyle w:val="ListBullet"/>
        <w:spacing w:before="20"/>
        <w:ind w:left="400"/>
      </w:pPr>
      <w:r>
        <w:rPr>
          <w:sz w:val="18"/>
        </w:rPr>
        <w:t>⚠️ Cours à 0.0% du plus haut 100j (8,500 FCFA)</w:t>
      </w:r>
    </w:p>
    <w:p>
      <w:pPr>
        <w:pStyle w:val="ListBullet"/>
        <w:spacing w:before="20"/>
        <w:ind w:left="400"/>
      </w:pPr>
      <w:r>
        <w:rPr>
          <w:sz w:val="18"/>
        </w:rPr>
        <w:t>🟠 Divergence tech(VENTE) / fond(ACHAT) — recommandation ajustée à ACHAT</w:t>
      </w:r>
    </w:p>
    <w:p>
      <w:pPr>
        <w:spacing w:before="120"/>
      </w:pPr>
      <w:r>
        <w:rPr>
          <w:b/>
          <w:color w:val="0050A0"/>
          <w:sz w:val="20"/>
        </w:rPr>
        <w:t>ORAC — ORAC - ORANGE COTE D'IVOIRE</w:t>
      </w:r>
    </w:p>
    <w:p>
      <w:pPr>
        <w:pStyle w:val="ListBullet"/>
        <w:spacing w:before="20"/>
        <w:ind w:left="400"/>
      </w:pPr>
      <w:r>
        <w:rPr>
          <w:sz w:val="18"/>
        </w:rPr>
        <w:t>🔴 RSI surachat (96.2 &gt; 70) — risque de correction</w:t>
      </w:r>
    </w:p>
    <w:p>
      <w:pPr>
        <w:pStyle w:val="ListBullet"/>
        <w:spacing w:before="20"/>
        <w:ind w:left="400"/>
      </w:pPr>
      <w:r>
        <w:rPr>
          <w:sz w:val="18"/>
        </w:rPr>
        <w:t>⚠️ Cours à 0.0% du plus haut 100j (21,200 FCFA)</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RSI surachat (80.4 &gt; 70) — risque de correction</w:t>
      </w:r>
    </w:p>
    <w:p>
      <w:pPr>
        <w:pStyle w:val="ListBullet"/>
        <w:spacing w:before="20"/>
        <w:ind w:left="400"/>
      </w:pPr>
      <w:r>
        <w:rPr>
          <w:sz w:val="18"/>
        </w:rPr>
        <w:t>⚠️ Cours à 1.3% du plus haut 100j (36,980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surachat (76.5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BOAM — BANK OF AFRICA MALI</w:t>
      </w:r>
    </w:p>
    <w:p>
      <w:pPr>
        <w:pStyle w:val="ListBullet"/>
        <w:spacing w:before="20"/>
        <w:ind w:left="400"/>
      </w:pPr>
      <w:r>
        <w:rPr>
          <w:sz w:val="18"/>
        </w:rPr>
        <w:t>🔴 RSI surachat (91.9 &gt; 70) — risque de correction</w:t>
      </w:r>
    </w:p>
    <w:p>
      <w:pPr>
        <w:pStyle w:val="ListBullet"/>
        <w:spacing w:before="20"/>
        <w:ind w:left="400"/>
      </w:pPr>
      <w:r>
        <w:rPr>
          <w:sz w:val="18"/>
        </w:rPr>
        <w:t>⚠️ Cours à 0.0% du plus haut 100j (6,550 FCFA)</w:t>
      </w:r>
    </w:p>
    <w:p>
      <w:pPr>
        <w:spacing w:before="120"/>
      </w:pPr>
      <w:r>
        <w:rPr>
          <w:b/>
          <w:color w:val="0050A0"/>
          <w:sz w:val="20"/>
        </w:rPr>
        <w:t>BOAN — BANK OF AFRICA NIGER</w:t>
      </w:r>
    </w:p>
    <w:p>
      <w:pPr>
        <w:pStyle w:val="ListBullet"/>
        <w:spacing w:before="20"/>
        <w:ind w:left="400"/>
      </w:pPr>
      <w:r>
        <w:rPr>
          <w:sz w:val="18"/>
        </w:rPr>
        <w:t>⚠️ Cours à 1.0% du plus haut 100j (5,400 FCFA)</w:t>
      </w:r>
    </w:p>
    <w:p>
      <w:pPr>
        <w:pStyle w:val="ListBullet"/>
        <w:spacing w:before="20"/>
        <w:ind w:left="400"/>
      </w:pPr>
      <w:r>
        <w:rPr>
          <w:sz w:val="18"/>
        </w:rPr>
        <w:t>🟠 Divergence tech(VENTE) / fond(ACHAT) — recommandation ajustée à ACHAT</w:t>
      </w:r>
    </w:p>
    <w:p>
      <w:pPr>
        <w:spacing w:before="120"/>
      </w:pPr>
      <w:r>
        <w:rPr>
          <w:b/>
          <w:color w:val="0050A0"/>
          <w:sz w:val="20"/>
        </w:rPr>
        <w:t>ECOC — ECOC - ECOBANK COTE D'IVOIRE</w:t>
      </w:r>
    </w:p>
    <w:p>
      <w:pPr>
        <w:pStyle w:val="ListBullet"/>
        <w:spacing w:before="20"/>
        <w:ind w:left="400"/>
      </w:pPr>
      <w:r>
        <w:rPr>
          <w:sz w:val="18"/>
        </w:rPr>
        <w:t>⚠️ Cours à 2.5% du plus haut 100j (17,270 FCFA)</w:t>
      </w:r>
    </w:p>
    <w:p>
      <w:pPr>
        <w:pStyle w:val="ListBullet"/>
        <w:spacing w:before="20"/>
        <w:ind w:left="400"/>
      </w:pPr>
      <w:r>
        <w:rPr>
          <w:sz w:val="18"/>
        </w:rPr>
        <w:t>🟠 Divergence tech(VENTE) / fond(ACHAT) — recommandation ajustée à ACHAT</w:t>
      </w:r>
    </w:p>
    <w:p>
      <w:pPr>
        <w:spacing w:before="120"/>
      </w:pPr>
      <w:r>
        <w:rPr>
          <w:b/>
          <w:color w:val="0050A0"/>
          <w:sz w:val="20"/>
        </w:rPr>
        <w:t>PALC — PALC - PALM COTE D'IVOIRE</w:t>
      </w:r>
    </w:p>
    <w:p>
      <w:pPr>
        <w:pStyle w:val="ListBullet"/>
        <w:spacing w:before="20"/>
        <w:ind w:left="400"/>
      </w:pPr>
      <w:r>
        <w:rPr>
          <w:sz w:val="18"/>
        </w:rPr>
        <w:t>🔴 RSI surachat (70.4 &gt; 70) — risque de correction</w:t>
      </w:r>
    </w:p>
    <w:p>
      <w:pPr>
        <w:pStyle w:val="ListBullet"/>
        <w:spacing w:before="20"/>
        <w:ind w:left="400"/>
      </w:pPr>
      <w:r>
        <w:rPr>
          <w:sz w:val="18"/>
        </w:rPr>
        <w:t>⚠️ Cours à 1.5% du plus haut 100j (9,640 FCFA)</w:t>
      </w:r>
    </w:p>
    <w:p>
      <w:pPr>
        <w:spacing w:before="120"/>
      </w:pPr>
      <w:r>
        <w:rPr>
          <w:b/>
          <w:color w:val="0050A0"/>
          <w:sz w:val="20"/>
        </w:rPr>
        <w:t>SDCC — SDCC - Société de Distribution d'Eau de Côte d'Ivoire</w:t>
      </w:r>
    </w:p>
    <w:p>
      <w:pPr>
        <w:pStyle w:val="ListBullet"/>
        <w:spacing w:before="20"/>
        <w:ind w:left="400"/>
      </w:pPr>
      <w:r>
        <w:rPr>
          <w:sz w:val="18"/>
        </w:rPr>
        <w:t>⚠️ Cours à 1.6% du plus haut 100j (12,195 FCFA)</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0.8% du plus haut 100j (39,300 FCFA)</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RSI surachat (85.5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UNXC — UNXC - UNIWAX COTE D'IVOIRE</w:t>
      </w:r>
    </w:p>
    <w:p>
      <w:pPr>
        <w:pStyle w:val="ListBullet"/>
        <w:spacing w:before="20"/>
        <w:ind w:left="400"/>
      </w:pPr>
      <w:r>
        <w:rPr>
          <w:sz w:val="18"/>
        </w:rPr>
        <w:t>🔴 RSI surachat (92.8 &gt; 70) — risque de correction</w:t>
      </w:r>
    </w:p>
    <w:p>
      <w:pPr>
        <w:pStyle w:val="ListBullet"/>
        <w:spacing w:before="20"/>
        <w:ind w:left="400"/>
      </w:pPr>
      <w:r>
        <w:rPr>
          <w:sz w:val="18"/>
        </w:rPr>
        <w:t>⚠️ Cours à 0.0% du plus haut 100j (2,495 FCFA)</w:t>
      </w:r>
    </w:p>
    <w:p>
      <w:pPr>
        <w:spacing w:before="120"/>
      </w:pPr>
      <w:r>
        <w:rPr>
          <w:b/>
          <w:color w:val="0050A0"/>
          <w:sz w:val="20"/>
        </w:rPr>
        <w:t>BOAC — BANK OF AFRICA COTE D'IVOIRE</w:t>
      </w:r>
    </w:p>
    <w:p>
      <w:pPr>
        <w:pStyle w:val="ListBullet"/>
        <w:spacing w:before="20"/>
        <w:ind w:left="400"/>
      </w:pPr>
      <w:r>
        <w:rPr>
          <w:sz w:val="18"/>
        </w:rPr>
        <w:t>🔴 RSI surachat (81.9 &gt; 70) — risque de correction</w:t>
      </w:r>
    </w:p>
    <w:p>
      <w:pPr>
        <w:spacing w:before="120"/>
      </w:pPr>
      <w:r>
        <w:rPr>
          <w:b/>
          <w:color w:val="0050A0"/>
          <w:sz w:val="20"/>
        </w:rPr>
        <w:t>CFAC — CFAC - CFAO MOTORS CI</w:t>
      </w:r>
    </w:p>
    <w:p>
      <w:pPr>
        <w:pStyle w:val="ListBullet"/>
        <w:spacing w:before="20"/>
        <w:ind w:left="400"/>
      </w:pPr>
      <w:r>
        <w:rPr>
          <w:sz w:val="18"/>
        </w:rPr>
        <w:t>🟠 Divergence tech(VENTE) / fond(ACHAT) — recommandation ajustée à ACHAT</w:t>
      </w:r>
    </w:p>
    <w:p>
      <w:pPr>
        <w:spacing w:before="120"/>
      </w:pPr>
      <w:r>
        <w:rPr>
          <w:b/>
          <w:color w:val="0050A0"/>
          <w:sz w:val="20"/>
        </w:rPr>
        <w:t>CIEC — CIEC - Compagnie Ivoirienne d'Electricité</w:t>
      </w:r>
    </w:p>
    <w:p>
      <w:pPr>
        <w:pStyle w:val="ListBullet"/>
        <w:spacing w:before="20"/>
        <w:ind w:left="400"/>
      </w:pPr>
      <w:r>
        <w:rPr>
          <w:sz w:val="18"/>
        </w:rPr>
        <w:t>🔴 RSI surachat (88.5 &gt; 70) — risque de correction</w:t>
      </w:r>
    </w:p>
    <w:p>
      <w:pPr>
        <w:spacing w:before="120"/>
      </w:pPr>
      <w:r>
        <w:rPr>
          <w:b/>
          <w:color w:val="0050A0"/>
          <w:sz w:val="20"/>
        </w:rPr>
        <w:t>FTSC — FTSC - FILTISAC COTE D'IVOIRE</w:t>
      </w:r>
    </w:p>
    <w:p>
      <w:pPr>
        <w:pStyle w:val="ListBullet"/>
        <w:spacing w:before="20"/>
        <w:ind w:left="400"/>
      </w:pPr>
      <w:r>
        <w:rPr>
          <w:sz w:val="18"/>
        </w:rPr>
        <w:t>🔴 RSI surachat (77.3 &gt; 70) — risque de correction</w:t>
      </w:r>
    </w:p>
    <w:p>
      <w:pPr>
        <w:spacing w:before="120"/>
      </w:pPr>
      <w:r>
        <w:rPr>
          <w:b/>
          <w:color w:val="0050A0"/>
          <w:sz w:val="20"/>
        </w:rPr>
        <w:t>LNBB — LNBB - LOTERIE NATIONALE DU BENIN</w:t>
      </w:r>
    </w:p>
    <w:p>
      <w:pPr>
        <w:pStyle w:val="ListBullet"/>
        <w:spacing w:before="20"/>
        <w:ind w:left="400"/>
      </w:pPr>
      <w:r>
        <w:rPr>
          <w:sz w:val="18"/>
        </w:rPr>
        <w:t>🟢 RSI survente (24.1 &lt; 30) — opportunité potentielle</w:t>
      </w:r>
    </w:p>
    <w:p>
      <w:pPr>
        <w:spacing w:before="120"/>
      </w:pPr>
      <w:r>
        <w:rPr>
          <w:b/>
          <w:color w:val="0050A0"/>
          <w:sz w:val="20"/>
        </w:rPr>
        <w:t>NEIC — NEIC - NEI-CEDA CI</w:t>
      </w:r>
    </w:p>
    <w:p>
      <w:pPr>
        <w:pStyle w:val="ListBullet"/>
        <w:spacing w:before="20"/>
        <w:ind w:left="400"/>
      </w:pPr>
      <w:r>
        <w:rPr>
          <w:sz w:val="18"/>
        </w:rPr>
        <w:t>⚠️ Cours à 0.0% du plus haut 100j (2,500 FCFA)</w:t>
      </w:r>
    </w:p>
    <w:p>
      <w:pPr>
        <w:spacing w:before="120"/>
      </w:pPr>
      <w:r>
        <w:rPr>
          <w:b/>
          <w:color w:val="0050A0"/>
          <w:sz w:val="20"/>
        </w:rPr>
        <w:t>NSBC — NSBC - NSIA BANQUE COTE D'IVOIRE</w:t>
      </w:r>
    </w:p>
    <w:p>
      <w:pPr>
        <w:pStyle w:val="ListBullet"/>
        <w:spacing w:before="20"/>
        <w:ind w:left="400"/>
      </w:pPr>
      <w:r>
        <w:rPr>
          <w:sz w:val="18"/>
        </w:rPr>
        <w:t>🟢 RSI survente (16.8 &lt; 30) — opportunité potentielle</w:t>
      </w:r>
    </w:p>
    <w:p>
      <w:pPr>
        <w:spacing w:before="120"/>
      </w:pPr>
      <w:r>
        <w:rPr>
          <w:b/>
          <w:color w:val="0050A0"/>
          <w:sz w:val="20"/>
        </w:rPr>
        <w:t>ORGT — ORGT - ORAGROUP TOGO</w:t>
      </w:r>
    </w:p>
    <w:p>
      <w:pPr>
        <w:pStyle w:val="ListBullet"/>
        <w:spacing w:before="20"/>
        <w:ind w:left="400"/>
      </w:pPr>
      <w:r>
        <w:rPr>
          <w:sz w:val="18"/>
        </w:rPr>
        <w:t>🟠 Divergence tech(VENTE) / fond(ACHAT) — recommandation ajustée à ACHAT</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w:t>
      </w:r>
    </w:p>
    <w:p>
      <w:pPr>
        <w:spacing w:before="120"/>
      </w:pPr>
      <w:r>
        <w:rPr>
          <w:b/>
          <w:color w:val="0050A0"/>
          <w:sz w:val="20"/>
        </w:rPr>
        <w:t>SCRC — SCRC - SUCRIVOIRE</w:t>
      </w:r>
    </w:p>
    <w:p>
      <w:pPr>
        <w:pStyle w:val="ListBullet"/>
        <w:spacing w:before="20"/>
        <w:ind w:left="400"/>
      </w:pPr>
      <w:r>
        <w:rPr>
          <w:sz w:val="18"/>
        </w:rPr>
        <w:t>🟢 RSI survente (29.3 &lt; 30) — opportunité potentielle</w:t>
      </w:r>
    </w:p>
    <w:p>
      <w:pPr>
        <w:spacing w:before="120"/>
      </w:pPr>
      <w:r>
        <w:rPr>
          <w:b/>
          <w:color w:val="0050A0"/>
          <w:sz w:val="20"/>
        </w:rPr>
        <w:t>SHEC — SHEC - VIVO ENERGY COTE D'IVOIRE</w:t>
      </w:r>
    </w:p>
    <w:p>
      <w:pPr>
        <w:pStyle w:val="ListBullet"/>
        <w:spacing w:before="20"/>
        <w:ind w:left="400"/>
      </w:pPr>
      <w:r>
        <w:rPr>
          <w:sz w:val="18"/>
        </w:rPr>
        <w:t>⚠️ Cours à 0.0% du plus haut 100j (2,480 FCFA)</w:t>
      </w:r>
    </w:p>
    <w:p>
      <w:pPr>
        <w:spacing w:before="120"/>
      </w:pPr>
      <w:r>
        <w:rPr>
          <w:b/>
          <w:color w:val="0050A0"/>
          <w:sz w:val="20"/>
        </w:rPr>
        <w:t>SIVC — SIVC - ERIUM CI (Ex AIR LIQUIDECI)</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RSI surachat (74.1 &gt; 70) — risque de correction</w:t>
      </w:r>
    </w:p>
    <w:p>
      <w:pPr>
        <w:spacing w:before="120"/>
      </w:pPr>
      <w:r>
        <w:rPr>
          <w:b/>
          <w:color w:val="0050A0"/>
          <w:sz w:val="20"/>
        </w:rPr>
        <w:t>STAC — STAC - SETAO COTE D'IVOIRE</w:t>
      </w:r>
    </w:p>
    <w:p>
      <w:pPr>
        <w:pStyle w:val="ListBullet"/>
        <w:spacing w:before="20"/>
        <w:ind w:left="400"/>
      </w:pPr>
      <w:r>
        <w:rPr>
          <w:sz w:val="18"/>
        </w:rPr>
        <w:t>🟢 RSI survente (22.9 &lt; 30) — opportunité potentielle</w:t>
      </w:r>
    </w:p>
    <w:p>
      <w:pPr>
        <w:spacing w:before="120"/>
      </w:pPr>
      <w:r>
        <w:rPr>
          <w:b/>
          <w:color w:val="0050A0"/>
          <w:sz w:val="20"/>
        </w:rPr>
        <w:t>TTLC — TTLC - TOTAL ENERGIES MARKETING COTE D'IVOIRE</w:t>
      </w:r>
    </w:p>
    <w:p>
      <w:pPr>
        <w:pStyle w:val="ListBullet"/>
        <w:spacing w:before="20"/>
        <w:ind w:left="400"/>
      </w:pPr>
      <w:r>
        <w:rPr>
          <w:sz w:val="18"/>
        </w:rPr>
        <w:t>⚠️ Cours à 0.0% du plus haut 100j (3,400 FCFA)</w:t>
      </w:r>
    </w:p>
    <w:p>
      <w:pPr>
        <w:spacing w:before="120"/>
      </w:pPr>
      <w:r>
        <w:rPr>
          <w:b/>
          <w:color w:val="0050A0"/>
          <w:sz w:val="20"/>
        </w:rPr>
        <w:t>UNLC — UNLC - UNILEVER COTE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19 société(s) (40%)</w:t>
            </w:r>
          </w:p>
        </w:tc>
        <w:tc>
          <w:tcPr>
            <w:tcW w:type="dxa" w:w="1644"/>
            <w:shd w:fill="FFEB9C" w:val="clear"/>
          </w:tcPr>
          <w:p>
            <w:r>
              <w:rPr>
                <w:b/>
                <w:color w:val="825A00"/>
                <w:sz w:val="19"/>
              </w:rPr>
              <w:t>28 société(s) (60%)</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21.6/100</w:t>
            </w:r>
          </w:p>
        </w:tc>
        <w:tc>
          <w:tcPr>
            <w:tcW w:type="dxa" w:w="1644"/>
            <w:shd w:fill="DEEAF1" w:val="clear"/>
          </w:tcPr>
          <w:p>
            <w:r>
              <w:rPr>
                <w:b/>
                <w:color w:val="000000"/>
                <w:sz w:val="19"/>
              </w:rPr>
              <w:t>20.8/100</w:t>
            </w:r>
          </w:p>
        </w:tc>
      </w:tr>
    </w:tbl>
    <w:p/>
    <w:p>
      <w:r>
        <w:rPr>
          <w:i/>
          <w:color w:val="006400"/>
          <w:sz w:val="18"/>
        </w:rPr>
        <w:t>✅ Le marché BRVM présente globalement un profil de risque FAIBLE (score moyen 21.6/100).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CIEC</w:t>
            </w:r>
          </w:p>
        </w:tc>
        <w:tc>
          <w:tcPr>
            <w:tcW w:type="dxa" w:w="2268"/>
            <w:shd w:fill="FFFFFF" w:val="clear"/>
          </w:tcPr>
          <w:p>
            <w:r>
              <w:rPr>
                <w:sz w:val="16"/>
              </w:rPr>
              <w:t>CIEC - Compagnie Ivoirienne …</w:t>
            </w:r>
          </w:p>
        </w:tc>
        <w:tc>
          <w:tcPr>
            <w:tcW w:type="dxa" w:w="1701"/>
            <w:shd w:fill="FFFFFF" w:val="clear"/>
          </w:tcPr>
          <w:p>
            <w:r>
              <w:rPr>
                <w:sz w:val="16"/>
              </w:rPr>
              <w:t>SERVICES PUBLICS</w:t>
            </w:r>
          </w:p>
        </w:tc>
        <w:tc>
          <w:tcPr>
            <w:tcW w:type="dxa" w:w="1020"/>
            <w:shd w:fill="FFEB9C" w:val="clear"/>
          </w:tcPr>
          <w:p>
            <w:r>
              <w:rPr>
                <w:b/>
                <w:color w:val="B40000"/>
                <w:sz w:val="16"/>
              </w:rPr>
              <w:t>34.6/100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CIEC (34.6/100 — Moyen) : </w:t>
      </w:r>
      <w:r>
        <w:rPr>
          <w:sz w:val="17"/>
        </w:rPr>
        <w:t>Volatilité=Élevée | Bêta=Agressif | Liquidité=Bonne | Divergence signaux=taux divergence=40% (Très divergent ❌) | Stabilité=Modérée</w:t>
      </w:r>
    </w:p>
    <w:p>
      <w:pPr>
        <w:pStyle w:val="ListBullet"/>
      </w:pPr>
      <w:r>
        <w:rPr>
          <w:b/>
          <w:color w:val="B40000"/>
          <w:sz w:val="18"/>
        </w:rPr>
        <w:t xml:space="preserve">#2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#3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#4 NSBC (31.3/100 — Moyen) : </w:t>
      </w:r>
      <w:r>
        <w:rPr>
          <w:sz w:val="17"/>
        </w:rPr>
        <w:t>Volatilité=Élevée | Bêta=Agressif | Liquidité=Bonne | Divergence signaux=taux divergence=20% (Mixte ⚠️) | Stabilité=Stable</w:t>
      </w:r>
    </w:p>
    <w:p>
      <w:pPr>
        <w:pStyle w:val="ListBullet"/>
      </w:pPr>
      <w:r>
        <w:rPr>
          <w:b/>
          <w:color w:val="B40000"/>
          <w:sz w:val="18"/>
        </w:rPr>
        <w:t xml:space="preserve">#5 SAFC (30.1/100 — Moyen) : </w:t>
      </w:r>
      <w:r>
        <w:rPr>
          <w:sz w:val="17"/>
        </w:rPr>
        <w:t>Volatilité=Élevée | Bêta=Défensif | Liquidité=Bonne | Divergence signaux=taux divergence=20% (Mixte ⚠️) | Stabilité=Instable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SOGC</w:t>
            </w:r>
          </w:p>
        </w:tc>
        <w:tc>
          <w:tcPr>
            <w:tcW w:type="dxa" w:w="2268"/>
            <w:shd w:fill="FFFFFF" w:val="clear"/>
          </w:tcPr>
          <w:p>
            <w:r>
              <w:rPr>
                <w:sz w:val="16"/>
              </w:rPr>
              <w:t>SOGC - Société des caoutchou…</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BOAC</w:t>
            </w:r>
          </w:p>
        </w:tc>
        <w:tc>
          <w:tcPr>
            <w:tcW w:type="dxa" w:w="2268"/>
            <w:shd w:fill="FFFFFF" w:val="clear"/>
          </w:tcPr>
          <w:p>
            <w:r>
              <w:rPr>
                <w:sz w:val="16"/>
              </w:rPr>
              <w:t>BANK OF AFRICA COTE D'IVOIRE</w:t>
            </w:r>
          </w:p>
        </w:tc>
        <w:tc>
          <w:tcPr>
            <w:tcW w:type="dxa" w:w="1701"/>
            <w:shd w:fill="FFFFFF" w:val="clear"/>
          </w:tcPr>
          <w:p>
            <w:r>
              <w:rPr>
                <w:sz w:val="16"/>
              </w:rPr>
              <w:t>SERVICES FINANCIER</w:t>
            </w:r>
          </w:p>
        </w:tc>
        <w:tc>
          <w:tcPr>
            <w:tcW w:type="dxa" w:w="1020"/>
            <w:shd w:fill="C6EFCE" w:val="clear"/>
          </w:tcPr>
          <w:p>
            <w:r>
              <w:rPr>
                <w:b/>
                <w:color w:val="007800"/>
                <w:sz w:val="16"/>
              </w:rPr>
              <w:t>15.3/100</w:t>
            </w:r>
          </w:p>
        </w:tc>
        <w:tc>
          <w:tcPr>
            <w:tcW w:type="dxa" w:w="1134"/>
            <w:shd w:fill="C6EFCE" w:val="clear"/>
          </w:tcPr>
          <w:p>
            <w:r>
              <w:rPr>
                <w:sz w:val="16"/>
              </w:rPr>
              <w:t>Faible</w:t>
            </w:r>
          </w:p>
        </w:tc>
        <w:tc>
          <w:tcPr>
            <w:tcW w:type="dxa" w:w="2381"/>
            <w:shd w:fill="FFFFFF" w:val="clear"/>
          </w:tcPr>
          <w:p>
            <w:r>
              <w:rPr>
                <w:sz w:val="16"/>
              </w:rPr>
              <w:t>📐 Bêta défensif</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34.6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29.6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28.3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26.8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FFEB9C" w:val="clear"/>
          </w:tcPr>
          <w:p>
            <w:r>
              <w:rPr>
                <w:b/>
                <w:color w:val="825A00"/>
                <w:sz w:val="15"/>
              </w:rPr>
              <w:t>22.0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FFEB9C" w:val="clear"/>
          </w:tcPr>
          <w:p>
            <w:r>
              <w:rPr>
                <w:b/>
                <w:color w:val="825A00"/>
                <w:sz w:val="15"/>
              </w:rPr>
              <w:t>21.6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21.5</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Convergent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-12.41%  |  Médiane : -8.89%</w:t>
            </w:r>
          </w:p>
        </w:tc>
      </w:tr>
      <w:tr>
        <w:tc>
          <w:tcPr>
            <w:tcW w:type="dxa" w:w="2835"/>
            <w:shd w:fill="DEEAF1" w:val="clear"/>
          </w:tcPr>
          <w:p>
            <w:r>
              <w:rPr>
                <w:b/>
                <w:sz w:val="18"/>
              </w:rPr>
              <w:t>Répartition</w:t>
            </w:r>
          </w:p>
        </w:tc>
        <w:tc>
          <w:tcPr>
            <w:tcW w:type="dxa" w:w="7370"/>
          </w:tcPr>
          <w:p>
            <w:r>
              <w:rPr>
                <w:b/>
                <w:sz w:val="18"/>
              </w:rPr>
              <w:t>📈 6 sociétés en hausse (&gt;+1%)   📉 39 en baisse (&lt;-1%)   ➡️ 2 neutres</w:t>
            </w:r>
          </w:p>
        </w:tc>
      </w:tr>
      <w:tr>
        <w:tc>
          <w:tcPr>
            <w:tcW w:type="dxa" w:w="2835"/>
            <w:shd w:fill="DEEAF1" w:val="clear"/>
          </w:tcPr>
          <w:p>
            <w:r>
              <w:rPr>
                <w:b/>
                <w:sz w:val="18"/>
              </w:rPr>
              <w:t>Confiance globale</w:t>
            </w:r>
          </w:p>
        </w:tc>
        <w:tc>
          <w:tcPr>
            <w:tcW w:type="dxa" w:w="7370"/>
          </w:tcPr>
          <w:p>
            <w:r>
              <w:rPr>
                <w:b/>
                <w:sz w:val="18"/>
              </w:rPr>
              <w:t>Élevée : 0 sociétés (0%)   Moyenne : 13   Faible : 34 (72%)   → Confiance dominante : Faible</w:t>
            </w:r>
          </w:p>
        </w:tc>
      </w:tr>
    </w:tbl>
    <w:p/>
    <w:p>
      <w:r>
        <w:rPr>
          <w:i/>
          <w:color w:val="282828"/>
          <w:sz w:val="18"/>
        </w:rPr>
        <w:t>📝 Analyse : Les modèles anticipent une correction généralisée. 39 sociétés sur 47 sont orientées à la baisse avec une variation moyenne de -12.41%.</w:t>
      </w:r>
    </w:p>
    <w:p>
      <w:r>
        <w:rPr>
          <w:i/>
          <w:color w:val="282828"/>
          <w:sz w:val="18"/>
        </w:rPr>
        <w:t>🎯 Fiabilité : ⚠️ La confiance est globalement FAIBLE (72%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3,620 FCFA</w:t>
            </w:r>
          </w:p>
        </w:tc>
        <w:tc>
          <w:tcPr>
            <w:tcW w:type="dxa" w:w="1417"/>
            <w:shd w:fill="FFFFFF" w:val="clear"/>
          </w:tcPr>
          <w:p>
            <w:r>
              <w:rPr>
                <w:sz w:val="16"/>
              </w:rPr>
              <w:t>6,475 FCFA</w:t>
            </w:r>
          </w:p>
        </w:tc>
        <w:tc>
          <w:tcPr>
            <w:tcW w:type="dxa" w:w="1134"/>
            <w:shd w:fill="C6EFCE" w:val="clear"/>
          </w:tcPr>
          <w:p>
            <w:r>
              <w:rPr>
                <w:b/>
                <w:color w:val="007800"/>
                <w:sz w:val="16"/>
              </w:rPr>
              <w:t>+78.85%</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22,800 FCFA</w:t>
            </w:r>
          </w:p>
        </w:tc>
        <w:tc>
          <w:tcPr>
            <w:tcW w:type="dxa" w:w="1417"/>
            <w:shd w:fill="FFFFFF" w:val="clear"/>
          </w:tcPr>
          <w:p>
            <w:r>
              <w:rPr>
                <w:sz w:val="16"/>
              </w:rPr>
              <w:t>26,919 FCFA</w:t>
            </w:r>
          </w:p>
        </w:tc>
        <w:tc>
          <w:tcPr>
            <w:tcW w:type="dxa" w:w="1134"/>
            <w:shd w:fill="C6EFCE" w:val="clear"/>
          </w:tcPr>
          <w:p>
            <w:r>
              <w:rPr>
                <w:b/>
                <w:color w:val="007800"/>
                <w:sz w:val="16"/>
              </w:rPr>
              <w:t>+18.06%</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52,200 FCFA</w:t>
            </w:r>
          </w:p>
        </w:tc>
        <w:tc>
          <w:tcPr>
            <w:tcW w:type="dxa" w:w="1417"/>
            <w:shd w:fill="FFFFFF" w:val="clear"/>
          </w:tcPr>
          <w:p>
            <w:r>
              <w:rPr>
                <w:sz w:val="16"/>
              </w:rPr>
              <w:t>59,025 FCFA</w:t>
            </w:r>
          </w:p>
        </w:tc>
        <w:tc>
          <w:tcPr>
            <w:tcW w:type="dxa" w:w="1134"/>
            <w:shd w:fill="C6EFCE" w:val="clear"/>
          </w:tcPr>
          <w:p>
            <w:r>
              <w:rPr>
                <w:b/>
                <w:color w:val="007800"/>
                <w:sz w:val="16"/>
              </w:rPr>
              <w:t>+13.08%</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22,900 FCFA</w:t>
            </w:r>
          </w:p>
        </w:tc>
        <w:tc>
          <w:tcPr>
            <w:tcW w:type="dxa" w:w="1417"/>
            <w:shd w:fill="FFFFFF" w:val="clear"/>
          </w:tcPr>
          <w:p>
            <w:r>
              <w:rPr>
                <w:sz w:val="16"/>
              </w:rPr>
              <w:t>25,355 FCFA</w:t>
            </w:r>
          </w:p>
        </w:tc>
        <w:tc>
          <w:tcPr>
            <w:tcW w:type="dxa" w:w="1134"/>
            <w:shd w:fill="C6EFCE" w:val="clear"/>
          </w:tcPr>
          <w:p>
            <w:r>
              <w:rPr>
                <w:b/>
                <w:color w:val="007800"/>
                <w:sz w:val="16"/>
              </w:rPr>
              <w:t>+10.72%</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2,150 FCFA</w:t>
            </w:r>
          </w:p>
        </w:tc>
        <w:tc>
          <w:tcPr>
            <w:tcW w:type="dxa" w:w="1417"/>
            <w:shd w:fill="FFFFFF" w:val="clear"/>
          </w:tcPr>
          <w:p>
            <w:r>
              <w:rPr>
                <w:sz w:val="16"/>
              </w:rPr>
              <w:t>2,249 FCFA</w:t>
            </w:r>
          </w:p>
        </w:tc>
        <w:tc>
          <w:tcPr>
            <w:tcW w:type="dxa" w:w="1134"/>
            <w:shd w:fill="C6EFCE" w:val="clear"/>
          </w:tcPr>
          <w:p>
            <w:r>
              <w:rPr>
                <w:b/>
                <w:color w:val="007800"/>
                <w:sz w:val="16"/>
              </w:rPr>
              <w:t>+4.61%</w:t>
            </w:r>
          </w:p>
        </w:tc>
        <w:tc>
          <w:tcPr>
            <w:tcW w:type="dxa" w:w="1020"/>
            <w:shd w:fill="FFEB9C" w:val="clear"/>
          </w:tcPr>
          <w:p>
            <w:r>
              <w:rPr>
                <w:sz w:val="16"/>
              </w:rPr>
              <w:t>Moyenne</w:t>
            </w:r>
          </w:p>
        </w:tc>
      </w:tr>
    </w:tbl>
    <w:p/>
    <w:p>
      <w:pPr>
        <w:pStyle w:val="ListBullet"/>
      </w:pPr>
      <w:r>
        <w:rPr>
          <w:b/>
          <w:color w:val="006400"/>
          <w:sz w:val="18"/>
        </w:rPr>
        <w:t xml:space="preserve">#1 CABC </w:t>
      </w:r>
      <w:r>
        <w:rPr>
          <w:sz w:val="17"/>
        </w:rPr>
        <w:t>(CABC - SICABLE COTE D'IVOIRE) — hausse très forte (+78.9%) — signal potentiellement excessif, à croiser avec l'analyse technique. Trajectoire : 📈 Hausse continue. Cours actuel : 3,620 FCFA → prédit J+10 : 6,475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(+18.1%) — potentiel de revalorisation notable. Trajectoire : 📈 Hausse continue. Cours actuel : 22,800 FCFA → prédit J+10 : 26,919 FCFA. ⚠️ Confiance limitée — volatilité élevée ou données insuffisantes. Résultat indicatif uniquement.</w:t>
      </w:r>
    </w:p>
    <w:p>
      <w:pPr>
        <w:pStyle w:val="ListBullet"/>
      </w:pPr>
      <w:r>
        <w:rPr>
          <w:b/>
          <w:color w:val="006400"/>
          <w:sz w:val="18"/>
        </w:rPr>
        <w:t xml:space="preserve">#3 UNLC </w:t>
      </w:r>
      <w:r>
        <w:rPr>
          <w:sz w:val="17"/>
        </w:rPr>
        <w:t>(UNLC - UNILEVER COTE D'IVOIRE) — hausse significative (+13.1%) — potentiel de revalorisation notable. Trajectoire : 📈 Hausse continue. Cours actuel : 52,200 FCFA → prédit J+10 : 59,025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significative (+10.7%) — potentiel de revalorisation notable. Trajectoire : 📈 Hausse continue. Cours actuel : 22,900 FCFA → prédit J+10 : 25,355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(+4.6%) — progression graduelle attendue. Trajectoire : 📈 Hausse continue. Cours actuel : 2,150 FCFA → prédit J+10 : 2,249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5,800 FCFA</w:t>
            </w:r>
          </w:p>
        </w:tc>
        <w:tc>
          <w:tcPr>
            <w:tcW w:type="dxa" w:w="1417"/>
            <w:shd w:fill="FFFFFF" w:val="clear"/>
          </w:tcPr>
          <w:p>
            <w:r>
              <w:rPr>
                <w:sz w:val="16"/>
              </w:rPr>
              <w:t>2,660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3,360 FCFA</w:t>
            </w:r>
          </w:p>
        </w:tc>
        <w:tc>
          <w:tcPr>
            <w:tcW w:type="dxa" w:w="1417"/>
            <w:shd w:fill="FFFFFF" w:val="clear"/>
          </w:tcPr>
          <w:p>
            <w:r>
              <w:rPr>
                <w:sz w:val="16"/>
              </w:rPr>
              <w:t>1,541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67 FCFA</w:t>
            </w:r>
          </w:p>
        </w:tc>
        <w:tc>
          <w:tcPr>
            <w:tcW w:type="dxa" w:w="1417"/>
            <w:shd w:fill="FFFFFF" w:val="clear"/>
          </w:tcPr>
          <w:p>
            <w:r>
              <w:rPr>
                <w:sz w:val="16"/>
              </w:rPr>
              <w:t>31 FCFA</w:t>
            </w:r>
          </w:p>
        </w:tc>
        <w:tc>
          <w:tcPr>
            <w:tcW w:type="dxa" w:w="1134"/>
            <w:shd w:fill="FFC7CE" w:val="clear"/>
          </w:tcPr>
          <w:p>
            <w:r>
              <w:rPr>
                <w:b/>
                <w:color w:val="B40000"/>
                <w:sz w:val="16"/>
              </w:rPr>
              <w:t>-54.13%</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6,970 FCFA</w:t>
            </w:r>
          </w:p>
        </w:tc>
        <w:tc>
          <w:tcPr>
            <w:tcW w:type="dxa" w:w="1417"/>
            <w:shd w:fill="FFFFFF" w:val="clear"/>
          </w:tcPr>
          <w:p>
            <w:r>
              <w:rPr>
                <w:sz w:val="16"/>
              </w:rPr>
              <w:t>3,275 FCFA</w:t>
            </w:r>
          </w:p>
        </w:tc>
        <w:tc>
          <w:tcPr>
            <w:tcW w:type="dxa" w:w="1134"/>
            <w:shd w:fill="FFC7CE" w:val="clear"/>
          </w:tcPr>
          <w:p>
            <w:r>
              <w:rPr>
                <w:b/>
                <w:color w:val="B40000"/>
                <w:sz w:val="16"/>
              </w:rPr>
              <w:t>-53.02%</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NEIC — NEIC - NEI-CEDA CI</w:t>
            </w:r>
          </w:p>
        </w:tc>
        <w:tc>
          <w:tcPr>
            <w:tcW w:type="dxa" w:w="1701"/>
            <w:shd w:fill="FFFFFF" w:val="clear"/>
          </w:tcPr>
          <w:p>
            <w:r>
              <w:rPr>
                <w:sz w:val="16"/>
              </w:rPr>
              <w:t>CONSOMMATION DISCRET</w:t>
            </w:r>
          </w:p>
        </w:tc>
        <w:tc>
          <w:tcPr>
            <w:tcW w:type="dxa" w:w="1417"/>
            <w:shd w:fill="FFFFFF" w:val="clear"/>
          </w:tcPr>
          <w:p>
            <w:r>
              <w:rPr>
                <w:sz w:val="16"/>
              </w:rPr>
              <w:t>2,500 FCFA</w:t>
            </w:r>
          </w:p>
        </w:tc>
        <w:tc>
          <w:tcPr>
            <w:tcW w:type="dxa" w:w="1417"/>
            <w:shd w:fill="FFFFFF" w:val="clear"/>
          </w:tcPr>
          <w:p>
            <w:r>
              <w:rPr>
                <w:sz w:val="16"/>
              </w:rPr>
              <w:t>1,419 FCFA</w:t>
            </w:r>
          </w:p>
        </w:tc>
        <w:tc>
          <w:tcPr>
            <w:tcW w:type="dxa" w:w="1134"/>
            <w:shd w:fill="FFC7CE" w:val="clear"/>
          </w:tcPr>
          <w:p>
            <w:r>
              <w:rPr>
                <w:b/>
                <w:color w:val="B40000"/>
                <w:sz w:val="16"/>
              </w:rPr>
              <w:t>-43.26%</w:t>
            </w:r>
          </w:p>
        </w:tc>
        <w:tc>
          <w:tcPr>
            <w:tcW w:type="dxa" w:w="1020"/>
            <w:shd w:fill="FFC7CE" w:val="clear"/>
          </w:tcPr>
          <w:p>
            <w:r>
              <w:rPr>
                <w:sz w:val="16"/>
              </w:rPr>
              <w:t>Faible</w:t>
            </w:r>
          </w:p>
        </w:tc>
      </w:tr>
    </w:tbl>
    <w:p/>
    <w:p>
      <w:pPr>
        <w:pStyle w:val="ListBullet"/>
      </w:pPr>
      <w:r>
        <w:rPr>
          <w:b/>
          <w:color w:val="B40000"/>
          <w:sz w:val="18"/>
        </w:rPr>
        <w:t xml:space="preserve">#1 SAFC </w:t>
      </w:r>
      <w:r>
        <w:rPr>
          <w:sz w:val="17"/>
        </w:rPr>
        <w:t>(SAFCA CI) — baisse très forte (-54.1%) — amplitude potentiellement surestimée par le modèle. Trajectoire : 📉 Baisse continue. Cours actuel : 5,800 FCFA → prédit J+10 : 2,660 FCFA. ⚠️ Confiance limitée — volatilité élevée. Ne pas agir sur ce seul signal.</w:t>
      </w:r>
    </w:p>
    <w:p>
      <w:pPr>
        <w:pStyle w:val="ListBullet"/>
      </w:pPr>
      <w:r>
        <w:rPr>
          <w:b/>
          <w:color w:val="B40000"/>
          <w:sz w:val="18"/>
        </w:rPr>
        <w:t xml:space="preserve">#2 SCRC </w:t>
      </w:r>
      <w:r>
        <w:rPr>
          <w:sz w:val="17"/>
        </w:rPr>
        <w:t>(SCRC - SUCRIVOIRE) — baisse très forte (-54.1%) — amplitude potentiellement surestimée par le modèle. Trajectoire : 📉 Baisse continue. Cours actuel : 3,360 FCFA → prédit J+10 : 1,541 FCFA. ⚠️ Confiance limitée — volatilité élevée. Ne pas agir sur ce seul signal.</w:t>
      </w:r>
    </w:p>
    <w:p>
      <w:pPr>
        <w:pStyle w:val="ListBullet"/>
      </w:pPr>
      <w:r>
        <w:rPr>
          <w:b/>
          <w:color w:val="B40000"/>
          <w:sz w:val="18"/>
        </w:rPr>
        <w:t xml:space="preserve">#3 ETIT </w:t>
      </w:r>
      <w:r>
        <w:rPr>
          <w:sz w:val="17"/>
        </w:rPr>
        <w:t>(ETIT - Ecobank Transnational Incorporate) — baisse très forte (-54.1%) — amplitude potentiellement surestimée par le modèle. Trajectoire : 📉 Baisse continue. Cours actuel : 67 FCFA → prédit J+10 : 31 FCFA. ⚠️ Confiance limitée — volatilité élevée. Ne pas agir sur ce seul signal.</w:t>
      </w:r>
    </w:p>
    <w:p>
      <w:pPr>
        <w:pStyle w:val="ListBullet"/>
      </w:pPr>
      <w:r>
        <w:rPr>
          <w:b/>
          <w:color w:val="B40000"/>
          <w:sz w:val="18"/>
        </w:rPr>
        <w:t xml:space="preserve">#4 CIEC </w:t>
      </w:r>
      <w:r>
        <w:rPr>
          <w:sz w:val="17"/>
        </w:rPr>
        <w:t>(CIEC - Compagnie Ivoirienne d'Electricit) — baisse très forte (-53.0%) — amplitude potentiellement surestimée par le modèle. Trajectoire : 📉 Baisse continue. Cours actuel : 6,970 FCFA → prédit J+10 : 3,275 FCFA. ⚠️ Confiance limitée — volatilité élevée. Ne pas agir sur ce seul signal.</w:t>
      </w:r>
    </w:p>
    <w:p>
      <w:pPr>
        <w:pStyle w:val="ListBullet"/>
      </w:pPr>
      <w:r>
        <w:rPr>
          <w:b/>
          <w:color w:val="B40000"/>
          <w:sz w:val="18"/>
        </w:rPr>
        <w:t xml:space="preserve">#5 NEIC </w:t>
      </w:r>
      <w:r>
        <w:rPr>
          <w:sz w:val="17"/>
        </w:rPr>
        <w:t>(NEIC - NEI-CEDA CI) — baisse très forte (-43.3%) — amplitude potentiellement surestimée par le modèle. Trajectoire : 📉 Baisse continue. Cours actuel : 2,500 FCFA → prédit J+10 : 1,419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3,620</w:t>
            </w:r>
          </w:p>
        </w:tc>
        <w:tc>
          <w:tcPr>
            <w:tcW w:type="dxa" w:w="1417"/>
            <w:shd w:fill="FFFFFF" w:val="clear"/>
          </w:tcPr>
          <w:p>
            <w:r>
              <w:rPr>
                <w:sz w:val="16"/>
              </w:rPr>
              <w:t>6,475</w:t>
            </w:r>
          </w:p>
        </w:tc>
        <w:tc>
          <w:tcPr>
            <w:tcW w:type="dxa" w:w="1134"/>
            <w:shd w:fill="C6EFCE" w:val="clear"/>
          </w:tcPr>
          <w:p>
            <w:r>
              <w:rPr>
                <w:b/>
                <w:color w:val="007800"/>
                <w:sz w:val="16"/>
              </w:rPr>
              <w:t>+78.85%</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22,800</w:t>
            </w:r>
          </w:p>
        </w:tc>
        <w:tc>
          <w:tcPr>
            <w:tcW w:type="dxa" w:w="1417"/>
            <w:shd w:fill="FFFFFF" w:val="clear"/>
          </w:tcPr>
          <w:p>
            <w:r>
              <w:rPr>
                <w:sz w:val="16"/>
              </w:rPr>
              <w:t>26,919</w:t>
            </w:r>
          </w:p>
        </w:tc>
        <w:tc>
          <w:tcPr>
            <w:tcW w:type="dxa" w:w="1134"/>
            <w:shd w:fill="C6EFCE" w:val="clear"/>
          </w:tcPr>
          <w:p>
            <w:r>
              <w:rPr>
                <w:b/>
                <w:color w:val="007800"/>
                <w:sz w:val="16"/>
              </w:rPr>
              <w:t>+18.06%</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52,200</w:t>
            </w:r>
          </w:p>
        </w:tc>
        <w:tc>
          <w:tcPr>
            <w:tcW w:type="dxa" w:w="1417"/>
            <w:shd w:fill="FFFFFF" w:val="clear"/>
          </w:tcPr>
          <w:p>
            <w:r>
              <w:rPr>
                <w:sz w:val="16"/>
              </w:rPr>
              <w:t>59,025</w:t>
            </w:r>
          </w:p>
        </w:tc>
        <w:tc>
          <w:tcPr>
            <w:tcW w:type="dxa" w:w="1134"/>
            <w:shd w:fill="C6EFCE" w:val="clear"/>
          </w:tcPr>
          <w:p>
            <w:r>
              <w:rPr>
                <w:b/>
                <w:color w:val="007800"/>
                <w:sz w:val="16"/>
              </w:rPr>
              <w:t>+13.08%</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22,900</w:t>
            </w:r>
          </w:p>
        </w:tc>
        <w:tc>
          <w:tcPr>
            <w:tcW w:type="dxa" w:w="1417"/>
            <w:shd w:fill="FFFFFF" w:val="clear"/>
          </w:tcPr>
          <w:p>
            <w:r>
              <w:rPr>
                <w:sz w:val="16"/>
              </w:rPr>
              <w:t>25,355</w:t>
            </w:r>
          </w:p>
        </w:tc>
        <w:tc>
          <w:tcPr>
            <w:tcW w:type="dxa" w:w="1134"/>
            <w:shd w:fill="C6EFCE" w:val="clear"/>
          </w:tcPr>
          <w:p>
            <w:r>
              <w:rPr>
                <w:b/>
                <w:color w:val="007800"/>
                <w:sz w:val="16"/>
              </w:rPr>
              <w:t>+10.72%</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2,150</w:t>
            </w:r>
          </w:p>
        </w:tc>
        <w:tc>
          <w:tcPr>
            <w:tcW w:type="dxa" w:w="1417"/>
            <w:shd w:fill="FFFFFF" w:val="clear"/>
          </w:tcPr>
          <w:p>
            <w:r>
              <w:rPr>
                <w:sz w:val="16"/>
              </w:rPr>
              <w:t>2,249</w:t>
            </w:r>
          </w:p>
        </w:tc>
        <w:tc>
          <w:tcPr>
            <w:tcW w:type="dxa" w:w="1134"/>
            <w:shd w:fill="C6EFCE" w:val="clear"/>
          </w:tcPr>
          <w:p>
            <w:r>
              <w:rPr>
                <w:b/>
                <w:color w:val="007800"/>
                <w:sz w:val="16"/>
              </w:rPr>
              <w:t>+4.61%</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9,500</w:t>
            </w:r>
          </w:p>
        </w:tc>
        <w:tc>
          <w:tcPr>
            <w:tcW w:type="dxa" w:w="1417"/>
            <w:shd w:fill="FFFFFF" w:val="clear"/>
          </w:tcPr>
          <w:p>
            <w:r>
              <w:rPr>
                <w:sz w:val="16"/>
              </w:rPr>
              <w:t>9,821</w:t>
            </w:r>
          </w:p>
        </w:tc>
        <w:tc>
          <w:tcPr>
            <w:tcW w:type="dxa" w:w="1134"/>
            <w:shd w:fill="C6EFCE" w:val="clear"/>
          </w:tcPr>
          <w:p>
            <w:r>
              <w:rPr>
                <w:b/>
                <w:color w:val="007800"/>
                <w:sz w:val="16"/>
              </w:rPr>
              <w:t>+3.38%</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8,250</w:t>
            </w:r>
          </w:p>
        </w:tc>
        <w:tc>
          <w:tcPr>
            <w:tcW w:type="dxa" w:w="1417"/>
            <w:shd w:fill="FFFFFF" w:val="clear"/>
          </w:tcPr>
          <w:p>
            <w:r>
              <w:rPr>
                <w:sz w:val="16"/>
              </w:rPr>
              <w:t>8,329</w:t>
            </w:r>
          </w:p>
        </w:tc>
        <w:tc>
          <w:tcPr>
            <w:tcW w:type="dxa" w:w="1134"/>
            <w:shd w:fill="FFEB9C" w:val="clear"/>
          </w:tcPr>
          <w:p>
            <w:r>
              <w:rPr>
                <w:b/>
                <w:color w:val="646400"/>
                <w:sz w:val="16"/>
              </w:rPr>
              <w:t>+0.96%</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1,990</w:t>
            </w:r>
          </w:p>
        </w:tc>
        <w:tc>
          <w:tcPr>
            <w:tcW w:type="dxa" w:w="1417"/>
            <w:shd w:fill="FFFFFF" w:val="clear"/>
          </w:tcPr>
          <w:p>
            <w:r>
              <w:rPr>
                <w:sz w:val="16"/>
              </w:rPr>
              <w:t>1,974</w:t>
            </w:r>
          </w:p>
        </w:tc>
        <w:tc>
          <w:tcPr>
            <w:tcW w:type="dxa" w:w="1134"/>
            <w:shd w:fill="FFEB9C" w:val="clear"/>
          </w:tcPr>
          <w:p>
            <w:r>
              <w:rPr>
                <w:b/>
                <w:color w:val="646400"/>
                <w:sz w:val="16"/>
              </w:rPr>
              <w:t>-0.79%</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37,550</w:t>
            </w:r>
          </w:p>
        </w:tc>
        <w:tc>
          <w:tcPr>
            <w:tcW w:type="dxa" w:w="1417"/>
            <w:shd w:fill="FFFFFF" w:val="clear"/>
          </w:tcPr>
          <w:p>
            <w:r>
              <w:rPr>
                <w:sz w:val="16"/>
              </w:rPr>
              <w:t>37,048</w:t>
            </w:r>
          </w:p>
        </w:tc>
        <w:tc>
          <w:tcPr>
            <w:tcW w:type="dxa" w:w="1134"/>
            <w:shd w:fill="FFC7CE" w:val="clear"/>
          </w:tcPr>
          <w:p>
            <w:r>
              <w:rPr>
                <w:b/>
                <w:color w:val="B40000"/>
                <w:sz w:val="16"/>
              </w:rPr>
              <w:t>-1.34%</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16,830</w:t>
            </w:r>
          </w:p>
        </w:tc>
        <w:tc>
          <w:tcPr>
            <w:tcW w:type="dxa" w:w="1417"/>
            <w:shd w:fill="FFFFFF" w:val="clear"/>
          </w:tcPr>
          <w:p>
            <w:r>
              <w:rPr>
                <w:sz w:val="16"/>
              </w:rPr>
              <w:t>16,514</w:t>
            </w:r>
          </w:p>
        </w:tc>
        <w:tc>
          <w:tcPr>
            <w:tcW w:type="dxa" w:w="1134"/>
            <w:shd w:fill="FFC7CE" w:val="clear"/>
          </w:tcPr>
          <w:p>
            <w:r>
              <w:rPr>
                <w:b/>
                <w:color w:val="B40000"/>
                <w:sz w:val="16"/>
              </w:rPr>
              <w:t>-1.88%</w:t>
            </w:r>
          </w:p>
        </w:tc>
        <w:tc>
          <w:tcPr>
            <w:tcW w:type="dxa" w:w="1134"/>
            <w:shd w:fill="FFEB9C" w:val="clear"/>
          </w:tcPr>
          <w:p>
            <w:r>
              <w:rPr>
                <w:sz w:val="16"/>
              </w:rPr>
              <w:t>Moyenne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2,890</w:t>
            </w:r>
          </w:p>
        </w:tc>
        <w:tc>
          <w:tcPr>
            <w:tcW w:type="dxa" w:w="1417"/>
            <w:shd w:fill="FFFFFF" w:val="clear"/>
          </w:tcPr>
          <w:p>
            <w:r>
              <w:rPr>
                <w:sz w:val="16"/>
              </w:rPr>
              <w:t>2,834</w:t>
            </w:r>
          </w:p>
        </w:tc>
        <w:tc>
          <w:tcPr>
            <w:tcW w:type="dxa" w:w="1134"/>
            <w:shd w:fill="FFC7CE" w:val="clear"/>
          </w:tcPr>
          <w:p>
            <w:r>
              <w:rPr>
                <w:b/>
                <w:color w:val="B40000"/>
                <w:sz w:val="16"/>
              </w:rPr>
              <w:t>-1.94%</w:t>
            </w:r>
          </w:p>
        </w:tc>
        <w:tc>
          <w:tcPr>
            <w:tcW w:type="dxa" w:w="1134"/>
            <w:shd w:fill="FFEB9C" w:val="clear"/>
          </w:tcPr>
          <w:p>
            <w:r>
              <w:rPr>
                <w:sz w:val="16"/>
              </w:rPr>
              <w:t>Moyenne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3,190</w:t>
            </w:r>
          </w:p>
        </w:tc>
        <w:tc>
          <w:tcPr>
            <w:tcW w:type="dxa" w:w="1417"/>
            <w:shd w:fill="FFFFFF" w:val="clear"/>
          </w:tcPr>
          <w:p>
            <w:r>
              <w:rPr>
                <w:sz w:val="16"/>
              </w:rPr>
              <w:t>3,117</w:t>
            </w:r>
          </w:p>
        </w:tc>
        <w:tc>
          <w:tcPr>
            <w:tcW w:type="dxa" w:w="1134"/>
            <w:shd w:fill="FFC7CE" w:val="clear"/>
          </w:tcPr>
          <w:p>
            <w:r>
              <w:rPr>
                <w:b/>
                <w:color w:val="B40000"/>
                <w:sz w:val="16"/>
              </w:rPr>
              <w:t>-2.30%</w:t>
            </w:r>
          </w:p>
        </w:tc>
        <w:tc>
          <w:tcPr>
            <w:tcW w:type="dxa" w:w="1134"/>
            <w:shd w:fill="FFEB9C" w:val="clear"/>
          </w:tcPr>
          <w:p>
            <w:r>
              <w:rPr>
                <w:sz w:val="16"/>
              </w:rPr>
              <w:t>Moyenne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5,345</w:t>
            </w:r>
          </w:p>
        </w:tc>
        <w:tc>
          <w:tcPr>
            <w:tcW w:type="dxa" w:w="1417"/>
            <w:shd w:fill="FFFFFF" w:val="clear"/>
          </w:tcPr>
          <w:p>
            <w:r>
              <w:rPr>
                <w:sz w:val="16"/>
              </w:rPr>
              <w:t>5,196</w:t>
            </w:r>
          </w:p>
        </w:tc>
        <w:tc>
          <w:tcPr>
            <w:tcW w:type="dxa" w:w="1134"/>
            <w:shd w:fill="FFC7CE" w:val="clear"/>
          </w:tcPr>
          <w:p>
            <w:r>
              <w:rPr>
                <w:b/>
                <w:color w:val="B40000"/>
                <w:sz w:val="16"/>
              </w:rPr>
              <w:t>-2.79%</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4,075</w:t>
            </w:r>
          </w:p>
        </w:tc>
        <w:tc>
          <w:tcPr>
            <w:tcW w:type="dxa" w:w="1417"/>
            <w:shd w:fill="FFFFFF" w:val="clear"/>
          </w:tcPr>
          <w:p>
            <w:r>
              <w:rPr>
                <w:sz w:val="16"/>
              </w:rPr>
              <w:t>3,952</w:t>
            </w:r>
          </w:p>
        </w:tc>
        <w:tc>
          <w:tcPr>
            <w:tcW w:type="dxa" w:w="1134"/>
            <w:shd w:fill="FFC7CE" w:val="clear"/>
          </w:tcPr>
          <w:p>
            <w:r>
              <w:rPr>
                <w:b/>
                <w:color w:val="B40000"/>
                <w:sz w:val="16"/>
              </w:rPr>
              <w:t>-3.02%</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38,985</w:t>
            </w:r>
          </w:p>
        </w:tc>
        <w:tc>
          <w:tcPr>
            <w:tcW w:type="dxa" w:w="1417"/>
            <w:shd w:fill="FFFFFF" w:val="clear"/>
          </w:tcPr>
          <w:p>
            <w:r>
              <w:rPr>
                <w:sz w:val="16"/>
              </w:rPr>
              <w:t>37,760</w:t>
            </w:r>
          </w:p>
        </w:tc>
        <w:tc>
          <w:tcPr>
            <w:tcW w:type="dxa" w:w="1134"/>
            <w:shd w:fill="FFC7CE" w:val="clear"/>
          </w:tcPr>
          <w:p>
            <w:r>
              <w:rPr>
                <w:b/>
                <w:color w:val="B40000"/>
                <w:sz w:val="16"/>
              </w:rPr>
              <w:t>-3.14%</w:t>
            </w:r>
          </w:p>
        </w:tc>
        <w:tc>
          <w:tcPr>
            <w:tcW w:type="dxa" w:w="1134"/>
            <w:shd w:fill="FFEB9C" w:val="clear"/>
          </w:tcPr>
          <w:p>
            <w:r>
              <w:rPr>
                <w:sz w:val="16"/>
              </w:rPr>
              <w:t>Moyenne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16,900</w:t>
            </w:r>
          </w:p>
        </w:tc>
        <w:tc>
          <w:tcPr>
            <w:tcW w:type="dxa" w:w="1417"/>
            <w:shd w:fill="FFFFFF" w:val="clear"/>
          </w:tcPr>
          <w:p>
            <w:r>
              <w:rPr>
                <w:sz w:val="16"/>
              </w:rPr>
              <w:t>16,364</w:t>
            </w:r>
          </w:p>
        </w:tc>
        <w:tc>
          <w:tcPr>
            <w:tcW w:type="dxa" w:w="1134"/>
            <w:shd w:fill="FFC7CE" w:val="clear"/>
          </w:tcPr>
          <w:p>
            <w:r>
              <w:rPr>
                <w:b/>
                <w:color w:val="B40000"/>
                <w:sz w:val="16"/>
              </w:rPr>
              <w:t>-3.17%</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3,400</w:t>
            </w:r>
          </w:p>
        </w:tc>
        <w:tc>
          <w:tcPr>
            <w:tcW w:type="dxa" w:w="1417"/>
            <w:shd w:fill="FFFFFF" w:val="clear"/>
          </w:tcPr>
          <w:p>
            <w:r>
              <w:rPr>
                <w:sz w:val="16"/>
              </w:rPr>
              <w:t>3,257</w:t>
            </w:r>
          </w:p>
        </w:tc>
        <w:tc>
          <w:tcPr>
            <w:tcW w:type="dxa" w:w="1134"/>
            <w:shd w:fill="FFC7CE" w:val="clear"/>
          </w:tcPr>
          <w:p>
            <w:r>
              <w:rPr>
                <w:b/>
                <w:color w:val="B40000"/>
                <w:sz w:val="16"/>
              </w:rPr>
              <w:t>-4.20%</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16,800</w:t>
            </w:r>
          </w:p>
        </w:tc>
        <w:tc>
          <w:tcPr>
            <w:tcW w:type="dxa" w:w="1417"/>
            <w:shd w:fill="FFFFFF" w:val="clear"/>
          </w:tcPr>
          <w:p>
            <w:r>
              <w:rPr>
                <w:sz w:val="16"/>
              </w:rPr>
              <w:t>16,037</w:t>
            </w:r>
          </w:p>
        </w:tc>
        <w:tc>
          <w:tcPr>
            <w:tcW w:type="dxa" w:w="1134"/>
            <w:shd w:fill="FFC7CE" w:val="clear"/>
          </w:tcPr>
          <w:p>
            <w:r>
              <w:rPr>
                <w:b/>
                <w:color w:val="B40000"/>
                <w:sz w:val="16"/>
              </w:rPr>
              <w:t>-4.54%</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9,250</w:t>
            </w:r>
          </w:p>
        </w:tc>
        <w:tc>
          <w:tcPr>
            <w:tcW w:type="dxa" w:w="1417"/>
            <w:shd w:fill="FFFFFF" w:val="clear"/>
          </w:tcPr>
          <w:p>
            <w:r>
              <w:rPr>
                <w:sz w:val="16"/>
              </w:rPr>
              <w:t>8,827</w:t>
            </w:r>
          </w:p>
        </w:tc>
        <w:tc>
          <w:tcPr>
            <w:tcW w:type="dxa" w:w="1134"/>
            <w:shd w:fill="FFC7CE" w:val="clear"/>
          </w:tcPr>
          <w:p>
            <w:r>
              <w:rPr>
                <w:b/>
                <w:color w:val="B40000"/>
                <w:sz w:val="16"/>
              </w:rPr>
              <w:t>-4.57%</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4,470</w:t>
            </w:r>
          </w:p>
        </w:tc>
        <w:tc>
          <w:tcPr>
            <w:tcW w:type="dxa" w:w="1417"/>
            <w:shd w:fill="FFFFFF" w:val="clear"/>
          </w:tcPr>
          <w:p>
            <w:r>
              <w:rPr>
                <w:sz w:val="16"/>
              </w:rPr>
              <w:t>4,249</w:t>
            </w:r>
          </w:p>
        </w:tc>
        <w:tc>
          <w:tcPr>
            <w:tcW w:type="dxa" w:w="1134"/>
            <w:shd w:fill="FFC7CE" w:val="clear"/>
          </w:tcPr>
          <w:p>
            <w:r>
              <w:rPr>
                <w:b/>
                <w:color w:val="B40000"/>
                <w:sz w:val="16"/>
              </w:rPr>
              <w:t>-4.94%</w:t>
            </w:r>
          </w:p>
        </w:tc>
        <w:tc>
          <w:tcPr>
            <w:tcW w:type="dxa" w:w="1134"/>
            <w:shd w:fill="FFEB9C" w:val="clear"/>
          </w:tcPr>
          <w:p>
            <w:r>
              <w:rPr>
                <w:sz w:val="16"/>
              </w:rPr>
              <w:t>Moyenne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36,500</w:t>
            </w:r>
          </w:p>
        </w:tc>
        <w:tc>
          <w:tcPr>
            <w:tcW w:type="dxa" w:w="1417"/>
            <w:shd w:fill="FFFFFF" w:val="clear"/>
          </w:tcPr>
          <w:p>
            <w:r>
              <w:rPr>
                <w:sz w:val="16"/>
              </w:rPr>
              <w:t>34,173</w:t>
            </w:r>
          </w:p>
        </w:tc>
        <w:tc>
          <w:tcPr>
            <w:tcW w:type="dxa" w:w="1134"/>
            <w:shd w:fill="FFC7CE" w:val="clear"/>
          </w:tcPr>
          <w:p>
            <w:r>
              <w:rPr>
                <w:b/>
                <w:color w:val="B40000"/>
                <w:sz w:val="16"/>
              </w:rPr>
              <w:t>-6.37%</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2,700</w:t>
            </w:r>
          </w:p>
        </w:tc>
        <w:tc>
          <w:tcPr>
            <w:tcW w:type="dxa" w:w="1417"/>
            <w:shd w:fill="FFFFFF" w:val="clear"/>
          </w:tcPr>
          <w:p>
            <w:r>
              <w:rPr>
                <w:sz w:val="16"/>
              </w:rPr>
              <w:t>2,500</w:t>
            </w:r>
          </w:p>
        </w:tc>
        <w:tc>
          <w:tcPr>
            <w:tcW w:type="dxa" w:w="1134"/>
            <w:shd w:fill="FFC7CE" w:val="clear"/>
          </w:tcPr>
          <w:p>
            <w:r>
              <w:rPr>
                <w:b/>
                <w:color w:val="B40000"/>
                <w:sz w:val="16"/>
              </w:rPr>
              <w:t>-7.40%</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2,495</w:t>
            </w:r>
          </w:p>
        </w:tc>
        <w:tc>
          <w:tcPr>
            <w:tcW w:type="dxa" w:w="1417"/>
            <w:shd w:fill="FFFFFF" w:val="clear"/>
          </w:tcPr>
          <w:p>
            <w:r>
              <w:rPr>
                <w:sz w:val="16"/>
              </w:rPr>
              <w:t>2,277</w:t>
            </w:r>
          </w:p>
        </w:tc>
        <w:tc>
          <w:tcPr>
            <w:tcW w:type="dxa" w:w="1134"/>
            <w:shd w:fill="FFC7CE" w:val="clear"/>
          </w:tcPr>
          <w:p>
            <w:r>
              <w:rPr>
                <w:b/>
                <w:color w:val="B40000"/>
                <w:sz w:val="16"/>
              </w:rPr>
              <w:t>-8.73%</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28,600</w:t>
            </w:r>
          </w:p>
        </w:tc>
        <w:tc>
          <w:tcPr>
            <w:tcW w:type="dxa" w:w="1417"/>
            <w:shd w:fill="FFFFFF" w:val="clear"/>
          </w:tcPr>
          <w:p>
            <w:r>
              <w:rPr>
                <w:sz w:val="16"/>
              </w:rPr>
              <w:t>26,059</w:t>
            </w:r>
          </w:p>
        </w:tc>
        <w:tc>
          <w:tcPr>
            <w:tcW w:type="dxa" w:w="1134"/>
            <w:shd w:fill="FFC7CE" w:val="clear"/>
          </w:tcPr>
          <w:p>
            <w:r>
              <w:rPr>
                <w:b/>
                <w:color w:val="B40000"/>
                <w:sz w:val="16"/>
              </w:rPr>
              <w:t>-8.89%</w:t>
            </w:r>
          </w:p>
        </w:tc>
        <w:tc>
          <w:tcPr>
            <w:tcW w:type="dxa" w:w="1134"/>
            <w:shd w:fill="FFEB9C" w:val="clear"/>
          </w:tcPr>
          <w:p>
            <w:r>
              <w:rPr>
                <w:sz w:val="16"/>
              </w:rPr>
              <w:t>Moyenne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21,200</w:t>
            </w:r>
          </w:p>
        </w:tc>
        <w:tc>
          <w:tcPr>
            <w:tcW w:type="dxa" w:w="1417"/>
            <w:shd w:fill="FFFFFF" w:val="clear"/>
          </w:tcPr>
          <w:p>
            <w:r>
              <w:rPr>
                <w:sz w:val="16"/>
              </w:rPr>
              <w:t>19,276</w:t>
            </w:r>
          </w:p>
        </w:tc>
        <w:tc>
          <w:tcPr>
            <w:tcW w:type="dxa" w:w="1134"/>
            <w:shd w:fill="FFC7CE" w:val="clear"/>
          </w:tcPr>
          <w:p>
            <w:r>
              <w:rPr>
                <w:b/>
                <w:color w:val="B40000"/>
                <w:sz w:val="16"/>
              </w:rPr>
              <w:t>-9.07%</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12,000</w:t>
            </w:r>
          </w:p>
        </w:tc>
        <w:tc>
          <w:tcPr>
            <w:tcW w:type="dxa" w:w="1417"/>
            <w:shd w:fill="FFFFFF" w:val="clear"/>
          </w:tcPr>
          <w:p>
            <w:r>
              <w:rPr>
                <w:sz w:val="16"/>
              </w:rPr>
              <w:t>10,895</w:t>
            </w:r>
          </w:p>
        </w:tc>
        <w:tc>
          <w:tcPr>
            <w:tcW w:type="dxa" w:w="1134"/>
            <w:shd w:fill="FFC7CE" w:val="clear"/>
          </w:tcPr>
          <w:p>
            <w:r>
              <w:rPr>
                <w:b/>
                <w:color w:val="B40000"/>
                <w:sz w:val="16"/>
              </w:rPr>
              <w:t>-9.21%</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1,550</w:t>
            </w:r>
          </w:p>
        </w:tc>
        <w:tc>
          <w:tcPr>
            <w:tcW w:type="dxa" w:w="1417"/>
            <w:shd w:fill="FFFFFF" w:val="clear"/>
          </w:tcPr>
          <w:p>
            <w:r>
              <w:rPr>
                <w:sz w:val="16"/>
              </w:rPr>
              <w:t>1,387</w:t>
            </w:r>
          </w:p>
        </w:tc>
        <w:tc>
          <w:tcPr>
            <w:tcW w:type="dxa" w:w="1134"/>
            <w:shd w:fill="FFC7CE" w:val="clear"/>
          </w:tcPr>
          <w:p>
            <w:r>
              <w:rPr>
                <w:b/>
                <w:color w:val="B40000"/>
                <w:sz w:val="16"/>
              </w:rPr>
              <w:t>-10.51%</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3,850</w:t>
            </w:r>
          </w:p>
        </w:tc>
        <w:tc>
          <w:tcPr>
            <w:tcW w:type="dxa" w:w="1417"/>
            <w:shd w:fill="FFFFFF" w:val="clear"/>
          </w:tcPr>
          <w:p>
            <w:r>
              <w:rPr>
                <w:sz w:val="16"/>
              </w:rPr>
              <w:t>3,284</w:t>
            </w:r>
          </w:p>
        </w:tc>
        <w:tc>
          <w:tcPr>
            <w:tcW w:type="dxa" w:w="1134"/>
            <w:shd w:fill="FFC7CE" w:val="clear"/>
          </w:tcPr>
          <w:p>
            <w:r>
              <w:rPr>
                <w:b/>
                <w:color w:val="B40000"/>
                <w:sz w:val="16"/>
              </w:rPr>
              <w:t>-14.71%</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8,000</w:t>
            </w:r>
          </w:p>
        </w:tc>
        <w:tc>
          <w:tcPr>
            <w:tcW w:type="dxa" w:w="1417"/>
            <w:shd w:fill="FFFFFF" w:val="clear"/>
          </w:tcPr>
          <w:p>
            <w:r>
              <w:rPr>
                <w:sz w:val="16"/>
              </w:rPr>
              <w:t>6,800</w:t>
            </w:r>
          </w:p>
        </w:tc>
        <w:tc>
          <w:tcPr>
            <w:tcW w:type="dxa" w:w="1134"/>
            <w:shd w:fill="FFC7CE" w:val="clear"/>
          </w:tcPr>
          <w:p>
            <w:r>
              <w:rPr>
                <w:b/>
                <w:color w:val="B40000"/>
                <w:sz w:val="16"/>
              </w:rPr>
              <w:t>-15.00%</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1,765</w:t>
            </w:r>
          </w:p>
        </w:tc>
        <w:tc>
          <w:tcPr>
            <w:tcW w:type="dxa" w:w="1417"/>
            <w:shd w:fill="FFFFFF" w:val="clear"/>
          </w:tcPr>
          <w:p>
            <w:r>
              <w:rPr>
                <w:sz w:val="16"/>
              </w:rPr>
              <w:t>1,487</w:t>
            </w:r>
          </w:p>
        </w:tc>
        <w:tc>
          <w:tcPr>
            <w:tcW w:type="dxa" w:w="1134"/>
            <w:shd w:fill="FFC7CE" w:val="clear"/>
          </w:tcPr>
          <w:p>
            <w:r>
              <w:rPr>
                <w:b/>
                <w:color w:val="B40000"/>
                <w:sz w:val="16"/>
              </w:rPr>
              <w:t>-15.76%</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3,600</w:t>
            </w:r>
          </w:p>
        </w:tc>
        <w:tc>
          <w:tcPr>
            <w:tcW w:type="dxa" w:w="1417"/>
            <w:shd w:fill="FFFFFF" w:val="clear"/>
          </w:tcPr>
          <w:p>
            <w:r>
              <w:rPr>
                <w:sz w:val="16"/>
              </w:rPr>
              <w:t>3,013</w:t>
            </w:r>
          </w:p>
        </w:tc>
        <w:tc>
          <w:tcPr>
            <w:tcW w:type="dxa" w:w="1134"/>
            <w:shd w:fill="FFC7CE" w:val="clear"/>
          </w:tcPr>
          <w:p>
            <w:r>
              <w:rPr>
                <w:b/>
                <w:color w:val="B40000"/>
                <w:sz w:val="16"/>
              </w:rPr>
              <w:t>-16.30%</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6,550</w:t>
            </w:r>
          </w:p>
        </w:tc>
        <w:tc>
          <w:tcPr>
            <w:tcW w:type="dxa" w:w="1417"/>
            <w:shd w:fill="FFFFFF" w:val="clear"/>
          </w:tcPr>
          <w:p>
            <w:r>
              <w:rPr>
                <w:sz w:val="16"/>
              </w:rPr>
              <w:t>5,458</w:t>
            </w:r>
          </w:p>
        </w:tc>
        <w:tc>
          <w:tcPr>
            <w:tcW w:type="dxa" w:w="1134"/>
            <w:shd w:fill="FFC7CE" w:val="clear"/>
          </w:tcPr>
          <w:p>
            <w:r>
              <w:rPr>
                <w:b/>
                <w:color w:val="B40000"/>
                <w:sz w:val="16"/>
              </w:rPr>
              <w:t>-16.67%</w:t>
            </w:r>
          </w:p>
        </w:tc>
        <w:tc>
          <w:tcPr>
            <w:tcW w:type="dxa" w:w="1134"/>
            <w:shd w:fill="FFEB9C" w:val="clear"/>
          </w:tcPr>
          <w:p>
            <w:r>
              <w:rPr>
                <w:sz w:val="16"/>
              </w:rPr>
              <w:t>Moyenne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8,500</w:t>
            </w:r>
          </w:p>
        </w:tc>
        <w:tc>
          <w:tcPr>
            <w:tcW w:type="dxa" w:w="1417"/>
            <w:shd w:fill="FFFFFF" w:val="clear"/>
          </w:tcPr>
          <w:p>
            <w:r>
              <w:rPr>
                <w:sz w:val="16"/>
              </w:rPr>
              <w:t>7,064</w:t>
            </w:r>
          </w:p>
        </w:tc>
        <w:tc>
          <w:tcPr>
            <w:tcW w:type="dxa" w:w="1134"/>
            <w:shd w:fill="FFC7CE" w:val="clear"/>
          </w:tcPr>
          <w:p>
            <w:r>
              <w:rPr>
                <w:b/>
                <w:color w:val="B40000"/>
                <w:sz w:val="16"/>
              </w:rPr>
              <w:t>-16.90%</w:t>
            </w:r>
          </w:p>
        </w:tc>
        <w:tc>
          <w:tcPr>
            <w:tcW w:type="dxa" w:w="1134"/>
            <w:shd w:fill="FFEB9C" w:val="clear"/>
          </w:tcPr>
          <w:p>
            <w:r>
              <w:rPr>
                <w:sz w:val="16"/>
              </w:rPr>
              <w:t>Moyenne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9,990</w:t>
            </w:r>
          </w:p>
        </w:tc>
        <w:tc>
          <w:tcPr>
            <w:tcW w:type="dxa" w:w="1417"/>
            <w:shd w:fill="FFFFFF" w:val="clear"/>
          </w:tcPr>
          <w:p>
            <w:r>
              <w:rPr>
                <w:sz w:val="16"/>
              </w:rPr>
              <w:t>8,209</w:t>
            </w:r>
          </w:p>
        </w:tc>
        <w:tc>
          <w:tcPr>
            <w:tcW w:type="dxa" w:w="1134"/>
            <w:shd w:fill="FFC7CE" w:val="clear"/>
          </w:tcPr>
          <w:p>
            <w:r>
              <w:rPr>
                <w:b/>
                <w:color w:val="B40000"/>
                <w:sz w:val="16"/>
              </w:rPr>
              <w:t>-17.83%</w:t>
            </w:r>
          </w:p>
        </w:tc>
        <w:tc>
          <w:tcPr>
            <w:tcW w:type="dxa" w:w="1134"/>
            <w:shd w:fill="FFEB9C" w:val="clear"/>
          </w:tcPr>
          <w:p>
            <w:r>
              <w:rPr>
                <w:sz w:val="16"/>
              </w:rPr>
              <w:t>Moyenne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9,100</w:t>
            </w:r>
          </w:p>
        </w:tc>
        <w:tc>
          <w:tcPr>
            <w:tcW w:type="dxa" w:w="1417"/>
            <w:shd w:fill="FFFFFF" w:val="clear"/>
          </w:tcPr>
          <w:p>
            <w:r>
              <w:rPr>
                <w:sz w:val="16"/>
              </w:rPr>
              <w:t>7,190</w:t>
            </w:r>
          </w:p>
        </w:tc>
        <w:tc>
          <w:tcPr>
            <w:tcW w:type="dxa" w:w="1134"/>
            <w:shd w:fill="FFC7CE" w:val="clear"/>
          </w:tcPr>
          <w:p>
            <w:r>
              <w:rPr>
                <w:b/>
                <w:color w:val="B40000"/>
                <w:sz w:val="16"/>
              </w:rPr>
              <w:t>-20.99%</w:t>
            </w:r>
          </w:p>
        </w:tc>
        <w:tc>
          <w:tcPr>
            <w:tcW w:type="dxa" w:w="1134"/>
            <w:shd w:fill="FFEB9C" w:val="clear"/>
          </w:tcPr>
          <w:p>
            <w:r>
              <w:rPr>
                <w:sz w:val="16"/>
              </w:rPr>
              <w:t>Moyenne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8,005</w:t>
            </w:r>
          </w:p>
        </w:tc>
        <w:tc>
          <w:tcPr>
            <w:tcW w:type="dxa" w:w="1417"/>
            <w:shd w:fill="FFFFFF" w:val="clear"/>
          </w:tcPr>
          <w:p>
            <w:r>
              <w:rPr>
                <w:sz w:val="16"/>
              </w:rPr>
              <w:t>6,261</w:t>
            </w:r>
          </w:p>
        </w:tc>
        <w:tc>
          <w:tcPr>
            <w:tcW w:type="dxa" w:w="1134"/>
            <w:shd w:fill="FFC7CE" w:val="clear"/>
          </w:tcPr>
          <w:p>
            <w:r>
              <w:rPr>
                <w:b/>
                <w:color w:val="B40000"/>
                <w:sz w:val="16"/>
              </w:rPr>
              <w:t>-21.78%</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2,380</w:t>
            </w:r>
          </w:p>
        </w:tc>
        <w:tc>
          <w:tcPr>
            <w:tcW w:type="dxa" w:w="1417"/>
            <w:shd w:fill="FFFFFF" w:val="clear"/>
          </w:tcPr>
          <w:p>
            <w:r>
              <w:rPr>
                <w:sz w:val="16"/>
              </w:rPr>
              <w:t>1,832</w:t>
            </w:r>
          </w:p>
        </w:tc>
        <w:tc>
          <w:tcPr>
            <w:tcW w:type="dxa" w:w="1134"/>
            <w:shd w:fill="FFC7CE" w:val="clear"/>
          </w:tcPr>
          <w:p>
            <w:r>
              <w:rPr>
                <w:b/>
                <w:color w:val="B40000"/>
                <w:sz w:val="16"/>
              </w:rPr>
              <w:t>-23.04%</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2,480</w:t>
            </w:r>
          </w:p>
        </w:tc>
        <w:tc>
          <w:tcPr>
            <w:tcW w:type="dxa" w:w="1417"/>
            <w:shd w:fill="FFFFFF" w:val="clear"/>
          </w:tcPr>
          <w:p>
            <w:r>
              <w:rPr>
                <w:sz w:val="16"/>
              </w:rPr>
              <w:t>1,704</w:t>
            </w:r>
          </w:p>
        </w:tc>
        <w:tc>
          <w:tcPr>
            <w:tcW w:type="dxa" w:w="1134"/>
            <w:shd w:fill="FFC7CE" w:val="clear"/>
          </w:tcPr>
          <w:p>
            <w:r>
              <w:rPr>
                <w:b/>
                <w:color w:val="B40000"/>
                <w:sz w:val="16"/>
              </w:rPr>
              <w:t>-31.27%</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12,985</w:t>
            </w:r>
          </w:p>
        </w:tc>
        <w:tc>
          <w:tcPr>
            <w:tcW w:type="dxa" w:w="1417"/>
            <w:shd w:fill="FFFFFF" w:val="clear"/>
          </w:tcPr>
          <w:p>
            <w:r>
              <w:rPr>
                <w:sz w:val="16"/>
              </w:rPr>
              <w:t>8,837</w:t>
            </w:r>
          </w:p>
        </w:tc>
        <w:tc>
          <w:tcPr>
            <w:tcW w:type="dxa" w:w="1134"/>
            <w:shd w:fill="FFC7CE" w:val="clear"/>
          </w:tcPr>
          <w:p>
            <w:r>
              <w:rPr>
                <w:b/>
                <w:color w:val="B40000"/>
                <w:sz w:val="16"/>
              </w:rPr>
              <w:t>-31.94%</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8,495</w:t>
            </w:r>
          </w:p>
        </w:tc>
        <w:tc>
          <w:tcPr>
            <w:tcW w:type="dxa" w:w="1417"/>
            <w:shd w:fill="FFFFFF" w:val="clear"/>
          </w:tcPr>
          <w:p>
            <w:r>
              <w:rPr>
                <w:sz w:val="16"/>
              </w:rPr>
              <w:t>5,505</w:t>
            </w:r>
          </w:p>
        </w:tc>
        <w:tc>
          <w:tcPr>
            <w:tcW w:type="dxa" w:w="1134"/>
            <w:shd w:fill="FFC7CE" w:val="clear"/>
          </w:tcPr>
          <w:p>
            <w:r>
              <w:rPr>
                <w:b/>
                <w:color w:val="B40000"/>
                <w:sz w:val="16"/>
              </w:rPr>
              <w:t>-35.20%</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2,595</w:t>
            </w:r>
          </w:p>
        </w:tc>
        <w:tc>
          <w:tcPr>
            <w:tcW w:type="dxa" w:w="1417"/>
            <w:shd w:fill="FFFFFF" w:val="clear"/>
          </w:tcPr>
          <w:p>
            <w:r>
              <w:rPr>
                <w:sz w:val="16"/>
              </w:rPr>
              <w:t>1,599</w:t>
            </w:r>
          </w:p>
        </w:tc>
        <w:tc>
          <w:tcPr>
            <w:tcW w:type="dxa" w:w="1134"/>
            <w:shd w:fill="FFC7CE" w:val="clear"/>
          </w:tcPr>
          <w:p>
            <w:r>
              <w:rPr>
                <w:b/>
                <w:color w:val="B40000"/>
                <w:sz w:val="16"/>
              </w:rPr>
              <w:t>-38.39%</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29,000</w:t>
            </w:r>
          </w:p>
        </w:tc>
        <w:tc>
          <w:tcPr>
            <w:tcW w:type="dxa" w:w="1417"/>
            <w:shd w:fill="FFFFFF" w:val="clear"/>
          </w:tcPr>
          <w:p>
            <w:r>
              <w:rPr>
                <w:sz w:val="16"/>
              </w:rPr>
              <w:t>17,431</w:t>
            </w:r>
          </w:p>
        </w:tc>
        <w:tc>
          <w:tcPr>
            <w:tcW w:type="dxa" w:w="1134"/>
            <w:shd w:fill="FFC7CE" w:val="clear"/>
          </w:tcPr>
          <w:p>
            <w:r>
              <w:rPr>
                <w:b/>
                <w:color w:val="B40000"/>
                <w:sz w:val="16"/>
              </w:rPr>
              <w:t>-39.89%</w:t>
            </w:r>
          </w:p>
        </w:tc>
        <w:tc>
          <w:tcPr>
            <w:tcW w:type="dxa" w:w="1134"/>
            <w:shd w:fill="FFEB9C" w:val="clear"/>
          </w:tcPr>
          <w:p>
            <w:r>
              <w:rPr>
                <w:sz w:val="16"/>
              </w:rPr>
              <w:t>Moyenne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2,500</w:t>
            </w:r>
          </w:p>
        </w:tc>
        <w:tc>
          <w:tcPr>
            <w:tcW w:type="dxa" w:w="1417"/>
            <w:shd w:fill="FFFFFF" w:val="clear"/>
          </w:tcPr>
          <w:p>
            <w:r>
              <w:rPr>
                <w:sz w:val="16"/>
              </w:rPr>
              <w:t>1,419</w:t>
            </w:r>
          </w:p>
        </w:tc>
        <w:tc>
          <w:tcPr>
            <w:tcW w:type="dxa" w:w="1134"/>
            <w:shd w:fill="FFC7CE" w:val="clear"/>
          </w:tcPr>
          <w:p>
            <w:r>
              <w:rPr>
                <w:b/>
                <w:color w:val="B40000"/>
                <w:sz w:val="16"/>
              </w:rPr>
              <w:t>-43.26%</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6,970</w:t>
            </w:r>
          </w:p>
        </w:tc>
        <w:tc>
          <w:tcPr>
            <w:tcW w:type="dxa" w:w="1417"/>
            <w:shd w:fill="FFFFFF" w:val="clear"/>
          </w:tcPr>
          <w:p>
            <w:r>
              <w:rPr>
                <w:sz w:val="16"/>
              </w:rPr>
              <w:t>3,275</w:t>
            </w:r>
          </w:p>
        </w:tc>
        <w:tc>
          <w:tcPr>
            <w:tcW w:type="dxa" w:w="1134"/>
            <w:shd w:fill="FFC7CE" w:val="clear"/>
          </w:tcPr>
          <w:p>
            <w:r>
              <w:rPr>
                <w:b/>
                <w:color w:val="B40000"/>
                <w:sz w:val="16"/>
              </w:rPr>
              <w:t>-53.02%</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67</w:t>
            </w:r>
          </w:p>
        </w:tc>
        <w:tc>
          <w:tcPr>
            <w:tcW w:type="dxa" w:w="1417"/>
            <w:shd w:fill="FFFFFF" w:val="clear"/>
          </w:tcPr>
          <w:p>
            <w:r>
              <w:rPr>
                <w:sz w:val="16"/>
              </w:rPr>
              <w:t>31</w:t>
            </w:r>
          </w:p>
        </w:tc>
        <w:tc>
          <w:tcPr>
            <w:tcW w:type="dxa" w:w="1134"/>
            <w:shd w:fill="FFC7CE" w:val="clear"/>
          </w:tcPr>
          <w:p>
            <w:r>
              <w:rPr>
                <w:b/>
                <w:color w:val="B40000"/>
                <w:sz w:val="16"/>
              </w:rPr>
              <w:t>-54.13%</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3,360</w:t>
            </w:r>
          </w:p>
        </w:tc>
        <w:tc>
          <w:tcPr>
            <w:tcW w:type="dxa" w:w="1417"/>
            <w:shd w:fill="FFFFFF" w:val="clear"/>
          </w:tcPr>
          <w:p>
            <w:r>
              <w:rPr>
                <w:sz w:val="16"/>
              </w:rPr>
              <w:t>1,541</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5,800</w:t>
            </w:r>
          </w:p>
        </w:tc>
        <w:tc>
          <w:tcPr>
            <w:tcW w:type="dxa" w:w="1417"/>
            <w:shd w:fill="FFFFFF" w:val="clear"/>
          </w:tcPr>
          <w:p>
            <w:r>
              <w:rPr>
                <w:sz w:val="16"/>
              </w:rPr>
              <w:t>2,660</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39.28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3,238 titres</w:t>
            </w:r>
          </w:p>
        </w:tc>
        <w:tc>
          <w:tcPr>
            <w:tcW w:type="dxa" w:w="2268"/>
            <w:shd w:fill="FFF2CC" w:val="clear"/>
          </w:tcPr>
          <w:p>
            <w:r>
              <w:rPr>
                <w:b/>
                <w:color w:val="503200"/>
                <w:sz w:val="16"/>
              </w:rPr>
              <w:t xml:space="preserve">Cours actuel : </w:t>
            </w:r>
            <w:r>
              <w:rPr>
                <w:color w:val="000000"/>
                <w:sz w:val="17"/>
              </w:rPr>
              <w:t>3,600 FCFA</w:t>
            </w:r>
          </w:p>
          <w:p>
            <w:r>
              <w:rPr>
                <w:b/>
                <w:color w:val="503200"/>
                <w:sz w:val="16"/>
              </w:rPr>
              <w:t xml:space="preserve">Var. 100 jours : </w:t>
            </w:r>
            <w:r>
              <w:rPr>
                <w:b/>
                <w:color w:val="B40000"/>
                <w:sz w:val="17"/>
              </w:rPr>
              <w:t>-2.44%</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49.3%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7.23% (Moyenne) — μ=3,209 FCFA, σ=232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β=0.3134 (Défensif) — Cov=0.000011, Var(idx)=0.000034, ρ=0.059,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3,238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Vente=4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σ_j=3.10%/j (Modérée) — Vol. annualisée≈49.3%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2026-08-27</w:t>
            </w:r>
          </w:p>
        </w:tc>
        <w:tc>
          <w:tcPr>
            <w:tcW w:type="dxa" w:w="1440"/>
            <w:shd w:fill="FFDCE0" w:val="clear"/>
          </w:tcPr>
          <w:p>
            <w:r>
              <w:rPr>
                <w:sz w:val="17"/>
              </w:rPr>
              <w:t>3,157</w:t>
            </w:r>
          </w:p>
        </w:tc>
        <w:tc>
          <w:tcPr>
            <w:tcW w:type="dxa" w:w="1440"/>
            <w:shd w:fill="FFDCE0" w:val="clear"/>
          </w:tcPr>
          <w:p>
            <w:r>
              <w:rPr>
                <w:b/>
                <w:sz w:val="17"/>
              </w:rPr>
              <w:t>3,411</w:t>
            </w:r>
          </w:p>
        </w:tc>
        <w:tc>
          <w:tcPr>
            <w:tcW w:type="dxa" w:w="1440"/>
            <w:shd w:fill="FFDCE0" w:val="clear"/>
          </w:tcPr>
          <w:p>
            <w:r>
              <w:rPr>
                <w:sz w:val="17"/>
              </w:rPr>
              <w:t>3,665</w:t>
            </w:r>
          </w:p>
        </w:tc>
        <w:tc>
          <w:tcPr>
            <w:tcW w:type="dxa" w:w="1440"/>
            <w:shd w:fill="FFDCE0" w:val="clear"/>
          </w:tcPr>
          <w:p>
            <w:r>
              <w:rPr>
                <w:b/>
                <w:color w:val="C00000"/>
                <w:sz w:val="17"/>
              </w:rPr>
              <w:t>-5.2%</w:t>
            </w:r>
          </w:p>
        </w:tc>
      </w:tr>
      <w:tr>
        <w:tc>
          <w:tcPr>
            <w:tcW w:type="dxa" w:w="1440"/>
            <w:shd w:fill="FFDCE0" w:val="clear"/>
          </w:tcPr>
          <w:p>
            <w:r>
              <w:rPr>
                <w:sz w:val="17"/>
              </w:rPr>
              <w:t>J+2  Moyenne</w:t>
            </w:r>
          </w:p>
        </w:tc>
        <w:tc>
          <w:tcPr>
            <w:tcW w:type="dxa" w:w="1440"/>
            <w:shd w:fill="FFDCE0" w:val="clear"/>
          </w:tcPr>
          <w:p>
            <w:r>
              <w:rPr>
                <w:sz w:val="17"/>
              </w:rPr>
              <w:t>2026-08-28</w:t>
            </w:r>
          </w:p>
        </w:tc>
        <w:tc>
          <w:tcPr>
            <w:tcW w:type="dxa" w:w="1440"/>
            <w:shd w:fill="FFDCE0" w:val="clear"/>
          </w:tcPr>
          <w:p>
            <w:r>
              <w:rPr>
                <w:sz w:val="17"/>
              </w:rPr>
              <w:t>3,034</w:t>
            </w:r>
          </w:p>
        </w:tc>
        <w:tc>
          <w:tcPr>
            <w:tcW w:type="dxa" w:w="1440"/>
            <w:shd w:fill="FFDCE0" w:val="clear"/>
          </w:tcPr>
          <w:p>
            <w:r>
              <w:rPr>
                <w:b/>
                <w:sz w:val="17"/>
              </w:rPr>
              <w:t>3,339</w:t>
            </w:r>
          </w:p>
        </w:tc>
        <w:tc>
          <w:tcPr>
            <w:tcW w:type="dxa" w:w="1440"/>
            <w:shd w:fill="FFDCE0" w:val="clear"/>
          </w:tcPr>
          <w:p>
            <w:r>
              <w:rPr>
                <w:sz w:val="17"/>
              </w:rPr>
              <w:t>3,643</w:t>
            </w:r>
          </w:p>
        </w:tc>
        <w:tc>
          <w:tcPr>
            <w:tcW w:type="dxa" w:w="1440"/>
            <w:shd w:fill="FFDCE0" w:val="clear"/>
          </w:tcPr>
          <w:p>
            <w:r>
              <w:rPr>
                <w:b/>
                <w:color w:val="C00000"/>
                <w:sz w:val="17"/>
              </w:rPr>
              <w:t>-7.3%</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2,932</w:t>
            </w:r>
          </w:p>
        </w:tc>
        <w:tc>
          <w:tcPr>
            <w:tcW w:type="dxa" w:w="1440"/>
            <w:shd w:fill="FFDCE0" w:val="clear"/>
          </w:tcPr>
          <w:p>
            <w:r>
              <w:rPr>
                <w:b/>
                <w:sz w:val="17"/>
              </w:rPr>
              <w:t>3,277</w:t>
            </w:r>
          </w:p>
        </w:tc>
        <w:tc>
          <w:tcPr>
            <w:tcW w:type="dxa" w:w="1440"/>
            <w:shd w:fill="FFDCE0" w:val="clear"/>
          </w:tcPr>
          <w:p>
            <w:r>
              <w:rPr>
                <w:sz w:val="17"/>
              </w:rPr>
              <w:t>3,622</w:t>
            </w:r>
          </w:p>
        </w:tc>
        <w:tc>
          <w:tcPr>
            <w:tcW w:type="dxa" w:w="1440"/>
            <w:shd w:fill="FFDCE0" w:val="clear"/>
          </w:tcPr>
          <w:p>
            <w:r>
              <w:rPr>
                <w:b/>
                <w:color w:val="C00000"/>
                <w:sz w:val="17"/>
              </w:rPr>
              <w:t>-9.0%</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2,845</w:t>
            </w:r>
          </w:p>
        </w:tc>
        <w:tc>
          <w:tcPr>
            <w:tcW w:type="dxa" w:w="1440"/>
            <w:shd w:fill="FFDCE0" w:val="clear"/>
          </w:tcPr>
          <w:p>
            <w:r>
              <w:rPr>
                <w:b/>
                <w:sz w:val="17"/>
              </w:rPr>
              <w:t>3,224</w:t>
            </w:r>
          </w:p>
        </w:tc>
        <w:tc>
          <w:tcPr>
            <w:tcW w:type="dxa" w:w="1440"/>
            <w:shd w:fill="FFDCE0" w:val="clear"/>
          </w:tcPr>
          <w:p>
            <w:r>
              <w:rPr>
                <w:sz w:val="17"/>
              </w:rPr>
              <w:t>3,604</w:t>
            </w:r>
          </w:p>
        </w:tc>
        <w:tc>
          <w:tcPr>
            <w:tcW w:type="dxa" w:w="1440"/>
            <w:shd w:fill="FFDCE0" w:val="clear"/>
          </w:tcPr>
          <w:p>
            <w:r>
              <w:rPr>
                <w:b/>
                <w:color w:val="C00000"/>
                <w:sz w:val="17"/>
              </w:rPr>
              <w:t>-10.4%</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2,767</w:t>
            </w:r>
          </w:p>
        </w:tc>
        <w:tc>
          <w:tcPr>
            <w:tcW w:type="dxa" w:w="1440"/>
            <w:shd w:fill="FFDCE0" w:val="clear"/>
          </w:tcPr>
          <w:p>
            <w:r>
              <w:rPr>
                <w:b/>
                <w:sz w:val="17"/>
              </w:rPr>
              <w:t>3,177</w:t>
            </w:r>
          </w:p>
        </w:tc>
        <w:tc>
          <w:tcPr>
            <w:tcW w:type="dxa" w:w="1440"/>
            <w:shd w:fill="FFDCE0" w:val="clear"/>
          </w:tcPr>
          <w:p>
            <w:r>
              <w:rPr>
                <w:sz w:val="17"/>
              </w:rPr>
              <w:t>3,587</w:t>
            </w:r>
          </w:p>
        </w:tc>
        <w:tc>
          <w:tcPr>
            <w:tcW w:type="dxa" w:w="1440"/>
            <w:shd w:fill="FFDCE0" w:val="clear"/>
          </w:tcPr>
          <w:p>
            <w:r>
              <w:rPr>
                <w:b/>
                <w:color w:val="C00000"/>
                <w:sz w:val="17"/>
              </w:rPr>
              <w:t>-11.8%</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2,696</w:t>
            </w:r>
          </w:p>
        </w:tc>
        <w:tc>
          <w:tcPr>
            <w:tcW w:type="dxa" w:w="1440"/>
            <w:shd w:fill="FFDCE0" w:val="clear"/>
          </w:tcPr>
          <w:p>
            <w:r>
              <w:rPr>
                <w:b/>
                <w:sz w:val="17"/>
              </w:rPr>
              <w:t>3,132</w:t>
            </w:r>
          </w:p>
        </w:tc>
        <w:tc>
          <w:tcPr>
            <w:tcW w:type="dxa" w:w="1440"/>
            <w:shd w:fill="FFDCE0" w:val="clear"/>
          </w:tcPr>
          <w:p>
            <w:r>
              <w:rPr>
                <w:sz w:val="17"/>
              </w:rPr>
              <w:t>3,569</w:t>
            </w:r>
          </w:p>
        </w:tc>
        <w:tc>
          <w:tcPr>
            <w:tcW w:type="dxa" w:w="1440"/>
            <w:shd w:fill="FFDCE0" w:val="clear"/>
          </w:tcPr>
          <w:p>
            <w:r>
              <w:rPr>
                <w:b/>
                <w:color w:val="C00000"/>
                <w:sz w:val="17"/>
              </w:rPr>
              <w:t>-13.0%</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2,630</w:t>
            </w:r>
          </w:p>
        </w:tc>
        <w:tc>
          <w:tcPr>
            <w:tcW w:type="dxa" w:w="1440"/>
            <w:shd w:fill="FFDCE0" w:val="clear"/>
          </w:tcPr>
          <w:p>
            <w:r>
              <w:rPr>
                <w:b/>
                <w:sz w:val="17"/>
              </w:rPr>
              <w:t>3,090</w:t>
            </w:r>
          </w:p>
        </w:tc>
        <w:tc>
          <w:tcPr>
            <w:tcW w:type="dxa" w:w="1440"/>
            <w:shd w:fill="FFDCE0" w:val="clear"/>
          </w:tcPr>
          <w:p>
            <w:r>
              <w:rPr>
                <w:sz w:val="17"/>
              </w:rPr>
              <w:t>3,551</w:t>
            </w:r>
          </w:p>
        </w:tc>
        <w:tc>
          <w:tcPr>
            <w:tcW w:type="dxa" w:w="1440"/>
            <w:shd w:fill="FFDCE0" w:val="clear"/>
          </w:tcPr>
          <w:p>
            <w:r>
              <w:rPr>
                <w:b/>
                <w:color w:val="C00000"/>
                <w:sz w:val="17"/>
              </w:rPr>
              <w:t>-14.2%</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2,569</w:t>
            </w:r>
          </w:p>
        </w:tc>
        <w:tc>
          <w:tcPr>
            <w:tcW w:type="dxa" w:w="1440"/>
            <w:shd w:fill="FFDCE0" w:val="clear"/>
          </w:tcPr>
          <w:p>
            <w:r>
              <w:rPr>
                <w:b/>
                <w:sz w:val="17"/>
              </w:rPr>
              <w:t>3,051</w:t>
            </w:r>
          </w:p>
        </w:tc>
        <w:tc>
          <w:tcPr>
            <w:tcW w:type="dxa" w:w="1440"/>
            <w:shd w:fill="FFDCE0" w:val="clear"/>
          </w:tcPr>
          <w:p>
            <w:r>
              <w:rPr>
                <w:sz w:val="17"/>
              </w:rPr>
              <w:t>3,533</w:t>
            </w:r>
          </w:p>
        </w:tc>
        <w:tc>
          <w:tcPr>
            <w:tcW w:type="dxa" w:w="1440"/>
            <w:shd w:fill="FFDCE0" w:val="clear"/>
          </w:tcPr>
          <w:p>
            <w:r>
              <w:rPr>
                <w:b/>
                <w:color w:val="C00000"/>
                <w:sz w:val="17"/>
              </w:rPr>
              <w:t>-15.3%</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2,511</w:t>
            </w:r>
          </w:p>
        </w:tc>
        <w:tc>
          <w:tcPr>
            <w:tcW w:type="dxa" w:w="1440"/>
            <w:shd w:fill="FFDCE0" w:val="clear"/>
          </w:tcPr>
          <w:p>
            <w:r>
              <w:rPr>
                <w:b/>
                <w:sz w:val="17"/>
              </w:rPr>
              <w:t>3,013</w:t>
            </w:r>
          </w:p>
        </w:tc>
        <w:tc>
          <w:tcPr>
            <w:tcW w:type="dxa" w:w="1440"/>
            <w:shd w:fill="FFDCE0" w:val="clear"/>
          </w:tcPr>
          <w:p>
            <w:r>
              <w:rPr>
                <w:sz w:val="17"/>
              </w:rPr>
              <w:t>3,515</w:t>
            </w:r>
          </w:p>
        </w:tc>
        <w:tc>
          <w:tcPr>
            <w:tcW w:type="dxa" w:w="1440"/>
            <w:shd w:fill="FFDCE0" w:val="clear"/>
          </w:tcPr>
          <w:p>
            <w:r>
              <w:rPr>
                <w:b/>
                <w:color w:val="C00000"/>
                <w:sz w:val="17"/>
              </w:rPr>
              <w:t>-16.3%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ABJC (SERVAIR ABIDJAN)**</w:t>
        <w:br/>
        <w:t>**Date de l'analyse : 26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d'ABJC s'établit à 39,28 milliards FCFA, un niveau significatif qui la positionne comme une valeur de taille moyenne sur la BRVM. Le BPA de 124 FCFA indique que chaque action génère un bénéfice modeste, ce qui, rapporté au cours actuel de 3 600 FCFA, conduit à un PER de 29,1x. Ce ratio est très largement supérieur à la moyenne historique de la BRVM (8-12x), signalant une décote sévère ou, plus probablement, des attentes de croissance élevées de la part du marché, voire une surévaluation. Le P/B de 7,61x confirme cette lecture : le marché valorise l'action près de huit fois sa valeur comptable, une prime considérable qui reflète des anticipations de rentabilité future très optimistes. Enfin, l'EV/EBITDA de 14,9x, dans le haut de la fourchette usuelle, indique que la valeur d'entreprise est élevée par rapport à sa capacité opérationnelle, renforçant l'idée d'une valorisation exigeante qui laisse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ABJC affiche une variation totale de -2,44%, mais a enregistré un rebond spectaculaire de +7,46% lors de la dernière séance, clôturant à 3 600 FCFA. Le titre a évolué dans une fourchette de 2 800 à 3 780 FCFA, démontrant une amplitude de trading importante. La moyenne du cours sur la période est de 3 209 FCFA, proche de la médiane (3 182 FCFA), ce qui indique une distribution relativement symétrique, confirmée par un skewness de 0,297. L'écart-type de 233 FCFA (CV=7,3%) révèle une dispersion modérée autour de la moyenne. Le kurtosis de -0,669 (mésokurtique) suggère une absence de pics extrêmes, avec une distribution proche de la normale. La volatilité annualisée de 49,3% est très élevée (&gt;30%), classant ABJC comme un titre à fort risque, sujet à des mouvements de prix amples et rapides, comme en témoigne le récent bond de 7,46%.</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(3 600 FCFA) est nettement supérieur à la MM20 (3 157,75 FCFA) et à la MM50 (3 200,2 FCFA). Bien que le prix soit au-dessus des moyennes, la décision est "Vente", probablement en raison d'un écart excessif qui suggère une correction imminente ou une configuration de retour à la moyenne.</w:t>
      </w:r>
    </w:p>
    <w:p>
      <w:pPr>
        <w:spacing w:after="120" w:line="276" w:lineRule="auto"/>
      </w:pPr>
      <w:r>
        <w:t>**Bandes de Bollinger** : Le prix (3 600 FCFA) a franchi la borne supérieure (3 545,61 FCFA), indiquant une condition de surachat extrême. Cette sortie de bande, couplée à une volatilité élevée, signale un mouvement de prix excessif qui pourrait ne pas être durable, justifiant la décision de "Vente".</w:t>
      </w:r>
    </w:p>
    <w:p>
      <w:pPr>
        <w:spacing w:after="120" w:line="276" w:lineRule="auto"/>
      </w:pPr>
      <w:r>
        <w:t>**MACD** : Le MACD (91,54) est nettement au-dessus de son signal (39,62), affichant un momentum haussier très fort. Cette configuration positive suggère une dynamique d'achat soutenue, ce qui justifie la décision "Achat" malgré les signaux de surachat d'autres indicateurs.</w:t>
      </w:r>
    </w:p>
    <w:p>
      <w:pPr>
        <w:spacing w:after="120" w:line="276" w:lineRule="auto"/>
      </w:pPr>
      <w:r>
        <w:t>**RSI** : Le RSI est à 76,52, une valeur bien au-dessus du seuil de surachat (70). Cela indique que le titre est fortement suracheté et qu'un repli technique est probable à court terme, d'où la décision de "Vente".</w:t>
      </w:r>
    </w:p>
    <w:p>
      <w:pPr>
        <w:spacing w:after="120" w:line="276" w:lineRule="auto"/>
      </w:pPr>
      <w:r>
        <w:t>**Stochastique** : Le %K (100) et le %D (97,22) sont à des niveaux extrêmes de surachat. Le %K est à son maximum, indiquant une pression d'achat épuisée. Cette configuration signale un risque élevé de retournement baissier, justifiant la décision de "Vente".</w:t>
      </w:r>
    </w:p>
    <w:p>
      <w:pPr>
        <w:spacing w:after="120" w:line="276" w:lineRule="auto"/>
      </w:pPr>
      <w:r>
        <w:t>**Conclusion technique** : Les indicateurs de momentum (MACD) sont positifs, mais tous les oscillateurs de surachat (RSI, Stochastique, Bandes de Bollinger) sont à des extrêmes. La configuration technique est donc contradictoire, suggérant une forte probabilité de consolidation ou de correction à court terme après le récent pic, malgré la tendance de fond qui pourrait rester positive.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officielles, ABJC a réalisé un chiffre d'affaires de 13,298 milliards FCFA, en croissance de 6,7%. Le résultat net s'établit à 1,351 milliard FCFA, en baisse de 12,1% par rapport à 2024, principalement en raison d'une hausse de 46,7% de la charge d'impôt. La rentabilité reste excellente avec un ROE de 26,2% et un ROA de 14,6%. La structure financière est très saine : capitaux propres de 5,159 milliards FCFA (55,9% du bilan), une trésorerie massive de 4,035 milliards FCFA et un endettement financier quasi nul (65,89 millions FCFA). En tant qu'entreprise, les délais clients (70 jours) et fournisseurs (92 jours) sont bien gérés, et le BFR est faible (257 millions FCFA). Les rapports trimestriels de 2025 montrent une année en dents de scie : un T1 difficile (résultat net -6,8% à 346 millions FCFA) affecté par un litige réglementaire, suivi d'un T3 en forte reprise (+17,1% à 1,325 milliards FCFA). Cependant, le rapport du T1 2026 (publié en 2026) est alarmant : malgré une croissance du CA de 1,9%, le résultat net a chuté de 35,6% à 222,6 millions FCFA, impacté par les ajustements de redevances aéroportuaires. Sur la base de ce T1 2026, on estime que l'exercice 2026 pourrait voir une contraction significative de la rentabilité, potentiellement autour de 1 milliard FCFA de résultat net, si la tendance se maintient. Les fondamentaux restent solides, mais la dynamique de croissance des bénéfices s'est inversée.</w:t>
      </w:r>
    </w:p>
    <w:p>
      <w:pPr>
        <w:spacing w:after="120" w:line="276" w:lineRule="auto"/>
      </w:pPr>
      <w:r>
        <w:t>---</w:t>
      </w:r>
    </w:p>
    <w:p>
      <w:pPr>
        <w:spacing w:after="120" w:line="276" w:lineRule="auto"/>
      </w:pPr>
      <w:r>
        <w:t>### PARTIE 4 : CONCLUSION D'INVESTISSEMENT</w:t>
      </w:r>
    </w:p>
    <w:p>
      <w:pPr>
        <w:spacing w:after="120" w:line="276" w:lineRule="auto"/>
      </w:pPr>
      <w:r>
        <w:t>La valorisation d'ABJC (PER 29,1x, P/B 7,61x) est extrêmement exigeante et ne reflète pas la dégradation récente de la rentabilité, signalant une surévaluation. Le comportement du cours, bien que volatil, montre une tendance baissière sur 100 jours, avec un rebond technique récent qui semble excessif. Les signaux techniques sont contradictoires, mais la majorité des indicateurs (RSI, Stochastique, Bollinger) pointent vers un surachat sévère, suggérant une correction à court terme. Les fondamentaux, bien que solides (ROE de 26%, trésorerie abondante), se détériorent, avec une chute de 35,6% du résultat net au T1 2026. Les prédictions IA, qui anticipent une baisse progressive du cours de 3 411 FCFA à 3 177 FCFA sur 10 jours, confirment cette analyse baissière à court terme. En synthèse, la convergence des signaux (valorisation excessive, surachat technique, dégradation des bénéfices, prédictions baissières) justifie une recommandation **VENTE**. Le niveau de confiance est **Élevé**, le risque global est **Élevé**, et l'horizon d'investissement optimal est le **court terme (&lt;3 mois)** pour les investisseurs cherchant à éviter une correction, tandis que les investisseurs de long terme pourraient attendre un point d'entrée plus favorable.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490.67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11,298 titres</w:t>
            </w:r>
          </w:p>
        </w:tc>
        <w:tc>
          <w:tcPr>
            <w:tcW w:type="dxa" w:w="2268"/>
            <w:shd w:fill="FFF2CC" w:val="clear"/>
          </w:tcPr>
          <w:p>
            <w:r>
              <w:rPr>
                <w:b/>
                <w:color w:val="503200"/>
                <w:sz w:val="16"/>
              </w:rPr>
              <w:t xml:space="preserve">Cours actuel : </w:t>
            </w:r>
            <w:r>
              <w:rPr>
                <w:color w:val="000000"/>
                <w:sz w:val="17"/>
              </w:rPr>
              <w:t>8,495 FCFA</w:t>
            </w:r>
          </w:p>
          <w:p>
            <w:r>
              <w:rPr>
                <w:b/>
                <w:color w:val="503200"/>
                <w:sz w:val="16"/>
              </w:rPr>
              <w:t xml:space="preserve">Var. 100 jours : </w:t>
            </w:r>
            <w:r>
              <w:rPr>
                <w:b/>
                <w:color w:val="007800"/>
                <w:sz w:val="17"/>
              </w:rPr>
              <w:t>+66.90%</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5,090 FCFA</w:t>
            </w:r>
          </w:p>
          <w:p>
            <w:r>
              <w:rPr>
                <w:b/>
                <w:color w:val="503200"/>
                <w:sz w:val="16"/>
              </w:rPr>
              <w:t xml:space="preserve">Volatilité ann. : </w:t>
            </w:r>
            <w:r>
              <w:rPr>
                <w:color w:val="000000"/>
                <w:sz w:val="17"/>
              </w:rPr>
              <w:t>30.6%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17.85% (Élevée) — μ=6,074 FCFA, σ=1,084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β=0.2493 (Défensif) — Cov=0.000008, Var(idx)=0.000034, ρ=0.075,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11,298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σ_j=1.93%/j (Stable) — Vol. annualisée≈30.6%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2026-08-27</w:t>
            </w:r>
          </w:p>
        </w:tc>
        <w:tc>
          <w:tcPr>
            <w:tcW w:type="dxa" w:w="1440"/>
            <w:shd w:fill="FFDCE0" w:val="clear"/>
          </w:tcPr>
          <w:p>
            <w:r>
              <w:rPr>
                <w:sz w:val="17"/>
              </w:rPr>
              <w:t>6,822</w:t>
            </w:r>
          </w:p>
        </w:tc>
        <w:tc>
          <w:tcPr>
            <w:tcW w:type="dxa" w:w="1440"/>
            <w:shd w:fill="FFDCE0" w:val="clear"/>
          </w:tcPr>
          <w:p>
            <w:r>
              <w:rPr>
                <w:b/>
                <w:sz w:val="17"/>
              </w:rPr>
              <w:t>7,269</w:t>
            </w:r>
          </w:p>
        </w:tc>
        <w:tc>
          <w:tcPr>
            <w:tcW w:type="dxa" w:w="1440"/>
            <w:shd w:fill="FFDCE0" w:val="clear"/>
          </w:tcPr>
          <w:p>
            <w:r>
              <w:rPr>
                <w:sz w:val="17"/>
              </w:rPr>
              <w:t>7,715</w:t>
            </w:r>
          </w:p>
        </w:tc>
        <w:tc>
          <w:tcPr>
            <w:tcW w:type="dxa" w:w="1440"/>
            <w:shd w:fill="FFDCE0" w:val="clear"/>
          </w:tcPr>
          <w:p>
            <w:r>
              <w:rPr>
                <w:b/>
                <w:color w:val="C00000"/>
                <w:sz w:val="17"/>
              </w:rPr>
              <w:t>-14.4%</w:t>
            </w:r>
          </w:p>
        </w:tc>
      </w:tr>
      <w:tr>
        <w:tc>
          <w:tcPr>
            <w:tcW w:type="dxa" w:w="1440"/>
            <w:shd w:fill="FFDCE0" w:val="clear"/>
          </w:tcPr>
          <w:p>
            <w:r>
              <w:rPr>
                <w:sz w:val="17"/>
              </w:rPr>
              <w:t>J+2  ⭐</w:t>
            </w:r>
          </w:p>
        </w:tc>
        <w:tc>
          <w:tcPr>
            <w:tcW w:type="dxa" w:w="1440"/>
            <w:shd w:fill="FFDCE0" w:val="clear"/>
          </w:tcPr>
          <w:p>
            <w:r>
              <w:rPr>
                <w:sz w:val="17"/>
              </w:rPr>
              <w:t>2026-08-28</w:t>
            </w:r>
          </w:p>
        </w:tc>
        <w:tc>
          <w:tcPr>
            <w:tcW w:type="dxa" w:w="1440"/>
            <w:shd w:fill="FFDCE0" w:val="clear"/>
          </w:tcPr>
          <w:p>
            <w:r>
              <w:rPr>
                <w:sz w:val="17"/>
              </w:rPr>
              <w:t>6,217</w:t>
            </w:r>
          </w:p>
        </w:tc>
        <w:tc>
          <w:tcPr>
            <w:tcW w:type="dxa" w:w="1440"/>
            <w:shd w:fill="FFDCE0" w:val="clear"/>
          </w:tcPr>
          <w:p>
            <w:r>
              <w:rPr>
                <w:b/>
                <w:sz w:val="17"/>
              </w:rPr>
              <w:t>6,723</w:t>
            </w:r>
          </w:p>
        </w:tc>
        <w:tc>
          <w:tcPr>
            <w:tcW w:type="dxa" w:w="1440"/>
            <w:shd w:fill="FFDCE0" w:val="clear"/>
          </w:tcPr>
          <w:p>
            <w:r>
              <w:rPr>
                <w:sz w:val="17"/>
              </w:rPr>
              <w:t>7,230</w:t>
            </w:r>
          </w:p>
        </w:tc>
        <w:tc>
          <w:tcPr>
            <w:tcW w:type="dxa" w:w="1440"/>
            <w:shd w:fill="FFDCE0" w:val="clear"/>
          </w:tcPr>
          <w:p>
            <w:r>
              <w:rPr>
                <w:b/>
                <w:color w:val="C00000"/>
                <w:sz w:val="17"/>
              </w:rPr>
              <w:t>-20.9%</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5,679</w:t>
            </w:r>
          </w:p>
        </w:tc>
        <w:tc>
          <w:tcPr>
            <w:tcW w:type="dxa" w:w="1440"/>
            <w:shd w:fill="FFDCE0" w:val="clear"/>
          </w:tcPr>
          <w:p>
            <w:r>
              <w:rPr>
                <w:b/>
                <w:sz w:val="17"/>
              </w:rPr>
              <w:t>6,220</w:t>
            </w:r>
          </w:p>
        </w:tc>
        <w:tc>
          <w:tcPr>
            <w:tcW w:type="dxa" w:w="1440"/>
            <w:shd w:fill="FFDCE0" w:val="clear"/>
          </w:tcPr>
          <w:p>
            <w:r>
              <w:rPr>
                <w:sz w:val="17"/>
              </w:rPr>
              <w:t>6,761</w:t>
            </w:r>
          </w:p>
        </w:tc>
        <w:tc>
          <w:tcPr>
            <w:tcW w:type="dxa" w:w="1440"/>
            <w:shd w:fill="FFDCE0" w:val="clear"/>
          </w:tcPr>
          <w:p>
            <w:r>
              <w:rPr>
                <w:b/>
                <w:color w:val="C00000"/>
                <w:sz w:val="17"/>
              </w:rPr>
              <w:t>-26.8%</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5,467</w:t>
            </w:r>
          </w:p>
        </w:tc>
        <w:tc>
          <w:tcPr>
            <w:tcW w:type="dxa" w:w="1440"/>
            <w:shd w:fill="FFDCE0" w:val="clear"/>
          </w:tcPr>
          <w:p>
            <w:r>
              <w:rPr>
                <w:b/>
                <w:sz w:val="17"/>
              </w:rPr>
              <w:t>6,055</w:t>
            </w:r>
          </w:p>
        </w:tc>
        <w:tc>
          <w:tcPr>
            <w:tcW w:type="dxa" w:w="1440"/>
            <w:shd w:fill="FFDCE0" w:val="clear"/>
          </w:tcPr>
          <w:p>
            <w:r>
              <w:rPr>
                <w:sz w:val="17"/>
              </w:rPr>
              <w:t>6,644</w:t>
            </w:r>
          </w:p>
        </w:tc>
        <w:tc>
          <w:tcPr>
            <w:tcW w:type="dxa" w:w="1440"/>
            <w:shd w:fill="FFDCE0" w:val="clear"/>
          </w:tcPr>
          <w:p>
            <w:r>
              <w:rPr>
                <w:b/>
                <w:color w:val="C00000"/>
                <w:sz w:val="17"/>
              </w:rPr>
              <w:t>-28.7%</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5,282</w:t>
            </w:r>
          </w:p>
        </w:tc>
        <w:tc>
          <w:tcPr>
            <w:tcW w:type="dxa" w:w="1440"/>
            <w:shd w:fill="FFDCE0" w:val="clear"/>
          </w:tcPr>
          <w:p>
            <w:r>
              <w:rPr>
                <w:b/>
                <w:sz w:val="17"/>
              </w:rPr>
              <w:t>5,911</w:t>
            </w:r>
          </w:p>
        </w:tc>
        <w:tc>
          <w:tcPr>
            <w:tcW w:type="dxa" w:w="1440"/>
            <w:shd w:fill="FFDCE0" w:val="clear"/>
          </w:tcPr>
          <w:p>
            <w:r>
              <w:rPr>
                <w:sz w:val="17"/>
              </w:rPr>
              <w:t>6,541</w:t>
            </w:r>
          </w:p>
        </w:tc>
        <w:tc>
          <w:tcPr>
            <w:tcW w:type="dxa" w:w="1440"/>
            <w:shd w:fill="FFDCE0" w:val="clear"/>
          </w:tcPr>
          <w:p>
            <w:r>
              <w:rPr>
                <w:b/>
                <w:color w:val="C00000"/>
                <w:sz w:val="17"/>
              </w:rPr>
              <w:t>-30.4%</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5,121</w:t>
            </w:r>
          </w:p>
        </w:tc>
        <w:tc>
          <w:tcPr>
            <w:tcW w:type="dxa" w:w="1440"/>
            <w:shd w:fill="FFDCE0" w:val="clear"/>
          </w:tcPr>
          <w:p>
            <w:r>
              <w:rPr>
                <w:b/>
                <w:sz w:val="17"/>
              </w:rPr>
              <w:t>5,787</w:t>
            </w:r>
          </w:p>
        </w:tc>
        <w:tc>
          <w:tcPr>
            <w:tcW w:type="dxa" w:w="1440"/>
            <w:shd w:fill="FFDCE0" w:val="clear"/>
          </w:tcPr>
          <w:p>
            <w:r>
              <w:rPr>
                <w:sz w:val="17"/>
              </w:rPr>
              <w:t>6,452</w:t>
            </w:r>
          </w:p>
        </w:tc>
        <w:tc>
          <w:tcPr>
            <w:tcW w:type="dxa" w:w="1440"/>
            <w:shd w:fill="FFDCE0" w:val="clear"/>
          </w:tcPr>
          <w:p>
            <w:r>
              <w:rPr>
                <w:b/>
                <w:color w:val="C00000"/>
                <w:sz w:val="17"/>
              </w:rPr>
              <w:t>-31.9%</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4,981</w:t>
            </w:r>
          </w:p>
        </w:tc>
        <w:tc>
          <w:tcPr>
            <w:tcW w:type="dxa" w:w="1440"/>
            <w:shd w:fill="FFDCE0" w:val="clear"/>
          </w:tcPr>
          <w:p>
            <w:r>
              <w:rPr>
                <w:b/>
                <w:sz w:val="17"/>
              </w:rPr>
              <w:t>5,679</w:t>
            </w:r>
          </w:p>
        </w:tc>
        <w:tc>
          <w:tcPr>
            <w:tcW w:type="dxa" w:w="1440"/>
            <w:shd w:fill="FFDCE0" w:val="clear"/>
          </w:tcPr>
          <w:p>
            <w:r>
              <w:rPr>
                <w:sz w:val="17"/>
              </w:rPr>
              <w:t>6,377</w:t>
            </w:r>
          </w:p>
        </w:tc>
        <w:tc>
          <w:tcPr>
            <w:tcW w:type="dxa" w:w="1440"/>
            <w:shd w:fill="FFDCE0" w:val="clear"/>
          </w:tcPr>
          <w:p>
            <w:r>
              <w:rPr>
                <w:b/>
                <w:color w:val="C00000"/>
                <w:sz w:val="17"/>
              </w:rPr>
              <w:t>-33.2%</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4,857</w:t>
            </w:r>
          </w:p>
        </w:tc>
        <w:tc>
          <w:tcPr>
            <w:tcW w:type="dxa" w:w="1440"/>
            <w:shd w:fill="FFDCE0" w:val="clear"/>
          </w:tcPr>
          <w:p>
            <w:r>
              <w:rPr>
                <w:b/>
                <w:sz w:val="17"/>
              </w:rPr>
              <w:t>5,586</w:t>
            </w:r>
          </w:p>
        </w:tc>
        <w:tc>
          <w:tcPr>
            <w:tcW w:type="dxa" w:w="1440"/>
            <w:shd w:fill="FFDCE0" w:val="clear"/>
          </w:tcPr>
          <w:p>
            <w:r>
              <w:rPr>
                <w:sz w:val="17"/>
              </w:rPr>
              <w:t>6,314</w:t>
            </w:r>
          </w:p>
        </w:tc>
        <w:tc>
          <w:tcPr>
            <w:tcW w:type="dxa" w:w="1440"/>
            <w:shd w:fill="FFDCE0" w:val="clear"/>
          </w:tcPr>
          <w:p>
            <w:r>
              <w:rPr>
                <w:b/>
                <w:color w:val="C00000"/>
                <w:sz w:val="17"/>
              </w:rPr>
              <w:t>-34.2%</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4,748</w:t>
            </w:r>
          </w:p>
        </w:tc>
        <w:tc>
          <w:tcPr>
            <w:tcW w:type="dxa" w:w="1440"/>
            <w:shd w:fill="FFDCE0" w:val="clear"/>
          </w:tcPr>
          <w:p>
            <w:r>
              <w:rPr>
                <w:b/>
                <w:sz w:val="17"/>
              </w:rPr>
              <w:t>5,505</w:t>
            </w:r>
          </w:p>
        </w:tc>
        <w:tc>
          <w:tcPr>
            <w:tcW w:type="dxa" w:w="1440"/>
            <w:shd w:fill="FFDCE0" w:val="clear"/>
          </w:tcPr>
          <w:p>
            <w:r>
              <w:rPr>
                <w:sz w:val="17"/>
              </w:rPr>
              <w:t>6,262</w:t>
            </w:r>
          </w:p>
        </w:tc>
        <w:tc>
          <w:tcPr>
            <w:tcW w:type="dxa" w:w="1440"/>
            <w:shd w:fill="FFDCE0" w:val="clear"/>
          </w:tcPr>
          <w:p>
            <w:r>
              <w:rPr>
                <w:b/>
                <w:color w:val="C00000"/>
                <w:sz w:val="17"/>
              </w:rPr>
              <w:t>-35.2%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(BIIC BÉNIN)**</w:t>
        <w:br/>
        <w:t>**Date : 26 août 2026**</w:t>
        <w:br/>
        <w:t>**Cours de référence : 8 495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BICB s'établit à 490,67 milliards FCFA, un niveau qui la positionne parmi les valeurs bancaires majeures de la BRVM, reflétant une liquidité et un intérêt institutionnel significatifs. Avec un BPA de 627 FCFA, le PER de 13,5x se situe au-dessus de la moyenne historique de la place (~8-12x), indiquant que les investisseurs acceptent de payer une prime pour la croissance future de la banque. Le P/B de 3,63x confirme cette prime, le marché valorisant l'actif net comptable bien au-delà de sa valeur, signe d'une forte confiance dans la création de valeur future. Enfin, l'EV/EBITDA de 24,1x est particulièrement exigeant, suggérant que la valorisation intègre déjà des hypothèses de performance opérationnelle soutenue. Ces ratios traduisent une anticipation de croissance solide, mais laissent peu de marge d'erreur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BICB a enregistré une progression spectaculaire de +66,90%, avec une dernière séance en hausse de +3,60%, démontrant un momentum acheteur très fort. Le cours a évolué dans une fourchette large de 5 090 FCFA (plus bas) à 8 500 FCFA (plus haut), soit une amplitude de près de 67%, illustrant une phase de découverte de prix intense. La moyenne du cours (6 074 FCFA) est nettement inférieure à la médiane (5 600 FCFA) et au mode (5 110 FCFA), ce qui, combiné à un skewness positif de 1.009, révèle une distribution asymétrique avec une concentration de séances sous la moyenne mais des pics de hausse importants. L'écart-type de 1 090 FCFA (CV=17,9%) indique une dispersion modérée, tandis que le kurtosis de -0.369 (mésokurtique) suggère une absence de risques extrêmes dans la distribution des rendements. La volatilité annualisée de 30,6% classe le titre dans la catégorie "élevée", ce qui implique des fluctuations de prix importantes et un risque accru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(8 495 FCFA) se situe nettement au-dessus de la MM20 (7 977 FCFA) et de la MM50 (6 907 FCFA). Cette configuration haussière, où le prix est soutenu par les moyennes à court et moyen terme, confirme une tendance de fond positive. La décision d'**Achat** est justifiée par la vigueur de la tendance et l'écart croissant entre les deux moyennes, signe d'une accélération du mouvement.</w:t>
      </w:r>
    </w:p>
    <w:p>
      <w:pPr>
        <w:spacing w:after="120" w:line="276" w:lineRule="auto"/>
      </w:pPr>
      <w:r>
        <w:t>**Bandes de Bollinger** : Le prix évolue dans la partie supérieure du canal, proche de la borne haute (8 765 FCFA). La largeur des bandes reflète la volatilité élevée du titre. La décision **Neutre** s'explique par le fait que, bien que le prix soit en zone de force, il n'a pas encore touché la borne, laissant une marge de progression avant une éventuelle zone de surachat.</w:t>
      </w:r>
    </w:p>
    <w:p>
      <w:pPr>
        <w:spacing w:after="120" w:line="276" w:lineRule="auto"/>
      </w:pPr>
      <w:r>
        <w:t>**MACD** : La valeur du MACD (451,7) est légèrement inférieure à son signal (468,0), indiquant un affaiblissement du momentum haussier à très court terme. Cette divergence, bien que mineure, est le premier signe d'une possible consolidation. La décision de **Vente** est donc un signal de prudence, suggérant que la dynamique positive pourrait perdre de la vigueur.</w:t>
      </w:r>
    </w:p>
    <w:p>
      <w:pPr>
        <w:spacing w:after="120" w:line="276" w:lineRule="auto"/>
      </w:pPr>
      <w:r>
        <w:t>**RSI** : Avec une valeur de 70,1, le RSI entre en zone de surachat. Cela signifie que le titre a fortement monté et que les acheteurs sont potentiellement épuisés à court terme. La décision de **Vente** est un avertissement classique, indiquant un risque élevé de correction ou de consolidation dans les prochaines séances.</w:t>
      </w:r>
    </w:p>
    <w:p>
      <w:pPr>
        <w:spacing w:after="120" w:line="276" w:lineRule="auto"/>
      </w:pPr>
      <w:r>
        <w:t>**Stochastique** : Le %K (99,5) et le %D (86,5) sont tous deux en zone de surachat extrême, avec un %K dominant. Cette configuration signale une pression acheteuse extrême et un marché "surchauffé". La décision de **Vente** reflète la probabilité élevée d'un retournement ou d'un essoufflement imminent.</w:t>
      </w:r>
    </w:p>
    <w:p>
      <w:pPr>
        <w:spacing w:after="120" w:line="276" w:lineRule="auto"/>
      </w:pPr>
      <w:r>
        <w:t>**Conclusion technique** : Les indicateurs de tendance (MM) sont clairement positifs, mais tous les oscillateurs de momentum (MACD, RSI, Stochastique) sont en zone de surachat ou montrent des signes de faiblesse. Cette divergence entre la tendance et le momentum suggère un risque élevé de correction technique à court terme. La prudence est de mise pour les nouveaux achats, tandis que les investisseurs en portefeuille pourraient envisager de sécuriser des gains.</w:t>
      </w:r>
    </w:p>
    <w:p>
      <w:pPr>
        <w:spacing w:after="120" w:line="276" w:lineRule="auto"/>
      </w:pPr>
      <w:r>
        <w:t>---</w:t>
      </w:r>
    </w:p>
    <w:p>
      <w:pPr>
        <w:spacing w:after="120" w:line="276" w:lineRule="auto"/>
      </w:pPr>
      <w:r>
        <w:t>### PARTIE 3 : ANALYSE FONDAMENTALE (SECTION CRITIQUE)</w:t>
      </w:r>
    </w:p>
    <w:p>
      <w:pPr>
        <w:spacing w:after="120" w:line="276" w:lineRule="auto"/>
      </w:pPr>
      <w:r>
        <w:t>En 2025, la BICB (BIIC Bénin) affiche des résultats annuels solides avec un Produit Net Bancaire (PNB) de 52,805 milliards FCFA, en hausse de 16,5%, et un résultat net de 36,237 milliards FCFA, en progression de 24,7%. La banque démontre une excellente rentabilité avec un ROE de 26,8% et un ROA de 1,96%, bien au-dessus des moyennes sectorielles. Le coefficient d'exploitation de 31,1% témoigne d'une gestion des charges très efficace. Cependant, le coût du risque de 9,61% reste un point de vigilance, reflétant une politique de provisionnement prudente. La structure du bilan est marquée par une forte activité d'intermédiation, avec des dépôts clients (1 181,0 Mds) légèrement supérieurs aux crédits nets (1 151,5 Mds), soit un ratio de transformation de 97,5%, ce qui est élevé et expose à un risque de liquidité. Les rapports trimestriels de 2025 montrent une croissance commerciale vigoureuse (PNB +26% au T3, crédits +30%), mais une rentabilité en recul en raison de provisions accrues. Enfin, le rapport du T1 2026 est très encourageant : le PNB a bondi de 35% à 14,6 milliards FCFA et le résultat net de 48% à 8,0 milliards FCFA, suggérant une normalisation du coût du risque et une amélioration significative de la rentabilité. On estime que l'exercice 2026 pourrait voir le résultat net dépasser les 40 milliards FCFA si cette dynamique se poursuit. La banque est fondamentalement saine, avec une solvabilité totale de 19,64% (bien au-dessus du minimum réglementaire), mais la gestion du risque de crédit et de la liquidité reste le défi majeur.</w:t>
      </w:r>
    </w:p>
    <w:p>
      <w:pPr>
        <w:spacing w:after="120" w:line="276" w:lineRule="auto"/>
      </w:pPr>
      <w:r>
        <w:t>---</w:t>
      </w:r>
    </w:p>
    <w:p>
      <w:pPr>
        <w:spacing w:after="120" w:line="276" w:lineRule="auto"/>
      </w:pPr>
      <w:r>
        <w:t>### PARTIE 4 : CONCLUSION D'INVESTISSEMENT</w:t>
      </w:r>
    </w:p>
    <w:p>
      <w:pPr>
        <w:spacing w:after="120" w:line="276" w:lineRule="auto"/>
      </w:pPr>
      <w:r>
        <w:t>La valorisation de BICB (PER 13,5x, P/B 3,63x) est exigeante, intégrant déjà une croissance future, mais elle est soutenue par des fondamentaux solides et une dynamique de résultats exceptionnelle au T1 2026. Le comportement du cours, avec une hausse de 66,9% sur 100 jours et une volatilité élevée (30,6%), reflète un fort enthousiasme du marché, mais les statistiques (skewness positif) et les signaux techniques sont mitigés : la tendance est haussière, mais tous les oscillateurs (RSI, Stochastique, MACD) sont en surachat, signalant un risque de correction à court terme. Les fondamentaux, eux, sont robustes avec une croissance du PNB et du résultat net, une rentabilité (ROE) excellente et une efficacité opérationnelle remarquable. Les prédictions IA pour les 10 prochains jours (chute vers 5 911 FCFA) contredisent fortement la tendance actuelle et suggèrent une correction brutale, probablement pour purger les conditions de surachat. En synthèse, la convergence entre la valorisation élevée, les signaux techniques de surachat et les prédictions IA baissières prévaut sur les fondamentaux solides à long terme. Par conséquent, la recommandation est **CONSERVER** pour les investisseurs de long terme, avec un niveau de confiance **Moyen** et un risque global **Élevé**. L'horizon d'investissement optimal est le **moyen terme (3-12 mois)**, en attendant une correction du cours pour renforcer la position, ou une confirmation de la poursuite de la croissance des résultats pour justifier la valorisation actuelle.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476.67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691 titres</w:t>
            </w:r>
          </w:p>
        </w:tc>
        <w:tc>
          <w:tcPr>
            <w:tcW w:type="dxa" w:w="2268"/>
            <w:shd w:fill="FFF2CC" w:val="clear"/>
          </w:tcPr>
          <w:p>
            <w:r>
              <w:rPr>
                <w:b/>
                <w:color w:val="503200"/>
                <w:sz w:val="16"/>
              </w:rPr>
              <w:t xml:space="preserve">Cours actuel : </w:t>
            </w:r>
            <w:r>
              <w:rPr>
                <w:color w:val="000000"/>
                <w:sz w:val="17"/>
              </w:rPr>
              <w:t>28,600 FCFA</w:t>
            </w:r>
          </w:p>
          <w:p>
            <w:r>
              <w:rPr>
                <w:b/>
                <w:color w:val="503200"/>
                <w:sz w:val="16"/>
              </w:rPr>
              <w:t xml:space="preserve">Var. 100 jours : </w:t>
            </w:r>
            <w:r>
              <w:rPr>
                <w:b/>
                <w:color w:val="007800"/>
                <w:sz w:val="17"/>
              </w:rPr>
              <w:t>+12.27%</w:t>
            </w:r>
          </w:p>
          <w:p>
            <w:r>
              <w:rPr>
                <w:b/>
                <w:color w:val="503200"/>
                <w:sz w:val="16"/>
              </w:rPr>
              <w:t xml:space="preserve">Plus haut 100j : </w:t>
            </w:r>
            <w:r>
              <w:rPr>
                <w:color w:val="000000"/>
                <w:sz w:val="17"/>
              </w:rPr>
              <w:t>29,490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27.7%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7.34% (Moyenne) — μ=27,206 FCFA, σ=1,996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β=0.2929 (Défensif) — Cov=0.000010, Var(idx)=0.000034, ρ=0.098,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691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σ_j=1.75%/j (Stable) — Vol. annualisée≈27.7%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2026-08-27</w:t>
            </w:r>
          </w:p>
        </w:tc>
        <w:tc>
          <w:tcPr>
            <w:tcW w:type="dxa" w:w="1440"/>
            <w:shd w:fill="FFDCE0" w:val="clear"/>
          </w:tcPr>
          <w:p>
            <w:r>
              <w:rPr>
                <w:sz w:val="17"/>
              </w:rPr>
              <w:t>27,187</w:t>
            </w:r>
          </w:p>
        </w:tc>
        <w:tc>
          <w:tcPr>
            <w:tcW w:type="dxa" w:w="1440"/>
            <w:shd w:fill="FFDCE0" w:val="clear"/>
          </w:tcPr>
          <w:p>
            <w:r>
              <w:rPr>
                <w:b/>
                <w:sz w:val="17"/>
              </w:rPr>
              <w:t>27,884</w:t>
            </w:r>
          </w:p>
        </w:tc>
        <w:tc>
          <w:tcPr>
            <w:tcW w:type="dxa" w:w="1440"/>
            <w:shd w:fill="FFDCE0" w:val="clear"/>
          </w:tcPr>
          <w:p>
            <w:r>
              <w:rPr>
                <w:sz w:val="17"/>
              </w:rPr>
              <w:t>28,582</w:t>
            </w:r>
          </w:p>
        </w:tc>
        <w:tc>
          <w:tcPr>
            <w:tcW w:type="dxa" w:w="1440"/>
            <w:shd w:fill="FFDCE0" w:val="clear"/>
          </w:tcPr>
          <w:p>
            <w:r>
              <w:rPr>
                <w:b/>
                <w:color w:val="C00000"/>
                <w:sz w:val="17"/>
              </w:rPr>
              <w:t>-2.5%</w:t>
            </w:r>
          </w:p>
        </w:tc>
      </w:tr>
      <w:tr>
        <w:tc>
          <w:tcPr>
            <w:tcW w:type="dxa" w:w="1440"/>
            <w:shd w:fill="FFDCE0" w:val="clear"/>
          </w:tcPr>
          <w:p>
            <w:r>
              <w:rPr>
                <w:sz w:val="17"/>
              </w:rPr>
              <w:t>J+2  ⭐⭐⭐</w:t>
            </w:r>
          </w:p>
        </w:tc>
        <w:tc>
          <w:tcPr>
            <w:tcW w:type="dxa" w:w="1440"/>
            <w:shd w:fill="FFDCE0" w:val="clear"/>
          </w:tcPr>
          <w:p>
            <w:r>
              <w:rPr>
                <w:sz w:val="17"/>
              </w:rPr>
              <w:t>2026-08-28</w:t>
            </w:r>
          </w:p>
        </w:tc>
        <w:tc>
          <w:tcPr>
            <w:tcW w:type="dxa" w:w="1440"/>
            <w:shd w:fill="FFDCE0" w:val="clear"/>
          </w:tcPr>
          <w:p>
            <w:r>
              <w:rPr>
                <w:sz w:val="17"/>
              </w:rPr>
              <w:t>26,768</w:t>
            </w:r>
          </w:p>
        </w:tc>
        <w:tc>
          <w:tcPr>
            <w:tcW w:type="dxa" w:w="1440"/>
            <w:shd w:fill="FFDCE0" w:val="clear"/>
          </w:tcPr>
          <w:p>
            <w:r>
              <w:rPr>
                <w:b/>
                <w:sz w:val="17"/>
              </w:rPr>
              <w:t>27,614</w:t>
            </w:r>
          </w:p>
        </w:tc>
        <w:tc>
          <w:tcPr>
            <w:tcW w:type="dxa" w:w="1440"/>
            <w:shd w:fill="FFDCE0" w:val="clear"/>
          </w:tcPr>
          <w:p>
            <w:r>
              <w:rPr>
                <w:sz w:val="17"/>
              </w:rPr>
              <w:t>28,460</w:t>
            </w:r>
          </w:p>
        </w:tc>
        <w:tc>
          <w:tcPr>
            <w:tcW w:type="dxa" w:w="1440"/>
            <w:shd w:fill="FFDCE0" w:val="clear"/>
          </w:tcPr>
          <w:p>
            <w:r>
              <w:rPr>
                <w:b/>
                <w:color w:val="C00000"/>
                <w:sz w:val="17"/>
              </w:rPr>
              <w:t>-3.4%</w:t>
            </w:r>
          </w:p>
        </w:tc>
      </w:tr>
      <w:tr>
        <w:tc>
          <w:tcPr>
            <w:tcW w:type="dxa" w:w="1440"/>
            <w:shd w:fill="FFDCE0" w:val="clear"/>
          </w:tcPr>
          <w:p>
            <w:r>
              <w:rPr>
                <w:sz w:val="17"/>
              </w:rPr>
              <w:t>J+3  Moyenne</w:t>
            </w:r>
          </w:p>
        </w:tc>
        <w:tc>
          <w:tcPr>
            <w:tcW w:type="dxa" w:w="1440"/>
            <w:shd w:fill="FFDCE0" w:val="clear"/>
          </w:tcPr>
          <w:p>
            <w:r>
              <w:rPr>
                <w:sz w:val="17"/>
              </w:rPr>
              <w:t>2026-08-31</w:t>
            </w:r>
          </w:p>
        </w:tc>
        <w:tc>
          <w:tcPr>
            <w:tcW w:type="dxa" w:w="1440"/>
            <w:shd w:fill="FFDCE0" w:val="clear"/>
          </w:tcPr>
          <w:p>
            <w:r>
              <w:rPr>
                <w:sz w:val="17"/>
              </w:rPr>
              <w:t>26,393</w:t>
            </w:r>
          </w:p>
        </w:tc>
        <w:tc>
          <w:tcPr>
            <w:tcW w:type="dxa" w:w="1440"/>
            <w:shd w:fill="FFDCE0" w:val="clear"/>
          </w:tcPr>
          <w:p>
            <w:r>
              <w:rPr>
                <w:b/>
                <w:sz w:val="17"/>
              </w:rPr>
              <w:t>27,361</w:t>
            </w:r>
          </w:p>
        </w:tc>
        <w:tc>
          <w:tcPr>
            <w:tcW w:type="dxa" w:w="1440"/>
            <w:shd w:fill="FFDCE0" w:val="clear"/>
          </w:tcPr>
          <w:p>
            <w:r>
              <w:rPr>
                <w:sz w:val="17"/>
              </w:rPr>
              <w:t>28,330</w:t>
            </w:r>
          </w:p>
        </w:tc>
        <w:tc>
          <w:tcPr>
            <w:tcW w:type="dxa" w:w="1440"/>
            <w:shd w:fill="FFDCE0" w:val="clear"/>
          </w:tcPr>
          <w:p>
            <w:r>
              <w:rPr>
                <w:b/>
                <w:color w:val="C00000"/>
                <w:sz w:val="17"/>
              </w:rPr>
              <w:t>-4.3%</w:t>
            </w:r>
          </w:p>
        </w:tc>
      </w:tr>
      <w:tr>
        <w:tc>
          <w:tcPr>
            <w:tcW w:type="dxa" w:w="1440"/>
            <w:shd w:fill="FFDCE0" w:val="clear"/>
          </w:tcPr>
          <w:p>
            <w:r>
              <w:rPr>
                <w:sz w:val="17"/>
              </w:rPr>
              <w:t>J+4  Moyenne</w:t>
            </w:r>
          </w:p>
        </w:tc>
        <w:tc>
          <w:tcPr>
            <w:tcW w:type="dxa" w:w="1440"/>
            <w:shd w:fill="FFDCE0" w:val="clear"/>
          </w:tcPr>
          <w:p>
            <w:r>
              <w:rPr>
                <w:sz w:val="17"/>
              </w:rPr>
              <w:t>2026-09-01</w:t>
            </w:r>
          </w:p>
        </w:tc>
        <w:tc>
          <w:tcPr>
            <w:tcW w:type="dxa" w:w="1440"/>
            <w:shd w:fill="FFDCE0" w:val="clear"/>
          </w:tcPr>
          <w:p>
            <w:r>
              <w:rPr>
                <w:sz w:val="17"/>
              </w:rPr>
              <w:t>26,050</w:t>
            </w:r>
          </w:p>
        </w:tc>
        <w:tc>
          <w:tcPr>
            <w:tcW w:type="dxa" w:w="1440"/>
            <w:shd w:fill="FFDCE0" w:val="clear"/>
          </w:tcPr>
          <w:p>
            <w:r>
              <w:rPr>
                <w:b/>
                <w:sz w:val="17"/>
              </w:rPr>
              <w:t>27,123</w:t>
            </w:r>
          </w:p>
        </w:tc>
        <w:tc>
          <w:tcPr>
            <w:tcW w:type="dxa" w:w="1440"/>
            <w:shd w:fill="FFDCE0" w:val="clear"/>
          </w:tcPr>
          <w:p>
            <w:r>
              <w:rPr>
                <w:sz w:val="17"/>
              </w:rPr>
              <w:t>28,196</w:t>
            </w:r>
          </w:p>
        </w:tc>
        <w:tc>
          <w:tcPr>
            <w:tcW w:type="dxa" w:w="1440"/>
            <w:shd w:fill="FFDCE0" w:val="clear"/>
          </w:tcPr>
          <w:p>
            <w:r>
              <w:rPr>
                <w:b/>
                <w:color w:val="C00000"/>
                <w:sz w:val="17"/>
              </w:rPr>
              <w:t>-5.2%</w:t>
            </w:r>
          </w:p>
        </w:tc>
      </w:tr>
      <w:tr>
        <w:tc>
          <w:tcPr>
            <w:tcW w:type="dxa" w:w="1440"/>
            <w:shd w:fill="FFDCE0" w:val="clear"/>
          </w:tcPr>
          <w:p>
            <w:r>
              <w:rPr>
                <w:sz w:val="17"/>
              </w:rPr>
              <w:t>J+5  Moyenne</w:t>
            </w:r>
          </w:p>
        </w:tc>
        <w:tc>
          <w:tcPr>
            <w:tcW w:type="dxa" w:w="1440"/>
            <w:shd w:fill="FFDCE0" w:val="clear"/>
          </w:tcPr>
          <w:p>
            <w:r>
              <w:rPr>
                <w:sz w:val="17"/>
              </w:rPr>
              <w:t>2026-09-02</w:t>
            </w:r>
          </w:p>
        </w:tc>
        <w:tc>
          <w:tcPr>
            <w:tcW w:type="dxa" w:w="1440"/>
            <w:shd w:fill="FFDCE0" w:val="clear"/>
          </w:tcPr>
          <w:p>
            <w:r>
              <w:rPr>
                <w:sz w:val="17"/>
              </w:rPr>
              <w:t>25,729</w:t>
            </w:r>
          </w:p>
        </w:tc>
        <w:tc>
          <w:tcPr>
            <w:tcW w:type="dxa" w:w="1440"/>
            <w:shd w:fill="FFDCE0" w:val="clear"/>
          </w:tcPr>
          <w:p>
            <w:r>
              <w:rPr>
                <w:b/>
                <w:sz w:val="17"/>
              </w:rPr>
              <w:t>26,894</w:t>
            </w:r>
          </w:p>
        </w:tc>
        <w:tc>
          <w:tcPr>
            <w:tcW w:type="dxa" w:w="1440"/>
            <w:shd w:fill="FFDCE0" w:val="clear"/>
          </w:tcPr>
          <w:p>
            <w:r>
              <w:rPr>
                <w:sz w:val="17"/>
              </w:rPr>
              <w:t>28,060</w:t>
            </w:r>
          </w:p>
        </w:tc>
        <w:tc>
          <w:tcPr>
            <w:tcW w:type="dxa" w:w="1440"/>
            <w:shd w:fill="FFDCE0" w:val="clear"/>
          </w:tcPr>
          <w:p>
            <w:r>
              <w:rPr>
                <w:b/>
                <w:color w:val="C00000"/>
                <w:sz w:val="17"/>
              </w:rPr>
              <w:t>-6.0%</w:t>
            </w:r>
          </w:p>
        </w:tc>
      </w:tr>
      <w:tr>
        <w:tc>
          <w:tcPr>
            <w:tcW w:type="dxa" w:w="1440"/>
            <w:shd w:fill="FFDCE0" w:val="clear"/>
          </w:tcPr>
          <w:p>
            <w:r>
              <w:rPr>
                <w:sz w:val="17"/>
              </w:rPr>
              <w:t>J+6  Moyenne</w:t>
            </w:r>
          </w:p>
        </w:tc>
        <w:tc>
          <w:tcPr>
            <w:tcW w:type="dxa" w:w="1440"/>
            <w:shd w:fill="FFDCE0" w:val="clear"/>
          </w:tcPr>
          <w:p>
            <w:r>
              <w:rPr>
                <w:sz w:val="17"/>
              </w:rPr>
              <w:t>2026-09-03</w:t>
            </w:r>
          </w:p>
        </w:tc>
        <w:tc>
          <w:tcPr>
            <w:tcW w:type="dxa" w:w="1440"/>
            <w:shd w:fill="FFDCE0" w:val="clear"/>
          </w:tcPr>
          <w:p>
            <w:r>
              <w:rPr>
                <w:sz w:val="17"/>
              </w:rPr>
              <w:t>25,425</w:t>
            </w:r>
          </w:p>
        </w:tc>
        <w:tc>
          <w:tcPr>
            <w:tcW w:type="dxa" w:w="1440"/>
            <w:shd w:fill="FFDCE0" w:val="clear"/>
          </w:tcPr>
          <w:p>
            <w:r>
              <w:rPr>
                <w:b/>
                <w:sz w:val="17"/>
              </w:rPr>
              <w:t>26,674</w:t>
            </w:r>
          </w:p>
        </w:tc>
        <w:tc>
          <w:tcPr>
            <w:tcW w:type="dxa" w:w="1440"/>
            <w:shd w:fill="FFDCE0" w:val="clear"/>
          </w:tcPr>
          <w:p>
            <w:r>
              <w:rPr>
                <w:sz w:val="17"/>
              </w:rPr>
              <w:t>27,922</w:t>
            </w:r>
          </w:p>
        </w:tc>
        <w:tc>
          <w:tcPr>
            <w:tcW w:type="dxa" w:w="1440"/>
            <w:shd w:fill="FFDCE0" w:val="clear"/>
          </w:tcPr>
          <w:p>
            <w:r>
              <w:rPr>
                <w:b/>
                <w:color w:val="C00000"/>
                <w:sz w:val="17"/>
              </w:rPr>
              <w:t>-6.7%</w:t>
            </w:r>
          </w:p>
        </w:tc>
      </w:tr>
      <w:tr>
        <w:tc>
          <w:tcPr>
            <w:tcW w:type="dxa" w:w="1440"/>
            <w:shd w:fill="FFDCE0" w:val="clear"/>
          </w:tcPr>
          <w:p>
            <w:r>
              <w:rPr>
                <w:sz w:val="17"/>
              </w:rPr>
              <w:t>J+7  Moyenne</w:t>
            </w:r>
          </w:p>
        </w:tc>
        <w:tc>
          <w:tcPr>
            <w:tcW w:type="dxa" w:w="1440"/>
            <w:shd w:fill="FFDCE0" w:val="clear"/>
          </w:tcPr>
          <w:p>
            <w:r>
              <w:rPr>
                <w:sz w:val="17"/>
              </w:rPr>
              <w:t>2026-09-04</w:t>
            </w:r>
          </w:p>
        </w:tc>
        <w:tc>
          <w:tcPr>
            <w:tcW w:type="dxa" w:w="1440"/>
            <w:shd w:fill="FFDCE0" w:val="clear"/>
          </w:tcPr>
          <w:p>
            <w:r>
              <w:rPr>
                <w:sz w:val="17"/>
              </w:rPr>
              <w:t>25,137</w:t>
            </w:r>
          </w:p>
        </w:tc>
        <w:tc>
          <w:tcPr>
            <w:tcW w:type="dxa" w:w="1440"/>
            <w:shd w:fill="FFDCE0" w:val="clear"/>
          </w:tcPr>
          <w:p>
            <w:r>
              <w:rPr>
                <w:b/>
                <w:sz w:val="17"/>
              </w:rPr>
              <w:t>26,461</w:t>
            </w:r>
          </w:p>
        </w:tc>
        <w:tc>
          <w:tcPr>
            <w:tcW w:type="dxa" w:w="1440"/>
            <w:shd w:fill="FFDCE0" w:val="clear"/>
          </w:tcPr>
          <w:p>
            <w:r>
              <w:rPr>
                <w:sz w:val="17"/>
              </w:rPr>
              <w:t>27,786</w:t>
            </w:r>
          </w:p>
        </w:tc>
        <w:tc>
          <w:tcPr>
            <w:tcW w:type="dxa" w:w="1440"/>
            <w:shd w:fill="FFDCE0" w:val="clear"/>
          </w:tcPr>
          <w:p>
            <w:r>
              <w:rPr>
                <w:b/>
                <w:color w:val="C00000"/>
                <w:sz w:val="17"/>
              </w:rPr>
              <w:t>-7.5%</w:t>
            </w:r>
          </w:p>
        </w:tc>
      </w:tr>
      <w:tr>
        <w:tc>
          <w:tcPr>
            <w:tcW w:type="dxa" w:w="1440"/>
            <w:shd w:fill="FFDCE0" w:val="clear"/>
          </w:tcPr>
          <w:p>
            <w:r>
              <w:rPr>
                <w:sz w:val="17"/>
              </w:rPr>
              <w:t>J+8  Moyenne</w:t>
            </w:r>
          </w:p>
        </w:tc>
        <w:tc>
          <w:tcPr>
            <w:tcW w:type="dxa" w:w="1440"/>
            <w:shd w:fill="FFDCE0" w:val="clear"/>
          </w:tcPr>
          <w:p>
            <w:r>
              <w:rPr>
                <w:sz w:val="17"/>
              </w:rPr>
              <w:t>2026-09-07</w:t>
            </w:r>
          </w:p>
        </w:tc>
        <w:tc>
          <w:tcPr>
            <w:tcW w:type="dxa" w:w="1440"/>
            <w:shd w:fill="FFDCE0" w:val="clear"/>
          </w:tcPr>
          <w:p>
            <w:r>
              <w:rPr>
                <w:sz w:val="17"/>
              </w:rPr>
              <w:t>24,863</w:t>
            </w:r>
          </w:p>
        </w:tc>
        <w:tc>
          <w:tcPr>
            <w:tcW w:type="dxa" w:w="1440"/>
            <w:shd w:fill="FFDCE0" w:val="clear"/>
          </w:tcPr>
          <w:p>
            <w:r>
              <w:rPr>
                <w:b/>
                <w:sz w:val="17"/>
              </w:rPr>
              <w:t>26,257</w:t>
            </w:r>
          </w:p>
        </w:tc>
        <w:tc>
          <w:tcPr>
            <w:tcW w:type="dxa" w:w="1440"/>
            <w:shd w:fill="FFDCE0" w:val="clear"/>
          </w:tcPr>
          <w:p>
            <w:r>
              <w:rPr>
                <w:sz w:val="17"/>
              </w:rPr>
              <w:t>27,650</w:t>
            </w:r>
          </w:p>
        </w:tc>
        <w:tc>
          <w:tcPr>
            <w:tcW w:type="dxa" w:w="1440"/>
            <w:shd w:fill="FFDCE0" w:val="clear"/>
          </w:tcPr>
          <w:p>
            <w:r>
              <w:rPr>
                <w:b/>
                <w:color w:val="C00000"/>
                <w:sz w:val="17"/>
              </w:rPr>
              <w:t>-8.2%</w:t>
            </w:r>
          </w:p>
        </w:tc>
      </w:tr>
      <w:tr>
        <w:tc>
          <w:tcPr>
            <w:tcW w:type="dxa" w:w="1440"/>
            <w:shd w:fill="FFDCE0" w:val="clear"/>
          </w:tcPr>
          <w:p>
            <w:r>
              <w:rPr>
                <w:sz w:val="17"/>
              </w:rPr>
              <w:t>J+9  Moyenne</w:t>
            </w:r>
          </w:p>
        </w:tc>
        <w:tc>
          <w:tcPr>
            <w:tcW w:type="dxa" w:w="1440"/>
            <w:shd w:fill="FFDCE0" w:val="clear"/>
          </w:tcPr>
          <w:p>
            <w:r>
              <w:rPr>
                <w:sz w:val="17"/>
              </w:rPr>
              <w:t>2026-09-08</w:t>
            </w:r>
          </w:p>
        </w:tc>
        <w:tc>
          <w:tcPr>
            <w:tcW w:type="dxa" w:w="1440"/>
            <w:shd w:fill="FFDCE0" w:val="clear"/>
          </w:tcPr>
          <w:p>
            <w:r>
              <w:rPr>
                <w:sz w:val="17"/>
              </w:rPr>
              <w:t>24,601</w:t>
            </w:r>
          </w:p>
        </w:tc>
        <w:tc>
          <w:tcPr>
            <w:tcW w:type="dxa" w:w="1440"/>
            <w:shd w:fill="FFDCE0" w:val="clear"/>
          </w:tcPr>
          <w:p>
            <w:r>
              <w:rPr>
                <w:b/>
                <w:sz w:val="17"/>
              </w:rPr>
              <w:t>26,059</w:t>
            </w:r>
          </w:p>
        </w:tc>
        <w:tc>
          <w:tcPr>
            <w:tcW w:type="dxa" w:w="1440"/>
            <w:shd w:fill="FFDCE0" w:val="clear"/>
          </w:tcPr>
          <w:p>
            <w:r>
              <w:rPr>
                <w:sz w:val="17"/>
              </w:rPr>
              <w:t>27,517</w:t>
            </w:r>
          </w:p>
        </w:tc>
        <w:tc>
          <w:tcPr>
            <w:tcW w:type="dxa" w:w="1440"/>
            <w:shd w:fill="FFDCE0" w:val="clear"/>
          </w:tcPr>
          <w:p>
            <w:r>
              <w:rPr>
                <w:b/>
                <w:color w:val="C00000"/>
                <w:sz w:val="17"/>
              </w:rPr>
              <w:t>-8.9%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BICC s'établit à 476,67 milliards FCFA, ce qui en fait l'une des valeurs les plus significatives de la BRVM, reflétant la confiance des investisseurs dans le secteur bancaire ivoirien. Le BPA de 2 191 FCFA indique que chaque action génère un bénéfice substantiel, justifiant un PER de 13,1x, légèrement supérieur à la moyenne historique de la BRVM (8-12x), ce qui traduit une prime de croissance accordée par le marché. Le P/B de 3,95x confirme cette prime, le marché valorisant le titre bien au-dessus de sa valeur comptable, signe d'anticipations de croissance future. Enfin, l'EV/EBITDA de 9,1x se situe dans la fourchette raisonnable (5-10x), indiquant que la valorisation totale de l'entreprise reste cohérente avec sa capacité opérationnelle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BICC a enregistré une progression remarquable de +12,27%, avec une légère correction de -0,69% lors de la dernière séance, reflétant une prise de bénéfices après une période haussière. Le cours a évolué dans une fourchette de 22 500 à 29 490 FCFA, démontrant une dynamique positive soutenue. La moyenne (27 206 FCFA) est inférieure à la médiane (28 155 FCFA), indiquant une asymétrie négative (skewness de -0,809) : les journées au-dessus de la moyenne ont été plus fréquentes, mais les fortes baisses ont été plus marquées. L'écart-type de 2 006 FCFA (CV=7,4%) révèle une dispersion modérée, tandis que le kurtosis de -0,830 (mésokurtique) suggère une distribution proche de la normale, sans risque de pics extrêmes. La volatilité annualisée de 27,7% classe le titre dans la catégorie modérée (15-30%), offrant un équilibre entre risque et rendement.</w:t>
      </w:r>
    </w:p>
    <w:p>
      <w:pPr>
        <w:spacing w:after="120" w:line="276" w:lineRule="auto" w:before="240"/>
      </w:pPr>
      <w:r>
        <w:rPr>
          <w:b/>
          <w:color w:val="003366"/>
          <w:sz w:val="24"/>
        </w:rPr>
        <w:t>**PARTIE 2 : ANALYSE TECHNIQUE DÉTAILLÉE**</w:t>
      </w:r>
    </w:p>
    <w:p>
      <w:pPr>
        <w:spacing w:after="120" w:line="276" w:lineRule="auto"/>
      </w:pPr>
      <w:r>
        <w:t>**Moyennes Mobiles** : La MM20 (28 955,5 FCFA) et la MM50 (28 605,4 FCFA) sont toutes deux supérieures au cours actuel (28 600 FCFA), mais la MM20 reste au-dessus de la MM50, indiquant une tendance haussière à court terme. Le signal d'achat est justifié par la proximité du cours avec ces moyennes, suggérant un potentiel de rebond.</w:t>
      </w:r>
    </w:p>
    <w:p>
      <w:pPr>
        <w:spacing w:after="120" w:line="276" w:lineRule="auto"/>
      </w:pPr>
      <w:r>
        <w:t>**Bandes de Bollinger** : Le cours (28 600 FCFA) se situe près de la borne inférieure (28 579,3 FCFA), indiquant une zone de survente relative. La décision neutre reflète une volatilité modérée, avec un écart de 752 FCFA entre les bornes, laissant présager un mouvement directionnel imminent.</w:t>
      </w:r>
    </w:p>
    <w:p>
      <w:pPr>
        <w:spacing w:after="120" w:line="276" w:lineRule="auto"/>
      </w:pPr>
      <w:r>
        <w:t>**MACD** : La valeur MACD (115,978) est inférieure au signal (161,668), indiquant un momentum baissier à court terme. La décision de vente est justifiée par cette divergence négative, bien que l'écart reste modéré, suggérant une correction temporaire plutôt qu'un retournement majeur.</w:t>
      </w:r>
    </w:p>
    <w:p>
      <w:pPr>
        <w:spacing w:after="120" w:line="276" w:lineRule="auto"/>
      </w:pPr>
      <w:r>
        <w:t>**RSI** : À 39,494, le RSI se situe en zone neutre (30-70), proche de la zone de survente. Cette valeur indique que le titre n'est ni suracheté ni survendu, laissant une marge de manœuvre pour une reprise haussière. La décision neutre est cohérente avec cette lecture.</w:t>
      </w:r>
    </w:p>
    <w:p>
      <w:pPr>
        <w:spacing w:after="120" w:line="276" w:lineRule="auto"/>
      </w:pPr>
      <w:r>
        <w:t>**Stochastique** : Le %K (0,0) est extrêmement bas, largement sous le %D (40,805), signalant une condition de survente sévère. La décision d'achat est justifiée par ce croisement baissier extrême, qui précède souvent un rebond technique.</w:t>
      </w:r>
    </w:p>
    <w:p>
      <w:pPr>
        <w:spacing w:after="120" w:line="276" w:lineRule="auto"/>
      </w:pPr>
      <w:r>
        <w:t>**Conclusion technique** : Les indicateurs sont mitigés, avec un MACD baissier mais un stochastique en survente extrême et des moyennes mobiles haussières. Cette configuration suggère une correction temporaire dans une tendance haussière de fond, avec un potentiel de rebond à court terme. Le signal global penche vers un achat opportuniste, en attendant la confirmation d'un retournement haussier.</w:t>
      </w:r>
    </w:p>
    <w:p>
      <w:pPr>
        <w:spacing w:after="120" w:line="276" w:lineRule="auto" w:before="240"/>
      </w:pPr>
      <w:r>
        <w:rPr>
          <w:b/>
          <w:color w:val="003366"/>
          <w:sz w:val="24"/>
        </w:rPr>
        <w:t>**PARTIE 3 : ANALYSE FONDAMENTALE (SECTION CRITIQUE)**</w:t>
      </w:r>
    </w:p>
    <w:p>
      <w:pPr>
        <w:spacing w:after="120" w:line="276" w:lineRule="auto"/>
      </w:pPr>
      <w:r>
        <w:t>En 2025, BICC affiche des fondamentaux solides avec un PNB de 79,563 milliards FCFA, en croissance de 16,9% par rapport à 2024 (68,063 milliards FCFA). Le résultat net de 36,520 milliards FCFA représente une progression spectaculaire par rapport à 2024 (26,226 milliards FCFA), porté par une marge nette exceptionnelle de 45,9% et un ROE de 30,3%, bien au-dessus du seuil d'excellence de 15%. Le coefficient d'exploitation de 50,8% témoigne d'une efficacité opérationnelle remarquable, tandis que le coût du risque de -12,1% indique une gestion prudente du portefeuille de crédits. Les dépôts clientèle (952,872 milliards FCFA) dépassent largement les créances (524,439 milliards FCFA), assurant une liquidité abondante. Les rapports trimestriels 2025 confirment cette dynamique : le T1 2025 (PNB +9,3%, résultat net +23,0%) et le S1 2025 (PNB +16,6%, résultat net +42,5%) montrent une accélération progressive. Le T3 2025 (PNB +16,4%, résultat net +50,8%) et le rapport T1 2026 (PNB +17,0%, résultat net +29,7%) confirment la poursuite de cette croissance soutenue. Sur la base de ces tendances, on estime que l'exercice 2026 devrait dépasser les performances de 2025, avec un PNB potentiel de 90-95 milliards FCFA et un résultat net de 42-45 milliards FCFA, renforçant la solidité financière de la banque.</w:t>
      </w:r>
    </w:p>
    <w:p>
      <w:pPr>
        <w:spacing w:after="120" w:line="276" w:lineRule="auto" w:before="240"/>
      </w:pPr>
      <w:r>
        <w:rPr>
          <w:b/>
          <w:color w:val="003366"/>
          <w:sz w:val="24"/>
        </w:rPr>
        <w:t>**PARTIE 4 : CONCLUSION D'INVESTISSEMENT**</w:t>
      </w:r>
    </w:p>
    <w:p>
      <w:pPr>
        <w:spacing w:after="120" w:line="276" w:lineRule="auto"/>
      </w:pPr>
      <w:r>
        <w:t>La valorisation de BICC (PER 13,1x, P/B 3,95x, EV/EBITDA 9,1x) indique une prime de croissance justifiée par des fondamentaux exceptionnels, bien que le titre ne soit pas sous-évalué. Le comportement du cours (+12,27% sur 100 jours) avec une volatilité modérée et une asymétrie négative suggère une tendance haussière saine, mais avec des risques de corrections. Les signaux techniques sont mitigés, avec un MACD baissier contrebalancé par un stochastique en survente extrême, indiquant un potentiel de rebond à court terme. Les fondamentaux sont extrêmement solides, avec une croissance à deux chiffres du PNB et du résultat net, un ROE de 30,3% et une gestion rigoureuse des risques. Les prédictions IA (28 600 FCFA à 26 894 FCFA sur 10 jours) suggèrent une correction temporaire, mais ne remettent pas en cause la tendance haussière de fond. La convergence entre la solidité fondamentale, la valorisation raisonnable et le potentiel de rebond technique justifie une recommandation **ACHAT**, avec un niveau de confiance **Élevé** et un risque global **Moyen**. L'horizon d'investissement optimal est le **moyen terme (3-12 mois)**, permettant de bénéficier de la croissance continue et de l'amélioration de la rentabilité, tout en absorbant les fluctuations à court terme.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13.18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2,228 titres</w:t>
            </w:r>
          </w:p>
        </w:tc>
        <w:tc>
          <w:tcPr>
            <w:tcW w:type="dxa" w:w="2268"/>
            <w:shd w:fill="FFF2CC" w:val="clear"/>
          </w:tcPr>
          <w:p>
            <w:r>
              <w:rPr>
                <w:b/>
                <w:color w:val="503200"/>
                <w:sz w:val="16"/>
              </w:rPr>
              <w:t xml:space="preserve">Cours actuel : </w:t>
            </w:r>
            <w:r>
              <w:rPr>
                <w:color w:val="000000"/>
                <w:sz w:val="17"/>
              </w:rPr>
              <w:t>1,990 FCFA</w:t>
            </w:r>
          </w:p>
          <w:p>
            <w:r>
              <w:rPr>
                <w:b/>
                <w:color w:val="503200"/>
                <w:sz w:val="16"/>
              </w:rPr>
              <w:t xml:space="preserve">Var. 100 jours : </w:t>
            </w:r>
            <w:r>
              <w:rPr>
                <w:b/>
                <w:color w:val="007800"/>
                <w:sz w:val="17"/>
              </w:rPr>
              <w:t>+25.55%</w:t>
            </w:r>
          </w:p>
          <w:p>
            <w:r>
              <w:rPr>
                <w:b/>
                <w:color w:val="503200"/>
                <w:sz w:val="16"/>
              </w:rPr>
              <w:t xml:space="preserve">Plus haut 100j : </w:t>
            </w:r>
            <w:r>
              <w:rPr>
                <w:color w:val="000000"/>
                <w:sz w:val="17"/>
              </w:rPr>
              <w:t>2,100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47.7%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11.85% (Moyenne) — μ=1,757 FCFA, σ=208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β=0.0354 (Défensif) — Cov=0.000001, Var(idx)=0.000034, ρ=0.007,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2,228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σ_j=3.01%/j (Modérée) — Vol. annualisée≈47.7%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2026-08-27</w:t>
            </w:r>
          </w:p>
        </w:tc>
        <w:tc>
          <w:tcPr>
            <w:tcW w:type="dxa" w:w="1440"/>
            <w:shd w:fill="FAFAFA" w:val="clear"/>
          </w:tcPr>
          <w:p>
            <w:r>
              <w:rPr>
                <w:sz w:val="17"/>
              </w:rPr>
              <w:t>1,887</w:t>
            </w:r>
          </w:p>
        </w:tc>
        <w:tc>
          <w:tcPr>
            <w:tcW w:type="dxa" w:w="1440"/>
            <w:shd w:fill="FAFAFA" w:val="clear"/>
          </w:tcPr>
          <w:p>
            <w:r>
              <w:rPr>
                <w:b/>
                <w:sz w:val="17"/>
              </w:rPr>
              <w:t>1,986</w:t>
            </w:r>
          </w:p>
        </w:tc>
        <w:tc>
          <w:tcPr>
            <w:tcW w:type="dxa" w:w="1440"/>
            <w:shd w:fill="FAFAFA" w:val="clear"/>
          </w:tcPr>
          <w:p>
            <w:r>
              <w:rPr>
                <w:sz w:val="17"/>
              </w:rPr>
              <w:t>2,084</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2026-08-28</w:t>
            </w:r>
          </w:p>
        </w:tc>
        <w:tc>
          <w:tcPr>
            <w:tcW w:type="dxa" w:w="1440"/>
            <w:shd w:fill="FAFAFA" w:val="clear"/>
          </w:tcPr>
          <w:p>
            <w:r>
              <w:rPr>
                <w:sz w:val="17"/>
              </w:rPr>
              <w:t>1,864</w:t>
            </w:r>
          </w:p>
        </w:tc>
        <w:tc>
          <w:tcPr>
            <w:tcW w:type="dxa" w:w="1440"/>
            <w:shd w:fill="FAFAFA" w:val="clear"/>
          </w:tcPr>
          <w:p>
            <w:r>
              <w:rPr>
                <w:b/>
                <w:sz w:val="17"/>
              </w:rPr>
              <w:t>1,984</w:t>
            </w:r>
          </w:p>
        </w:tc>
        <w:tc>
          <w:tcPr>
            <w:tcW w:type="dxa" w:w="1440"/>
            <w:shd w:fill="FAFAFA" w:val="clear"/>
          </w:tcPr>
          <w:p>
            <w:r>
              <w:rPr>
                <w:sz w:val="17"/>
              </w:rPr>
              <w:t>2,104</w:t>
            </w:r>
          </w:p>
        </w:tc>
        <w:tc>
          <w:tcPr>
            <w:tcW w:type="dxa" w:w="1440"/>
            <w:shd w:fill="FAFAFA" w:val="clear"/>
          </w:tcPr>
          <w:p>
            <w:r>
              <w:rPr>
                <w:b/>
                <w:color w:val="C00000"/>
                <w:sz w:val="17"/>
              </w:rPr>
              <w:t>-0.3%</w:t>
            </w:r>
          </w:p>
        </w:tc>
      </w:tr>
      <w:tr>
        <w:tc>
          <w:tcPr>
            <w:tcW w:type="dxa" w:w="1440"/>
            <w:shd w:fill="FAFAFA" w:val="clear"/>
          </w:tcPr>
          <w:p>
            <w:r>
              <w:rPr>
                <w:sz w:val="17"/>
              </w:rPr>
              <w:t>J+3  ⭐</w:t>
            </w:r>
          </w:p>
        </w:tc>
        <w:tc>
          <w:tcPr>
            <w:tcW w:type="dxa" w:w="1440"/>
            <w:shd w:fill="FAFAFA" w:val="clear"/>
          </w:tcPr>
          <w:p>
            <w:r>
              <w:rPr>
                <w:sz w:val="17"/>
              </w:rPr>
              <w:t>2026-08-31</w:t>
            </w:r>
          </w:p>
        </w:tc>
        <w:tc>
          <w:tcPr>
            <w:tcW w:type="dxa" w:w="1440"/>
            <w:shd w:fill="FAFAFA" w:val="clear"/>
          </w:tcPr>
          <w:p>
            <w:r>
              <w:rPr>
                <w:sz w:val="17"/>
              </w:rPr>
              <w:t>1,844</w:t>
            </w:r>
          </w:p>
        </w:tc>
        <w:tc>
          <w:tcPr>
            <w:tcW w:type="dxa" w:w="1440"/>
            <w:shd w:fill="FAFAFA" w:val="clear"/>
          </w:tcPr>
          <w:p>
            <w:r>
              <w:rPr>
                <w:b/>
                <w:sz w:val="17"/>
              </w:rPr>
              <w:t>1,982</w:t>
            </w:r>
          </w:p>
        </w:tc>
        <w:tc>
          <w:tcPr>
            <w:tcW w:type="dxa" w:w="1440"/>
            <w:shd w:fill="FAFAFA" w:val="clear"/>
          </w:tcPr>
          <w:p>
            <w:r>
              <w:rPr>
                <w:sz w:val="17"/>
              </w:rPr>
              <w:t>2,121</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2026-09-01</w:t>
            </w:r>
          </w:p>
        </w:tc>
        <w:tc>
          <w:tcPr>
            <w:tcW w:type="dxa" w:w="1440"/>
            <w:shd w:fill="FAFAFA" w:val="clear"/>
          </w:tcPr>
          <w:p>
            <w:r>
              <w:rPr>
                <w:sz w:val="17"/>
              </w:rPr>
              <w:t>1,826</w:t>
            </w:r>
          </w:p>
        </w:tc>
        <w:tc>
          <w:tcPr>
            <w:tcW w:type="dxa" w:w="1440"/>
            <w:shd w:fill="FAFAFA" w:val="clear"/>
          </w:tcPr>
          <w:p>
            <w:r>
              <w:rPr>
                <w:b/>
                <w:sz w:val="17"/>
              </w:rPr>
              <w:t>1,981</w:t>
            </w:r>
          </w:p>
        </w:tc>
        <w:tc>
          <w:tcPr>
            <w:tcW w:type="dxa" w:w="1440"/>
            <w:shd w:fill="FAFAFA" w:val="clear"/>
          </w:tcPr>
          <w:p>
            <w:r>
              <w:rPr>
                <w:sz w:val="17"/>
              </w:rPr>
              <w:t>2,136</w:t>
            </w:r>
          </w:p>
        </w:tc>
        <w:tc>
          <w:tcPr>
            <w:tcW w:type="dxa" w:w="1440"/>
            <w:shd w:fill="FAFAFA" w:val="clear"/>
          </w:tcPr>
          <w:p>
            <w:r>
              <w:rPr>
                <w:b/>
                <w:color w:val="C00000"/>
                <w:sz w:val="17"/>
              </w:rPr>
              <w:t>-0.5%</w:t>
            </w:r>
          </w:p>
        </w:tc>
      </w:tr>
      <w:tr>
        <w:tc>
          <w:tcPr>
            <w:tcW w:type="dxa" w:w="1440"/>
            <w:shd w:fill="FAFAFA" w:val="clear"/>
          </w:tcPr>
          <w:p>
            <w:r>
              <w:rPr>
                <w:sz w:val="17"/>
              </w:rPr>
              <w:t>J+5  ⭐</w:t>
            </w:r>
          </w:p>
        </w:tc>
        <w:tc>
          <w:tcPr>
            <w:tcW w:type="dxa" w:w="1440"/>
            <w:shd w:fill="FAFAFA" w:val="clear"/>
          </w:tcPr>
          <w:p>
            <w:r>
              <w:rPr>
                <w:sz w:val="17"/>
              </w:rPr>
              <w:t>2026-09-02</w:t>
            </w:r>
          </w:p>
        </w:tc>
        <w:tc>
          <w:tcPr>
            <w:tcW w:type="dxa" w:w="1440"/>
            <w:shd w:fill="FAFAFA" w:val="clear"/>
          </w:tcPr>
          <w:p>
            <w:r>
              <w:rPr>
                <w:sz w:val="17"/>
              </w:rPr>
              <w:t>1,810</w:t>
            </w:r>
          </w:p>
        </w:tc>
        <w:tc>
          <w:tcPr>
            <w:tcW w:type="dxa" w:w="1440"/>
            <w:shd w:fill="FAFAFA" w:val="clear"/>
          </w:tcPr>
          <w:p>
            <w:r>
              <w:rPr>
                <w:b/>
                <w:sz w:val="17"/>
              </w:rPr>
              <w:t>1,979</w:t>
            </w:r>
          </w:p>
        </w:tc>
        <w:tc>
          <w:tcPr>
            <w:tcW w:type="dxa" w:w="1440"/>
            <w:shd w:fill="FAFAFA" w:val="clear"/>
          </w:tcPr>
          <w:p>
            <w:r>
              <w:rPr>
                <w:sz w:val="17"/>
              </w:rPr>
              <w:t>2,149</w:t>
            </w:r>
          </w:p>
        </w:tc>
        <w:tc>
          <w:tcPr>
            <w:tcW w:type="dxa" w:w="1440"/>
            <w:shd w:fill="FAFAFA" w:val="clear"/>
          </w:tcPr>
          <w:p>
            <w:r>
              <w:rPr>
                <w:b/>
                <w:color w:val="C00000"/>
                <w:sz w:val="17"/>
              </w:rPr>
              <w:t>-0.5%</w:t>
            </w:r>
          </w:p>
        </w:tc>
      </w:tr>
      <w:tr>
        <w:tc>
          <w:tcPr>
            <w:tcW w:type="dxa" w:w="1440"/>
            <w:shd w:fill="FAFAFA" w:val="clear"/>
          </w:tcPr>
          <w:p>
            <w:r>
              <w:rPr>
                <w:sz w:val="17"/>
              </w:rPr>
              <w:t>J+6  ⭐</w:t>
            </w:r>
          </w:p>
        </w:tc>
        <w:tc>
          <w:tcPr>
            <w:tcW w:type="dxa" w:w="1440"/>
            <w:shd w:fill="FAFAFA" w:val="clear"/>
          </w:tcPr>
          <w:p>
            <w:r>
              <w:rPr>
                <w:sz w:val="17"/>
              </w:rPr>
              <w:t>2026-09-03</w:t>
            </w:r>
          </w:p>
        </w:tc>
        <w:tc>
          <w:tcPr>
            <w:tcW w:type="dxa" w:w="1440"/>
            <w:shd w:fill="FAFAFA" w:val="clear"/>
          </w:tcPr>
          <w:p>
            <w:r>
              <w:rPr>
                <w:sz w:val="17"/>
              </w:rPr>
              <w:t>1,795</w:t>
            </w:r>
          </w:p>
        </w:tc>
        <w:tc>
          <w:tcPr>
            <w:tcW w:type="dxa" w:w="1440"/>
            <w:shd w:fill="FAFAFA" w:val="clear"/>
          </w:tcPr>
          <w:p>
            <w:r>
              <w:rPr>
                <w:b/>
                <w:sz w:val="17"/>
              </w:rPr>
              <w:t>1,978</w:t>
            </w:r>
          </w:p>
        </w:tc>
        <w:tc>
          <w:tcPr>
            <w:tcW w:type="dxa" w:w="1440"/>
            <w:shd w:fill="FAFAFA" w:val="clear"/>
          </w:tcPr>
          <w:p>
            <w:r>
              <w:rPr>
                <w:sz w:val="17"/>
              </w:rPr>
              <w:t>2,161</w:t>
            </w:r>
          </w:p>
        </w:tc>
        <w:tc>
          <w:tcPr>
            <w:tcW w:type="dxa" w:w="1440"/>
            <w:shd w:fill="FAFAFA" w:val="clear"/>
          </w:tcPr>
          <w:p>
            <w:r>
              <w:rPr>
                <w:b/>
                <w:color w:val="C00000"/>
                <w:sz w:val="17"/>
              </w:rPr>
              <w:t>-0.6%</w:t>
            </w:r>
          </w:p>
        </w:tc>
      </w:tr>
      <w:tr>
        <w:tc>
          <w:tcPr>
            <w:tcW w:type="dxa" w:w="1440"/>
            <w:shd w:fill="FAFAFA" w:val="clear"/>
          </w:tcPr>
          <w:p>
            <w:r>
              <w:rPr>
                <w:sz w:val="17"/>
              </w:rPr>
              <w:t>J+7  ⭐</w:t>
            </w:r>
          </w:p>
        </w:tc>
        <w:tc>
          <w:tcPr>
            <w:tcW w:type="dxa" w:w="1440"/>
            <w:shd w:fill="FAFAFA" w:val="clear"/>
          </w:tcPr>
          <w:p>
            <w:r>
              <w:rPr>
                <w:sz w:val="17"/>
              </w:rPr>
              <w:t>2026-09-04</w:t>
            </w:r>
          </w:p>
        </w:tc>
        <w:tc>
          <w:tcPr>
            <w:tcW w:type="dxa" w:w="1440"/>
            <w:shd w:fill="FAFAFA" w:val="clear"/>
          </w:tcPr>
          <w:p>
            <w:r>
              <w:rPr>
                <w:sz w:val="17"/>
              </w:rPr>
              <w:t>1,781</w:t>
            </w:r>
          </w:p>
        </w:tc>
        <w:tc>
          <w:tcPr>
            <w:tcW w:type="dxa" w:w="1440"/>
            <w:shd w:fill="FAFAFA" w:val="clear"/>
          </w:tcPr>
          <w:p>
            <w:r>
              <w:rPr>
                <w:b/>
                <w:sz w:val="17"/>
              </w:rPr>
              <w:t>1,977</w:t>
            </w:r>
          </w:p>
        </w:tc>
        <w:tc>
          <w:tcPr>
            <w:tcW w:type="dxa" w:w="1440"/>
            <w:shd w:fill="FAFAFA" w:val="clear"/>
          </w:tcPr>
          <w:p>
            <w:r>
              <w:rPr>
                <w:sz w:val="17"/>
              </w:rPr>
              <w:t>2,172</w:t>
            </w:r>
          </w:p>
        </w:tc>
        <w:tc>
          <w:tcPr>
            <w:tcW w:type="dxa" w:w="1440"/>
            <w:shd w:fill="FAFAFA" w:val="clear"/>
          </w:tcPr>
          <w:p>
            <w:r>
              <w:rPr>
                <w:b/>
                <w:color w:val="C00000"/>
                <w:sz w:val="17"/>
              </w:rPr>
              <w:t>-0.7%</w:t>
            </w:r>
          </w:p>
        </w:tc>
      </w:tr>
      <w:tr>
        <w:tc>
          <w:tcPr>
            <w:tcW w:type="dxa" w:w="1440"/>
            <w:shd w:fill="FAFAFA" w:val="clear"/>
          </w:tcPr>
          <w:p>
            <w:r>
              <w:rPr>
                <w:sz w:val="17"/>
              </w:rPr>
              <w:t>J+8  ⭐</w:t>
            </w:r>
          </w:p>
        </w:tc>
        <w:tc>
          <w:tcPr>
            <w:tcW w:type="dxa" w:w="1440"/>
            <w:shd w:fill="FAFAFA" w:val="clear"/>
          </w:tcPr>
          <w:p>
            <w:r>
              <w:rPr>
                <w:sz w:val="17"/>
              </w:rPr>
              <w:t>2026-09-07</w:t>
            </w:r>
          </w:p>
        </w:tc>
        <w:tc>
          <w:tcPr>
            <w:tcW w:type="dxa" w:w="1440"/>
            <w:shd w:fill="FAFAFA" w:val="clear"/>
          </w:tcPr>
          <w:p>
            <w:r>
              <w:rPr>
                <w:sz w:val="17"/>
              </w:rPr>
              <w:t>1,768</w:t>
            </w:r>
          </w:p>
        </w:tc>
        <w:tc>
          <w:tcPr>
            <w:tcW w:type="dxa" w:w="1440"/>
            <w:shd w:fill="FAFAFA" w:val="clear"/>
          </w:tcPr>
          <w:p>
            <w:r>
              <w:rPr>
                <w:b/>
                <w:sz w:val="17"/>
              </w:rPr>
              <w:t>1,975</w:t>
            </w:r>
          </w:p>
        </w:tc>
        <w:tc>
          <w:tcPr>
            <w:tcW w:type="dxa" w:w="1440"/>
            <w:shd w:fill="FAFAFA" w:val="clear"/>
          </w:tcPr>
          <w:p>
            <w:r>
              <w:rPr>
                <w:sz w:val="17"/>
              </w:rPr>
              <w:t>2,183</w:t>
            </w:r>
          </w:p>
        </w:tc>
        <w:tc>
          <w:tcPr>
            <w:tcW w:type="dxa" w:w="1440"/>
            <w:shd w:fill="FAFAFA" w:val="clear"/>
          </w:tcPr>
          <w:p>
            <w:r>
              <w:rPr>
                <w:b/>
                <w:color w:val="C00000"/>
                <w:sz w:val="17"/>
              </w:rPr>
              <w:t>-0.7%</w:t>
            </w:r>
          </w:p>
        </w:tc>
      </w:tr>
      <w:tr>
        <w:tc>
          <w:tcPr>
            <w:tcW w:type="dxa" w:w="1440"/>
            <w:shd w:fill="FAFAFA" w:val="clear"/>
          </w:tcPr>
          <w:p>
            <w:r>
              <w:rPr>
                <w:sz w:val="17"/>
              </w:rPr>
              <w:t>J+9  ⭐</w:t>
            </w:r>
          </w:p>
        </w:tc>
        <w:tc>
          <w:tcPr>
            <w:tcW w:type="dxa" w:w="1440"/>
            <w:shd w:fill="FAFAFA" w:val="clear"/>
          </w:tcPr>
          <w:p>
            <w:r>
              <w:rPr>
                <w:sz w:val="17"/>
              </w:rPr>
              <w:t>2026-09-08</w:t>
            </w:r>
          </w:p>
        </w:tc>
        <w:tc>
          <w:tcPr>
            <w:tcW w:type="dxa" w:w="1440"/>
            <w:shd w:fill="FAFAFA" w:val="clear"/>
          </w:tcPr>
          <w:p>
            <w:r>
              <w:rPr>
                <w:sz w:val="17"/>
              </w:rPr>
              <w:t>1,756</w:t>
            </w:r>
          </w:p>
        </w:tc>
        <w:tc>
          <w:tcPr>
            <w:tcW w:type="dxa" w:w="1440"/>
            <w:shd w:fill="FAFAFA" w:val="clear"/>
          </w:tcPr>
          <w:p>
            <w:r>
              <w:rPr>
                <w:b/>
                <w:sz w:val="17"/>
              </w:rPr>
              <w:t>1,974</w:t>
            </w:r>
          </w:p>
        </w:tc>
        <w:tc>
          <w:tcPr>
            <w:tcW w:type="dxa" w:w="1440"/>
            <w:shd w:fill="FAFAFA" w:val="clear"/>
          </w:tcPr>
          <w:p>
            <w:r>
              <w:rPr>
                <w:sz w:val="17"/>
              </w:rPr>
              <w:t>2,193</w:t>
            </w:r>
          </w:p>
        </w:tc>
        <w:tc>
          <w:tcPr>
            <w:tcW w:type="dxa" w:w="1440"/>
            <w:shd w:fill="FAFAFA" w:val="clear"/>
          </w:tcPr>
          <w:p>
            <w:r>
              <w:rPr>
                <w:b/>
                <w:color w:val="C00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BNBC s'établit à 13,18 milliards FCFA, un niveau modeste sur la BRVM qui reflète la faible taille de l'entreprise dans le secteur de la distribution de matériaux. Le BPA de 3 FCFA par action est extrêmement faible, ce qui explique un PER de 590,6x, très largement supérieur à la moyenne du marché régional (8-12x), signalant une valorisation extrêmement exigeante par rapport aux bénéfices générés. En revanche, le P/B de 0,74x indique que le marché valorise le titre sous sa valeur comptable, suggérant une décote potentielle sur l'actif net. L'EV/EBITDA de 24,2x, bien au-dessus du seuil de 15x, confirme que la valeur d'entreprise est très élevée relativement à sa capacité opérationnelle, ce qui impose une grande prudence aux investisseurs.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BNBC a enregistré une progression remarquable de +25,55%, avec un cours actuel de 1 990 FCFA, stable par rapport à la séance précédente. Le titre a évolué dans une fourchette de 1 300 à 2 100 FCFA, démontrant une amplitude de trading significative de 800 FCFA. La moyenne de 1 757 FCFA et la médiane de 1 762 FCFA sont très proches, indiquant une distribution relativement symétrique des cours, confirmée par un skewness de -0,238. L'écart-type de 209 FCFA (CV=11,9%) révèle une dispersion modérée des prix autour de la moyenne. Le kurtosis de -1,296 (platykurtique) suggère une distribution aplatie avec peu de valeurs extrêmes, tandis que la volatilité annualisée de 47,7% classe le titre comme très volatil, nettement au-dessus du seuil de 30% considéré comme élevé.</w:t>
      </w:r>
    </w:p>
    <w:p>
      <w:pPr>
        <w:spacing w:after="120" w:line="276" w:lineRule="auto" w:before="240"/>
      </w:pPr>
      <w:r>
        <w:rPr>
          <w:b/>
          <w:color w:val="003366"/>
          <w:sz w:val="24"/>
        </w:rPr>
        <w:t>**PARTIE 2 : ANALYSE TECHNIQUE DÉTAILLÉE**</w:t>
      </w:r>
    </w:p>
    <w:p>
      <w:pPr>
        <w:spacing w:after="120" w:line="276" w:lineRule="auto"/>
      </w:pPr>
      <w:r>
        <w:t>**Moyennes Mobiles** : Les MM20 et MM50 sont quasi identiques (1 946 et 1 943 FCFA), toutes deux inférieures au cours actuel de 1 990 FCFA, ce qui confirme une dynamique haussière. Le croisement de ces moyennes avec le cours au-dessus suggère un momentum positif, justifiant la décision d'achat.</w:t>
      </w:r>
    </w:p>
    <w:p>
      <w:pPr>
        <w:spacing w:after="120" w:line="276" w:lineRule="auto"/>
      </w:pPr>
      <w:r>
        <w:t>**Bandes de Bollinger** : Le cours se positionne à 1 990 FCFA, dans la partie supérieure de l'enveloppe (borne haute à 2 044,8 et borne basse à 1 847,2 FCFA), sans toutefois toucher la borne supérieure. Cette configuration indique une volatilité modérée avec un potentiel de poursuite haussière, d'où la décision neutre.</w:t>
      </w:r>
    </w:p>
    <w:p>
      <w:pPr>
        <w:spacing w:after="120" w:line="276" w:lineRule="auto"/>
      </w:pPr>
      <w:r>
        <w:t>**MACD** : La valeur du MACD (25,66) est supérieure à son signal (23,90), avec un écart positif de 1,76 point, indiquant un momentum haussier en cours. Cette configuration classique de croisement haussier soutient la décision d'achat.</w:t>
      </w:r>
    </w:p>
    <w:p>
      <w:pPr>
        <w:spacing w:after="120" w:line="276" w:lineRule="auto"/>
      </w:pPr>
      <w:r>
        <w:t>**RSI** : À 68,75, le RSI se situe en zone neutre-haute, proche du seuil de surachat (70). Cette valeur suggère que le titre conserve un potentiel haussier mais approche d'une zone de prudence, justifiant la décision neutre.</w:t>
      </w:r>
    </w:p>
    <w:p>
      <w:pPr>
        <w:spacing w:after="120" w:line="276" w:lineRule="auto"/>
      </w:pPr>
      <w:r>
        <w:t>**Stochastique** : Le %K (90,0) et le %D (90,3) sont tous deux en zone de surachat extrême (&gt;80), avec un croisement baissier potentiel (%K &lt; %D). Cette configuration signale un risque de correction à court terme, d'où la décision de vente.</w:t>
      </w:r>
    </w:p>
    <w:p>
      <w:pPr>
        <w:spacing w:after="120" w:line="276" w:lineRule="auto"/>
      </w:pPr>
      <w:r>
        <w:t>**Conclusion technique** : Les indicateurs sont mitigés avec une majorité de signaux positifs (MM, MACD) mais des signaux de surachat sur le stochastique. La convergence des MM et du MACD suggère une tendance haussière solide, mais le niveau élevé du stochastique et du RSI proche de 70 appelle à la prudence pour les entrées à court terme.</w:t>
      </w:r>
    </w:p>
    <w:p>
      <w:pPr>
        <w:spacing w:after="120" w:line="276" w:lineRule="auto" w:before="240"/>
      </w:pPr>
      <w:r>
        <w:rPr>
          <w:b/>
          <w:color w:val="003366"/>
          <w:sz w:val="24"/>
        </w:rPr>
        <w:t>**PARTIE 3 : ANALYSE FONDAMENTALE (SECTION CRITIQUE)**</w:t>
      </w:r>
    </w:p>
    <w:p>
      <w:pPr>
        <w:spacing w:after="120" w:line="276" w:lineRule="auto"/>
      </w:pPr>
      <w:r>
        <w:t>En 2025, BNBC a réalisé un chiffre d'affaires de 42,454 milliards FCFA, en baisse de 6,31% par rapport à 2024 (45,312 milliards), avec un résultat net dérisoire de 22,32 millions FCFA (marge nette de 0,05%) et un ROE de 0,13%, très loin du seuil de 15% considéré comme excellent. Le BFR de 29,373 milliards FCFA est préoccupant, avec un délai clients de 104 jours et une durée de stockage de 339 jours, indiquant une immobilisation importante de capital. La trésorerie nette est fortement négative à -16,689 milliards FCFA, avec un flux opérationnel de -786 millions FCFA, reflétant des difficultés de liquidité. Le rapport du T1 2026 (daté du 31 décembre 2026) montre un chiffre d'affaires stable à 11,194 milliards FCFA (-0,12%) mais un résultat net positif de 65,57 millions FCFA, contre une perte de 16,15 millions au T1 2025, soit une amélioration spectaculaire de 506%. On estime que l'exercice 2026 pourrait voir une amélioration progressive de la rentabilité grâce à la montée en puissance de la division Équipement et au nouveau showroom Technibat KM4, bien que la situation reste fragile avec une marge nette toujours inférieure à 1%.</w:t>
      </w:r>
    </w:p>
    <w:p>
      <w:pPr>
        <w:spacing w:after="120" w:line="276" w:lineRule="auto" w:before="240"/>
      </w:pPr>
      <w:r>
        <w:rPr>
          <w:b/>
          <w:color w:val="003366"/>
          <w:sz w:val="24"/>
        </w:rPr>
        <w:t>**PARTIE 4 : CONCLUSION D'INVESTISSEMENT**</w:t>
      </w:r>
    </w:p>
    <w:p>
      <w:pPr>
        <w:spacing w:after="120" w:line="276" w:lineRule="auto"/>
      </w:pPr>
      <w:r>
        <w:t>La valorisation de BNBC est extrêmement élevée (PER de 590,6x) malgré un P/B sous la valeur comptable, tandis que le comportement du cours montre une tendance haussière de +25,55% sur 100 jours avec une volatilité très élevée (47,7%). Les signaux techniques sont partagés entre une dynamique positive (MM, MACD) et des conditions de surachat (Stochastique, RSI proche de 70). Les fondamentaux restent très faibles avec une rentabilité quasi nulle (ROE de 0,13%) et une trésorerie négative de 16,7 milliards FCFA, bien que le T1 2026 montre une amélioration encourageante du résultat net. Les prédictions IA indiquent une légère baisse du cours vers 1 979-1 986 FCFA sur les 10 prochains jours, suggérant une consolidation après la forte hausse récente. La convergence entre la valorisation excessive, les fondamentaux fragiles et les prédictions baissières contraste avec les signaux techniques positifs. Recommandation finale : **CONSERVER** avec un niveau de confiance **Moyen** et un risque global **Élevé**. Horizon d'investissement optimal : **moyen terme (3-12 mois)**, en attendant la confirmation d'une amélioration durable de la rentabilité et une clarification de la stratégie de redressement.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405.20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5,972 titres</w:t>
            </w:r>
          </w:p>
        </w:tc>
        <w:tc>
          <w:tcPr>
            <w:tcW w:type="dxa" w:w="2268"/>
            <w:shd w:fill="FFF2CC" w:val="clear"/>
          </w:tcPr>
          <w:p>
            <w:r>
              <w:rPr>
                <w:b/>
                <w:color w:val="503200"/>
                <w:sz w:val="16"/>
              </w:rPr>
              <w:t xml:space="preserve">Cours actuel : </w:t>
            </w:r>
            <w:r>
              <w:rPr>
                <w:color w:val="000000"/>
                <w:sz w:val="17"/>
              </w:rPr>
              <w:t>9,990 FCFA</w:t>
            </w:r>
          </w:p>
          <w:p>
            <w:r>
              <w:rPr>
                <w:b/>
                <w:color w:val="503200"/>
                <w:sz w:val="16"/>
              </w:rPr>
              <w:t xml:space="preserve">Var. 100 jours : </w:t>
            </w:r>
            <w:r>
              <w:rPr>
                <w:b/>
                <w:color w:val="007800"/>
                <w:sz w:val="17"/>
              </w:rPr>
              <w:t>+35.00%</w:t>
            </w:r>
          </w:p>
          <w:p>
            <w:r>
              <w:rPr>
                <w:b/>
                <w:color w:val="503200"/>
                <w:sz w:val="16"/>
              </w:rPr>
              <w:t xml:space="preserve">Plus haut 100j : </w:t>
            </w:r>
            <w:r>
              <w:rPr>
                <w:color w:val="000000"/>
                <w:sz w:val="17"/>
              </w:rPr>
              <w:t>9,990 FCFA</w:t>
            </w:r>
          </w:p>
          <w:p>
            <w:r>
              <w:rPr>
                <w:b/>
                <w:color w:val="503200"/>
                <w:sz w:val="16"/>
              </w:rPr>
              <w:t xml:space="preserve">Plus bas 100j : </w:t>
            </w:r>
            <w:r>
              <w:rPr>
                <w:color w:val="000000"/>
                <w:sz w:val="17"/>
              </w:rPr>
              <w:t>7,400 FCFA</w:t>
            </w:r>
          </w:p>
          <w:p>
            <w:r>
              <w:rPr>
                <w:b/>
                <w:color w:val="503200"/>
                <w:sz w:val="16"/>
              </w:rPr>
              <w:t xml:space="preserve">Volatilité ann. : </w:t>
            </w:r>
            <w:r>
              <w:rPr>
                <w:color w:val="000000"/>
                <w:sz w:val="17"/>
              </w:rPr>
              <w:t>26.1%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6.42% (Moyenne) — μ=8,699 FCFA, σ=559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β=-0.0421 (Contre-cyclique) — Cov=-0.000001, Var(idx)=0.000034, ρ=-0.015,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5,972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σ_j=1.64%/j (Stable) — Vol. annualisée≈26.1%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2026-08-27</w:t>
            </w:r>
          </w:p>
        </w:tc>
        <w:tc>
          <w:tcPr>
            <w:tcW w:type="dxa" w:w="1440"/>
            <w:shd w:fill="FFDCE0" w:val="clear"/>
          </w:tcPr>
          <w:p>
            <w:r>
              <w:rPr>
                <w:sz w:val="17"/>
              </w:rPr>
              <w:t>8,802</w:t>
            </w:r>
          </w:p>
        </w:tc>
        <w:tc>
          <w:tcPr>
            <w:tcW w:type="dxa" w:w="1440"/>
            <w:shd w:fill="FFDCE0" w:val="clear"/>
          </w:tcPr>
          <w:p>
            <w:r>
              <w:rPr>
                <w:b/>
                <w:sz w:val="17"/>
              </w:rPr>
              <w:t>9,212</w:t>
            </w:r>
          </w:p>
        </w:tc>
        <w:tc>
          <w:tcPr>
            <w:tcW w:type="dxa" w:w="1440"/>
            <w:shd w:fill="FFDCE0" w:val="clear"/>
          </w:tcPr>
          <w:p>
            <w:r>
              <w:rPr>
                <w:sz w:val="17"/>
              </w:rPr>
              <w:t>9,622</w:t>
            </w:r>
          </w:p>
        </w:tc>
        <w:tc>
          <w:tcPr>
            <w:tcW w:type="dxa" w:w="1440"/>
            <w:shd w:fill="FFDCE0" w:val="clear"/>
          </w:tcPr>
          <w:p>
            <w:r>
              <w:rPr>
                <w:b/>
                <w:color w:val="C00000"/>
                <w:sz w:val="17"/>
              </w:rPr>
              <w:t>-7.8%</w:t>
            </w:r>
          </w:p>
        </w:tc>
      </w:tr>
      <w:tr>
        <w:tc>
          <w:tcPr>
            <w:tcW w:type="dxa" w:w="1440"/>
            <w:shd w:fill="FFDCE0" w:val="clear"/>
          </w:tcPr>
          <w:p>
            <w:r>
              <w:rPr>
                <w:sz w:val="17"/>
              </w:rPr>
              <w:t>J+2  ⭐⭐⭐</w:t>
            </w:r>
          </w:p>
        </w:tc>
        <w:tc>
          <w:tcPr>
            <w:tcW w:type="dxa" w:w="1440"/>
            <w:shd w:fill="FFDCE0" w:val="clear"/>
          </w:tcPr>
          <w:p>
            <w:r>
              <w:rPr>
                <w:sz w:val="17"/>
              </w:rPr>
              <w:t>2026-08-28</w:t>
            </w:r>
          </w:p>
        </w:tc>
        <w:tc>
          <w:tcPr>
            <w:tcW w:type="dxa" w:w="1440"/>
            <w:shd w:fill="FFDCE0" w:val="clear"/>
          </w:tcPr>
          <w:p>
            <w:r>
              <w:rPr>
                <w:sz w:val="17"/>
              </w:rPr>
              <w:t>8,516</w:t>
            </w:r>
          </w:p>
        </w:tc>
        <w:tc>
          <w:tcPr>
            <w:tcW w:type="dxa" w:w="1440"/>
            <w:shd w:fill="FFDCE0" w:val="clear"/>
          </w:tcPr>
          <w:p>
            <w:r>
              <w:rPr>
                <w:b/>
                <w:sz w:val="17"/>
              </w:rPr>
              <w:t>9,007</w:t>
            </w:r>
          </w:p>
        </w:tc>
        <w:tc>
          <w:tcPr>
            <w:tcW w:type="dxa" w:w="1440"/>
            <w:shd w:fill="FFDCE0" w:val="clear"/>
          </w:tcPr>
          <w:p>
            <w:r>
              <w:rPr>
                <w:sz w:val="17"/>
              </w:rPr>
              <w:t>9,498</w:t>
            </w:r>
          </w:p>
        </w:tc>
        <w:tc>
          <w:tcPr>
            <w:tcW w:type="dxa" w:w="1440"/>
            <w:shd w:fill="FFDCE0" w:val="clear"/>
          </w:tcPr>
          <w:p>
            <w:r>
              <w:rPr>
                <w:b/>
                <w:color w:val="C00000"/>
                <w:sz w:val="17"/>
              </w:rPr>
              <w:t>-9.8%</w:t>
            </w:r>
          </w:p>
        </w:tc>
      </w:tr>
      <w:tr>
        <w:tc>
          <w:tcPr>
            <w:tcW w:type="dxa" w:w="1440"/>
            <w:shd w:fill="FFDCE0" w:val="clear"/>
          </w:tcPr>
          <w:p>
            <w:r>
              <w:rPr>
                <w:sz w:val="17"/>
              </w:rPr>
              <w:t>J+3  Moyenne</w:t>
            </w:r>
          </w:p>
        </w:tc>
        <w:tc>
          <w:tcPr>
            <w:tcW w:type="dxa" w:w="1440"/>
            <w:shd w:fill="FFDCE0" w:val="clear"/>
          </w:tcPr>
          <w:p>
            <w:r>
              <w:rPr>
                <w:sz w:val="17"/>
              </w:rPr>
              <w:t>2026-08-31</w:t>
            </w:r>
          </w:p>
        </w:tc>
        <w:tc>
          <w:tcPr>
            <w:tcW w:type="dxa" w:w="1440"/>
            <w:shd w:fill="FFDCE0" w:val="clear"/>
          </w:tcPr>
          <w:p>
            <w:r>
              <w:rPr>
                <w:sz w:val="17"/>
              </w:rPr>
              <w:t>8,299</w:t>
            </w:r>
          </w:p>
        </w:tc>
        <w:tc>
          <w:tcPr>
            <w:tcW w:type="dxa" w:w="1440"/>
            <w:shd w:fill="FFDCE0" w:val="clear"/>
          </w:tcPr>
          <w:p>
            <w:r>
              <w:rPr>
                <w:b/>
                <w:sz w:val="17"/>
              </w:rPr>
              <w:t>8,857</w:t>
            </w:r>
          </w:p>
        </w:tc>
        <w:tc>
          <w:tcPr>
            <w:tcW w:type="dxa" w:w="1440"/>
            <w:shd w:fill="FFDCE0" w:val="clear"/>
          </w:tcPr>
          <w:p>
            <w:r>
              <w:rPr>
                <w:sz w:val="17"/>
              </w:rPr>
              <w:t>9,414</w:t>
            </w:r>
          </w:p>
        </w:tc>
        <w:tc>
          <w:tcPr>
            <w:tcW w:type="dxa" w:w="1440"/>
            <w:shd w:fill="FFDCE0" w:val="clear"/>
          </w:tcPr>
          <w:p>
            <w:r>
              <w:rPr>
                <w:b/>
                <w:color w:val="C00000"/>
                <w:sz w:val="17"/>
              </w:rPr>
              <w:t>-11.3%</w:t>
            </w:r>
          </w:p>
        </w:tc>
      </w:tr>
      <w:tr>
        <w:tc>
          <w:tcPr>
            <w:tcW w:type="dxa" w:w="1440"/>
            <w:shd w:fill="FFDCE0" w:val="clear"/>
          </w:tcPr>
          <w:p>
            <w:r>
              <w:rPr>
                <w:sz w:val="17"/>
              </w:rPr>
              <w:t>J+4  Moyenne</w:t>
            </w:r>
          </w:p>
        </w:tc>
        <w:tc>
          <w:tcPr>
            <w:tcW w:type="dxa" w:w="1440"/>
            <w:shd w:fill="FFDCE0" w:val="clear"/>
          </w:tcPr>
          <w:p>
            <w:r>
              <w:rPr>
                <w:sz w:val="17"/>
              </w:rPr>
              <w:t>2026-09-01</w:t>
            </w:r>
          </w:p>
        </w:tc>
        <w:tc>
          <w:tcPr>
            <w:tcW w:type="dxa" w:w="1440"/>
            <w:shd w:fill="FFDCE0" w:val="clear"/>
          </w:tcPr>
          <w:p>
            <w:r>
              <w:rPr>
                <w:sz w:val="17"/>
              </w:rPr>
              <w:t>8,114</w:t>
            </w:r>
          </w:p>
        </w:tc>
        <w:tc>
          <w:tcPr>
            <w:tcW w:type="dxa" w:w="1440"/>
            <w:shd w:fill="FFDCE0" w:val="clear"/>
          </w:tcPr>
          <w:p>
            <w:r>
              <w:rPr>
                <w:b/>
                <w:sz w:val="17"/>
              </w:rPr>
              <w:t>8,728</w:t>
            </w:r>
          </w:p>
        </w:tc>
        <w:tc>
          <w:tcPr>
            <w:tcW w:type="dxa" w:w="1440"/>
            <w:shd w:fill="FFDCE0" w:val="clear"/>
          </w:tcPr>
          <w:p>
            <w:r>
              <w:rPr>
                <w:sz w:val="17"/>
              </w:rPr>
              <w:t>9,342</w:t>
            </w:r>
          </w:p>
        </w:tc>
        <w:tc>
          <w:tcPr>
            <w:tcW w:type="dxa" w:w="1440"/>
            <w:shd w:fill="FFDCE0" w:val="clear"/>
          </w:tcPr>
          <w:p>
            <w:r>
              <w:rPr>
                <w:b/>
                <w:color w:val="C00000"/>
                <w:sz w:val="17"/>
              </w:rPr>
              <w:t>-12.6%</w:t>
            </w:r>
          </w:p>
        </w:tc>
      </w:tr>
      <w:tr>
        <w:tc>
          <w:tcPr>
            <w:tcW w:type="dxa" w:w="1440"/>
            <w:shd w:fill="FFDCE0" w:val="clear"/>
          </w:tcPr>
          <w:p>
            <w:r>
              <w:rPr>
                <w:sz w:val="17"/>
              </w:rPr>
              <w:t>J+5  Moyenne</w:t>
            </w:r>
          </w:p>
        </w:tc>
        <w:tc>
          <w:tcPr>
            <w:tcW w:type="dxa" w:w="1440"/>
            <w:shd w:fill="FFDCE0" w:val="clear"/>
          </w:tcPr>
          <w:p>
            <w:r>
              <w:rPr>
                <w:sz w:val="17"/>
              </w:rPr>
              <w:t>2026-09-02</w:t>
            </w:r>
          </w:p>
        </w:tc>
        <w:tc>
          <w:tcPr>
            <w:tcW w:type="dxa" w:w="1440"/>
            <w:shd w:fill="FFDCE0" w:val="clear"/>
          </w:tcPr>
          <w:p>
            <w:r>
              <w:rPr>
                <w:sz w:val="17"/>
              </w:rPr>
              <w:t>7,946</w:t>
            </w:r>
          </w:p>
        </w:tc>
        <w:tc>
          <w:tcPr>
            <w:tcW w:type="dxa" w:w="1440"/>
            <w:shd w:fill="FFDCE0" w:val="clear"/>
          </w:tcPr>
          <w:p>
            <w:r>
              <w:rPr>
                <w:b/>
                <w:sz w:val="17"/>
              </w:rPr>
              <w:t>8,610</w:t>
            </w:r>
          </w:p>
        </w:tc>
        <w:tc>
          <w:tcPr>
            <w:tcW w:type="dxa" w:w="1440"/>
            <w:shd w:fill="FFDCE0" w:val="clear"/>
          </w:tcPr>
          <w:p>
            <w:r>
              <w:rPr>
                <w:sz w:val="17"/>
              </w:rPr>
              <w:t>9,274</w:t>
            </w:r>
          </w:p>
        </w:tc>
        <w:tc>
          <w:tcPr>
            <w:tcW w:type="dxa" w:w="1440"/>
            <w:shd w:fill="FFDCE0" w:val="clear"/>
          </w:tcPr>
          <w:p>
            <w:r>
              <w:rPr>
                <w:b/>
                <w:color w:val="C00000"/>
                <w:sz w:val="17"/>
              </w:rPr>
              <w:t>-13.8%</w:t>
            </w:r>
          </w:p>
        </w:tc>
      </w:tr>
      <w:tr>
        <w:tc>
          <w:tcPr>
            <w:tcW w:type="dxa" w:w="1440"/>
            <w:shd w:fill="FFDCE0" w:val="clear"/>
          </w:tcPr>
          <w:p>
            <w:r>
              <w:rPr>
                <w:sz w:val="17"/>
              </w:rPr>
              <w:t>J+6  Moyenne</w:t>
            </w:r>
          </w:p>
        </w:tc>
        <w:tc>
          <w:tcPr>
            <w:tcW w:type="dxa" w:w="1440"/>
            <w:shd w:fill="FFDCE0" w:val="clear"/>
          </w:tcPr>
          <w:p>
            <w:r>
              <w:rPr>
                <w:sz w:val="17"/>
              </w:rPr>
              <w:t>2026-09-03</w:t>
            </w:r>
          </w:p>
        </w:tc>
        <w:tc>
          <w:tcPr>
            <w:tcW w:type="dxa" w:w="1440"/>
            <w:shd w:fill="FFDCE0" w:val="clear"/>
          </w:tcPr>
          <w:p>
            <w:r>
              <w:rPr>
                <w:sz w:val="17"/>
              </w:rPr>
              <w:t>7,792</w:t>
            </w:r>
          </w:p>
        </w:tc>
        <w:tc>
          <w:tcPr>
            <w:tcW w:type="dxa" w:w="1440"/>
            <w:shd w:fill="FFDCE0" w:val="clear"/>
          </w:tcPr>
          <w:p>
            <w:r>
              <w:rPr>
                <w:b/>
                <w:sz w:val="17"/>
              </w:rPr>
              <w:t>8,500</w:t>
            </w:r>
          </w:p>
        </w:tc>
        <w:tc>
          <w:tcPr>
            <w:tcW w:type="dxa" w:w="1440"/>
            <w:shd w:fill="FFDCE0" w:val="clear"/>
          </w:tcPr>
          <w:p>
            <w:r>
              <w:rPr>
                <w:sz w:val="17"/>
              </w:rPr>
              <w:t>9,208</w:t>
            </w:r>
          </w:p>
        </w:tc>
        <w:tc>
          <w:tcPr>
            <w:tcW w:type="dxa" w:w="1440"/>
            <w:shd w:fill="FFDCE0" w:val="clear"/>
          </w:tcPr>
          <w:p>
            <w:r>
              <w:rPr>
                <w:b/>
                <w:color w:val="C00000"/>
                <w:sz w:val="17"/>
              </w:rPr>
              <w:t>-14.9%</w:t>
            </w:r>
          </w:p>
        </w:tc>
      </w:tr>
      <w:tr>
        <w:tc>
          <w:tcPr>
            <w:tcW w:type="dxa" w:w="1440"/>
            <w:shd w:fill="FFDCE0" w:val="clear"/>
          </w:tcPr>
          <w:p>
            <w:r>
              <w:rPr>
                <w:sz w:val="17"/>
              </w:rPr>
              <w:t>J+7  Moyenne</w:t>
            </w:r>
          </w:p>
        </w:tc>
        <w:tc>
          <w:tcPr>
            <w:tcW w:type="dxa" w:w="1440"/>
            <w:shd w:fill="FFDCE0" w:val="clear"/>
          </w:tcPr>
          <w:p>
            <w:r>
              <w:rPr>
                <w:sz w:val="17"/>
              </w:rPr>
              <w:t>2026-09-04</w:t>
            </w:r>
          </w:p>
        </w:tc>
        <w:tc>
          <w:tcPr>
            <w:tcW w:type="dxa" w:w="1440"/>
            <w:shd w:fill="FFDCE0" w:val="clear"/>
          </w:tcPr>
          <w:p>
            <w:r>
              <w:rPr>
                <w:sz w:val="17"/>
              </w:rPr>
              <w:t>7,649</w:t>
            </w:r>
          </w:p>
        </w:tc>
        <w:tc>
          <w:tcPr>
            <w:tcW w:type="dxa" w:w="1440"/>
            <w:shd w:fill="FFDCE0" w:val="clear"/>
          </w:tcPr>
          <w:p>
            <w:r>
              <w:rPr>
                <w:b/>
                <w:sz w:val="17"/>
              </w:rPr>
              <w:t>8,397</w:t>
            </w:r>
          </w:p>
        </w:tc>
        <w:tc>
          <w:tcPr>
            <w:tcW w:type="dxa" w:w="1440"/>
            <w:shd w:fill="FFDCE0" w:val="clear"/>
          </w:tcPr>
          <w:p>
            <w:r>
              <w:rPr>
                <w:sz w:val="17"/>
              </w:rPr>
              <w:t>9,145</w:t>
            </w:r>
          </w:p>
        </w:tc>
        <w:tc>
          <w:tcPr>
            <w:tcW w:type="dxa" w:w="1440"/>
            <w:shd w:fill="FFDCE0" w:val="clear"/>
          </w:tcPr>
          <w:p>
            <w:r>
              <w:rPr>
                <w:b/>
                <w:color w:val="C00000"/>
                <w:sz w:val="17"/>
              </w:rPr>
              <w:t>-15.9%</w:t>
            </w:r>
          </w:p>
        </w:tc>
      </w:tr>
      <w:tr>
        <w:tc>
          <w:tcPr>
            <w:tcW w:type="dxa" w:w="1440"/>
            <w:shd w:fill="FFDCE0" w:val="clear"/>
          </w:tcPr>
          <w:p>
            <w:r>
              <w:rPr>
                <w:sz w:val="17"/>
              </w:rPr>
              <w:t>J+8  Moyenne</w:t>
            </w:r>
          </w:p>
        </w:tc>
        <w:tc>
          <w:tcPr>
            <w:tcW w:type="dxa" w:w="1440"/>
            <w:shd w:fill="FFDCE0" w:val="clear"/>
          </w:tcPr>
          <w:p>
            <w:r>
              <w:rPr>
                <w:sz w:val="17"/>
              </w:rPr>
              <w:t>2026-09-07</w:t>
            </w:r>
          </w:p>
        </w:tc>
        <w:tc>
          <w:tcPr>
            <w:tcW w:type="dxa" w:w="1440"/>
            <w:shd w:fill="FFDCE0" w:val="clear"/>
          </w:tcPr>
          <w:p>
            <w:r>
              <w:rPr>
                <w:sz w:val="17"/>
              </w:rPr>
              <w:t>7,516</w:t>
            </w:r>
          </w:p>
        </w:tc>
        <w:tc>
          <w:tcPr>
            <w:tcW w:type="dxa" w:w="1440"/>
            <w:shd w:fill="FFDCE0" w:val="clear"/>
          </w:tcPr>
          <w:p>
            <w:r>
              <w:rPr>
                <w:b/>
                <w:sz w:val="17"/>
              </w:rPr>
              <w:t>8,300</w:t>
            </w:r>
          </w:p>
        </w:tc>
        <w:tc>
          <w:tcPr>
            <w:tcW w:type="dxa" w:w="1440"/>
            <w:shd w:fill="FFDCE0" w:val="clear"/>
          </w:tcPr>
          <w:p>
            <w:r>
              <w:rPr>
                <w:sz w:val="17"/>
              </w:rPr>
              <w:t>9,084</w:t>
            </w:r>
          </w:p>
        </w:tc>
        <w:tc>
          <w:tcPr>
            <w:tcW w:type="dxa" w:w="1440"/>
            <w:shd w:fill="FFDCE0" w:val="clear"/>
          </w:tcPr>
          <w:p>
            <w:r>
              <w:rPr>
                <w:b/>
                <w:color w:val="C00000"/>
                <w:sz w:val="17"/>
              </w:rPr>
              <w:t>-16.9%</w:t>
            </w:r>
          </w:p>
        </w:tc>
      </w:tr>
      <w:tr>
        <w:tc>
          <w:tcPr>
            <w:tcW w:type="dxa" w:w="1440"/>
            <w:shd w:fill="FFDCE0" w:val="clear"/>
          </w:tcPr>
          <w:p>
            <w:r>
              <w:rPr>
                <w:sz w:val="17"/>
              </w:rPr>
              <w:t>J+9  Moyenne</w:t>
            </w:r>
          </w:p>
        </w:tc>
        <w:tc>
          <w:tcPr>
            <w:tcW w:type="dxa" w:w="1440"/>
            <w:shd w:fill="FFDCE0" w:val="clear"/>
          </w:tcPr>
          <w:p>
            <w:r>
              <w:rPr>
                <w:sz w:val="17"/>
              </w:rPr>
              <w:t>2026-09-08</w:t>
            </w:r>
          </w:p>
        </w:tc>
        <w:tc>
          <w:tcPr>
            <w:tcW w:type="dxa" w:w="1440"/>
            <w:shd w:fill="FFDCE0" w:val="clear"/>
          </w:tcPr>
          <w:p>
            <w:r>
              <w:rPr>
                <w:sz w:val="17"/>
              </w:rPr>
              <w:t>7,392</w:t>
            </w:r>
          </w:p>
        </w:tc>
        <w:tc>
          <w:tcPr>
            <w:tcW w:type="dxa" w:w="1440"/>
            <w:shd w:fill="FFDCE0" w:val="clear"/>
          </w:tcPr>
          <w:p>
            <w:r>
              <w:rPr>
                <w:b/>
                <w:sz w:val="17"/>
              </w:rPr>
              <w:t>8,209</w:t>
            </w:r>
          </w:p>
        </w:tc>
        <w:tc>
          <w:tcPr>
            <w:tcW w:type="dxa" w:w="1440"/>
            <w:shd w:fill="FFDCE0" w:val="clear"/>
          </w:tcPr>
          <w:p>
            <w:r>
              <w:rPr>
                <w:sz w:val="17"/>
              </w:rPr>
              <w:t>9,026</w:t>
            </w:r>
          </w:p>
        </w:tc>
        <w:tc>
          <w:tcPr>
            <w:tcW w:type="dxa" w:w="1440"/>
            <w:shd w:fill="FFDCE0" w:val="clear"/>
          </w:tcPr>
          <w:p>
            <w:r>
              <w:rPr>
                <w:b/>
                <w:color w:val="C00000"/>
                <w:sz w:val="17"/>
              </w:rPr>
              <w:t>-17.8%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Absolument. Voici votre rapport d'analyse financière professionnel pour l'action BOAB (Bank of Africa Bénin)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BOAB s'établit à 405,20 Mds FCFA, un niveau significatif qui la positionne parmi les valeurs de premier plan de la BRVM. Avec un BPA de 496 FCFA, le titre se négocie à un PER de 20,2x, ce qui est nettement supérieur à la moyenne historique du marché (8-12x). Cette prime de valorisation suggère que les investisseurs anticipent une croissance future des bénéfices et intègrent une prime de qualité. Le P/B de 3,45x confirme cette lecture, le marché valorisant la société à plus de trois fois sa valeur comptable, signe d'une forte confiance dans la capacité de la banque à générer de la valeur. Enfin, un EV/EBITDA de 20,5x, bien que supérieur au seuil exigeant de 15x, témoigne de la solidité de la capacité opérationnelle de l'entreprise, justifiant en partie cette valorisation élevée.</w:t>
      </w:r>
    </w:p>
    <w:p>
      <w:pPr>
        <w:spacing w:after="120" w:line="276" w:lineRule="auto"/>
      </w:pPr>
      <w:r>
        <w:t>### PARTIE 1 : ANALYSE DU COURS — STATISTIQUES ET ÉVOLUTION (100 derniers jours)</w:t>
      </w:r>
    </w:p>
    <w:p>
      <w:pPr>
        <w:spacing w:after="120" w:line="276" w:lineRule="auto"/>
      </w:pPr>
      <w:r>
        <w:t>Sur les 100 derniers jours, l'action BOAB a affiché une performance exceptionnelle de +35,00%, avec une dernière séance en légère hausse de +0,05% pour clôturer à 9 990 FCFA. Le titre a évolué dans une fourchette de 7 400 à 9 990 FCFA, démontrant une dynamique haussière soutenue. La moyenne du cours sur la période est de 8 699 FCFA, tandis que la médiane est de 8 772 FCFA. L'écart entre ces deux valeurs, avec une moyenne inférieure à la médiane, ainsi qu'un skewness négatif (-0.693), indique une distribution asymétrique avec des journées de fortes hausses plus fréquentes. L'écart-type de 561 FCFA (CV=6,5%) montre une dispersion modérée. Le kurtosis de 0.413 (mésokurtique) suggère une distribution proche de la normale, sans risque de variations extrêmes. Enfin, la volatilité annualisée de 26,1% classe le titre dans la catégorie des valeurs à volatilité modérée (15-30%), ce qui est cohérent avec une tendance haussière marquée.</w:t>
      </w:r>
    </w:p>
    <w:p>
      <w:pPr>
        <w:spacing w:after="120" w:line="276" w:lineRule="auto"/>
      </w:pPr>
      <w:r>
        <w:t>### PARTIE 2 : ANALYSE TECHNIQUE DÉTAILLÉE</w:t>
      </w:r>
    </w:p>
    <w:p>
      <w:pPr>
        <w:spacing w:after="120" w:line="276" w:lineRule="auto"/>
      </w:pPr>
      <w:r>
        <w:t>**Moyennes Mobiles (MM20 &amp; MM50) :** Le cours actuel (9 990 FCFA) est nettement au-dessus de la MM20 (8 905,5 FCFA) et de la MM50 (8 882,6 FCFA). Cette configuration, où le prix est supérieur aux deux moyennes, est un signal haussier classique. La décision d'**Achat** est justifiée par cette dynamique positive, indiquant que la tendance de fond reste résolument orientée à la hausse.</w:t>
      </w:r>
    </w:p>
    <w:p>
      <w:pPr>
        <w:spacing w:after="120" w:line="276" w:lineRule="auto"/>
      </w:pPr>
      <w:r>
        <w:t>**Bandes de Bollinger :** Le cours a franchi la borne supérieure (9 803,96 FCFA), atteignant un niveau de 9 990 FCFA. Ce franchissement signale une phase de surachat à court terme et une volatilité accrue. La décision de **Vente** est donc logique d'un point de vue statistique, car un retour vers la moyenne (ou la bande médiane) est statistiquement probable après une telle extension.</w:t>
      </w:r>
    </w:p>
    <w:p>
      <w:pPr>
        <w:spacing w:after="120" w:line="276" w:lineRule="auto"/>
      </w:pPr>
      <w:r>
        <w:t>**MACD :** La valeur du MACD (231,688) est nettement supérieure à sa ligne de signal (79,26), avec un écart positif et croissant. Cette configuration est un signal haussier fort, indiquant que le momentum de court terme est très positif. La décision d'**Achat** est cohérente avec cette dynamique, même si l'amplitude de l'écart suggère une possible consolidation à venir.</w:t>
      </w:r>
    </w:p>
    <w:p>
      <w:pPr>
        <w:spacing w:after="120" w:line="276" w:lineRule="auto"/>
      </w:pPr>
      <w:r>
        <w:t>**RSI :** Le RSI est à 81,509, un niveau très élevé, bien au-dessus du seuil de surachat de 70. Cela indique que le titre est fortement suracheté et que la pression acheteuse est excessive à court terme. La décision de **Vente** est justifiée par ce signal, car un tel niveau précède souvent une correction ou une phase de consolidation.</w:t>
      </w:r>
    </w:p>
    <w:p>
      <w:pPr>
        <w:spacing w:after="120" w:line="276" w:lineRule="auto"/>
      </w:pPr>
      <w:r>
        <w:t>**Stochastique :** Le %K et le %D sont tous deux à 100,0, un niveau extrême de surachat. Cela confirme que le titre est en territoire de surachat très prononcé. La décision de **Vente** est ici aussi parfaitement justifiée, signalant un risque élevé de retournement ou de pause dans la tendance haussière.</w:t>
      </w:r>
    </w:p>
    <w:p>
      <w:pPr>
        <w:spacing w:after="120" w:line="276" w:lineRule="auto"/>
      </w:pPr>
      <w:r>
        <w:t>**Conclusion technique :** L'analyse technique révèle un conflit entre la tendance de fond (haussière) et les indicateurs de momentum à court terme (surachat extrême). Les moyennes mobiles et le MACD plaident pour une poursuite de la tendance, tandis que le RSI, le Stochastique et la position par rapport aux Bandes de Bollinger signalent un besoin imminent de consolidation. La prudence est donc de mise à très court terme, mais la tendance de moyen terme reste positive.</w:t>
      </w:r>
    </w:p>
    <w:p>
      <w:pPr>
        <w:spacing w:after="120" w:line="276" w:lineRule="auto"/>
      </w:pPr>
      <w:r>
        <w:t>### PARTIE 3 : ANALYSE FONDAMENTALE (SECTION CRITIQUE)</w:t>
      </w:r>
    </w:p>
    <w:p>
      <w:pPr>
        <w:spacing w:after="120" w:line="276" w:lineRule="auto"/>
      </w:pPr>
      <w:r>
        <w:t>En 2025, les données financières structurées de BOAB révèlent une banque très rentable. Le Produit Net Bancaire (PNB) s'établit à 51,274 Mds FCFA, générant un résultat net de 20,107 Mds FCFA, soit une marge nette de 39,2%. La rentabilité des fonds propres (ROE) est excellente à 17,11%, et le ROA est sain à 2,08%. Le coefficient d'exploitation de 49,53% témoigne d'une excellente maîtrise des charges. Cependant, le coût du risque de 22,50% (provisions/charges financières) est un point de vigilance, indiquant un risque de crédit significatif. La structure financière montre une dépendance aux dépôts clients (711,6 Mds FCFA) pour financer les crédits (391,7 Mds FCFA), avec une autonomie financière de 12,18%, un niveau faible mais typique du secteur bancaire. Les rapports narratifs confirment cette tendance. Le rapport du T3 2025 (publié en 2025) montre une progression du PNB de +9% et du résultat net de +13% sur un an, malgré une contraction des crédits et dépôts. Le rapport du S1 2025 (publié en 2025) indiquait déjà une hausse du PNB de +5,91% et une amélioration du coefficient d'exploitation à 46,1%. Enfin, le rapport du T1 2026 (publié en 2026) confirme la dynamique avec un PNB en hausse de +11% à 12,329 Mds FCFA. Sur la base de ces rapports trimestriels, on estime que l'exercice 2026 devrait voir une poursuite de la croissance du PNB, portée par la hausse des commissions (+18,9% au T1 2026), mais avec une croissance du résultat net potentiellement plus modérée en raison de la pression sur les coûts. La banque privilégie une stratégie de rentabilité sur la croissance volumique, avec une amélioration continue de ses marges.</w:t>
      </w:r>
    </w:p>
    <w:p>
      <w:pPr>
        <w:spacing w:after="120" w:line="276" w:lineRule="auto"/>
      </w:pPr>
      <w:r>
        <w:t>### PARTIE 4 : CONCLUSION D'INVESTISSEMENT</w:t>
      </w:r>
    </w:p>
    <w:p>
      <w:pPr>
        <w:spacing w:after="120" w:line="276" w:lineRule="auto"/>
      </w:pPr>
      <w:r>
        <w:t>La valorisation de BOAB est exigeante (PER 20,2x, P/B 3,45x), mais elle est soutenue par des fondamentaux solides et une croissance rentable. Le comportement du cours sur 100 jours est très positif (+35%), avec une volatilité modérée, mais les statistiques (skewness négatif) et les indicateurs techniques (RSI, Stochastique) signalent une configuration de surachat extrême à court terme, suggérant un risque de consolidation. Les fondamentaux sont excellents, avec une banque très efficace (coefficient d'exploitation &lt;50%), une rentabilité élevée (ROE &gt;17%) et une dynamique de croissance du PNB soutenue par les commissions. Les prédictions IA pour les 10 prochains jours (baisse de 9 990 à 8 610 FCFA) confirment le scénario technique d'une correction à court terme. En synthèse, la convergence entre les signaux techniques de surachat et les prédictions IA suggère une pause dans la tendance haussière. Cependant, la solidité fondamentale et la tendance de fond plaident pour une poursuite de la hausse à moyen terme. Par conséquent, la recommandation est de **CONSERVER** le titre. Le niveau de confiance est **Moyen**, car la valorisation est élevée et le risque de correction à court terme est réel. Le risque global est **Moyen**. L'horizon d'investissement optimal est le **moyen terme (3-12 mois)**, afin de laisser passer la phase de consolidation et de profiter de la poursuite de la croissance des bénéfices.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352.00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6,066 titres</w:t>
            </w:r>
          </w:p>
        </w:tc>
        <w:tc>
          <w:tcPr>
            <w:tcW w:type="dxa" w:w="2268"/>
            <w:shd w:fill="FFF2CC" w:val="clear"/>
          </w:tcPr>
          <w:p>
            <w:r>
              <w:rPr>
                <w:b/>
                <w:color w:val="503200"/>
                <w:sz w:val="16"/>
              </w:rPr>
              <w:t xml:space="preserve">Cours actuel : </w:t>
            </w:r>
            <w:r>
              <w:rPr>
                <w:color w:val="000000"/>
                <w:sz w:val="17"/>
              </w:rPr>
              <w:t>8,000 FCFA</w:t>
            </w:r>
          </w:p>
          <w:p>
            <w:r>
              <w:rPr>
                <w:b/>
                <w:color w:val="503200"/>
                <w:sz w:val="16"/>
              </w:rPr>
              <w:t xml:space="preserve">Var. 100 jours : </w:t>
            </w:r>
            <w:r>
              <w:rPr>
                <w:b/>
                <w:color w:val="007800"/>
                <w:sz w:val="17"/>
              </w:rPr>
              <w:t>+44.14%</w:t>
            </w:r>
          </w:p>
          <w:p>
            <w:r>
              <w:rPr>
                <w:b/>
                <w:color w:val="503200"/>
                <w:sz w:val="16"/>
              </w:rPr>
              <w:t xml:space="preserve">Plus haut 100j : </w:t>
            </w:r>
            <w:r>
              <w:rPr>
                <w:color w:val="000000"/>
                <w:sz w:val="17"/>
              </w:rPr>
              <w:t>8,000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30.0%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12.53% (Moyenne) — μ=6,051 FCFA, σ=758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β=0.2922 (Défensif) — Cov=0.000010, Var(idx)=0.000034, ρ=0.090,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6,066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σ_j=1.89%/j (Stable) — Vol. annualisée≈30.0%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2026-08-27</w:t>
            </w:r>
          </w:p>
        </w:tc>
        <w:tc>
          <w:tcPr>
            <w:tcW w:type="dxa" w:w="1440"/>
            <w:shd w:fill="FFDCE0" w:val="clear"/>
          </w:tcPr>
          <w:p>
            <w:r>
              <w:rPr>
                <w:sz w:val="17"/>
              </w:rPr>
              <w:t>7,031</w:t>
            </w:r>
          </w:p>
        </w:tc>
        <w:tc>
          <w:tcPr>
            <w:tcW w:type="dxa" w:w="1440"/>
            <w:shd w:fill="FFDCE0" w:val="clear"/>
          </w:tcPr>
          <w:p>
            <w:r>
              <w:rPr>
                <w:b/>
                <w:sz w:val="17"/>
              </w:rPr>
              <w:t>7,479</w:t>
            </w:r>
          </w:p>
        </w:tc>
        <w:tc>
          <w:tcPr>
            <w:tcW w:type="dxa" w:w="1440"/>
            <w:shd w:fill="FFDCE0" w:val="clear"/>
          </w:tcPr>
          <w:p>
            <w:r>
              <w:rPr>
                <w:sz w:val="17"/>
              </w:rPr>
              <w:t>7,927</w:t>
            </w:r>
          </w:p>
        </w:tc>
        <w:tc>
          <w:tcPr>
            <w:tcW w:type="dxa" w:w="1440"/>
            <w:shd w:fill="FFDCE0" w:val="clear"/>
          </w:tcPr>
          <w:p>
            <w:r>
              <w:rPr>
                <w:b/>
                <w:color w:val="C00000"/>
                <w:sz w:val="17"/>
              </w:rPr>
              <w:t>-6.5%</w:t>
            </w:r>
          </w:p>
        </w:tc>
      </w:tr>
      <w:tr>
        <w:tc>
          <w:tcPr>
            <w:tcW w:type="dxa" w:w="1440"/>
            <w:shd w:fill="FFDCE0" w:val="clear"/>
          </w:tcPr>
          <w:p>
            <w:r>
              <w:rPr>
                <w:sz w:val="17"/>
              </w:rPr>
              <w:t>J+2  Moyenne</w:t>
            </w:r>
          </w:p>
        </w:tc>
        <w:tc>
          <w:tcPr>
            <w:tcW w:type="dxa" w:w="1440"/>
            <w:shd w:fill="FFDCE0" w:val="clear"/>
          </w:tcPr>
          <w:p>
            <w:r>
              <w:rPr>
                <w:sz w:val="17"/>
              </w:rPr>
              <w:t>2026-08-28</w:t>
            </w:r>
          </w:p>
        </w:tc>
        <w:tc>
          <w:tcPr>
            <w:tcW w:type="dxa" w:w="1440"/>
            <w:shd w:fill="FFDCE0" w:val="clear"/>
          </w:tcPr>
          <w:p>
            <w:r>
              <w:rPr>
                <w:sz w:val="17"/>
              </w:rPr>
              <w:t>6,781</w:t>
            </w:r>
          </w:p>
        </w:tc>
        <w:tc>
          <w:tcPr>
            <w:tcW w:type="dxa" w:w="1440"/>
            <w:shd w:fill="FFDCE0" w:val="clear"/>
          </w:tcPr>
          <w:p>
            <w:r>
              <w:rPr>
                <w:b/>
                <w:sz w:val="17"/>
              </w:rPr>
              <w:t>7,318</w:t>
            </w:r>
          </w:p>
        </w:tc>
        <w:tc>
          <w:tcPr>
            <w:tcW w:type="dxa" w:w="1440"/>
            <w:shd w:fill="FFDCE0" w:val="clear"/>
          </w:tcPr>
          <w:p>
            <w:r>
              <w:rPr>
                <w:sz w:val="17"/>
              </w:rPr>
              <w:t>7,855</w:t>
            </w:r>
          </w:p>
        </w:tc>
        <w:tc>
          <w:tcPr>
            <w:tcW w:type="dxa" w:w="1440"/>
            <w:shd w:fill="FFDCE0" w:val="clear"/>
          </w:tcPr>
          <w:p>
            <w:r>
              <w:rPr>
                <w:b/>
                <w:color w:val="C00000"/>
                <w:sz w:val="17"/>
              </w:rPr>
              <w:t>-8.5%</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6,596</w:t>
            </w:r>
          </w:p>
        </w:tc>
        <w:tc>
          <w:tcPr>
            <w:tcW w:type="dxa" w:w="1440"/>
            <w:shd w:fill="FFDCE0" w:val="clear"/>
          </w:tcPr>
          <w:p>
            <w:r>
              <w:rPr>
                <w:b/>
                <w:sz w:val="17"/>
              </w:rPr>
              <w:t>7,207</w:t>
            </w:r>
          </w:p>
        </w:tc>
        <w:tc>
          <w:tcPr>
            <w:tcW w:type="dxa" w:w="1440"/>
            <w:shd w:fill="FFDCE0" w:val="clear"/>
          </w:tcPr>
          <w:p>
            <w:r>
              <w:rPr>
                <w:sz w:val="17"/>
              </w:rPr>
              <w:t>7,817</w:t>
            </w:r>
          </w:p>
        </w:tc>
        <w:tc>
          <w:tcPr>
            <w:tcW w:type="dxa" w:w="1440"/>
            <w:shd w:fill="FFDCE0" w:val="clear"/>
          </w:tcPr>
          <w:p>
            <w:r>
              <w:rPr>
                <w:b/>
                <w:color w:val="C00000"/>
                <w:sz w:val="17"/>
              </w:rPr>
              <w:t>-9.9%</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6,447</w:t>
            </w:r>
          </w:p>
        </w:tc>
        <w:tc>
          <w:tcPr>
            <w:tcW w:type="dxa" w:w="1440"/>
            <w:shd w:fill="FFDCE0" w:val="clear"/>
          </w:tcPr>
          <w:p>
            <w:r>
              <w:rPr>
                <w:b/>
                <w:sz w:val="17"/>
              </w:rPr>
              <w:t>7,122</w:t>
            </w:r>
          </w:p>
        </w:tc>
        <w:tc>
          <w:tcPr>
            <w:tcW w:type="dxa" w:w="1440"/>
            <w:shd w:fill="FFDCE0" w:val="clear"/>
          </w:tcPr>
          <w:p>
            <w:r>
              <w:rPr>
                <w:sz w:val="17"/>
              </w:rPr>
              <w:t>7,797</w:t>
            </w:r>
          </w:p>
        </w:tc>
        <w:tc>
          <w:tcPr>
            <w:tcW w:type="dxa" w:w="1440"/>
            <w:shd w:fill="FFDCE0" w:val="clear"/>
          </w:tcPr>
          <w:p>
            <w:r>
              <w:rPr>
                <w:b/>
                <w:color w:val="C00000"/>
                <w:sz w:val="17"/>
              </w:rPr>
              <w:t>-11.0%</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6,318</w:t>
            </w:r>
          </w:p>
        </w:tc>
        <w:tc>
          <w:tcPr>
            <w:tcW w:type="dxa" w:w="1440"/>
            <w:shd w:fill="FFDCE0" w:val="clear"/>
          </w:tcPr>
          <w:p>
            <w:r>
              <w:rPr>
                <w:b/>
                <w:sz w:val="17"/>
              </w:rPr>
              <w:t>7,050</w:t>
            </w:r>
          </w:p>
        </w:tc>
        <w:tc>
          <w:tcPr>
            <w:tcW w:type="dxa" w:w="1440"/>
            <w:shd w:fill="FFDCE0" w:val="clear"/>
          </w:tcPr>
          <w:p>
            <w:r>
              <w:rPr>
                <w:sz w:val="17"/>
              </w:rPr>
              <w:t>7,781</w:t>
            </w:r>
          </w:p>
        </w:tc>
        <w:tc>
          <w:tcPr>
            <w:tcW w:type="dxa" w:w="1440"/>
            <w:shd w:fill="FFDCE0" w:val="clear"/>
          </w:tcPr>
          <w:p>
            <w:r>
              <w:rPr>
                <w:b/>
                <w:color w:val="C00000"/>
                <w:sz w:val="17"/>
              </w:rPr>
              <w:t>-11.9%</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6,200</w:t>
            </w:r>
          </w:p>
        </w:tc>
        <w:tc>
          <w:tcPr>
            <w:tcW w:type="dxa" w:w="1440"/>
            <w:shd w:fill="FFDCE0" w:val="clear"/>
          </w:tcPr>
          <w:p>
            <w:r>
              <w:rPr>
                <w:b/>
                <w:sz w:val="17"/>
              </w:rPr>
              <w:t>6,983</w:t>
            </w:r>
          </w:p>
        </w:tc>
        <w:tc>
          <w:tcPr>
            <w:tcW w:type="dxa" w:w="1440"/>
            <w:shd w:fill="FFDCE0" w:val="clear"/>
          </w:tcPr>
          <w:p>
            <w:r>
              <w:rPr>
                <w:sz w:val="17"/>
              </w:rPr>
              <w:t>7,766</w:t>
            </w:r>
          </w:p>
        </w:tc>
        <w:tc>
          <w:tcPr>
            <w:tcW w:type="dxa" w:w="1440"/>
            <w:shd w:fill="FFDCE0" w:val="clear"/>
          </w:tcPr>
          <w:p>
            <w:r>
              <w:rPr>
                <w:b/>
                <w:color w:val="C00000"/>
                <w:sz w:val="17"/>
              </w:rPr>
              <w:t>-12.7%</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6,091</w:t>
            </w:r>
          </w:p>
        </w:tc>
        <w:tc>
          <w:tcPr>
            <w:tcW w:type="dxa" w:w="1440"/>
            <w:shd w:fill="FFDCE0" w:val="clear"/>
          </w:tcPr>
          <w:p>
            <w:r>
              <w:rPr>
                <w:b/>
                <w:sz w:val="17"/>
              </w:rPr>
              <w:t>6,920</w:t>
            </w:r>
          </w:p>
        </w:tc>
        <w:tc>
          <w:tcPr>
            <w:tcW w:type="dxa" w:w="1440"/>
            <w:shd w:fill="FFDCE0" w:val="clear"/>
          </w:tcPr>
          <w:p>
            <w:r>
              <w:rPr>
                <w:sz w:val="17"/>
              </w:rPr>
              <w:t>7,749</w:t>
            </w:r>
          </w:p>
        </w:tc>
        <w:tc>
          <w:tcPr>
            <w:tcW w:type="dxa" w:w="1440"/>
            <w:shd w:fill="FFDCE0" w:val="clear"/>
          </w:tcPr>
          <w:p>
            <w:r>
              <w:rPr>
                <w:b/>
                <w:color w:val="C00000"/>
                <w:sz w:val="17"/>
              </w:rPr>
              <w:t>-13.5%</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5,987</w:t>
            </w:r>
          </w:p>
        </w:tc>
        <w:tc>
          <w:tcPr>
            <w:tcW w:type="dxa" w:w="1440"/>
            <w:shd w:fill="FFDCE0" w:val="clear"/>
          </w:tcPr>
          <w:p>
            <w:r>
              <w:rPr>
                <w:b/>
                <w:sz w:val="17"/>
              </w:rPr>
              <w:t>6,859</w:t>
            </w:r>
          </w:p>
        </w:tc>
        <w:tc>
          <w:tcPr>
            <w:tcW w:type="dxa" w:w="1440"/>
            <w:shd w:fill="FFDCE0" w:val="clear"/>
          </w:tcPr>
          <w:p>
            <w:r>
              <w:rPr>
                <w:sz w:val="17"/>
              </w:rPr>
              <w:t>7,731</w:t>
            </w:r>
          </w:p>
        </w:tc>
        <w:tc>
          <w:tcPr>
            <w:tcW w:type="dxa" w:w="1440"/>
            <w:shd w:fill="FFDCE0" w:val="clear"/>
          </w:tcPr>
          <w:p>
            <w:r>
              <w:rPr>
                <w:b/>
                <w:color w:val="C00000"/>
                <w:sz w:val="17"/>
              </w:rPr>
              <w:t>-14.3%</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5,889</w:t>
            </w:r>
          </w:p>
        </w:tc>
        <w:tc>
          <w:tcPr>
            <w:tcW w:type="dxa" w:w="1440"/>
            <w:shd w:fill="FFDCE0" w:val="clear"/>
          </w:tcPr>
          <w:p>
            <w:r>
              <w:rPr>
                <w:b/>
                <w:sz w:val="17"/>
              </w:rPr>
              <w:t>6,800</w:t>
            </w:r>
          </w:p>
        </w:tc>
        <w:tc>
          <w:tcPr>
            <w:tcW w:type="dxa" w:w="1440"/>
            <w:shd w:fill="FFDCE0" w:val="clear"/>
          </w:tcPr>
          <w:p>
            <w:r>
              <w:rPr>
                <w:sz w:val="17"/>
              </w:rPr>
              <w:t>7,711</w:t>
            </w:r>
          </w:p>
        </w:tc>
        <w:tc>
          <w:tcPr>
            <w:tcW w:type="dxa" w:w="1440"/>
            <w:shd w:fill="FFDCE0" w:val="clear"/>
          </w:tcPr>
          <w:p>
            <w:r>
              <w:rPr>
                <w:b/>
                <w:color w:val="C00000"/>
                <w:sz w:val="17"/>
              </w:rPr>
              <w:t>-15.0%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 BURKINA FASO (BOABF)**</w:t>
        <w:br/>
        <w:t>**Date de l'analyse : 26 août 2026 | Cours de référence : 8 000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352 milliards FCFA, BOABF se positionne comme une valeur de première ligne sur la BRVM, reflétant son statut de banque systémique au Burkina Faso. Le BPA de 438 FCFA indique que chaque action a généré un bénéfice substantiel sur l'exercice 2025. Le PER de 18,3x est nettement supérieur à la moyenne historique de la BRVM (8-12x), signifiant que les investisseurs acceptent de payer une prime significative pour la croissance future, ce qui rend la valorisation exigeante. Le P/B de 2,78x confirme cette prime, le marché valorisant la banque près de trois fois sa valeur comptable, ce qui est élevé pour le secteur bancaire régional. Enfin, l'EV/EBITDA de 8,1x, bien que dans une fourchette raisonnable (5-10x), indique que la valeur totale de l'entreprise reste cohérente avec sa capacité opérationnelle, tempérant légèrement la cherté relative du titre.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BOABF a enregistré une performance spectaculaire de +44,14%, avec une accélération notable lors de la dernière séance (+5,26%), portant le cours à 8 000 FCFA, son plus haut niveau sur la période. Le titre a évolué dans une fourchette de 5 235 à 8 000 FCFA, démontrant une forte dynamique haussière. La moyenne du cours (6 051 FCFA) est nettement inférieure à la médiane (5 630 FCFA), et l'écart positif du cours actuel par rapport à ces deux mesures confirme une asymétrie positive (skewness de 0.909), signifiant que la majorité des séances se sont déroulées sous la moyenne, avec des poussées haussières récentes. L'écart-type de 762 FCFA (CV de 12,6%) indique une dispersion modérée, tandis que le kurtosis de -0.833 (mésokurtique) suggère une distribution proche de la normale, sans risque de pics extrêmes. La volatilité annualisée de 30% classe le titre dans la catégorie "élevée", ce qui implique des fluctuations importantes et un risque accru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(8 000 FCFA) se situe largement au-dessus de la MM20 (7 260 FCFA) et de la MM50 (6 578,7 FCFA), confirmant une tendance haussière solide à court et moyen terme. L'écart croissant entre les deux moyennes témoigne de la vigueur du mouvement, justifiant la décision d'achat, bien que cet écart suggère également une possible surenchère temporaire.</w:t>
      </w:r>
    </w:p>
    <w:p>
      <w:pPr>
        <w:spacing w:after="120" w:line="276" w:lineRule="auto"/>
      </w:pPr>
      <w:r>
        <w:t>**Bandes de Bollinger :** Le prix a franchi la borne supérieure (7 730,7 FCFA), ce qui est un signal classique de surachat et de volatilité extrême. Cette sortie de canal indique que le marché est actuellement survendu d'un point de vue technique, justifiant la décision de vente. Un retour vers la borne supérieure ou la moyenne mobile est statistiquement probable à court terme.</w:t>
      </w:r>
    </w:p>
    <w:p>
      <w:pPr>
        <w:spacing w:after="120" w:line="276" w:lineRule="auto"/>
      </w:pPr>
      <w:r>
        <w:t>**MACD :** Le MACD (270,1) reste au-dessus de sa ligne de signal (248,2), indiquant un momentum haussier toujours actif. Bien que la décision soit à l'achat, l'écart entre les deux lignes pourrait commencer à se resserrer, signalant un essoufflement potentiel de la dynamique positive.</w:t>
      </w:r>
    </w:p>
    <w:p>
      <w:pPr>
        <w:spacing w:after="120" w:line="276" w:lineRule="auto"/>
      </w:pPr>
      <w:r>
        <w:t>**RSI :** Le RSI à 78,6 est fermement ancré en zone de surachat (au-delà de 70). Ce niveau extrême indique que le titre est techniquement surévalué à court terme et qu'un repli correctif est de plus en plus probable, justifiant la décision de vente.</w:t>
      </w:r>
    </w:p>
    <w:p>
      <w:pPr>
        <w:spacing w:after="120" w:line="276" w:lineRule="auto"/>
      </w:pPr>
      <w:r>
        <w:t>**Stochastique :** Le %K et le %D sont tous deux à 100, un niveau extrême de surachat. Cette configuration reflète une pression d'achat écrasante mais insoutenable, et le croisement baissier imminent de ces lignes pourrait déclencher un signal de vente fort.</w:t>
      </w:r>
    </w:p>
    <w:p>
      <w:pPr>
        <w:spacing w:after="120" w:line="276" w:lineRule="auto"/>
      </w:pPr>
      <w:r>
        <w:t>**Conclusion technique :** Les indicateurs de tendance (MM, MACD) sont positifs, mais tous les oscillateurs de momentum (RSI, Stochastique, Bandes de Bollinger) hurlent au surachat. Cette divergence classique suggère que la tendance de fond reste haussière, mais qu'un fort risque de correction technique à court terme est à prévoir. La prudence est donc de mise pour les nouveaux achats à ces niveaux.</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BOABF révèlent une banque à la solidité opérationnelle indéniable, mais confrontée à un choc de rentabilité majeur. Le Produit Net Bancaire (PNB) s'établit à 57,82 milliards FCFA, avec un coefficient d'exploitation excellent de 47,19% (inférieur à 50%), démontrant une gestion rigoureuse des charges. Le résultat net annuel ressort à 19,25 milliards FCFA, portant le ROE à un niveau très satisfaisant de 15,22% et le ROA à 1,68%. Cependant, le ratio de coût du risque à 33,92% est élevé, signalant une dégradation de la qualité du portefeuille de crédits. Les rapports trimestriels de 2025 confirment cette tendance : le rapport du 1er trimestre (publié en 2025) montrait un PNB de 14,22 milliards (+2,3%) mais un résultat net en baisse de 16,6%. Le rapport semestriel (publié en 2025) a révélé l'ampleur du problème avec un coût du risque explosant de 1336% à -6,88 milliards, faisant chuter le résultat net de 46,5% à 8,22 milliards. Le rapport du 3ème trimestre 2025 (publié en 2025) a confirmé la stagnation du PNB (+0,85% à 43,28 milliards) et une baisse du résultat net de 27,7% à 13,45 milliards. Enfin, le rapport du 1er trimestre 2026 (publié en 2026) montre une contraction du PNB de 10,75% à 12,69 milliards et un résultat net de 4,52 milliards, en baisse de 13%. On estime que l'exercice 2026 pourrait voir un résultat net annuel compris entre 15 et 17 milliards FCFA, en deçà des niveaux de 2025, si la tendance actuelle se maintient. La banque reste néanmoins solide, avec des dépôts en croissance et une position de marché dominante, mais sa rentabilité est sous pression.</w:t>
      </w:r>
    </w:p>
    <w:p>
      <w:pPr>
        <w:spacing w:after="120" w:line="276" w:lineRule="auto"/>
      </w:pPr>
      <w:r>
        <w:t>---</w:t>
      </w:r>
    </w:p>
    <w:p>
      <w:pPr>
        <w:spacing w:after="120" w:line="276" w:lineRule="auto"/>
      </w:pPr>
      <w:r>
        <w:t>### PARTIE 4 : CONCLUSION D'INVESTISSEMENT</w:t>
      </w:r>
    </w:p>
    <w:p>
      <w:pPr>
        <w:spacing w:after="120" w:line="276" w:lineRule="auto"/>
      </w:pPr>
      <w:r>
        <w:t>La valorisation de BOABF (PER de 18,3x, P/B de 2,78x) est exigeante et intègre déjà des perspectives de croissance élevées, ce qui contraste avec la dégradation récente des fondamentaux. Le comportement du cours (+44% en 100 jours) et les statistiques (asymétrie positive, volatilité élevée) montrent un enthousiasme marqué, mais les signaux techniques sont unanimes sur un état de surachat extrême (RSI, Stochastique, Bandes de Bollinger), annonçant un probable repli à court terme. Les fondamentaux, bien que solides (ROE &gt;15%, coefficient d'exploitation excellent), sont entachés par un coût du risque élevé qui érode la rentabilité, comme le confirment les rapports trimestriels successifs de 2025 et 2026. Les prédictions IA (cours passant de 7 479 FCFA à 7 050 FCFA sur 10 jours) confirment cette anticipation de correction technique. En synthèse, la convergence des signaux techniques et des prédictions IA vers un repli, couplée à une valorisation tendue et des fondamentaux en déclin, justifie une recommandation de **VENTE** à court terme. Le niveau de confiance est **Élevé** et le risque global est **Élevé**. L'horizon d'investissement optimal serait de moyen à long terme (&gt;12 mois), après une correction du cours et une stabilisation visible de la qualité du portefeuille de crédits.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519.40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14,218 titres</w:t>
            </w:r>
          </w:p>
        </w:tc>
        <w:tc>
          <w:tcPr>
            <w:tcW w:type="dxa" w:w="2268"/>
            <w:shd w:fill="FFF2CC" w:val="clear"/>
          </w:tcPr>
          <w:p>
            <w:r>
              <w:rPr>
                <w:b/>
                <w:color w:val="503200"/>
                <w:sz w:val="16"/>
              </w:rPr>
              <w:t xml:space="preserve">Cours actuel : </w:t>
            </w:r>
            <w:r>
              <w:rPr>
                <w:color w:val="000000"/>
                <w:sz w:val="17"/>
              </w:rPr>
              <w:t>12,985 FCFA</w:t>
            </w:r>
          </w:p>
          <w:p>
            <w:r>
              <w:rPr>
                <w:b/>
                <w:color w:val="503200"/>
                <w:sz w:val="16"/>
              </w:rPr>
              <w:t xml:space="preserve">Var. 100 jours : </w:t>
            </w:r>
            <w:r>
              <w:rPr>
                <w:b/>
                <w:color w:val="007800"/>
                <w:sz w:val="17"/>
              </w:rPr>
              <w:t>+60.31%</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8,100 FCFA</w:t>
            </w:r>
          </w:p>
          <w:p>
            <w:r>
              <w:rPr>
                <w:b/>
                <w:color w:val="503200"/>
                <w:sz w:val="16"/>
              </w:rPr>
              <w:t xml:space="preserve">Volatilité ann. : </w:t>
            </w:r>
            <w:r>
              <w:rPr>
                <w:color w:val="000000"/>
                <w:sz w:val="17"/>
              </w:rPr>
              <w:t>25.7%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14.28% (Moyenne) — μ=9,591 FCFA, σ=1,370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β=0.0839 (Défensif) — Cov=0.000003, Var(idx)=0.000034, ρ=0.030,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14,218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σ_j=1.62%/j (Stable) — Vol. annualisée≈25.7%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2026-08-27</w:t>
            </w:r>
          </w:p>
        </w:tc>
        <w:tc>
          <w:tcPr>
            <w:tcW w:type="dxa" w:w="1440"/>
            <w:shd w:fill="FFDCE0" w:val="clear"/>
          </w:tcPr>
          <w:p>
            <w:r>
              <w:rPr>
                <w:sz w:val="17"/>
              </w:rPr>
              <w:t>11,073</w:t>
            </w:r>
          </w:p>
        </w:tc>
        <w:tc>
          <w:tcPr>
            <w:tcW w:type="dxa" w:w="1440"/>
            <w:shd w:fill="FFDCE0" w:val="clear"/>
          </w:tcPr>
          <w:p>
            <w:r>
              <w:rPr>
                <w:b/>
                <w:sz w:val="17"/>
              </w:rPr>
              <w:t>11,625</w:t>
            </w:r>
          </w:p>
        </w:tc>
        <w:tc>
          <w:tcPr>
            <w:tcW w:type="dxa" w:w="1440"/>
            <w:shd w:fill="FFDCE0" w:val="clear"/>
          </w:tcPr>
          <w:p>
            <w:r>
              <w:rPr>
                <w:sz w:val="17"/>
              </w:rPr>
              <w:t>12,178</w:t>
            </w:r>
          </w:p>
        </w:tc>
        <w:tc>
          <w:tcPr>
            <w:tcW w:type="dxa" w:w="1440"/>
            <w:shd w:fill="FFDCE0" w:val="clear"/>
          </w:tcPr>
          <w:p>
            <w:r>
              <w:rPr>
                <w:b/>
                <w:color w:val="C00000"/>
                <w:sz w:val="17"/>
              </w:rPr>
              <w:t>-10.5%</w:t>
            </w:r>
          </w:p>
        </w:tc>
      </w:tr>
      <w:tr>
        <w:tc>
          <w:tcPr>
            <w:tcW w:type="dxa" w:w="1440"/>
            <w:shd w:fill="FFDCE0" w:val="clear"/>
          </w:tcPr>
          <w:p>
            <w:r>
              <w:rPr>
                <w:sz w:val="17"/>
              </w:rPr>
              <w:t>J+2  Moyenne</w:t>
            </w:r>
          </w:p>
        </w:tc>
        <w:tc>
          <w:tcPr>
            <w:tcW w:type="dxa" w:w="1440"/>
            <w:shd w:fill="FFDCE0" w:val="clear"/>
          </w:tcPr>
          <w:p>
            <w:r>
              <w:rPr>
                <w:sz w:val="17"/>
              </w:rPr>
              <w:t>2026-08-28</w:t>
            </w:r>
          </w:p>
        </w:tc>
        <w:tc>
          <w:tcPr>
            <w:tcW w:type="dxa" w:w="1440"/>
            <w:shd w:fill="FFDCE0" w:val="clear"/>
          </w:tcPr>
          <w:p>
            <w:r>
              <w:rPr>
                <w:sz w:val="17"/>
              </w:rPr>
              <w:t>10,427</w:t>
            </w:r>
          </w:p>
        </w:tc>
        <w:tc>
          <w:tcPr>
            <w:tcW w:type="dxa" w:w="1440"/>
            <w:shd w:fill="FFDCE0" w:val="clear"/>
          </w:tcPr>
          <w:p>
            <w:r>
              <w:rPr>
                <w:b/>
                <w:sz w:val="17"/>
              </w:rPr>
              <w:t>11,072</w:t>
            </w:r>
          </w:p>
        </w:tc>
        <w:tc>
          <w:tcPr>
            <w:tcW w:type="dxa" w:w="1440"/>
            <w:shd w:fill="FFDCE0" w:val="clear"/>
          </w:tcPr>
          <w:p>
            <w:r>
              <w:rPr>
                <w:sz w:val="17"/>
              </w:rPr>
              <w:t>11,716</w:t>
            </w:r>
          </w:p>
        </w:tc>
        <w:tc>
          <w:tcPr>
            <w:tcW w:type="dxa" w:w="1440"/>
            <w:shd w:fill="FFDCE0" w:val="clear"/>
          </w:tcPr>
          <w:p>
            <w:r>
              <w:rPr>
                <w:b/>
                <w:color w:val="C00000"/>
                <w:sz w:val="17"/>
              </w:rPr>
              <w:t>-14.7%</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9,881</w:t>
            </w:r>
          </w:p>
        </w:tc>
        <w:tc>
          <w:tcPr>
            <w:tcW w:type="dxa" w:w="1440"/>
            <w:shd w:fill="FFDCE0" w:val="clear"/>
          </w:tcPr>
          <w:p>
            <w:r>
              <w:rPr>
                <w:b/>
                <w:sz w:val="17"/>
              </w:rPr>
              <w:t>10,593</w:t>
            </w:r>
          </w:p>
        </w:tc>
        <w:tc>
          <w:tcPr>
            <w:tcW w:type="dxa" w:w="1440"/>
            <w:shd w:fill="FFDCE0" w:val="clear"/>
          </w:tcPr>
          <w:p>
            <w:r>
              <w:rPr>
                <w:sz w:val="17"/>
              </w:rPr>
              <w:t>11,305</w:t>
            </w:r>
          </w:p>
        </w:tc>
        <w:tc>
          <w:tcPr>
            <w:tcW w:type="dxa" w:w="1440"/>
            <w:shd w:fill="FFDCE0" w:val="clear"/>
          </w:tcPr>
          <w:p>
            <w:r>
              <w:rPr>
                <w:b/>
                <w:color w:val="C00000"/>
                <w:sz w:val="17"/>
              </w:rPr>
              <w:t>-18.4%</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9,418</w:t>
            </w:r>
          </w:p>
        </w:tc>
        <w:tc>
          <w:tcPr>
            <w:tcW w:type="dxa" w:w="1440"/>
            <w:shd w:fill="FFDCE0" w:val="clear"/>
          </w:tcPr>
          <w:p>
            <w:r>
              <w:rPr>
                <w:b/>
                <w:sz w:val="17"/>
              </w:rPr>
              <w:t>10,184</w:t>
            </w:r>
          </w:p>
        </w:tc>
        <w:tc>
          <w:tcPr>
            <w:tcW w:type="dxa" w:w="1440"/>
            <w:shd w:fill="FFDCE0" w:val="clear"/>
          </w:tcPr>
          <w:p>
            <w:r>
              <w:rPr>
                <w:sz w:val="17"/>
              </w:rPr>
              <w:t>10,949</w:t>
            </w:r>
          </w:p>
        </w:tc>
        <w:tc>
          <w:tcPr>
            <w:tcW w:type="dxa" w:w="1440"/>
            <w:shd w:fill="FFDCE0" w:val="clear"/>
          </w:tcPr>
          <w:p>
            <w:r>
              <w:rPr>
                <w:b/>
                <w:color w:val="C00000"/>
                <w:sz w:val="17"/>
              </w:rPr>
              <w:t>-21.6%</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9,024</w:t>
            </w:r>
          </w:p>
        </w:tc>
        <w:tc>
          <w:tcPr>
            <w:tcW w:type="dxa" w:w="1440"/>
            <w:shd w:fill="FFDCE0" w:val="clear"/>
          </w:tcPr>
          <w:p>
            <w:r>
              <w:rPr>
                <w:b/>
                <w:sz w:val="17"/>
              </w:rPr>
              <w:t>9,834</w:t>
            </w:r>
          </w:p>
        </w:tc>
        <w:tc>
          <w:tcPr>
            <w:tcW w:type="dxa" w:w="1440"/>
            <w:shd w:fill="FFDCE0" w:val="clear"/>
          </w:tcPr>
          <w:p>
            <w:r>
              <w:rPr>
                <w:sz w:val="17"/>
              </w:rPr>
              <w:t>10,643</w:t>
            </w:r>
          </w:p>
        </w:tc>
        <w:tc>
          <w:tcPr>
            <w:tcW w:type="dxa" w:w="1440"/>
            <w:shd w:fill="FFDCE0" w:val="clear"/>
          </w:tcPr>
          <w:p>
            <w:r>
              <w:rPr>
                <w:b/>
                <w:color w:val="C00000"/>
                <w:sz w:val="17"/>
              </w:rPr>
              <w:t>-24.3%</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8,685</w:t>
            </w:r>
          </w:p>
        </w:tc>
        <w:tc>
          <w:tcPr>
            <w:tcW w:type="dxa" w:w="1440"/>
            <w:shd w:fill="FFDCE0" w:val="clear"/>
          </w:tcPr>
          <w:p>
            <w:r>
              <w:rPr>
                <w:b/>
                <w:sz w:val="17"/>
              </w:rPr>
              <w:t>9,532</w:t>
            </w:r>
          </w:p>
        </w:tc>
        <w:tc>
          <w:tcPr>
            <w:tcW w:type="dxa" w:w="1440"/>
            <w:shd w:fill="FFDCE0" w:val="clear"/>
          </w:tcPr>
          <w:p>
            <w:r>
              <w:rPr>
                <w:sz w:val="17"/>
              </w:rPr>
              <w:t>10,380</w:t>
            </w:r>
          </w:p>
        </w:tc>
        <w:tc>
          <w:tcPr>
            <w:tcW w:type="dxa" w:w="1440"/>
            <w:shd w:fill="FFDCE0" w:val="clear"/>
          </w:tcPr>
          <w:p>
            <w:r>
              <w:rPr>
                <w:b/>
                <w:color w:val="C00000"/>
                <w:sz w:val="17"/>
              </w:rPr>
              <w:t>-26.6%</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8,389</w:t>
            </w:r>
          </w:p>
        </w:tc>
        <w:tc>
          <w:tcPr>
            <w:tcW w:type="dxa" w:w="1440"/>
            <w:shd w:fill="FFDCE0" w:val="clear"/>
          </w:tcPr>
          <w:p>
            <w:r>
              <w:rPr>
                <w:b/>
                <w:sz w:val="17"/>
              </w:rPr>
              <w:t>9,270</w:t>
            </w:r>
          </w:p>
        </w:tc>
        <w:tc>
          <w:tcPr>
            <w:tcW w:type="dxa" w:w="1440"/>
            <w:shd w:fill="FFDCE0" w:val="clear"/>
          </w:tcPr>
          <w:p>
            <w:r>
              <w:rPr>
                <w:sz w:val="17"/>
              </w:rPr>
              <w:t>10,151</w:t>
            </w:r>
          </w:p>
        </w:tc>
        <w:tc>
          <w:tcPr>
            <w:tcW w:type="dxa" w:w="1440"/>
            <w:shd w:fill="FFDCE0" w:val="clear"/>
          </w:tcPr>
          <w:p>
            <w:r>
              <w:rPr>
                <w:b/>
                <w:color w:val="C00000"/>
                <w:sz w:val="17"/>
              </w:rPr>
              <w:t>-28.6%</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8,129</w:t>
            </w:r>
          </w:p>
        </w:tc>
        <w:tc>
          <w:tcPr>
            <w:tcW w:type="dxa" w:w="1440"/>
            <w:shd w:fill="FFDCE0" w:val="clear"/>
          </w:tcPr>
          <w:p>
            <w:r>
              <w:rPr>
                <w:b/>
                <w:sz w:val="17"/>
              </w:rPr>
              <w:t>9,040</w:t>
            </w:r>
          </w:p>
        </w:tc>
        <w:tc>
          <w:tcPr>
            <w:tcW w:type="dxa" w:w="1440"/>
            <w:shd w:fill="FFDCE0" w:val="clear"/>
          </w:tcPr>
          <w:p>
            <w:r>
              <w:rPr>
                <w:sz w:val="17"/>
              </w:rPr>
              <w:t>9,952</w:t>
            </w:r>
          </w:p>
        </w:tc>
        <w:tc>
          <w:tcPr>
            <w:tcW w:type="dxa" w:w="1440"/>
            <w:shd w:fill="FFDCE0" w:val="clear"/>
          </w:tcPr>
          <w:p>
            <w:r>
              <w:rPr>
                <w:b/>
                <w:color w:val="C00000"/>
                <w:sz w:val="17"/>
              </w:rPr>
              <w:t>-30.4%</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7,898</w:t>
            </w:r>
          </w:p>
        </w:tc>
        <w:tc>
          <w:tcPr>
            <w:tcW w:type="dxa" w:w="1440"/>
            <w:shd w:fill="FFDCE0" w:val="clear"/>
          </w:tcPr>
          <w:p>
            <w:r>
              <w:rPr>
                <w:b/>
                <w:sz w:val="17"/>
              </w:rPr>
              <w:t>8,837</w:t>
            </w:r>
          </w:p>
        </w:tc>
        <w:tc>
          <w:tcPr>
            <w:tcW w:type="dxa" w:w="1440"/>
            <w:shd w:fill="FFDCE0" w:val="clear"/>
          </w:tcPr>
          <w:p>
            <w:r>
              <w:rPr>
                <w:sz w:val="17"/>
              </w:rPr>
              <w:t>9,776</w:t>
            </w:r>
          </w:p>
        </w:tc>
        <w:tc>
          <w:tcPr>
            <w:tcW w:type="dxa" w:w="1440"/>
            <w:shd w:fill="FFDCE0" w:val="clear"/>
          </w:tcPr>
          <w:p>
            <w:r>
              <w:rPr>
                <w:b/>
                <w:color w:val="C00000"/>
                <w:sz w:val="17"/>
              </w:rPr>
              <w:t>-31.9%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**RAPPORT D'ANALYSE FINANCIÈRE — BOA CÔTE D'IVOIRE (BOAC)**</w:t>
        <w:br/>
        <w:t>**Date de l'analyse : 26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BOAC s'établit à 519,40 milliards FCFA, ce qui positionne la banque parmi les poids lourds de la BRVM, reflétant la confiance des investisseurs dans le secteur bancaire ivoirien. Avec un BPA de 888 FCFA, le titre se paie 14,6 fois ses bénéfices (PER), une prime notable par rapport à la moyenne historique de la BRVM (8-12x), indiquant que le marché anticipe une croissance future ou valorise la qualité de la franchise. Le P/B de 4,08x confirme cette prime, le marché valorisant fortement les capitaux propres de la banque, bien au-delà de leur valeur comptable. Enfin, l'EV/EBITDA de 27,8x est particulièrement exigeant, signalant que la valeur totale de l'entreprise (capitaux propres + dette nette) est très élevée par rapport à sa capacité opérationnelle. Ces ratios suggèrent une valorisation qui intègre des hypothèses de performance soutenue.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BOAC a enregistré une performance spectaculaire de +60,31%, passant d'un plus bas de 8 100 FCFA à un plus haut de 13 450 FCFA, avant de clôturer à 12 985 FCFA. La séance de la veille était stable (+0,00%). Cette tendance est fortement haussière, portée par des volumes moyens de 14 218 titres par jour. Les statistiques descriptives révèlent une distribution asymétrique positive (skewness de 1,542), signifiant que le cours a passé plus de journées sous sa moyenne (9 591 FCFA) que au-dessus, mais avec des pics de hausse importants qui ont tiré la moyenne au-dessus de la médiane (9 025 FCFA). Le kurtosis élevé (1,270) confirme un risque de mouvements extrêmes, avec des queues de distribution épaisses. L'écart-type de 1 376 FCFA (CV de 14,4%) indique une dispersion modérée autour de la moyenne. La volatilité annualisée de 25,7% classe le titre dans la catégorie "modérée à élevée", ce qui implique des fluctuations de prix significatives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(12 985 FCFA) évolue nettement au-dessus de sa MM20 (12 072,75 FCFA) et de sa MM50 (10 488,5 FCFA), confirmant une dynamique haussière de court et moyen terme. La configuration des MM (MM20 &gt; MM50) est un signal classique d'achat, indiquant que la tendance de fond est positive et que les acheteurs contrôlent le marché.</w:t>
      </w:r>
    </w:p>
    <w:p>
      <w:pPr>
        <w:spacing w:after="120" w:line="276" w:lineRule="auto"/>
      </w:pPr>
      <w:r>
        <w:t>**Bandes de Bollinger** : Le prix se situe à l'intérieur des bandes, proche de la borne supérieure (14 008,797 FCFA) mais sans la toucher. La décision "Neutre" suggère que le marché n'est pas encore en situation de surachat extrême, mais la proximité de la borne supérieure indique une pression acheteuse soutenue et une volatilité qui pourrait s'accentuer.</w:t>
      </w:r>
    </w:p>
    <w:p>
      <w:pPr>
        <w:spacing w:after="120" w:line="276" w:lineRule="auto"/>
      </w:pPr>
      <w:r>
        <w:t>**MACD** : Le MACD (841,437) est positif et supérieur à sa ligne de signal (804,135), confirmant un momentum haussier. L'écart positif entre les deux lignes indique que la dynamique d'achat est toujours en vigueur, même si l'écart n'est pas excessif, ce qui suggère une possible consolidation avant une nouvelle impulsion.</w:t>
      </w:r>
    </w:p>
    <w:p>
      <w:pPr>
        <w:spacing w:after="120" w:line="276" w:lineRule="auto"/>
      </w:pPr>
      <w:r>
        <w:t>**RSI** : Le RSI à 81,871 est en zone de surachat (au-dessus de 70). Ce niveau est un signal de prudence, indiquant que le titre est techniquement surévalué à court terme et qu'un repli ou une consolidation est probable. La décision associée est "Vente", un signal qui contraste avec la tendance haussière de fond.</w:t>
      </w:r>
    </w:p>
    <w:p>
      <w:pPr>
        <w:spacing w:after="120" w:line="276" w:lineRule="auto"/>
      </w:pPr>
      <w:r>
        <w:t>**Stochastique** : Le %K (74,865) est inférieur à %D (82,343), formant un croisement baissier en zone de surachat. Ce signal indique un affaiblissement de la dynamique haussière à très court terme, renforçant la prudence suggérée par le RSI. La décision est "Neutre", mais la configuration est un avertissement.</w:t>
      </w:r>
    </w:p>
    <w:p>
      <w:pPr>
        <w:spacing w:after="120" w:line="276" w:lineRule="auto"/>
      </w:pPr>
      <w:r>
        <w:t>**Conclusion technique** : Les indicateurs de tendance (MM, MACD) sont résolument haussiers, mais les oscillateurs de momentum (RSI, Stochastique) signalent une condition de surachat extrême. Cette divergence suggère que la tendance de fond reste positive, mais qu'un repli technique est probable à court terme pour "respirer" avant une éventuelle reprise de la hausse. La prudence est de mise pour les nouveaux achats à ces niveaux.</w:t>
      </w:r>
    </w:p>
    <w:p>
      <w:pPr>
        <w:spacing w:after="120" w:line="276" w:lineRule="auto"/>
      </w:pPr>
      <w:r>
        <w:t>---</w:t>
      </w:r>
    </w:p>
    <w:p>
      <w:pPr>
        <w:spacing w:after="120" w:line="276" w:lineRule="auto"/>
      </w:pPr>
      <w:r>
        <w:t>### PARTIE 3 : ANALYSE FONDAMENTALE (SECTION CRITIQUE)</w:t>
      </w:r>
    </w:p>
    <w:p>
      <w:pPr>
        <w:spacing w:after="120" w:line="276" w:lineRule="auto"/>
      </w:pPr>
      <w:r>
        <w:t>En 2025, les données financières structurées de BOAC confirment une banque très performante. Le Produit Net Bancaire (PNB) s'établit à 73,545 milliards FCFA, générant un résultat net de 35,540 milliards FCFA. La rentabilité des fonds propres (ROE) est exceptionnelle à 27,91%, et le ROA est solide à 3,22%. Le coefficient d'exploitation de 36,70% démontre une excellente maîtrise des coûts (bien en dessous du seuil de 60%). Cependant, le coût du risque de 6,67% est un point de vigilance, indiquant un risque de crédit significatif. L'autonomie financière (11,54%) est faible, traduisant une forte dépendance aux dettes (88,46%), typique du secteur bancaire. Les rapports trimestriels de 2025 montrent une trajectoire contrastée : le T1 était excellent (résultat net +14,59% à 10,70 milliards), mais le S1 a montré un PNB en stagnation (-0,35%) et le cumul sur 9 mois (T3) confirme une atonie (PNB +0,23%, résultat net +1,29%). On estime que l'exercice 2025 complet, basé sur les données structurées, a bénéficié d'un T4 très fort pour atteindre ces niveaux. Les objectifs triennaux (horizon 2027) annoncés au S1 2025 visent une croissance du PNB de +11,6% et une progression de la marge nette de +13,8%, soutenues par les activités non bancaires. La banque a renforcé son bilan avec une augmentation de capital à 40 milliards FCFA, mais la contraction des crédits (-11,97% sur 9 mois) reste un défi majeur pour la croissance future.</w:t>
      </w:r>
    </w:p>
    <w:p>
      <w:pPr>
        <w:spacing w:after="120" w:line="276" w:lineRule="auto"/>
      </w:pPr>
      <w:r>
        <w:t>---</w:t>
      </w:r>
    </w:p>
    <w:p>
      <w:pPr>
        <w:spacing w:after="120" w:line="276" w:lineRule="auto"/>
      </w:pPr>
      <w:r>
        <w:t>### PARTIE 4 : CONCLUSION D'INVESTISSEMENT</w:t>
      </w:r>
    </w:p>
    <w:p>
      <w:pPr>
        <w:spacing w:after="120" w:line="276" w:lineRule="auto"/>
      </w:pPr>
      <w:r>
        <w:t>La valorisation de BOAC (PER 14,6x, P/B 4,08x, EV/EBITDA 27,8x) est exigeante et intègre des attentes de croissance élevées, ce qui contraste avec la récente stagnation de l'activité. Le comportement du cours, avec une hausse de +60% en 100 jours et une volatilité de 25,7%, montre un fort appétit des investisseurs, mais les statistiques (kurtosis, skewness) et les signaux techniques de surachat (RSI, Stochastique) suggèrent un risque de correction à court terme. Les fondamentaux de la banque restent solides (ROE &gt; 27%, coefficient d'exploitation excellent), mais la croissance du PNB est au point mort et le coût du risque est élevé. Les prédictions IA pour les 10 prochains jours (chute de 12 985 à 9 834 FCFA) confirment cette anticipation de correction technique. En synthèse, les signaux sont divergents : la tendance de fond est haussière et les fondamentaux sont bons, mais la valorisation est tendue et les indicateurs techniques appellent à la prudence. Par conséquent, la recommandation est de **CONSERVER** le titre pour les investisseurs existants, avec un niveau de confiance **Moyen** et un risque global **Élevé**. Pour les nouveaux investisseurs, il est suggéré d'attendre un repli vers les 11 000-11 500 FCFA pour initier une position, avec un horizon d'investissement à **moyen terme (3-12 mois)** pour bénéficier de la reprise de la croissance du PNB anticipée par le plan stratégique 2027.</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179.80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6,170 titres</w:t>
            </w:r>
          </w:p>
        </w:tc>
        <w:tc>
          <w:tcPr>
            <w:tcW w:type="dxa" w:w="2268"/>
            <w:shd w:fill="FFF2CC" w:val="clear"/>
          </w:tcPr>
          <w:p>
            <w:r>
              <w:rPr>
                <w:b/>
                <w:color w:val="503200"/>
                <w:sz w:val="16"/>
              </w:rPr>
              <w:t xml:space="preserve">Cours actuel : </w:t>
            </w:r>
            <w:r>
              <w:rPr>
                <w:color w:val="000000"/>
                <w:sz w:val="17"/>
              </w:rPr>
              <w:t>6,550 FCFA</w:t>
            </w:r>
          </w:p>
          <w:p>
            <w:r>
              <w:rPr>
                <w:b/>
                <w:color w:val="503200"/>
                <w:sz w:val="16"/>
              </w:rPr>
              <w:t xml:space="preserve">Var. 100 jours : </w:t>
            </w:r>
            <w:r>
              <w:rPr>
                <w:b/>
                <w:color w:val="007800"/>
                <w:sz w:val="17"/>
              </w:rPr>
              <w:t>+42.55%</w:t>
            </w:r>
          </w:p>
          <w:p>
            <w:r>
              <w:rPr>
                <w:b/>
                <w:color w:val="503200"/>
                <w:sz w:val="16"/>
              </w:rPr>
              <w:t xml:space="preserve">Plus haut 100j : </w:t>
            </w:r>
            <w:r>
              <w:rPr>
                <w:color w:val="000000"/>
                <w:sz w:val="17"/>
              </w:rPr>
              <w:t>6,550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10.78% (Moyenne) — μ=5,084 FCFA, σ=548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β=0.4859 (Défensif) — Cov=0.000016, Var(idx)=0.000034, ρ=0.140,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6,170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σ_j=2.02%/j (Stable) — Vol. annualisée≈32.1%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2026-08-27</w:t>
            </w:r>
          </w:p>
        </w:tc>
        <w:tc>
          <w:tcPr>
            <w:tcW w:type="dxa" w:w="1440"/>
            <w:shd w:fill="FFDCE0" w:val="clear"/>
          </w:tcPr>
          <w:p>
            <w:r>
              <w:rPr>
                <w:sz w:val="17"/>
              </w:rPr>
              <w:t>5,995</w:t>
            </w:r>
          </w:p>
        </w:tc>
        <w:tc>
          <w:tcPr>
            <w:tcW w:type="dxa" w:w="1440"/>
            <w:shd w:fill="FFDCE0" w:val="clear"/>
          </w:tcPr>
          <w:p>
            <w:r>
              <w:rPr>
                <w:b/>
                <w:sz w:val="17"/>
              </w:rPr>
              <w:t>6,255</w:t>
            </w:r>
          </w:p>
        </w:tc>
        <w:tc>
          <w:tcPr>
            <w:tcW w:type="dxa" w:w="1440"/>
            <w:shd w:fill="FFDCE0" w:val="clear"/>
          </w:tcPr>
          <w:p>
            <w:r>
              <w:rPr>
                <w:sz w:val="17"/>
              </w:rPr>
              <w:t>6,516</w:t>
            </w:r>
          </w:p>
        </w:tc>
        <w:tc>
          <w:tcPr>
            <w:tcW w:type="dxa" w:w="1440"/>
            <w:shd w:fill="FFDCE0" w:val="clear"/>
          </w:tcPr>
          <w:p>
            <w:r>
              <w:rPr>
                <w:b/>
                <w:color w:val="C00000"/>
                <w:sz w:val="17"/>
              </w:rPr>
              <w:t>-4.5%</w:t>
            </w:r>
          </w:p>
        </w:tc>
      </w:tr>
      <w:tr>
        <w:tc>
          <w:tcPr>
            <w:tcW w:type="dxa" w:w="1440"/>
            <w:shd w:fill="FFDCE0" w:val="clear"/>
          </w:tcPr>
          <w:p>
            <w:r>
              <w:rPr>
                <w:sz w:val="17"/>
              </w:rPr>
              <w:t>J+2  ⭐⭐⭐</w:t>
            </w:r>
          </w:p>
        </w:tc>
        <w:tc>
          <w:tcPr>
            <w:tcW w:type="dxa" w:w="1440"/>
            <w:shd w:fill="FFDCE0" w:val="clear"/>
          </w:tcPr>
          <w:p>
            <w:r>
              <w:rPr>
                <w:sz w:val="17"/>
              </w:rPr>
              <w:t>2026-08-28</w:t>
            </w:r>
          </w:p>
        </w:tc>
        <w:tc>
          <w:tcPr>
            <w:tcW w:type="dxa" w:w="1440"/>
            <w:shd w:fill="FFDCE0" w:val="clear"/>
          </w:tcPr>
          <w:p>
            <w:r>
              <w:rPr>
                <w:sz w:val="17"/>
              </w:rPr>
              <w:t>5,787</w:t>
            </w:r>
          </w:p>
        </w:tc>
        <w:tc>
          <w:tcPr>
            <w:tcW w:type="dxa" w:w="1440"/>
            <w:shd w:fill="FFDCE0" w:val="clear"/>
          </w:tcPr>
          <w:p>
            <w:r>
              <w:rPr>
                <w:b/>
                <w:sz w:val="17"/>
              </w:rPr>
              <w:t>6,098</w:t>
            </w:r>
          </w:p>
        </w:tc>
        <w:tc>
          <w:tcPr>
            <w:tcW w:type="dxa" w:w="1440"/>
            <w:shd w:fill="FFDCE0" w:val="clear"/>
          </w:tcPr>
          <w:p>
            <w:r>
              <w:rPr>
                <w:sz w:val="17"/>
              </w:rPr>
              <w:t>6,410</w:t>
            </w:r>
          </w:p>
        </w:tc>
        <w:tc>
          <w:tcPr>
            <w:tcW w:type="dxa" w:w="1440"/>
            <w:shd w:fill="FFDCE0" w:val="clear"/>
          </w:tcPr>
          <w:p>
            <w:r>
              <w:rPr>
                <w:b/>
                <w:color w:val="C00000"/>
                <w:sz w:val="17"/>
              </w:rPr>
              <w:t>-6.9%</w:t>
            </w:r>
          </w:p>
        </w:tc>
      </w:tr>
      <w:tr>
        <w:tc>
          <w:tcPr>
            <w:tcW w:type="dxa" w:w="1440"/>
            <w:shd w:fill="FFDCE0" w:val="clear"/>
          </w:tcPr>
          <w:p>
            <w:r>
              <w:rPr>
                <w:sz w:val="17"/>
              </w:rPr>
              <w:t>J+3  Moyenne</w:t>
            </w:r>
          </w:p>
        </w:tc>
        <w:tc>
          <w:tcPr>
            <w:tcW w:type="dxa" w:w="1440"/>
            <w:shd w:fill="FFDCE0" w:val="clear"/>
          </w:tcPr>
          <w:p>
            <w:r>
              <w:rPr>
                <w:sz w:val="17"/>
              </w:rPr>
              <w:t>2026-08-31</w:t>
            </w:r>
          </w:p>
        </w:tc>
        <w:tc>
          <w:tcPr>
            <w:tcW w:type="dxa" w:w="1440"/>
            <w:shd w:fill="FFDCE0" w:val="clear"/>
          </w:tcPr>
          <w:p>
            <w:r>
              <w:rPr>
                <w:sz w:val="17"/>
              </w:rPr>
              <w:t>5,619</w:t>
            </w:r>
          </w:p>
        </w:tc>
        <w:tc>
          <w:tcPr>
            <w:tcW w:type="dxa" w:w="1440"/>
            <w:shd w:fill="FFDCE0" w:val="clear"/>
          </w:tcPr>
          <w:p>
            <w:r>
              <w:rPr>
                <w:b/>
                <w:sz w:val="17"/>
              </w:rPr>
              <w:t>5,971</w:t>
            </w:r>
          </w:p>
        </w:tc>
        <w:tc>
          <w:tcPr>
            <w:tcW w:type="dxa" w:w="1440"/>
            <w:shd w:fill="FFDCE0" w:val="clear"/>
          </w:tcPr>
          <w:p>
            <w:r>
              <w:rPr>
                <w:sz w:val="17"/>
              </w:rPr>
              <w:t>6,323</w:t>
            </w:r>
          </w:p>
        </w:tc>
        <w:tc>
          <w:tcPr>
            <w:tcW w:type="dxa" w:w="1440"/>
            <w:shd w:fill="FFDCE0" w:val="clear"/>
          </w:tcPr>
          <w:p>
            <w:r>
              <w:rPr>
                <w:b/>
                <w:color w:val="C00000"/>
                <w:sz w:val="17"/>
              </w:rPr>
              <w:t>-8.8%</w:t>
            </w:r>
          </w:p>
        </w:tc>
      </w:tr>
      <w:tr>
        <w:tc>
          <w:tcPr>
            <w:tcW w:type="dxa" w:w="1440"/>
            <w:shd w:fill="FFDCE0" w:val="clear"/>
          </w:tcPr>
          <w:p>
            <w:r>
              <w:rPr>
                <w:sz w:val="17"/>
              </w:rPr>
              <w:t>J+4  Moyenne</w:t>
            </w:r>
          </w:p>
        </w:tc>
        <w:tc>
          <w:tcPr>
            <w:tcW w:type="dxa" w:w="1440"/>
            <w:shd w:fill="FFDCE0" w:val="clear"/>
          </w:tcPr>
          <w:p>
            <w:r>
              <w:rPr>
                <w:sz w:val="17"/>
              </w:rPr>
              <w:t>2026-09-01</w:t>
            </w:r>
          </w:p>
        </w:tc>
        <w:tc>
          <w:tcPr>
            <w:tcW w:type="dxa" w:w="1440"/>
            <w:shd w:fill="FFDCE0" w:val="clear"/>
          </w:tcPr>
          <w:p>
            <w:r>
              <w:rPr>
                <w:sz w:val="17"/>
              </w:rPr>
              <w:t>5,478</w:t>
            </w:r>
          </w:p>
        </w:tc>
        <w:tc>
          <w:tcPr>
            <w:tcW w:type="dxa" w:w="1440"/>
            <w:shd w:fill="FFDCE0" w:val="clear"/>
          </w:tcPr>
          <w:p>
            <w:r>
              <w:rPr>
                <w:b/>
                <w:sz w:val="17"/>
              </w:rPr>
              <w:t>5,864</w:t>
            </w:r>
          </w:p>
        </w:tc>
        <w:tc>
          <w:tcPr>
            <w:tcW w:type="dxa" w:w="1440"/>
            <w:shd w:fill="FFDCE0" w:val="clear"/>
          </w:tcPr>
          <w:p>
            <w:r>
              <w:rPr>
                <w:sz w:val="17"/>
              </w:rPr>
              <w:t>6,251</w:t>
            </w:r>
          </w:p>
        </w:tc>
        <w:tc>
          <w:tcPr>
            <w:tcW w:type="dxa" w:w="1440"/>
            <w:shd w:fill="FFDCE0" w:val="clear"/>
          </w:tcPr>
          <w:p>
            <w:r>
              <w:rPr>
                <w:b/>
                <w:color w:val="C00000"/>
                <w:sz w:val="17"/>
              </w:rPr>
              <w:t>-10.5%</w:t>
            </w:r>
          </w:p>
        </w:tc>
      </w:tr>
      <w:tr>
        <w:tc>
          <w:tcPr>
            <w:tcW w:type="dxa" w:w="1440"/>
            <w:shd w:fill="FFDCE0" w:val="clear"/>
          </w:tcPr>
          <w:p>
            <w:r>
              <w:rPr>
                <w:sz w:val="17"/>
              </w:rPr>
              <w:t>J+5  Moyenne</w:t>
            </w:r>
          </w:p>
        </w:tc>
        <w:tc>
          <w:tcPr>
            <w:tcW w:type="dxa" w:w="1440"/>
            <w:shd w:fill="FFDCE0" w:val="clear"/>
          </w:tcPr>
          <w:p>
            <w:r>
              <w:rPr>
                <w:sz w:val="17"/>
              </w:rPr>
              <w:t>2026-09-02</w:t>
            </w:r>
          </w:p>
        </w:tc>
        <w:tc>
          <w:tcPr>
            <w:tcW w:type="dxa" w:w="1440"/>
            <w:shd w:fill="FFDCE0" w:val="clear"/>
          </w:tcPr>
          <w:p>
            <w:r>
              <w:rPr>
                <w:sz w:val="17"/>
              </w:rPr>
              <w:t>5,354</w:t>
            </w:r>
          </w:p>
        </w:tc>
        <w:tc>
          <w:tcPr>
            <w:tcW w:type="dxa" w:w="1440"/>
            <w:shd w:fill="FFDCE0" w:val="clear"/>
          </w:tcPr>
          <w:p>
            <w:r>
              <w:rPr>
                <w:b/>
                <w:sz w:val="17"/>
              </w:rPr>
              <w:t>5,770</w:t>
            </w:r>
          </w:p>
        </w:tc>
        <w:tc>
          <w:tcPr>
            <w:tcW w:type="dxa" w:w="1440"/>
            <w:shd w:fill="FFDCE0" w:val="clear"/>
          </w:tcPr>
          <w:p>
            <w:r>
              <w:rPr>
                <w:sz w:val="17"/>
              </w:rPr>
              <w:t>6,187</w:t>
            </w:r>
          </w:p>
        </w:tc>
        <w:tc>
          <w:tcPr>
            <w:tcW w:type="dxa" w:w="1440"/>
            <w:shd w:fill="FFDCE0" w:val="clear"/>
          </w:tcPr>
          <w:p>
            <w:r>
              <w:rPr>
                <w:b/>
                <w:color w:val="C00000"/>
                <w:sz w:val="17"/>
              </w:rPr>
              <w:t>-11.9%</w:t>
            </w:r>
          </w:p>
        </w:tc>
      </w:tr>
      <w:tr>
        <w:tc>
          <w:tcPr>
            <w:tcW w:type="dxa" w:w="1440"/>
            <w:shd w:fill="FFDCE0" w:val="clear"/>
          </w:tcPr>
          <w:p>
            <w:r>
              <w:rPr>
                <w:sz w:val="17"/>
              </w:rPr>
              <w:t>J+6  Moyenne</w:t>
            </w:r>
          </w:p>
        </w:tc>
        <w:tc>
          <w:tcPr>
            <w:tcW w:type="dxa" w:w="1440"/>
            <w:shd w:fill="FFDCE0" w:val="clear"/>
          </w:tcPr>
          <w:p>
            <w:r>
              <w:rPr>
                <w:sz w:val="17"/>
              </w:rPr>
              <w:t>2026-09-03</w:t>
            </w:r>
          </w:p>
        </w:tc>
        <w:tc>
          <w:tcPr>
            <w:tcW w:type="dxa" w:w="1440"/>
            <w:shd w:fill="FFDCE0" w:val="clear"/>
          </w:tcPr>
          <w:p>
            <w:r>
              <w:rPr>
                <w:sz w:val="17"/>
              </w:rPr>
              <w:t>5,241</w:t>
            </w:r>
          </w:p>
        </w:tc>
        <w:tc>
          <w:tcPr>
            <w:tcW w:type="dxa" w:w="1440"/>
            <w:shd w:fill="FFDCE0" w:val="clear"/>
          </w:tcPr>
          <w:p>
            <w:r>
              <w:rPr>
                <w:b/>
                <w:sz w:val="17"/>
              </w:rPr>
              <w:t>5,684</w:t>
            </w:r>
          </w:p>
        </w:tc>
        <w:tc>
          <w:tcPr>
            <w:tcW w:type="dxa" w:w="1440"/>
            <w:shd w:fill="FFDCE0" w:val="clear"/>
          </w:tcPr>
          <w:p>
            <w:r>
              <w:rPr>
                <w:sz w:val="17"/>
              </w:rPr>
              <w:t>6,127</w:t>
            </w:r>
          </w:p>
        </w:tc>
        <w:tc>
          <w:tcPr>
            <w:tcW w:type="dxa" w:w="1440"/>
            <w:shd w:fill="FFDCE0" w:val="clear"/>
          </w:tcPr>
          <w:p>
            <w:r>
              <w:rPr>
                <w:b/>
                <w:color w:val="C00000"/>
                <w:sz w:val="17"/>
              </w:rPr>
              <w:t>-13.2%</w:t>
            </w:r>
          </w:p>
        </w:tc>
      </w:tr>
      <w:tr>
        <w:tc>
          <w:tcPr>
            <w:tcW w:type="dxa" w:w="1440"/>
            <w:shd w:fill="FFDCE0" w:val="clear"/>
          </w:tcPr>
          <w:p>
            <w:r>
              <w:rPr>
                <w:sz w:val="17"/>
              </w:rPr>
              <w:t>J+7  Moyenne</w:t>
            </w:r>
          </w:p>
        </w:tc>
        <w:tc>
          <w:tcPr>
            <w:tcW w:type="dxa" w:w="1440"/>
            <w:shd w:fill="FFDCE0" w:val="clear"/>
          </w:tcPr>
          <w:p>
            <w:r>
              <w:rPr>
                <w:sz w:val="17"/>
              </w:rPr>
              <w:t>2026-09-04</w:t>
            </w:r>
          </w:p>
        </w:tc>
        <w:tc>
          <w:tcPr>
            <w:tcW w:type="dxa" w:w="1440"/>
            <w:shd w:fill="FFDCE0" w:val="clear"/>
          </w:tcPr>
          <w:p>
            <w:r>
              <w:rPr>
                <w:sz w:val="17"/>
              </w:rPr>
              <w:t>5,137</w:t>
            </w:r>
          </w:p>
        </w:tc>
        <w:tc>
          <w:tcPr>
            <w:tcW w:type="dxa" w:w="1440"/>
            <w:shd w:fill="FFDCE0" w:val="clear"/>
          </w:tcPr>
          <w:p>
            <w:r>
              <w:rPr>
                <w:b/>
                <w:sz w:val="17"/>
              </w:rPr>
              <w:t>5,604</w:t>
            </w:r>
          </w:p>
        </w:tc>
        <w:tc>
          <w:tcPr>
            <w:tcW w:type="dxa" w:w="1440"/>
            <w:shd w:fill="FFDCE0" w:val="clear"/>
          </w:tcPr>
          <w:p>
            <w:r>
              <w:rPr>
                <w:sz w:val="17"/>
              </w:rPr>
              <w:t>6,071</w:t>
            </w:r>
          </w:p>
        </w:tc>
        <w:tc>
          <w:tcPr>
            <w:tcW w:type="dxa" w:w="1440"/>
            <w:shd w:fill="FFDCE0" w:val="clear"/>
          </w:tcPr>
          <w:p>
            <w:r>
              <w:rPr>
                <w:b/>
                <w:color w:val="C00000"/>
                <w:sz w:val="17"/>
              </w:rPr>
              <w:t>-14.4%</w:t>
            </w:r>
          </w:p>
        </w:tc>
      </w:tr>
      <w:tr>
        <w:tc>
          <w:tcPr>
            <w:tcW w:type="dxa" w:w="1440"/>
            <w:shd w:fill="FFDCE0" w:val="clear"/>
          </w:tcPr>
          <w:p>
            <w:r>
              <w:rPr>
                <w:sz w:val="17"/>
              </w:rPr>
              <w:t>J+8  Moyenne</w:t>
            </w:r>
          </w:p>
        </w:tc>
        <w:tc>
          <w:tcPr>
            <w:tcW w:type="dxa" w:w="1440"/>
            <w:shd w:fill="FFDCE0" w:val="clear"/>
          </w:tcPr>
          <w:p>
            <w:r>
              <w:rPr>
                <w:sz w:val="17"/>
              </w:rPr>
              <w:t>2026-09-07</w:t>
            </w:r>
          </w:p>
        </w:tc>
        <w:tc>
          <w:tcPr>
            <w:tcW w:type="dxa" w:w="1440"/>
            <w:shd w:fill="FFDCE0" w:val="clear"/>
          </w:tcPr>
          <w:p>
            <w:r>
              <w:rPr>
                <w:sz w:val="17"/>
              </w:rPr>
              <w:t>5,040</w:t>
            </w:r>
          </w:p>
        </w:tc>
        <w:tc>
          <w:tcPr>
            <w:tcW w:type="dxa" w:w="1440"/>
            <w:shd w:fill="FFDCE0" w:val="clear"/>
          </w:tcPr>
          <w:p>
            <w:r>
              <w:rPr>
                <w:b/>
                <w:sz w:val="17"/>
              </w:rPr>
              <w:t>5,529</w:t>
            </w:r>
          </w:p>
        </w:tc>
        <w:tc>
          <w:tcPr>
            <w:tcW w:type="dxa" w:w="1440"/>
            <w:shd w:fill="FFDCE0" w:val="clear"/>
          </w:tcPr>
          <w:p>
            <w:r>
              <w:rPr>
                <w:sz w:val="17"/>
              </w:rPr>
              <w:t>6,017</w:t>
            </w:r>
          </w:p>
        </w:tc>
        <w:tc>
          <w:tcPr>
            <w:tcW w:type="dxa" w:w="1440"/>
            <w:shd w:fill="FFDCE0" w:val="clear"/>
          </w:tcPr>
          <w:p>
            <w:r>
              <w:rPr>
                <w:b/>
                <w:color w:val="C00000"/>
                <w:sz w:val="17"/>
              </w:rPr>
              <w:t>-15.6%</w:t>
            </w:r>
          </w:p>
        </w:tc>
      </w:tr>
      <w:tr>
        <w:tc>
          <w:tcPr>
            <w:tcW w:type="dxa" w:w="1440"/>
            <w:shd w:fill="FFDCE0" w:val="clear"/>
          </w:tcPr>
          <w:p>
            <w:r>
              <w:rPr>
                <w:sz w:val="17"/>
              </w:rPr>
              <w:t>J+9  Moyenne</w:t>
            </w:r>
          </w:p>
        </w:tc>
        <w:tc>
          <w:tcPr>
            <w:tcW w:type="dxa" w:w="1440"/>
            <w:shd w:fill="FFDCE0" w:val="clear"/>
          </w:tcPr>
          <w:p>
            <w:r>
              <w:rPr>
                <w:sz w:val="17"/>
              </w:rPr>
              <w:t>2026-09-08</w:t>
            </w:r>
          </w:p>
        </w:tc>
        <w:tc>
          <w:tcPr>
            <w:tcW w:type="dxa" w:w="1440"/>
            <w:shd w:fill="FFDCE0" w:val="clear"/>
          </w:tcPr>
          <w:p>
            <w:r>
              <w:rPr>
                <w:sz w:val="17"/>
              </w:rPr>
              <w:t>4,950</w:t>
            </w:r>
          </w:p>
        </w:tc>
        <w:tc>
          <w:tcPr>
            <w:tcW w:type="dxa" w:w="1440"/>
            <w:shd w:fill="FFDCE0" w:val="clear"/>
          </w:tcPr>
          <w:p>
            <w:r>
              <w:rPr>
                <w:b/>
                <w:sz w:val="17"/>
              </w:rPr>
              <w:t>5,458</w:t>
            </w:r>
          </w:p>
        </w:tc>
        <w:tc>
          <w:tcPr>
            <w:tcW w:type="dxa" w:w="1440"/>
            <w:shd w:fill="FFDCE0" w:val="clear"/>
          </w:tcPr>
          <w:p>
            <w:r>
              <w:rPr>
                <w:sz w:val="17"/>
              </w:rPr>
              <w:t>5,967</w:t>
            </w:r>
          </w:p>
        </w:tc>
        <w:tc>
          <w:tcPr>
            <w:tcW w:type="dxa" w:w="1440"/>
            <w:shd w:fill="FFDCE0" w:val="clear"/>
          </w:tcPr>
          <w:p>
            <w:r>
              <w:rPr>
                <w:b/>
                <w:color w:val="C00000"/>
                <w:sz w:val="17"/>
              </w:rPr>
              <w:t>-16.7%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BOAM s'établit à 179,80 milliards FCFA, ce qui positionne la banque parmi les valeurs moyennes du marché de la BRVM, avec un poids significatif dans le secteur financier. Avec un BPA de 404 FCFA, le titre se négocie à un PER de 16,2x, nettement supérieur à la moyenne historique de la BRVM (8-12x), indiquant que les investisseurs paient une prime substantielle pour la croissance anticipée. Le P/B de 3,61x confirme cette prime, le marché valorisant le titre bien au-dessus de sa valeur comptable (2-4x étant la zone de prime). Enfin, l'EV/EBITDA de 8,6x reste dans une fourchette raisonnable (5-10x), suggérant que la valorisation, bien qu'exigeante sur le plan du bénéfice, demeure cohérente avec la capacité opérationnelle de la banque. Ces ratios traduisent une confiance marquée du marché dans les perspectives de la banque.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BOAM a enregistré une progression spectaculaire de +42,55%, avec une dernière séance en hausse de +0,92% à 6 550 FCFA. Le titre a évolué dans une fourchette large de 4 425 FCFA (plus bas) à 6 550 FCFA (plus haut, soit le cours actuel), démontrant une tendance haussière soutenue. La moyenne (5 084 FCFA) est supérieure à la médiane (4 895 FCFA), et le skewness positif (0,889) confirme une asymétrie avec des journées majoritairement sous la moyenne, mais des épisodes de forte hausse qui tirent le cours vers le haut. L'écart-type de 551 FCFA (CV=10,8%) indique une dispersion modérée des prix autour de la moyenne. Le kurtosis de -0,374 (mésokurtique) suggère une distribution proche de la normale, sans risque de pics extrêmes. La volatilité annualisée de 32,1% classe le titre comme très volatil (&gt;30%), reflétant un risque de marché élevé mais aussi un fort potentiel de rendement.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(6 550 FCFA) est nettement au-dessus de la MM20 (5 910 FCFA) et de la MM50 (5 442,5 FCFA), confirmant une dynamique haussière à court et moyen terme. L'écart positif entre le prix et les moyennes indique une forte pression acheteuse, justifiant la décision d'achat.</w:t>
      </w:r>
    </w:p>
    <w:p>
      <w:pPr>
        <w:spacing w:after="120" w:line="276" w:lineRule="auto"/>
      </w:pPr>
      <w:r>
        <w:t>**Bandes de Bollinger** : Le prix se situe près de la borne supérieure (6 604,5 FCFA), à seulement 0,8% de celle-ci, indiquant une volatilité élevée et une extension haussière. Le signal est neutre, car un tel positionnement peut précéder soit une poursuite de la tendance, soit un retour vers la moyenne (5 910 FCFA).</w:t>
      </w:r>
    </w:p>
    <w:p>
      <w:pPr>
        <w:spacing w:after="120" w:line="276" w:lineRule="auto"/>
      </w:pPr>
      <w:r>
        <w:t>**MACD** : Le MACD (271,28) est nettement au-dessus de sa ligne de signal (223,58), avec un écart positif croissant, confirmant un momentum haussier robuste. La décision d'achat est justifiée par cette configuration, qui suggère une poursuite de la tendance à court terme.</w:t>
      </w:r>
    </w:p>
    <w:p>
      <w:pPr>
        <w:spacing w:after="120" w:line="276" w:lineRule="auto"/>
      </w:pPr>
      <w:r>
        <w:t>**RSI** : À 91,86, le RSI est en zone de surachat extrême (&gt;70), signalant que le titre est survendu d'un point de vue technique. La décision de vente est justifiée, car un tel niveau précède souvent une correction ou une consolidation.</w:t>
      </w:r>
    </w:p>
    <w:p>
      <w:pPr>
        <w:spacing w:after="120" w:line="276" w:lineRule="auto"/>
      </w:pPr>
      <w:r>
        <w:t>**Stochastique** : Le %K (100,0) et le %D (98,11) sont tous deux en zone de surachat extrême, avec un %K au maximum. La décision de vente est cohérente, indiquant un épuisement potentiel de la dynamique haussière à très court terme.</w:t>
      </w:r>
    </w:p>
    <w:p>
      <w:pPr>
        <w:spacing w:after="120" w:line="276" w:lineRule="auto"/>
      </w:pPr>
      <w:r>
        <w:t>**Conclusion technique** : Les indicateurs de tendance (MM, MACD) sont résolument haussiers, mais les oscillateurs (RSI, Stochastique) signalent un surachat extrême. Cette divergence suggère une possible consolidation ou correction à court terme avant une reprise de la tendance haussière. Les investisseurs devraient surveiller un repli vers la zone des 6 000-6 200 FCFA comme point d'entrée potentiel.</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BOAM font état d'un Produit Net Bancaire (PNB) de 37,996 milliards FCFA, en croissance de 5,08%, et d'un résultat net de 11,081 milliards FCFA. La banque affiche une rentabilité exceptionnelle avec un ROE de 22,24% (&gt;15% = excellent) et un ROA de 1,87%. Le coefficient d'exploitation de 63,14% reste légèrement au-dessus du seuil d'efficacité (&lt;60%), mais le coût du risque de 43,39% (provisions/charges financières) demeure élevé, signalant un risque de crédit significatif. Les dépôts clientèle (502,89 Mds FCFA) couvrent largement les créances sur la clientèle (253,65 Mds FCFA), avec un ratio de transformation de 50,4%, indiquant une liquidité abondante. En 2024, le PNB était de 36,16 milliards FCFA (+1,8%) et le résultat net de 9,12 milliards FCFA (+57,9%), confirmant une amélioration continue de la rentabilité. Sur la base des rapports trimestriels 2025 (T1 : résultat net +91,2% ; S1 : +28,8% ; T3 : +26,2% avec un PNB cumulé de 28,52 milliards FCFA), on estime que l'exercice 2025 devrait confirmer une croissance à deux chiffres du résultat net, portée par la maîtrise du coût du risque et des charges. La banque démontre une résilience remarquable dans un contexte malien difficile (insécurité, inflation), avec une collecte de dépôts dynamique (+9,2% depuis fin 2024) mais un portefeuille de crédits en contraction (-8,6%), ce qui constitue un point de vigilance.</w:t>
      </w:r>
    </w:p>
    <w:p>
      <w:pPr>
        <w:spacing w:after="120" w:line="276" w:lineRule="auto"/>
      </w:pPr>
      <w:r>
        <w:t>---</w:t>
      </w:r>
    </w:p>
    <w:p>
      <w:pPr>
        <w:spacing w:after="120" w:line="276" w:lineRule="auto"/>
      </w:pPr>
      <w:r>
        <w:t>### PARTIE 4 : CONCLUSION D'INVESTISSEMENT</w:t>
      </w:r>
    </w:p>
    <w:p>
      <w:pPr>
        <w:spacing w:after="120" w:line="276" w:lineRule="auto"/>
      </w:pPr>
      <w:r>
        <w:t>La valorisation de BOAM (PER 16,2x, P/B 3,61x) indique une surévaluation relative par rapport au marché BRVM, mais elle est justifiée par une croissance fondamentale solide et une rentabilité exceptionnelle (ROE &gt;22%). Le comportement du cours (+42,55% en 100 jours) avec une volatilité élevée (32,1%) reflète un optimisme marqué, mais les statistiques (skewness positif, kurtosis normal) suggèrent une tendance haussière durable, bien que sujette à des corrections. Les signaux techniques sont divergents : les indicateurs de tendance (MM, MACD) sont haussiers, tandis que les oscillateurs (RSI, Stochastique) signalent un surachat extrême, préfigurant une consolidation à court terme. Les fondamentaux sont robustes, avec une croissance du PNB de +5,08% en 2025 et un résultat net en forte progression, soutenus par une gestion prudente du risque. Les prédictions IA (6 255 à 5 770 FCFA sur 10 jours) confirment un repli technique attendu, en cohérence avec les signaux de surachat. **Recommandation finale : ACHAT** sur repli, avec un niveau de confiance **Moyen** et un risque global **Élevé**. L'horizon d'investissement optimal est le **moyen terme (3-12 mois)**, en visant un point d'entrée entre 5 800 et 6 200 FCFA pour capitaliser sur la solidité fondamentale de la banque tout en gérant le risque de correction technique.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111.18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10,358 titres</w:t>
            </w:r>
          </w:p>
        </w:tc>
        <w:tc>
          <w:tcPr>
            <w:tcW w:type="dxa" w:w="2268"/>
            <w:shd w:fill="FFF2CC" w:val="clear"/>
          </w:tcPr>
          <w:p>
            <w:r>
              <w:rPr>
                <w:b/>
                <w:color w:val="503200"/>
                <w:sz w:val="16"/>
              </w:rPr>
              <w:t xml:space="preserve">Cours actuel : </w:t>
            </w:r>
            <w:r>
              <w:rPr>
                <w:color w:val="000000"/>
                <w:sz w:val="17"/>
              </w:rPr>
              <w:t>5,345 FCFA</w:t>
            </w:r>
          </w:p>
          <w:p>
            <w:r>
              <w:rPr>
                <w:b/>
                <w:color w:val="503200"/>
                <w:sz w:val="16"/>
              </w:rPr>
              <w:t xml:space="preserve">Var. 100 jours : </w:t>
            </w:r>
            <w:r>
              <w:rPr>
                <w:b/>
                <w:color w:val="007800"/>
                <w:sz w:val="17"/>
              </w:rPr>
              <w:t>+102.85%</w:t>
            </w:r>
          </w:p>
          <w:p>
            <w:r>
              <w:rPr>
                <w:b/>
                <w:color w:val="503200"/>
                <w:sz w:val="16"/>
              </w:rPr>
              <w:t xml:space="preserve">Plus haut 100j : </w:t>
            </w:r>
            <w:r>
              <w:rPr>
                <w:color w:val="000000"/>
                <w:sz w:val="17"/>
              </w:rPr>
              <w:t>5,400 FCFA</w:t>
            </w:r>
          </w:p>
          <w:p>
            <w:r>
              <w:rPr>
                <w:b/>
                <w:color w:val="503200"/>
                <w:sz w:val="16"/>
              </w:rPr>
              <w:t xml:space="preserve">Plus bas 100j : </w:t>
            </w:r>
            <w:r>
              <w:rPr>
                <w:color w:val="000000"/>
                <w:sz w:val="17"/>
              </w:rPr>
              <w:t>2,620 FCFA</w:t>
            </w:r>
          </w:p>
          <w:p>
            <w:r>
              <w:rPr>
                <w:b/>
                <w:color w:val="503200"/>
                <w:sz w:val="16"/>
              </w:rPr>
              <w:t xml:space="preserve">Volatilité ann. : </w:t>
            </w:r>
            <w:r>
              <w:rPr>
                <w:color w:val="000000"/>
                <w:sz w:val="17"/>
              </w:rPr>
              <w:t>39.5%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20.83% (Élevée) — μ=4,063 FCFA, σ=846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β=0.0367 (Défensif) — Cov=0.000001, Var(idx)=0.000034, ρ=0.009,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10,358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σ_j=2.49%/j (Stable) — Vol. annualisée≈39.5%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2026-08-27</w:t>
            </w:r>
          </w:p>
        </w:tc>
        <w:tc>
          <w:tcPr>
            <w:tcW w:type="dxa" w:w="1440"/>
            <w:shd w:fill="FAFAFA" w:val="clear"/>
          </w:tcPr>
          <w:p>
            <w:r>
              <w:rPr>
                <w:sz w:val="17"/>
              </w:rPr>
              <w:t>5,015</w:t>
            </w:r>
          </w:p>
        </w:tc>
        <w:tc>
          <w:tcPr>
            <w:tcW w:type="dxa" w:w="1440"/>
            <w:shd w:fill="FAFAFA" w:val="clear"/>
          </w:tcPr>
          <w:p>
            <w:r>
              <w:rPr>
                <w:b/>
                <w:sz w:val="17"/>
              </w:rPr>
              <w:t>5,285</w:t>
            </w:r>
          </w:p>
        </w:tc>
        <w:tc>
          <w:tcPr>
            <w:tcW w:type="dxa" w:w="1440"/>
            <w:shd w:fill="FAFAFA" w:val="clear"/>
          </w:tcPr>
          <w:p>
            <w:r>
              <w:rPr>
                <w:sz w:val="17"/>
              </w:rPr>
              <w:t>5,555</w:t>
            </w:r>
          </w:p>
        </w:tc>
        <w:tc>
          <w:tcPr>
            <w:tcW w:type="dxa" w:w="1440"/>
            <w:shd w:fill="FAFAFA" w:val="clear"/>
          </w:tcPr>
          <w:p>
            <w:r>
              <w:rPr>
                <w:b/>
                <w:color w:val="C00000"/>
                <w:sz w:val="17"/>
              </w:rPr>
              <w:t>-1.1%</w:t>
            </w:r>
          </w:p>
        </w:tc>
      </w:tr>
      <w:tr>
        <w:tc>
          <w:tcPr>
            <w:tcW w:type="dxa" w:w="1440"/>
            <w:shd w:fill="FAFAFA" w:val="clear"/>
          </w:tcPr>
          <w:p>
            <w:r>
              <w:rPr>
                <w:sz w:val="17"/>
              </w:rPr>
              <w:t>J+2  ⭐</w:t>
            </w:r>
          </w:p>
        </w:tc>
        <w:tc>
          <w:tcPr>
            <w:tcW w:type="dxa" w:w="1440"/>
            <w:shd w:fill="FAFAFA" w:val="clear"/>
          </w:tcPr>
          <w:p>
            <w:r>
              <w:rPr>
                <w:sz w:val="17"/>
              </w:rPr>
              <w:t>2026-08-28</w:t>
            </w:r>
          </w:p>
        </w:tc>
        <w:tc>
          <w:tcPr>
            <w:tcW w:type="dxa" w:w="1440"/>
            <w:shd w:fill="FAFAFA" w:val="clear"/>
          </w:tcPr>
          <w:p>
            <w:r>
              <w:rPr>
                <w:sz w:val="17"/>
              </w:rPr>
              <w:t>4,945</w:t>
            </w:r>
          </w:p>
        </w:tc>
        <w:tc>
          <w:tcPr>
            <w:tcW w:type="dxa" w:w="1440"/>
            <w:shd w:fill="FAFAFA" w:val="clear"/>
          </w:tcPr>
          <w:p>
            <w:r>
              <w:rPr>
                <w:b/>
                <w:sz w:val="17"/>
              </w:rPr>
              <w:t>5,275</w:t>
            </w:r>
          </w:p>
        </w:tc>
        <w:tc>
          <w:tcPr>
            <w:tcW w:type="dxa" w:w="1440"/>
            <w:shd w:fill="FAFAFA" w:val="clear"/>
          </w:tcPr>
          <w:p>
            <w:r>
              <w:rPr>
                <w:sz w:val="17"/>
              </w:rPr>
              <w:t>5,605</w:t>
            </w:r>
          </w:p>
        </w:tc>
        <w:tc>
          <w:tcPr>
            <w:tcW w:type="dxa" w:w="1440"/>
            <w:shd w:fill="FAFAFA" w:val="clear"/>
          </w:tcPr>
          <w:p>
            <w:r>
              <w:rPr>
                <w:b/>
                <w:color w:val="C00000"/>
                <w:sz w:val="17"/>
              </w:rPr>
              <w:t>-1.3%</w:t>
            </w:r>
          </w:p>
        </w:tc>
      </w:tr>
      <w:tr>
        <w:tc>
          <w:tcPr>
            <w:tcW w:type="dxa" w:w="1440"/>
            <w:shd w:fill="FAFAFA" w:val="clear"/>
          </w:tcPr>
          <w:p>
            <w:r>
              <w:rPr>
                <w:sz w:val="17"/>
              </w:rPr>
              <w:t>J+3  ⭐</w:t>
            </w:r>
          </w:p>
        </w:tc>
        <w:tc>
          <w:tcPr>
            <w:tcW w:type="dxa" w:w="1440"/>
            <w:shd w:fill="FAFAFA" w:val="clear"/>
          </w:tcPr>
          <w:p>
            <w:r>
              <w:rPr>
                <w:sz w:val="17"/>
              </w:rPr>
              <w:t>2026-08-31</w:t>
            </w:r>
          </w:p>
        </w:tc>
        <w:tc>
          <w:tcPr>
            <w:tcW w:type="dxa" w:w="1440"/>
            <w:shd w:fill="FAFAFA" w:val="clear"/>
          </w:tcPr>
          <w:p>
            <w:r>
              <w:rPr>
                <w:sz w:val="17"/>
              </w:rPr>
              <w:t>4,883</w:t>
            </w:r>
          </w:p>
        </w:tc>
        <w:tc>
          <w:tcPr>
            <w:tcW w:type="dxa" w:w="1440"/>
            <w:shd w:fill="FAFAFA" w:val="clear"/>
          </w:tcPr>
          <w:p>
            <w:r>
              <w:rPr>
                <w:b/>
                <w:sz w:val="17"/>
              </w:rPr>
              <w:t>5,263</w:t>
            </w:r>
          </w:p>
        </w:tc>
        <w:tc>
          <w:tcPr>
            <w:tcW w:type="dxa" w:w="1440"/>
            <w:shd w:fill="FAFAFA" w:val="clear"/>
          </w:tcPr>
          <w:p>
            <w:r>
              <w:rPr>
                <w:sz w:val="17"/>
              </w:rPr>
              <w:t>5,644</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2026-09-01</w:t>
            </w:r>
          </w:p>
        </w:tc>
        <w:tc>
          <w:tcPr>
            <w:tcW w:type="dxa" w:w="1440"/>
            <w:shd w:fill="FAFAFA" w:val="clear"/>
          </w:tcPr>
          <w:p>
            <w:r>
              <w:rPr>
                <w:sz w:val="17"/>
              </w:rPr>
              <w:t>4,827</w:t>
            </w:r>
          </w:p>
        </w:tc>
        <w:tc>
          <w:tcPr>
            <w:tcW w:type="dxa" w:w="1440"/>
            <w:shd w:fill="FAFAFA" w:val="clear"/>
          </w:tcPr>
          <w:p>
            <w:r>
              <w:rPr>
                <w:b/>
                <w:sz w:val="17"/>
              </w:rPr>
              <w:t>5,252</w:t>
            </w:r>
          </w:p>
        </w:tc>
        <w:tc>
          <w:tcPr>
            <w:tcW w:type="dxa" w:w="1440"/>
            <w:shd w:fill="FAFAFA" w:val="clear"/>
          </w:tcPr>
          <w:p>
            <w:r>
              <w:rPr>
                <w:sz w:val="17"/>
              </w:rPr>
              <w:t>5,676</w:t>
            </w:r>
          </w:p>
        </w:tc>
        <w:tc>
          <w:tcPr>
            <w:tcW w:type="dxa" w:w="1440"/>
            <w:shd w:fill="FAFAFA" w:val="clear"/>
          </w:tcPr>
          <w:p>
            <w:r>
              <w:rPr>
                <w:b/>
                <w:color w:val="C00000"/>
                <w:sz w:val="17"/>
              </w:rPr>
              <w:t>-1.7%</w:t>
            </w:r>
          </w:p>
        </w:tc>
      </w:tr>
      <w:tr>
        <w:tc>
          <w:tcPr>
            <w:tcW w:type="dxa" w:w="1440"/>
            <w:shd w:fill="FAFAFA" w:val="clear"/>
          </w:tcPr>
          <w:p>
            <w:r>
              <w:rPr>
                <w:sz w:val="17"/>
              </w:rPr>
              <w:t>J+5  ⭐</w:t>
            </w:r>
          </w:p>
        </w:tc>
        <w:tc>
          <w:tcPr>
            <w:tcW w:type="dxa" w:w="1440"/>
            <w:shd w:fill="FAFAFA" w:val="clear"/>
          </w:tcPr>
          <w:p>
            <w:r>
              <w:rPr>
                <w:sz w:val="17"/>
              </w:rPr>
              <w:t>2026-09-02</w:t>
            </w:r>
          </w:p>
        </w:tc>
        <w:tc>
          <w:tcPr>
            <w:tcW w:type="dxa" w:w="1440"/>
            <w:shd w:fill="FAFAFA" w:val="clear"/>
          </w:tcPr>
          <w:p>
            <w:r>
              <w:rPr>
                <w:sz w:val="17"/>
              </w:rPr>
              <w:t>4,776</w:t>
            </w:r>
          </w:p>
        </w:tc>
        <w:tc>
          <w:tcPr>
            <w:tcW w:type="dxa" w:w="1440"/>
            <w:shd w:fill="FAFAFA" w:val="clear"/>
          </w:tcPr>
          <w:p>
            <w:r>
              <w:rPr>
                <w:b/>
                <w:sz w:val="17"/>
              </w:rPr>
              <w:t>5,240</w:t>
            </w:r>
          </w:p>
        </w:tc>
        <w:tc>
          <w:tcPr>
            <w:tcW w:type="dxa" w:w="1440"/>
            <w:shd w:fill="FAFAFA" w:val="clear"/>
          </w:tcPr>
          <w:p>
            <w:r>
              <w:rPr>
                <w:sz w:val="17"/>
              </w:rPr>
              <w:t>5,704</w:t>
            </w:r>
          </w:p>
        </w:tc>
        <w:tc>
          <w:tcPr>
            <w:tcW w:type="dxa" w:w="1440"/>
            <w:shd w:fill="FAFAFA"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4,729</w:t>
            </w:r>
          </w:p>
        </w:tc>
        <w:tc>
          <w:tcPr>
            <w:tcW w:type="dxa" w:w="1440"/>
            <w:shd w:fill="FFDCE0" w:val="clear"/>
          </w:tcPr>
          <w:p>
            <w:r>
              <w:rPr>
                <w:b/>
                <w:sz w:val="17"/>
              </w:rPr>
              <w:t>5,229</w:t>
            </w:r>
          </w:p>
        </w:tc>
        <w:tc>
          <w:tcPr>
            <w:tcW w:type="dxa" w:w="1440"/>
            <w:shd w:fill="FFDCE0" w:val="clear"/>
          </w:tcPr>
          <w:p>
            <w:r>
              <w:rPr>
                <w:sz w:val="17"/>
              </w:rPr>
              <w:t>5,729</w:t>
            </w:r>
          </w:p>
        </w:tc>
        <w:tc>
          <w:tcPr>
            <w:tcW w:type="dxa" w:w="1440"/>
            <w:shd w:fill="FFDCE0" w:val="clear"/>
          </w:tcPr>
          <w:p>
            <w:r>
              <w:rPr>
                <w:b/>
                <w:color w:val="C00000"/>
                <w:sz w:val="17"/>
              </w:rPr>
              <w:t>-2.2%</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4,684</w:t>
            </w:r>
          </w:p>
        </w:tc>
        <w:tc>
          <w:tcPr>
            <w:tcW w:type="dxa" w:w="1440"/>
            <w:shd w:fill="FFDCE0" w:val="clear"/>
          </w:tcPr>
          <w:p>
            <w:r>
              <w:rPr>
                <w:b/>
                <w:sz w:val="17"/>
              </w:rPr>
              <w:t>5,218</w:t>
            </w:r>
          </w:p>
        </w:tc>
        <w:tc>
          <w:tcPr>
            <w:tcW w:type="dxa" w:w="1440"/>
            <w:shd w:fill="FFDCE0" w:val="clear"/>
          </w:tcPr>
          <w:p>
            <w:r>
              <w:rPr>
                <w:sz w:val="17"/>
              </w:rPr>
              <w:t>5,751</w:t>
            </w:r>
          </w:p>
        </w:tc>
        <w:tc>
          <w:tcPr>
            <w:tcW w:type="dxa" w:w="1440"/>
            <w:shd w:fill="FFDCE0" w:val="clear"/>
          </w:tcPr>
          <w:p>
            <w:r>
              <w:rPr>
                <w:b/>
                <w:color w:val="C00000"/>
                <w:sz w:val="17"/>
              </w:rPr>
              <w:t>-2.4%</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4,642</w:t>
            </w:r>
          </w:p>
        </w:tc>
        <w:tc>
          <w:tcPr>
            <w:tcW w:type="dxa" w:w="1440"/>
            <w:shd w:fill="FFDCE0" w:val="clear"/>
          </w:tcPr>
          <w:p>
            <w:r>
              <w:rPr>
                <w:b/>
                <w:sz w:val="17"/>
              </w:rPr>
              <w:t>5,207</w:t>
            </w:r>
          </w:p>
        </w:tc>
        <w:tc>
          <w:tcPr>
            <w:tcW w:type="dxa" w:w="1440"/>
            <w:shd w:fill="FFDCE0" w:val="clear"/>
          </w:tcPr>
          <w:p>
            <w:r>
              <w:rPr>
                <w:sz w:val="17"/>
              </w:rPr>
              <w:t>5,771</w:t>
            </w:r>
          </w:p>
        </w:tc>
        <w:tc>
          <w:tcPr>
            <w:tcW w:type="dxa" w:w="1440"/>
            <w:shd w:fill="FFDCE0" w:val="clear"/>
          </w:tcPr>
          <w:p>
            <w:r>
              <w:rPr>
                <w:b/>
                <w:color w:val="C00000"/>
                <w:sz w:val="17"/>
              </w:rPr>
              <w:t>-2.6%</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4,602</w:t>
            </w:r>
          </w:p>
        </w:tc>
        <w:tc>
          <w:tcPr>
            <w:tcW w:type="dxa" w:w="1440"/>
            <w:shd w:fill="FFDCE0" w:val="clear"/>
          </w:tcPr>
          <w:p>
            <w:r>
              <w:rPr>
                <w:b/>
                <w:sz w:val="17"/>
              </w:rPr>
              <w:t>5,196</w:t>
            </w:r>
          </w:p>
        </w:tc>
        <w:tc>
          <w:tcPr>
            <w:tcW w:type="dxa" w:w="1440"/>
            <w:shd w:fill="FFDCE0" w:val="clear"/>
          </w:tcPr>
          <w:p>
            <w:r>
              <w:rPr>
                <w:sz w:val="17"/>
              </w:rPr>
              <w:t>5,790</w:t>
            </w:r>
          </w:p>
        </w:tc>
        <w:tc>
          <w:tcPr>
            <w:tcW w:type="dxa" w:w="1440"/>
            <w:shd w:fill="FFDCE0" w:val="clear"/>
          </w:tcPr>
          <w:p>
            <w:r>
              <w:rPr>
                <w:b/>
                <w:color w:val="C00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**Date de l'analyse : 26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BOAN s'établit à 111,18 milliards FCFA, un niveau significatif sur la BRVM qui place la banque parmi les valeurs moyennes du marché. Le BPA de 20 FCFA par action est extrêmement faible, traduisant une capacité bénéficiaire très réduite. Le PER de 271,8x est exceptionnellement élevé, très loin de la moyenne BRVM (8-12x), indiquant que les investisseurs paient un prix très supérieur aux bénéfices actuels, ce qui reflète des anticipations de redressement très optimistes. Le P/B de 3,08x montre que le marché valorise la banque à plus de trois fois sa valeur comptable, une prime de croissance qui semble difficile à justifier au vu des fondamentaux actuels. Enfin, l'EV/EBITDA de 40,5x est extrêmement exigeant, signalant une valorisation très tendue par rapport à la capacité opérationnelle de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Le titre BOAN a connu une progression spectaculaire de +102,85% sur les 100 derniers jours, avec une dernière séance en hausse de +1,23% à 5 345 FCFA. Le cours a évolué dans une fourchette très large, entre un plus bas de 2 620 FCFA et un plus haut de 5 400 FCFA, démontrant une dynamique haussière extrêmement forte. La moyenne de 4 063 FCFA est inférieure à la médiane de 3 740 FCFA, indiquant une distribution asymétrique avec une concentration des cours vers le haut de la fourchette. L'écart-type de 850 FCFA (CV=20,9%) révèle une dispersion modérée, tandis que le kurtosis négatif de -1,150 indique une distribution platykurtique avec peu de valeurs extrêmes. Le skewness positif de 0,202 confirme une légère asymétrie vers les hausses. La volatilité annualisée de 39,5% est élevée, positionnant BOAN comme un titre très risqué mais offrant un fort potentiel de rendement.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5 345 FCFA se situe nettement au-dessus de la MM20 (5 202 FCFA) et de la MM50 (4 752 FCFA), confirmant une tendance haussière solide. La configuration des moyennes mobiles, avec la MM20 au-dessus de la MM50, valide la dynamique positive et justifie la décision d'achat.</w:t>
      </w:r>
    </w:p>
    <w:p>
      <w:pPr>
        <w:spacing w:after="120" w:line="276" w:lineRule="auto"/>
      </w:pPr>
      <w:r>
        <w:t>**Bandes de Bollinger :** Le cours évolue près de la borne supérieure (5 389 FCFA), indiquant une pression acheteuse soutenue. L'écart entre les bornes (5 015-5 389 FCFA) reflète une volatilité élevée. La position proche de la borne supérieure suggère une possible consolidation à court terme, d'où la décision neutre.</w:t>
      </w:r>
    </w:p>
    <w:p>
      <w:pPr>
        <w:spacing w:after="120" w:line="276" w:lineRule="auto"/>
      </w:pPr>
      <w:r>
        <w:t>**MACD :** Le MACD (115,57) est inférieur à son signal (136,07), indiquant un momentum baissier à court terme malgré la tendance haussière globale. Cette divergence suggère un possible essoufflement de la dynamique haussière, justifiant la décision de vente.</w:t>
      </w:r>
    </w:p>
    <w:p>
      <w:pPr>
        <w:spacing w:after="120" w:line="276" w:lineRule="auto"/>
      </w:pPr>
      <w:r>
        <w:t>**RSI :** À 62,19, le RSI se situe en zone neutre, sans signal de surachat ni de survente. Cette valeur indique une pression acheteuse modérée, laissant une marge de progression avant d'atteindre la zone de surachat (&gt;70).</w:t>
      </w:r>
    </w:p>
    <w:p>
      <w:pPr>
        <w:spacing w:after="120" w:line="276" w:lineRule="auto"/>
      </w:pPr>
      <w:r>
        <w:t>**Stochastique :** Le %K à 100 et le %D à 93,80 sont en zone de surachat extrême, signalant une possible correction à venir. Le croisement potentiel de ces deux lignes pourrait déclencher un signal de vente, justifiant la décision actuelle.</w:t>
      </w:r>
    </w:p>
    <w:p>
      <w:pPr>
        <w:spacing w:after="120" w:line="276" w:lineRule="auto"/>
      </w:pPr>
      <w:r>
        <w:t>**Conclusion technique :** Les indicateurs sont mitigés : la tendance de fond reste haussière (MM, Bollinger) mais les oscillateurs (MACD, Stochastique) signalent un essoufflement à court terme. La prudence est recommandée malgré la tendance positive.</w:t>
      </w:r>
    </w:p>
    <w:p>
      <w:pPr>
        <w:spacing w:after="120" w:line="276" w:lineRule="auto"/>
      </w:pPr>
      <w:r>
        <w:t>---</w:t>
      </w:r>
    </w:p>
    <w:p>
      <w:pPr>
        <w:spacing w:after="120" w:line="276" w:lineRule="auto"/>
      </w:pPr>
      <w:r>
        <w:t>### PARTIE 3 : ANALYSE FONDAMENTALE (SECTION CRITIQUE)</w:t>
      </w:r>
    </w:p>
    <w:p>
      <w:pPr>
        <w:spacing w:after="120" w:line="276" w:lineRule="auto"/>
      </w:pPr>
      <w:r>
        <w:t>**Données structurées 2025 :** En 2025, le PNB s'établit à 21,125 milliards FCFA, en baisse de 1,2% par rapport à 2024 (21,38 milliards). Le résultat net chute de 91,8% à 409 millions FCFA, contre 5 002 millions en 2024. Le ROE s'effondre à 1,13% et le ROA à 0,14%, contre respectivement 11,39% et 1,49% en 2024. Le coefficient d'exploitation se dégrade à 74,37%, bien au-dessus du seuil d'efficacité de 60%. Le coût du risque est élevé à 67,30%, reflétant un portefeuille de crédit dégradé. Les dépôts clientèle (183,28 milliards) couvrent largement les crédits (128,45 milliards), mais la trésorerie nette est négative à -43,52 milliards.</w:t>
      </w:r>
    </w:p>
    <w:p>
      <w:pPr>
        <w:spacing w:after="120" w:line="276" w:lineRule="auto"/>
      </w:pPr>
      <w:r>
        <w:t>**Estimations basées sur les rapports trimestriels :** Le rapport T1 2026 (publié en 2026) montre une amélioration significative : résultat net en hausse de 28,9% à 1 467 millions FCFA, PNB en progression de 7,9% à 5 170 millions, coefficient d'exploitation amélioré à 56,2%. On estime que l'exercice 2026 pourrait voir un PNB d'environ 22,3 milliards et un résultat net de 7,28 milliards selon le budget 2026, soit une multiplication par 6 du résultat net. L'évolution 2023-2025 montre une dégradation continue : PNB de 26,98 milliards (2023) à 21,13 milliards (2025), résultat net de 10,08 milliards à 409 millions. Les perspectives 2026 sont encourageantes avec la levée des sanctions et le plan de redressement du groupe BOA.</w:t>
      </w:r>
    </w:p>
    <w:p>
      <w:pPr>
        <w:spacing w:after="120" w:line="276" w:lineRule="auto"/>
      </w:pPr>
      <w:r>
        <w:t>---</w:t>
      </w:r>
    </w:p>
    <w:p>
      <w:pPr>
        <w:spacing w:after="120" w:line="276" w:lineRule="auto"/>
      </w:pPr>
      <w:r>
        <w:t>### PARTIE 4 : CONCLUSION D'INVESTISSEMENT</w:t>
      </w:r>
    </w:p>
    <w:p>
      <w:pPr>
        <w:spacing w:after="120" w:line="276" w:lineRule="auto"/>
      </w:pPr>
      <w:r>
        <w:t>La valorisation de BOAN est extrêmement tendue avec un PER de 271,8x et un EV/EBITDA de 40,5x, indiquant une forte surévaluation par rapport aux bénéfices actuels. Le comportement du cours (+102,85% en 100 jours) est spectaculaire mais la volatilité élevée (39,5%) et les statistiques descriptives suggèrent un risque important. Les signaux techniques sont mitigés : tendance haussière confirmée par les moyennes mobiles mais essoufflement signalé par le MACD et le Stochastique en surachat. Les fondamentaux montrent une amélioration au T1 2026 (résultat net +28,9%) mais la rentabilité reste très faible (ROE 1,13% en 2025). Les prédictions IA indiquent une légère correction à 5 240 FCFA sur 10 jours, confirmant le signal de consolidation technique. **Recommandation : CONSERVER** avec un niveau de confiance **Moyen** et un risque global **Élevé**. Horizon d'investissement : **moyen terme (3-12 mois)** en attendant la confirmation du redressement fondamental. Les investisseurs patients pourraient bénéficier du potentiel de rebond 2026, mais la valorisation actuelle laisse peu de marge de sécurité.</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306.00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9,239 titres</w:t>
            </w:r>
          </w:p>
        </w:tc>
        <w:tc>
          <w:tcPr>
            <w:tcW w:type="dxa" w:w="2268"/>
            <w:shd w:fill="FFF2CC" w:val="clear"/>
          </w:tcPr>
          <w:p>
            <w:r>
              <w:rPr>
                <w:b/>
                <w:color w:val="503200"/>
                <w:sz w:val="16"/>
              </w:rPr>
              <w:t xml:space="preserve">Cours actuel : </w:t>
            </w:r>
            <w:r>
              <w:rPr>
                <w:color w:val="000000"/>
                <w:sz w:val="17"/>
              </w:rPr>
              <w:t>8,500 FCFA</w:t>
            </w:r>
          </w:p>
          <w:p>
            <w:r>
              <w:rPr>
                <w:b/>
                <w:color w:val="503200"/>
                <w:sz w:val="16"/>
              </w:rPr>
              <w:t xml:space="preserve">Var. 100 jours : </w:t>
            </w:r>
            <w:r>
              <w:rPr>
                <w:b/>
                <w:color w:val="007800"/>
                <w:sz w:val="17"/>
              </w:rPr>
              <w:t>+28.98%</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6,590 FCFA</w:t>
            </w:r>
          </w:p>
          <w:p>
            <w:r>
              <w:rPr>
                <w:b/>
                <w:color w:val="503200"/>
                <w:sz w:val="16"/>
              </w:rPr>
              <w:t xml:space="preserve">Volatilité ann. : </w:t>
            </w:r>
            <w:r>
              <w:rPr>
                <w:color w:val="000000"/>
                <w:sz w:val="17"/>
              </w:rPr>
              <w:t>24.7%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5.34% (Moyenne) — μ=7,369 FCFA, σ=394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β=0.3432 (Défensif) — Cov=0.000012, Var(idx)=0.000034, ρ=0.128,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9,239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σ_j=1.56%/j (Stable) — Vol. annualisée≈24.7%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2026-08-27</w:t>
            </w:r>
          </w:p>
        </w:tc>
        <w:tc>
          <w:tcPr>
            <w:tcW w:type="dxa" w:w="1440"/>
            <w:shd w:fill="FFDCE0" w:val="clear"/>
          </w:tcPr>
          <w:p>
            <w:r>
              <w:rPr>
                <w:sz w:val="17"/>
              </w:rPr>
              <w:t>7,658</w:t>
            </w:r>
          </w:p>
        </w:tc>
        <w:tc>
          <w:tcPr>
            <w:tcW w:type="dxa" w:w="1440"/>
            <w:shd w:fill="FFDCE0" w:val="clear"/>
          </w:tcPr>
          <w:p>
            <w:r>
              <w:rPr>
                <w:b/>
                <w:sz w:val="17"/>
              </w:rPr>
              <w:t>7,989</w:t>
            </w:r>
          </w:p>
        </w:tc>
        <w:tc>
          <w:tcPr>
            <w:tcW w:type="dxa" w:w="1440"/>
            <w:shd w:fill="FFDCE0" w:val="clear"/>
          </w:tcPr>
          <w:p>
            <w:r>
              <w:rPr>
                <w:sz w:val="17"/>
              </w:rPr>
              <w:t>8,320</w:t>
            </w:r>
          </w:p>
        </w:tc>
        <w:tc>
          <w:tcPr>
            <w:tcW w:type="dxa" w:w="1440"/>
            <w:shd w:fill="FFDCE0" w:val="clear"/>
          </w:tcPr>
          <w:p>
            <w:r>
              <w:rPr>
                <w:b/>
                <w:color w:val="C00000"/>
                <w:sz w:val="17"/>
              </w:rPr>
              <w:t>-6.0%</w:t>
            </w:r>
          </w:p>
        </w:tc>
      </w:tr>
      <w:tr>
        <w:tc>
          <w:tcPr>
            <w:tcW w:type="dxa" w:w="1440"/>
            <w:shd w:fill="FFDCE0" w:val="clear"/>
          </w:tcPr>
          <w:p>
            <w:r>
              <w:rPr>
                <w:sz w:val="17"/>
              </w:rPr>
              <w:t>J+2  ⭐⭐⭐</w:t>
            </w:r>
          </w:p>
        </w:tc>
        <w:tc>
          <w:tcPr>
            <w:tcW w:type="dxa" w:w="1440"/>
            <w:shd w:fill="FFDCE0" w:val="clear"/>
          </w:tcPr>
          <w:p>
            <w:r>
              <w:rPr>
                <w:sz w:val="17"/>
              </w:rPr>
              <w:t>2026-08-28</w:t>
            </w:r>
          </w:p>
        </w:tc>
        <w:tc>
          <w:tcPr>
            <w:tcW w:type="dxa" w:w="1440"/>
            <w:shd w:fill="FFDCE0" w:val="clear"/>
          </w:tcPr>
          <w:p>
            <w:r>
              <w:rPr>
                <w:sz w:val="17"/>
              </w:rPr>
              <w:t>7,436</w:t>
            </w:r>
          </w:p>
        </w:tc>
        <w:tc>
          <w:tcPr>
            <w:tcW w:type="dxa" w:w="1440"/>
            <w:shd w:fill="FFDCE0" w:val="clear"/>
          </w:tcPr>
          <w:p>
            <w:r>
              <w:rPr>
                <w:b/>
                <w:sz w:val="17"/>
              </w:rPr>
              <w:t>7,834</w:t>
            </w:r>
          </w:p>
        </w:tc>
        <w:tc>
          <w:tcPr>
            <w:tcW w:type="dxa" w:w="1440"/>
            <w:shd w:fill="FFDCE0" w:val="clear"/>
          </w:tcPr>
          <w:p>
            <w:r>
              <w:rPr>
                <w:sz w:val="17"/>
              </w:rPr>
              <w:t>8,231</w:t>
            </w:r>
          </w:p>
        </w:tc>
        <w:tc>
          <w:tcPr>
            <w:tcW w:type="dxa" w:w="1440"/>
            <w:shd w:fill="FFDCE0" w:val="clear"/>
          </w:tcPr>
          <w:p>
            <w:r>
              <w:rPr>
                <w:b/>
                <w:color w:val="C00000"/>
                <w:sz w:val="17"/>
              </w:rPr>
              <w:t>-7.8%</w:t>
            </w:r>
          </w:p>
        </w:tc>
      </w:tr>
      <w:tr>
        <w:tc>
          <w:tcPr>
            <w:tcW w:type="dxa" w:w="1440"/>
            <w:shd w:fill="FFDCE0" w:val="clear"/>
          </w:tcPr>
          <w:p>
            <w:r>
              <w:rPr>
                <w:sz w:val="17"/>
              </w:rPr>
              <w:t>J+3  Moyenne</w:t>
            </w:r>
          </w:p>
        </w:tc>
        <w:tc>
          <w:tcPr>
            <w:tcW w:type="dxa" w:w="1440"/>
            <w:shd w:fill="FFDCE0" w:val="clear"/>
          </w:tcPr>
          <w:p>
            <w:r>
              <w:rPr>
                <w:sz w:val="17"/>
              </w:rPr>
              <w:t>2026-08-31</w:t>
            </w:r>
          </w:p>
        </w:tc>
        <w:tc>
          <w:tcPr>
            <w:tcW w:type="dxa" w:w="1440"/>
            <w:shd w:fill="FFDCE0" w:val="clear"/>
          </w:tcPr>
          <w:p>
            <w:r>
              <w:rPr>
                <w:sz w:val="17"/>
              </w:rPr>
              <w:t>7,249</w:t>
            </w:r>
          </w:p>
        </w:tc>
        <w:tc>
          <w:tcPr>
            <w:tcW w:type="dxa" w:w="1440"/>
            <w:shd w:fill="FFDCE0" w:val="clear"/>
          </w:tcPr>
          <w:p>
            <w:r>
              <w:rPr>
                <w:b/>
                <w:sz w:val="17"/>
              </w:rPr>
              <w:t>7,700</w:t>
            </w:r>
          </w:p>
        </w:tc>
        <w:tc>
          <w:tcPr>
            <w:tcW w:type="dxa" w:w="1440"/>
            <w:shd w:fill="FFDCE0" w:val="clear"/>
          </w:tcPr>
          <w:p>
            <w:r>
              <w:rPr>
                <w:sz w:val="17"/>
              </w:rPr>
              <w:t>8,150</w:t>
            </w:r>
          </w:p>
        </w:tc>
        <w:tc>
          <w:tcPr>
            <w:tcW w:type="dxa" w:w="1440"/>
            <w:shd w:fill="FFDCE0" w:val="clear"/>
          </w:tcPr>
          <w:p>
            <w:r>
              <w:rPr>
                <w:b/>
                <w:color w:val="C00000"/>
                <w:sz w:val="17"/>
              </w:rPr>
              <w:t>-9.4%</w:t>
            </w:r>
          </w:p>
        </w:tc>
      </w:tr>
      <w:tr>
        <w:tc>
          <w:tcPr>
            <w:tcW w:type="dxa" w:w="1440"/>
            <w:shd w:fill="FFDCE0" w:val="clear"/>
          </w:tcPr>
          <w:p>
            <w:r>
              <w:rPr>
                <w:sz w:val="17"/>
              </w:rPr>
              <w:t>J+4  Moyenne</w:t>
            </w:r>
          </w:p>
        </w:tc>
        <w:tc>
          <w:tcPr>
            <w:tcW w:type="dxa" w:w="1440"/>
            <w:shd w:fill="FFDCE0" w:val="clear"/>
          </w:tcPr>
          <w:p>
            <w:r>
              <w:rPr>
                <w:sz w:val="17"/>
              </w:rPr>
              <w:t>2026-09-01</w:t>
            </w:r>
          </w:p>
        </w:tc>
        <w:tc>
          <w:tcPr>
            <w:tcW w:type="dxa" w:w="1440"/>
            <w:shd w:fill="FFDCE0" w:val="clear"/>
          </w:tcPr>
          <w:p>
            <w:r>
              <w:rPr>
                <w:sz w:val="17"/>
              </w:rPr>
              <w:t>7,081</w:t>
            </w:r>
          </w:p>
        </w:tc>
        <w:tc>
          <w:tcPr>
            <w:tcW w:type="dxa" w:w="1440"/>
            <w:shd w:fill="FFDCE0" w:val="clear"/>
          </w:tcPr>
          <w:p>
            <w:r>
              <w:rPr>
                <w:b/>
                <w:sz w:val="17"/>
              </w:rPr>
              <w:t>7,577</w:t>
            </w:r>
          </w:p>
        </w:tc>
        <w:tc>
          <w:tcPr>
            <w:tcW w:type="dxa" w:w="1440"/>
            <w:shd w:fill="FFDCE0" w:val="clear"/>
          </w:tcPr>
          <w:p>
            <w:r>
              <w:rPr>
                <w:sz w:val="17"/>
              </w:rPr>
              <w:t>8,073</w:t>
            </w:r>
          </w:p>
        </w:tc>
        <w:tc>
          <w:tcPr>
            <w:tcW w:type="dxa" w:w="1440"/>
            <w:shd w:fill="FFDCE0" w:val="clear"/>
          </w:tcPr>
          <w:p>
            <w:r>
              <w:rPr>
                <w:b/>
                <w:color w:val="C00000"/>
                <w:sz w:val="17"/>
              </w:rPr>
              <w:t>-10.9%</w:t>
            </w:r>
          </w:p>
        </w:tc>
      </w:tr>
      <w:tr>
        <w:tc>
          <w:tcPr>
            <w:tcW w:type="dxa" w:w="1440"/>
            <w:shd w:fill="FFDCE0" w:val="clear"/>
          </w:tcPr>
          <w:p>
            <w:r>
              <w:rPr>
                <w:sz w:val="17"/>
              </w:rPr>
              <w:t>J+5  Moyenne</w:t>
            </w:r>
          </w:p>
        </w:tc>
        <w:tc>
          <w:tcPr>
            <w:tcW w:type="dxa" w:w="1440"/>
            <w:shd w:fill="FFDCE0" w:val="clear"/>
          </w:tcPr>
          <w:p>
            <w:r>
              <w:rPr>
                <w:sz w:val="17"/>
              </w:rPr>
              <w:t>2026-09-02</w:t>
            </w:r>
          </w:p>
        </w:tc>
        <w:tc>
          <w:tcPr>
            <w:tcW w:type="dxa" w:w="1440"/>
            <w:shd w:fill="FFDCE0" w:val="clear"/>
          </w:tcPr>
          <w:p>
            <w:r>
              <w:rPr>
                <w:sz w:val="17"/>
              </w:rPr>
              <w:t>6,927</w:t>
            </w:r>
          </w:p>
        </w:tc>
        <w:tc>
          <w:tcPr>
            <w:tcW w:type="dxa" w:w="1440"/>
            <w:shd w:fill="FFDCE0" w:val="clear"/>
          </w:tcPr>
          <w:p>
            <w:r>
              <w:rPr>
                <w:b/>
                <w:sz w:val="17"/>
              </w:rPr>
              <w:t>7,462</w:t>
            </w:r>
          </w:p>
        </w:tc>
        <w:tc>
          <w:tcPr>
            <w:tcW w:type="dxa" w:w="1440"/>
            <w:shd w:fill="FFDCE0" w:val="clear"/>
          </w:tcPr>
          <w:p>
            <w:r>
              <w:rPr>
                <w:sz w:val="17"/>
              </w:rPr>
              <w:t>7,998</w:t>
            </w:r>
          </w:p>
        </w:tc>
        <w:tc>
          <w:tcPr>
            <w:tcW w:type="dxa" w:w="1440"/>
            <w:shd w:fill="FFDCE0" w:val="clear"/>
          </w:tcPr>
          <w:p>
            <w:r>
              <w:rPr>
                <w:b/>
                <w:color w:val="C00000"/>
                <w:sz w:val="17"/>
              </w:rPr>
              <w:t>-12.2%</w:t>
            </w:r>
          </w:p>
        </w:tc>
      </w:tr>
      <w:tr>
        <w:tc>
          <w:tcPr>
            <w:tcW w:type="dxa" w:w="1440"/>
            <w:shd w:fill="FFDCE0" w:val="clear"/>
          </w:tcPr>
          <w:p>
            <w:r>
              <w:rPr>
                <w:sz w:val="17"/>
              </w:rPr>
              <w:t>J+6  Moyenne</w:t>
            </w:r>
          </w:p>
        </w:tc>
        <w:tc>
          <w:tcPr>
            <w:tcW w:type="dxa" w:w="1440"/>
            <w:shd w:fill="FFDCE0" w:val="clear"/>
          </w:tcPr>
          <w:p>
            <w:r>
              <w:rPr>
                <w:sz w:val="17"/>
              </w:rPr>
              <w:t>2026-09-03</w:t>
            </w:r>
          </w:p>
        </w:tc>
        <w:tc>
          <w:tcPr>
            <w:tcW w:type="dxa" w:w="1440"/>
            <w:shd w:fill="FFDCE0" w:val="clear"/>
          </w:tcPr>
          <w:p>
            <w:r>
              <w:rPr>
                <w:sz w:val="17"/>
              </w:rPr>
              <w:t>6,784</w:t>
            </w:r>
          </w:p>
        </w:tc>
        <w:tc>
          <w:tcPr>
            <w:tcW w:type="dxa" w:w="1440"/>
            <w:shd w:fill="FFDCE0" w:val="clear"/>
          </w:tcPr>
          <w:p>
            <w:r>
              <w:rPr>
                <w:b/>
                <w:sz w:val="17"/>
              </w:rPr>
              <w:t>7,354</w:t>
            </w:r>
          </w:p>
        </w:tc>
        <w:tc>
          <w:tcPr>
            <w:tcW w:type="dxa" w:w="1440"/>
            <w:shd w:fill="FFDCE0" w:val="clear"/>
          </w:tcPr>
          <w:p>
            <w:r>
              <w:rPr>
                <w:sz w:val="17"/>
              </w:rPr>
              <w:t>7,924</w:t>
            </w:r>
          </w:p>
        </w:tc>
        <w:tc>
          <w:tcPr>
            <w:tcW w:type="dxa" w:w="1440"/>
            <w:shd w:fill="FFDCE0" w:val="clear"/>
          </w:tcPr>
          <w:p>
            <w:r>
              <w:rPr>
                <w:b/>
                <w:color w:val="C00000"/>
                <w:sz w:val="17"/>
              </w:rPr>
              <w:t>-13.5%</w:t>
            </w:r>
          </w:p>
        </w:tc>
      </w:tr>
      <w:tr>
        <w:tc>
          <w:tcPr>
            <w:tcW w:type="dxa" w:w="1440"/>
            <w:shd w:fill="FFDCE0" w:val="clear"/>
          </w:tcPr>
          <w:p>
            <w:r>
              <w:rPr>
                <w:sz w:val="17"/>
              </w:rPr>
              <w:t>J+7  Moyenne</w:t>
            </w:r>
          </w:p>
        </w:tc>
        <w:tc>
          <w:tcPr>
            <w:tcW w:type="dxa" w:w="1440"/>
            <w:shd w:fill="FFDCE0" w:val="clear"/>
          </w:tcPr>
          <w:p>
            <w:r>
              <w:rPr>
                <w:sz w:val="17"/>
              </w:rPr>
              <w:t>2026-09-04</w:t>
            </w:r>
          </w:p>
        </w:tc>
        <w:tc>
          <w:tcPr>
            <w:tcW w:type="dxa" w:w="1440"/>
            <w:shd w:fill="FFDCE0" w:val="clear"/>
          </w:tcPr>
          <w:p>
            <w:r>
              <w:rPr>
                <w:sz w:val="17"/>
              </w:rPr>
              <w:t>6,651</w:t>
            </w:r>
          </w:p>
        </w:tc>
        <w:tc>
          <w:tcPr>
            <w:tcW w:type="dxa" w:w="1440"/>
            <w:shd w:fill="FFDCE0" w:val="clear"/>
          </w:tcPr>
          <w:p>
            <w:r>
              <w:rPr>
                <w:b/>
                <w:sz w:val="17"/>
              </w:rPr>
              <w:t>7,252</w:t>
            </w:r>
          </w:p>
        </w:tc>
        <w:tc>
          <w:tcPr>
            <w:tcW w:type="dxa" w:w="1440"/>
            <w:shd w:fill="FFDCE0" w:val="clear"/>
          </w:tcPr>
          <w:p>
            <w:r>
              <w:rPr>
                <w:sz w:val="17"/>
              </w:rPr>
              <w:t>7,853</w:t>
            </w:r>
          </w:p>
        </w:tc>
        <w:tc>
          <w:tcPr>
            <w:tcW w:type="dxa" w:w="1440"/>
            <w:shd w:fill="FFDCE0" w:val="clear"/>
          </w:tcPr>
          <w:p>
            <w:r>
              <w:rPr>
                <w:b/>
                <w:color w:val="C00000"/>
                <w:sz w:val="17"/>
              </w:rPr>
              <w:t>-14.7%</w:t>
            </w:r>
          </w:p>
        </w:tc>
      </w:tr>
      <w:tr>
        <w:tc>
          <w:tcPr>
            <w:tcW w:type="dxa" w:w="1440"/>
            <w:shd w:fill="FFDCE0" w:val="clear"/>
          </w:tcPr>
          <w:p>
            <w:r>
              <w:rPr>
                <w:sz w:val="17"/>
              </w:rPr>
              <w:t>J+8  Moyenne</w:t>
            </w:r>
          </w:p>
        </w:tc>
        <w:tc>
          <w:tcPr>
            <w:tcW w:type="dxa" w:w="1440"/>
            <w:shd w:fill="FFDCE0" w:val="clear"/>
          </w:tcPr>
          <w:p>
            <w:r>
              <w:rPr>
                <w:sz w:val="17"/>
              </w:rPr>
              <w:t>2026-09-07</w:t>
            </w:r>
          </w:p>
        </w:tc>
        <w:tc>
          <w:tcPr>
            <w:tcW w:type="dxa" w:w="1440"/>
            <w:shd w:fill="FFDCE0" w:val="clear"/>
          </w:tcPr>
          <w:p>
            <w:r>
              <w:rPr>
                <w:sz w:val="17"/>
              </w:rPr>
              <w:t>6,527</w:t>
            </w:r>
          </w:p>
        </w:tc>
        <w:tc>
          <w:tcPr>
            <w:tcW w:type="dxa" w:w="1440"/>
            <w:shd w:fill="FFDCE0" w:val="clear"/>
          </w:tcPr>
          <w:p>
            <w:r>
              <w:rPr>
                <w:b/>
                <w:sz w:val="17"/>
              </w:rPr>
              <w:t>7,155</w:t>
            </w:r>
          </w:p>
        </w:tc>
        <w:tc>
          <w:tcPr>
            <w:tcW w:type="dxa" w:w="1440"/>
            <w:shd w:fill="FFDCE0" w:val="clear"/>
          </w:tcPr>
          <w:p>
            <w:r>
              <w:rPr>
                <w:sz w:val="17"/>
              </w:rPr>
              <w:t>7,784</w:t>
            </w:r>
          </w:p>
        </w:tc>
        <w:tc>
          <w:tcPr>
            <w:tcW w:type="dxa" w:w="1440"/>
            <w:shd w:fill="FFDCE0" w:val="clear"/>
          </w:tcPr>
          <w:p>
            <w:r>
              <w:rPr>
                <w:b/>
                <w:color w:val="C00000"/>
                <w:sz w:val="17"/>
              </w:rPr>
              <w:t>-15.8%</w:t>
            </w:r>
          </w:p>
        </w:tc>
      </w:tr>
      <w:tr>
        <w:tc>
          <w:tcPr>
            <w:tcW w:type="dxa" w:w="1440"/>
            <w:shd w:fill="FFDCE0" w:val="clear"/>
          </w:tcPr>
          <w:p>
            <w:r>
              <w:rPr>
                <w:sz w:val="17"/>
              </w:rPr>
              <w:t>J+9  Moyenne</w:t>
            </w:r>
          </w:p>
        </w:tc>
        <w:tc>
          <w:tcPr>
            <w:tcW w:type="dxa" w:w="1440"/>
            <w:shd w:fill="FFDCE0" w:val="clear"/>
          </w:tcPr>
          <w:p>
            <w:r>
              <w:rPr>
                <w:sz w:val="17"/>
              </w:rPr>
              <w:t>2026-09-08</w:t>
            </w:r>
          </w:p>
        </w:tc>
        <w:tc>
          <w:tcPr>
            <w:tcW w:type="dxa" w:w="1440"/>
            <w:shd w:fill="FFDCE0" w:val="clear"/>
          </w:tcPr>
          <w:p>
            <w:r>
              <w:rPr>
                <w:sz w:val="17"/>
              </w:rPr>
              <w:t>6,410</w:t>
            </w:r>
          </w:p>
        </w:tc>
        <w:tc>
          <w:tcPr>
            <w:tcW w:type="dxa" w:w="1440"/>
            <w:shd w:fill="FFDCE0" w:val="clear"/>
          </w:tcPr>
          <w:p>
            <w:r>
              <w:rPr>
                <w:b/>
                <w:sz w:val="17"/>
              </w:rPr>
              <w:t>7,064</w:t>
            </w:r>
          </w:p>
        </w:tc>
        <w:tc>
          <w:tcPr>
            <w:tcW w:type="dxa" w:w="1440"/>
            <w:shd w:fill="FFDCE0" w:val="clear"/>
          </w:tcPr>
          <w:p>
            <w:r>
              <w:rPr>
                <w:sz w:val="17"/>
              </w:rPr>
              <w:t>7,718</w:t>
            </w:r>
          </w:p>
        </w:tc>
        <w:tc>
          <w:tcPr>
            <w:tcW w:type="dxa" w:w="1440"/>
            <w:shd w:fill="FFDCE0" w:val="clear"/>
          </w:tcPr>
          <w:p>
            <w:r>
              <w:rPr>
                <w:b/>
                <w:color w:val="C00000"/>
                <w:sz w:val="17"/>
              </w:rPr>
              <w:t>-16.9%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BOA SÉNÉGAL (BOAS)**</w:t>
        <w:br/>
        <w:t>**Date : 26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306 milliards FCFA, BOAS se positionne comme une valeur de premier plan sur la BRVM, reflétant la confiance des investisseurs dans le secteur bancaire sénégalais. Le BPA de 608 FCFA indique que chaque action génère un bénéfice substantiel, justifiant un PER de 14,0x. Ce ratio, supérieur à la moyenne historique de la BRVM (8-12x), témoigne d'une prime de croissance accordée par le marché, les investisseurs acceptant de payer plus cher pour une qualité de bénéfices perçue comme supérieure. Le P/B de 3,17x confirme cette prime, le marché valorisant la société à plus de trois fois sa valeur comptable, signe d'une forte création de valeur attendue. Enfin, un EV/EBITDA de 9,1x, dans la fourchette haute des valeurs raisonnables, suggère que la valorisation de l'entreprise, bien que soutenue, reste cohérente avec sa capacité opérationnelle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BOAS a affiché une performance remarquable de +28,98%, avec une accélération notable lors de la dernière séance (+6,25%), clôturant à 8 500 FCFA, son plus haut niveau sur la période. Cette dynamique haussière, qui s'étend de 6 590 FCFA à 8 500 FCFA, démontre un fort intérêt des investisseurs. Les statistiques descriptives révèlent un cours moyen de 7 369 FCFA, très proche de la médiane (7 370 FCFA), indiquant une distribution des prix relativement symétrique. Cette observation est confirmée par un skewness de -0,093, signifiant une absence d'asymétrie marquée. L'écart-type de 396 FCFA (CV=5,4%) montre une dispersion modérée autour de la moyenne, tandis qu'un kurtosis de -0,350 (mésokurtique) suggère une distribution proche de la normale, sans risque de mouvements extrêmes excessifs. La volatilité annualisée de 24,7% classe le titre dans une catégorie de risque modéré, cohérente avec une tendance haussière soutenue mais non spéculative.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(8 500 FCFA) se situe nettement au-dessus de la MM20 (7 821,25 FCFA) et de la MM50 (7 563,1 FCFA). Cette configuration, où le prix est supérieur aux deux moyennes, est un signal haussier classique, confirmant la vigueur de la tendance de fond et justifiant la décision d'achat.</w:t>
      </w:r>
    </w:p>
    <w:p>
      <w:pPr>
        <w:spacing w:after="120" w:line="276" w:lineRule="auto"/>
      </w:pPr>
      <w:r>
        <w:t>**Bandes de Bollinger :** Le prix a franchi la borne supérieure des bandes (8 217,9 FCFA), ce qui indique une phase de surachat temporaire et une volatilité accrue. Historiquement, un tel franchissement précède souvent un repli technique ou une consolidation. La décision de vente associée à cet indicateur suggère une prudence à court terme.</w:t>
      </w:r>
    </w:p>
    <w:p>
      <w:pPr>
        <w:spacing w:after="120" w:line="276" w:lineRule="auto"/>
      </w:pPr>
      <w:r>
        <w:t>**MACD :** Le MACD (141,15) est nettement supérieur à sa ligne de signal (88,55), avec un écart positif croissant. Cette configuration est un puissant signal d'achat, indiquant que le momentum haussier est non seulement présent mais s'accélère, ce qui justifie la décision d'achat.</w:t>
      </w:r>
    </w:p>
    <w:p>
      <w:pPr>
        <w:spacing w:after="120" w:line="276" w:lineRule="auto"/>
      </w:pPr>
      <w:r>
        <w:t>**RSI :** Le RSI à 85,9 est profondément en zone de surachat (au-delà de 70). Cette valeur extrême signale que le titre a fortement monté et qu'une correction technique est statistiquement probable à très court terme, justifiant la décision de vente.</w:t>
      </w:r>
    </w:p>
    <w:p>
      <w:pPr>
        <w:spacing w:after="120" w:line="276" w:lineRule="auto"/>
      </w:pPr>
      <w:r>
        <w:t>**Stochastique :** Le %K et le %D sont tous deux à 100, un niveau extrême de surachat. Cette configuration indique que le marché est saturé d'acheteurs à court terme, rendant une poursuite immédiate de la hausse difficile sans consolidation préalable, d'où la décision de vente.</w:t>
      </w:r>
    </w:p>
    <w:p>
      <w:pPr>
        <w:spacing w:after="120" w:line="276" w:lineRule="auto"/>
      </w:pPr>
      <w:r>
        <w:t>**Conclusion technique :** Les indicateurs de tendance (MM, MACD) sont résolument haussiers, mais les oscillateurs de momentum (RSI, Stochastique, Bandes de Bollinger) sont tous en zone de surachat extrême. Cette divergence signale une forte pression acheteuse mais un risque élevé de correction technique à court terme. La tendance de fond reste positive, mais un repli vers les 8 000-8 200 FCFA serait sain avant la poursuite du mouvement.</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 BOAS confirment une santé financière robuste. Le Produit Net Bancaire (PNB) s'établit à 51,926 Mds FCFA, générant un résultat net de 21,905 Mds FCFA. Cette performance se traduit par un ROE exceptionnel de 22,69% et un ROA de 2,62%, démontrant une excellente rentabilité des fonds propres et des actifs. La banque affiche une efficacité opérationnelle remarquable avec un coefficient d'exploitation de 44,02%, bien en dessous du seuil de 60% considéré comme sain. Le coût du risque, à 23,31% des charges financières, reste un point de vigilance, mais la tendance est à l'amélioration. Les dépôts clients (686,927 Mds FCFA) financent largement les crédits à la clientèle (386,424 Mds FCFA), assurant une liquidité confortable. Les rapports trimestriels de 2025 confirment cette dynamique : au T3 2025, le PNB cumulé atteignait 37,44 Mds FCFA (+6,71% vs 2024) et le résultat net 16,37 Mds FCFA (+10,01%). Le rapport du S1 2025 faisait déjà état d'une croissance du résultat net de +12,7%. Sur la base de ces tendances, on estime que l'exercice 2026 devrait poursuivre cette progression, avec un PNB annuel potentiellement en hausse de 6-7% et un résultat net qui pourrait dépasser les 23 Mds FCFA, soutenu par une maîtrise continue des coûts et une amélioration de la qualité du portefeuille de crédits.</w:t>
      </w:r>
    </w:p>
    <w:p>
      <w:pPr>
        <w:spacing w:after="120" w:line="276" w:lineRule="auto"/>
      </w:pPr>
      <w:r>
        <w:t>---</w:t>
      </w:r>
    </w:p>
    <w:p>
      <w:pPr>
        <w:spacing w:after="120" w:line="276" w:lineRule="auto"/>
      </w:pPr>
      <w:r>
        <w:t>### PARTIE 4 : CONCLUSION D'INVESTISSEMENT</w:t>
      </w:r>
    </w:p>
    <w:p>
      <w:pPr>
        <w:spacing w:after="120" w:line="276" w:lineRule="auto"/>
      </w:pPr>
      <w:r>
        <w:t>La synthèse des analyses fait ressortir un profil d'investissement contrasté. La valorisation (PER 14x, P/B 3,17x) est élevée mais justifiée par des fondamentaux solides et une croissance rentable. Le comportement du cours est haussier avec une volatilité modérée, mais les statistiques suggèrent une distribution normale sans risque extrême. Les signaux techniques sont partagés : la tendance de fond (MM, MACD) est très positive, mais les indicateurs de surachat (RSI, Stochastique, Bollinger) signalent un risque de correction à court terme. Les fondamentaux sont excellents, avec une banque performante, efficace et bien capitalisée. Les prédictions IA, anticipant un repli progressif vers 7 462 FCFA sur 10 jours, confirment le scénario de consolidation technique. **Recommandation finale : CONSERVER.** La convergence entre la surévaluation technique à court terme et les prédictions IA suggère d'attendre un point d'entrée plus favorable. **Niveau de confiance : Moyen. Risque global : Moyen.** L'horizon d'investissement optimal est le **moyen terme (3-12 mois)**, après une phase de correction ou de consolidation du cours, pour profiter de la solidité fondamentale de la banque.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21.43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2,352 titres</w:t>
            </w:r>
          </w:p>
        </w:tc>
        <w:tc>
          <w:tcPr>
            <w:tcW w:type="dxa" w:w="2268"/>
            <w:shd w:fill="FFF2CC" w:val="clear"/>
          </w:tcPr>
          <w:p>
            <w:r>
              <w:rPr>
                <w:b/>
                <w:color w:val="503200"/>
                <w:sz w:val="16"/>
              </w:rPr>
              <w:t xml:space="preserve">Cours actuel : </w:t>
            </w:r>
            <w:r>
              <w:rPr>
                <w:color w:val="000000"/>
                <w:sz w:val="17"/>
              </w:rPr>
              <w:t>3,620 FCFA</w:t>
            </w:r>
          </w:p>
          <w:p>
            <w:r>
              <w:rPr>
                <w:b/>
                <w:color w:val="503200"/>
                <w:sz w:val="16"/>
              </w:rPr>
              <w:t xml:space="preserve">Var. 100 jours : </w:t>
            </w:r>
            <w:r>
              <w:rPr>
                <w:b/>
                <w:color w:val="007800"/>
                <w:sz w:val="17"/>
              </w:rPr>
              <w:t>+11.38%</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3,250 FCFA</w:t>
            </w:r>
          </w:p>
          <w:p>
            <w:r>
              <w:rPr>
                <w:b/>
                <w:color w:val="503200"/>
                <w:sz w:val="16"/>
              </w:rPr>
              <w:t xml:space="preserve">Volatilité ann. : </w:t>
            </w:r>
            <w:r>
              <w:rPr>
                <w:color w:val="000000"/>
                <w:sz w:val="17"/>
              </w:rPr>
              <w:t>55.7%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7.66% (Moyenne) — μ=3,770 FCFA, σ=289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β=-0.0453 (Contre-cyclique) — Cov=-0.000002, Var(idx)=0.000034, ρ=-0.008,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2,352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σ_j=3.51%/j (Modérée) — Vol. annualisée≈55.7%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2026-08-27</w:t>
            </w:r>
          </w:p>
        </w:tc>
        <w:tc>
          <w:tcPr>
            <w:tcW w:type="dxa" w:w="1440"/>
            <w:shd w:fill="C6EFCE" w:val="clear"/>
          </w:tcPr>
          <w:p>
            <w:r>
              <w:rPr>
                <w:sz w:val="17"/>
              </w:rPr>
              <w:t>3,690</w:t>
            </w:r>
          </w:p>
        </w:tc>
        <w:tc>
          <w:tcPr>
            <w:tcW w:type="dxa" w:w="1440"/>
            <w:shd w:fill="C6EFCE" w:val="clear"/>
          </w:tcPr>
          <w:p>
            <w:r>
              <w:rPr>
                <w:b/>
                <w:sz w:val="17"/>
              </w:rPr>
              <w:t>3,918</w:t>
            </w:r>
          </w:p>
        </w:tc>
        <w:tc>
          <w:tcPr>
            <w:tcW w:type="dxa" w:w="1440"/>
            <w:shd w:fill="C6EFCE" w:val="clear"/>
          </w:tcPr>
          <w:p>
            <w:r>
              <w:rPr>
                <w:sz w:val="17"/>
              </w:rPr>
              <w:t>4,146</w:t>
            </w:r>
          </w:p>
        </w:tc>
        <w:tc>
          <w:tcPr>
            <w:tcW w:type="dxa" w:w="1440"/>
            <w:shd w:fill="C6EFCE" w:val="clear"/>
          </w:tcPr>
          <w:p>
            <w:r>
              <w:rPr>
                <w:b/>
                <w:color w:val="008000"/>
                <w:sz w:val="17"/>
              </w:rPr>
              <w:t>+8.2%</w:t>
            </w:r>
          </w:p>
        </w:tc>
      </w:tr>
      <w:tr>
        <w:tc>
          <w:tcPr>
            <w:tcW w:type="dxa" w:w="1440"/>
            <w:shd w:fill="C6EFCE" w:val="clear"/>
          </w:tcPr>
          <w:p>
            <w:r>
              <w:rPr>
                <w:sz w:val="17"/>
              </w:rPr>
              <w:t>J+2  Moyenne</w:t>
            </w:r>
          </w:p>
        </w:tc>
        <w:tc>
          <w:tcPr>
            <w:tcW w:type="dxa" w:w="1440"/>
            <w:shd w:fill="C6EFCE" w:val="clear"/>
          </w:tcPr>
          <w:p>
            <w:r>
              <w:rPr>
                <w:sz w:val="17"/>
              </w:rPr>
              <w:t>2026-08-28</w:t>
            </w:r>
          </w:p>
        </w:tc>
        <w:tc>
          <w:tcPr>
            <w:tcW w:type="dxa" w:w="1440"/>
            <w:shd w:fill="C6EFCE" w:val="clear"/>
          </w:tcPr>
          <w:p>
            <w:r>
              <w:rPr>
                <w:sz w:val="17"/>
              </w:rPr>
              <w:t>3,813</w:t>
            </w:r>
          </w:p>
        </w:tc>
        <w:tc>
          <w:tcPr>
            <w:tcW w:type="dxa" w:w="1440"/>
            <w:shd w:fill="C6EFCE" w:val="clear"/>
          </w:tcPr>
          <w:p>
            <w:r>
              <w:rPr>
                <w:b/>
                <w:sz w:val="17"/>
              </w:rPr>
              <w:t>4,105</w:t>
            </w:r>
          </w:p>
        </w:tc>
        <w:tc>
          <w:tcPr>
            <w:tcW w:type="dxa" w:w="1440"/>
            <w:shd w:fill="C6EFCE" w:val="clear"/>
          </w:tcPr>
          <w:p>
            <w:r>
              <w:rPr>
                <w:sz w:val="17"/>
              </w:rPr>
              <w:t>4,398</w:t>
            </w:r>
          </w:p>
        </w:tc>
        <w:tc>
          <w:tcPr>
            <w:tcW w:type="dxa" w:w="1440"/>
            <w:shd w:fill="C6EFCE" w:val="clear"/>
          </w:tcPr>
          <w:p>
            <w:r>
              <w:rPr>
                <w:b/>
                <w:color w:val="008000"/>
                <w:sz w:val="17"/>
              </w:rPr>
              <w:t>+13.4%</w:t>
            </w:r>
          </w:p>
        </w:tc>
      </w:tr>
      <w:tr>
        <w:tc>
          <w:tcPr>
            <w:tcW w:type="dxa" w:w="1440"/>
            <w:shd w:fill="C6EFCE" w:val="clear"/>
          </w:tcPr>
          <w:p>
            <w:r>
              <w:rPr>
                <w:sz w:val="17"/>
              </w:rPr>
              <w:t>J+3  ⭐</w:t>
            </w:r>
          </w:p>
        </w:tc>
        <w:tc>
          <w:tcPr>
            <w:tcW w:type="dxa" w:w="1440"/>
            <w:shd w:fill="C6EFCE" w:val="clear"/>
          </w:tcPr>
          <w:p>
            <w:r>
              <w:rPr>
                <w:sz w:val="17"/>
              </w:rPr>
              <w:t>2026-08-31</w:t>
            </w:r>
          </w:p>
        </w:tc>
        <w:tc>
          <w:tcPr>
            <w:tcW w:type="dxa" w:w="1440"/>
            <w:shd w:fill="C6EFCE" w:val="clear"/>
          </w:tcPr>
          <w:p>
            <w:r>
              <w:rPr>
                <w:sz w:val="17"/>
              </w:rPr>
              <w:t>3,969</w:t>
            </w:r>
          </w:p>
        </w:tc>
        <w:tc>
          <w:tcPr>
            <w:tcW w:type="dxa" w:w="1440"/>
            <w:shd w:fill="C6EFCE" w:val="clear"/>
          </w:tcPr>
          <w:p>
            <w:r>
              <w:rPr>
                <w:b/>
                <w:sz w:val="17"/>
              </w:rPr>
              <w:t>4,324</w:t>
            </w:r>
          </w:p>
        </w:tc>
        <w:tc>
          <w:tcPr>
            <w:tcW w:type="dxa" w:w="1440"/>
            <w:shd w:fill="C6EFCE" w:val="clear"/>
          </w:tcPr>
          <w:p>
            <w:r>
              <w:rPr>
                <w:sz w:val="17"/>
              </w:rPr>
              <w:t>4,680</w:t>
            </w:r>
          </w:p>
        </w:tc>
        <w:tc>
          <w:tcPr>
            <w:tcW w:type="dxa" w:w="1440"/>
            <w:shd w:fill="C6EFCE" w:val="clear"/>
          </w:tcPr>
          <w:p>
            <w:r>
              <w:rPr>
                <w:b/>
                <w:color w:val="008000"/>
                <w:sz w:val="17"/>
              </w:rPr>
              <w:t>+19.5%</w:t>
            </w:r>
          </w:p>
        </w:tc>
      </w:tr>
      <w:tr>
        <w:tc>
          <w:tcPr>
            <w:tcW w:type="dxa" w:w="1440"/>
            <w:shd w:fill="C6EFCE" w:val="clear"/>
          </w:tcPr>
          <w:p>
            <w:r>
              <w:rPr>
                <w:sz w:val="17"/>
              </w:rPr>
              <w:t>J+4  ⭐</w:t>
            </w:r>
          </w:p>
        </w:tc>
        <w:tc>
          <w:tcPr>
            <w:tcW w:type="dxa" w:w="1440"/>
            <w:shd w:fill="C6EFCE" w:val="clear"/>
          </w:tcPr>
          <w:p>
            <w:r>
              <w:rPr>
                <w:sz w:val="17"/>
              </w:rPr>
              <w:t>2026-09-01</w:t>
            </w:r>
          </w:p>
        </w:tc>
        <w:tc>
          <w:tcPr>
            <w:tcW w:type="dxa" w:w="1440"/>
            <w:shd w:fill="C6EFCE" w:val="clear"/>
          </w:tcPr>
          <w:p>
            <w:r>
              <w:rPr>
                <w:sz w:val="17"/>
              </w:rPr>
              <w:t>4,156</w:t>
            </w:r>
          </w:p>
        </w:tc>
        <w:tc>
          <w:tcPr>
            <w:tcW w:type="dxa" w:w="1440"/>
            <w:shd w:fill="C6EFCE" w:val="clear"/>
          </w:tcPr>
          <w:p>
            <w:r>
              <w:rPr>
                <w:b/>
                <w:sz w:val="17"/>
              </w:rPr>
              <w:t>4,577</w:t>
            </w:r>
          </w:p>
        </w:tc>
        <w:tc>
          <w:tcPr>
            <w:tcW w:type="dxa" w:w="1440"/>
            <w:shd w:fill="C6EFCE" w:val="clear"/>
          </w:tcPr>
          <w:p>
            <w:r>
              <w:rPr>
                <w:sz w:val="17"/>
              </w:rPr>
              <w:t>4,998</w:t>
            </w:r>
          </w:p>
        </w:tc>
        <w:tc>
          <w:tcPr>
            <w:tcW w:type="dxa" w:w="1440"/>
            <w:shd w:fill="C6EFCE" w:val="clear"/>
          </w:tcPr>
          <w:p>
            <w:r>
              <w:rPr>
                <w:b/>
                <w:color w:val="008000"/>
                <w:sz w:val="17"/>
              </w:rPr>
              <w:t>+26.4%</w:t>
            </w:r>
          </w:p>
        </w:tc>
      </w:tr>
      <w:tr>
        <w:tc>
          <w:tcPr>
            <w:tcW w:type="dxa" w:w="1440"/>
            <w:shd w:fill="C6EFCE" w:val="clear"/>
          </w:tcPr>
          <w:p>
            <w:r>
              <w:rPr>
                <w:sz w:val="17"/>
              </w:rPr>
              <w:t>J+5  ⭐</w:t>
            </w:r>
          </w:p>
        </w:tc>
        <w:tc>
          <w:tcPr>
            <w:tcW w:type="dxa" w:w="1440"/>
            <w:shd w:fill="C6EFCE" w:val="clear"/>
          </w:tcPr>
          <w:p>
            <w:r>
              <w:rPr>
                <w:sz w:val="17"/>
              </w:rPr>
              <w:t>2026-09-02</w:t>
            </w:r>
          </w:p>
        </w:tc>
        <w:tc>
          <w:tcPr>
            <w:tcW w:type="dxa" w:w="1440"/>
            <w:shd w:fill="C6EFCE" w:val="clear"/>
          </w:tcPr>
          <w:p>
            <w:r>
              <w:rPr>
                <w:sz w:val="17"/>
              </w:rPr>
              <w:t>4,379</w:t>
            </w:r>
          </w:p>
        </w:tc>
        <w:tc>
          <w:tcPr>
            <w:tcW w:type="dxa" w:w="1440"/>
            <w:shd w:fill="C6EFCE" w:val="clear"/>
          </w:tcPr>
          <w:p>
            <w:r>
              <w:rPr>
                <w:b/>
                <w:sz w:val="17"/>
              </w:rPr>
              <w:t>4,869</w:t>
            </w:r>
          </w:p>
        </w:tc>
        <w:tc>
          <w:tcPr>
            <w:tcW w:type="dxa" w:w="1440"/>
            <w:shd w:fill="C6EFCE" w:val="clear"/>
          </w:tcPr>
          <w:p>
            <w:r>
              <w:rPr>
                <w:sz w:val="17"/>
              </w:rPr>
              <w:t>5,359</w:t>
            </w:r>
          </w:p>
        </w:tc>
        <w:tc>
          <w:tcPr>
            <w:tcW w:type="dxa" w:w="1440"/>
            <w:shd w:fill="C6EFCE" w:val="clear"/>
          </w:tcPr>
          <w:p>
            <w:r>
              <w:rPr>
                <w:b/>
                <w:color w:val="008000"/>
                <w:sz w:val="17"/>
              </w:rPr>
              <w:t>+34.5%</w:t>
            </w:r>
          </w:p>
        </w:tc>
      </w:tr>
      <w:tr>
        <w:tc>
          <w:tcPr>
            <w:tcW w:type="dxa" w:w="1440"/>
            <w:shd w:fill="C6EFCE" w:val="clear"/>
          </w:tcPr>
          <w:p>
            <w:r>
              <w:rPr>
                <w:sz w:val="17"/>
              </w:rPr>
              <w:t>J+6  ⭐</w:t>
            </w:r>
          </w:p>
        </w:tc>
        <w:tc>
          <w:tcPr>
            <w:tcW w:type="dxa" w:w="1440"/>
            <w:shd w:fill="C6EFCE" w:val="clear"/>
          </w:tcPr>
          <w:p>
            <w:r>
              <w:rPr>
                <w:sz w:val="17"/>
              </w:rPr>
              <w:t>2026-09-03</w:t>
            </w:r>
          </w:p>
        </w:tc>
        <w:tc>
          <w:tcPr>
            <w:tcW w:type="dxa" w:w="1440"/>
            <w:shd w:fill="C6EFCE" w:val="clear"/>
          </w:tcPr>
          <w:p>
            <w:r>
              <w:rPr>
                <w:sz w:val="17"/>
              </w:rPr>
              <w:t>4,645</w:t>
            </w:r>
          </w:p>
        </w:tc>
        <w:tc>
          <w:tcPr>
            <w:tcW w:type="dxa" w:w="1440"/>
            <w:shd w:fill="C6EFCE" w:val="clear"/>
          </w:tcPr>
          <w:p>
            <w:r>
              <w:rPr>
                <w:b/>
                <w:sz w:val="17"/>
              </w:rPr>
              <w:t>5,212</w:t>
            </w:r>
          </w:p>
        </w:tc>
        <w:tc>
          <w:tcPr>
            <w:tcW w:type="dxa" w:w="1440"/>
            <w:shd w:fill="C6EFCE" w:val="clear"/>
          </w:tcPr>
          <w:p>
            <w:r>
              <w:rPr>
                <w:sz w:val="17"/>
              </w:rPr>
              <w:t>5,778</w:t>
            </w:r>
          </w:p>
        </w:tc>
        <w:tc>
          <w:tcPr>
            <w:tcW w:type="dxa" w:w="1440"/>
            <w:shd w:fill="C6EFCE" w:val="clear"/>
          </w:tcPr>
          <w:p>
            <w:r>
              <w:rPr>
                <w:b/>
                <w:color w:val="008000"/>
                <w:sz w:val="17"/>
              </w:rPr>
              <w:t>+44.0%</w:t>
            </w:r>
          </w:p>
        </w:tc>
      </w:tr>
      <w:tr>
        <w:tc>
          <w:tcPr>
            <w:tcW w:type="dxa" w:w="1440"/>
            <w:shd w:fill="C6EFCE" w:val="clear"/>
          </w:tcPr>
          <w:p>
            <w:r>
              <w:rPr>
                <w:sz w:val="17"/>
              </w:rPr>
              <w:t>J+7  ⭐</w:t>
            </w:r>
          </w:p>
        </w:tc>
        <w:tc>
          <w:tcPr>
            <w:tcW w:type="dxa" w:w="1440"/>
            <w:shd w:fill="C6EFCE" w:val="clear"/>
          </w:tcPr>
          <w:p>
            <w:r>
              <w:rPr>
                <w:sz w:val="17"/>
              </w:rPr>
              <w:t>2026-09-04</w:t>
            </w:r>
          </w:p>
        </w:tc>
        <w:tc>
          <w:tcPr>
            <w:tcW w:type="dxa" w:w="1440"/>
            <w:shd w:fill="C6EFCE" w:val="clear"/>
          </w:tcPr>
          <w:p>
            <w:r>
              <w:rPr>
                <w:sz w:val="17"/>
              </w:rPr>
              <w:t>4,951</w:t>
            </w:r>
          </w:p>
        </w:tc>
        <w:tc>
          <w:tcPr>
            <w:tcW w:type="dxa" w:w="1440"/>
            <w:shd w:fill="C6EFCE" w:val="clear"/>
          </w:tcPr>
          <w:p>
            <w:r>
              <w:rPr>
                <w:b/>
                <w:sz w:val="17"/>
              </w:rPr>
              <w:t>5,603</w:t>
            </w:r>
          </w:p>
        </w:tc>
        <w:tc>
          <w:tcPr>
            <w:tcW w:type="dxa" w:w="1440"/>
            <w:shd w:fill="C6EFCE" w:val="clear"/>
          </w:tcPr>
          <w:p>
            <w:r>
              <w:rPr>
                <w:sz w:val="17"/>
              </w:rPr>
              <w:t>6,254</w:t>
            </w:r>
          </w:p>
        </w:tc>
        <w:tc>
          <w:tcPr>
            <w:tcW w:type="dxa" w:w="1440"/>
            <w:shd w:fill="C6EFCE" w:val="clear"/>
          </w:tcPr>
          <w:p>
            <w:r>
              <w:rPr>
                <w:b/>
                <w:color w:val="008000"/>
                <w:sz w:val="17"/>
              </w:rPr>
              <w:t>+54.8%</w:t>
            </w:r>
          </w:p>
        </w:tc>
      </w:tr>
      <w:tr>
        <w:tc>
          <w:tcPr>
            <w:tcW w:type="dxa" w:w="1440"/>
            <w:shd w:fill="C6EFCE" w:val="clear"/>
          </w:tcPr>
          <w:p>
            <w:r>
              <w:rPr>
                <w:sz w:val="17"/>
              </w:rPr>
              <w:t>J+8  ⭐</w:t>
            </w:r>
          </w:p>
        </w:tc>
        <w:tc>
          <w:tcPr>
            <w:tcW w:type="dxa" w:w="1440"/>
            <w:shd w:fill="C6EFCE" w:val="clear"/>
          </w:tcPr>
          <w:p>
            <w:r>
              <w:rPr>
                <w:sz w:val="17"/>
              </w:rPr>
              <w:t>2026-09-07</w:t>
            </w:r>
          </w:p>
        </w:tc>
        <w:tc>
          <w:tcPr>
            <w:tcW w:type="dxa" w:w="1440"/>
            <w:shd w:fill="C6EFCE" w:val="clear"/>
          </w:tcPr>
          <w:p>
            <w:r>
              <w:rPr>
                <w:sz w:val="17"/>
              </w:rPr>
              <w:t>5,280</w:t>
            </w:r>
          </w:p>
        </w:tc>
        <w:tc>
          <w:tcPr>
            <w:tcW w:type="dxa" w:w="1440"/>
            <w:shd w:fill="C6EFCE" w:val="clear"/>
          </w:tcPr>
          <w:p>
            <w:r>
              <w:rPr>
                <w:b/>
                <w:sz w:val="17"/>
              </w:rPr>
              <w:t>6,023</w:t>
            </w:r>
          </w:p>
        </w:tc>
        <w:tc>
          <w:tcPr>
            <w:tcW w:type="dxa" w:w="1440"/>
            <w:shd w:fill="C6EFCE" w:val="clear"/>
          </w:tcPr>
          <w:p>
            <w:r>
              <w:rPr>
                <w:sz w:val="17"/>
              </w:rPr>
              <w:t>6,765</w:t>
            </w:r>
          </w:p>
        </w:tc>
        <w:tc>
          <w:tcPr>
            <w:tcW w:type="dxa" w:w="1440"/>
            <w:shd w:fill="C6EFCE" w:val="clear"/>
          </w:tcPr>
          <w:p>
            <w:r>
              <w:rPr>
                <w:b/>
                <w:color w:val="008000"/>
                <w:sz w:val="17"/>
              </w:rPr>
              <w:t>+66.4%</w:t>
            </w:r>
          </w:p>
        </w:tc>
      </w:tr>
      <w:tr>
        <w:tc>
          <w:tcPr>
            <w:tcW w:type="dxa" w:w="1440"/>
            <w:shd w:fill="C6EFCE" w:val="clear"/>
          </w:tcPr>
          <w:p>
            <w:r>
              <w:rPr>
                <w:sz w:val="17"/>
              </w:rPr>
              <w:t>J+9  ⭐</w:t>
            </w:r>
          </w:p>
        </w:tc>
        <w:tc>
          <w:tcPr>
            <w:tcW w:type="dxa" w:w="1440"/>
            <w:shd w:fill="C6EFCE" w:val="clear"/>
          </w:tcPr>
          <w:p>
            <w:r>
              <w:rPr>
                <w:sz w:val="17"/>
              </w:rPr>
              <w:t>2026-09-08</w:t>
            </w:r>
          </w:p>
        </w:tc>
        <w:tc>
          <w:tcPr>
            <w:tcW w:type="dxa" w:w="1440"/>
            <w:shd w:fill="C6EFCE" w:val="clear"/>
          </w:tcPr>
          <w:p>
            <w:r>
              <w:rPr>
                <w:sz w:val="17"/>
              </w:rPr>
              <w:t>5,633</w:t>
            </w:r>
          </w:p>
        </w:tc>
        <w:tc>
          <w:tcPr>
            <w:tcW w:type="dxa" w:w="1440"/>
            <w:shd w:fill="C6EFCE" w:val="clear"/>
          </w:tcPr>
          <w:p>
            <w:r>
              <w:rPr>
                <w:b/>
                <w:sz w:val="17"/>
              </w:rPr>
              <w:t>6,475</w:t>
            </w:r>
          </w:p>
        </w:tc>
        <w:tc>
          <w:tcPr>
            <w:tcW w:type="dxa" w:w="1440"/>
            <w:shd w:fill="C6EFCE" w:val="clear"/>
          </w:tcPr>
          <w:p>
            <w:r>
              <w:rPr>
                <w:sz w:val="17"/>
              </w:rPr>
              <w:t>7,316</w:t>
            </w:r>
          </w:p>
        </w:tc>
        <w:tc>
          <w:tcPr>
            <w:tcW w:type="dxa" w:w="1440"/>
            <w:shd w:fill="C6EFCE" w:val="clear"/>
          </w:tcPr>
          <w:p>
            <w:r>
              <w:rPr>
                <w:b/>
                <w:color w:val="008000"/>
                <w:sz w:val="17"/>
              </w:rPr>
              <w:t>+78.9%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**Date de l'analyse : 26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21,43 milliards FCFA, un niveau qui la positionne comme une valeur de taille moyenne sur la cote de la BRVM. Le BPA de 243 FCFA indique que chaque action génère un bénéfice de 243 FCFA, ce qui, rapporté au cours actuel de 3 620 FCFA, donne un PER de 14,9x. Ce ratio est supérieur à la moyenne historique de la BRVM (8-12x), suggérant que le marché accorde une prime de croissance à la valeur, ou que le cours anticipe une amélioration future des bénéfices. Le P/B de 2,29x confirme cette prime, le marché valorisant la société à plus de deux fois sa valeur comptable, ce qui est typique pour une entreprise avec un ROE supérieur à 15%. Enfin, l'EV/EBITDA de 7,6x se situe dans une fourchette raisonnable (5-10x), indiquant que la valorisation de l'entreprise par rapport à sa capacité opérationnelle reste mesurée, malgré les primes sur les autres ratios.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CABC a enregistré une progression totale de +11,38%, mais a subi un léger repli de -0,55% lors de la dernière séance, clôturant à 3 620 FCFA. Le titre a évolué dans une fourchette de 3 250 FCFA (plus bas) à 4 500 FCFA (plus haut), démontrant une amplitude de variation significative. La moyenne du cours sur la période est de 3 770 FCFA, légèrement supérieure à la médiane de 3 700 FCFA, ce qui, combiné à un skewness positif de 0,678, indique une asymétrie avec des journées plus fréquentes sous la moyenne mais des pics plus prononcés. L'écart-type de 290 FCFA (CV de 7,7%) montre une dispersion modérée autour de la moyenne, tandis que le kurtosis de -0,137 (mésokurtique) suggère une distribution proche de la normale, sans risque de variations extrêmes. La volatilité annualisée de 55,7% classe le titre comme très volatil (&gt;30%), un niveau élevé qui reflète les incertitudes du marché et les caractéristiques du secteur.</w:t>
      </w:r>
    </w:p>
    <w:p>
      <w:pPr>
        <w:spacing w:after="120" w:line="276" w:lineRule="auto"/>
      </w:pPr>
      <w:r>
        <w:t>---</w:t>
      </w:r>
    </w:p>
    <w:p>
      <w:pPr>
        <w:spacing w:after="120" w:line="276" w:lineRule="auto"/>
      </w:pPr>
      <w:r>
        <w:t>### PARTIE 2 : ANALYSE TECHNIQUE DÉTAILLÉE</w:t>
      </w:r>
    </w:p>
    <w:p>
      <w:pPr>
        <w:spacing w:after="120" w:line="276" w:lineRule="auto"/>
      </w:pPr>
      <w:r>
        <w:t>**Moyennes Mobiles**: La MM20 à 3 573,25 FCFA et la MM50 à 3 832,9 FCFA sont toutes deux proches du cours actuel de 3 620 FCFA. Le cours se situe au-dessus de la MM20 mais en dessous de la MM50, indiquant une tendance de court terme positive mais une tendance de moyen terme encore baissière. La décision de "Vente" est justifiée par cette configuration, le titre n'ayant pas encore réussi à dépasser la MM50, un niveau de résistance clé.</w:t>
      </w:r>
    </w:p>
    <w:p>
      <w:pPr>
        <w:spacing w:after="120" w:line="276" w:lineRule="auto"/>
      </w:pPr>
      <w:r>
        <w:t>**Bandes de Bollinger**: Le cours à 3 620 FCFA se positionne entre la borne inférieure (3 413,27 FCFA) et la borne supérieure (3 733,23 FCFA), proche du milieu de la bande. Cette position "Neutre" indique une volatilité modérée, sans signal de surachat ou de survente. Le resserrement des bandes pourrait précéder un mouvement directionnel, mais aucun signal clair n'est actuellement émis.</w:t>
      </w:r>
    </w:p>
    <w:p>
      <w:pPr>
        <w:spacing w:after="120" w:line="276" w:lineRule="auto"/>
      </w:pPr>
      <w:r>
        <w:t>**MACD**: La valeur du MACD (-43,685) est supérieure à sa ligne de signal (-71,751), avec un écart positif croissant. Cette configuration est un signal d'**Achat** classique, indiquant que le momentum baissier s'estompe et qu'un retournement haussier pourrait être en cours. La convergence positive du MACD suggère une dynamique de prix favorable à court terme.</w:t>
      </w:r>
    </w:p>
    <w:p>
      <w:pPr>
        <w:spacing w:after="120" w:line="276" w:lineRule="auto"/>
      </w:pPr>
      <w:r>
        <w:t>**RSI**: Le RSI à 47,934 est en zone neutre (entre 30 et 70), indiquant un équilibre entre les forces acheteuses et vendeuses. Aucune condition de surachat ou de survente n'est détectée, ce qui laisse de la marge pour un mouvement dans les deux sens. La décision "Neutre" est cohérente avec cette lecture.</w:t>
      </w:r>
    </w:p>
    <w:p>
      <w:pPr>
        <w:spacing w:after="120" w:line="276" w:lineRule="auto"/>
      </w:pPr>
      <w:r>
        <w:t>**Stochastique**: Le %K (63,043) est inférieur au %D (78,261), ce qui suggère un croisement baissier potentiel à court terme. Cependant, les deux valeurs restent en zone neutre, indiquant une absence de signal fort. La décision "Neutre" reflète cette ambiguïté, le titre semblant manquer de direction claire à très court terme.</w:t>
      </w:r>
    </w:p>
    <w:p>
      <w:pPr>
        <w:spacing w:after="120" w:line="276" w:lineRule="auto"/>
      </w:pPr>
      <w:r>
        <w:t>**Conclusion technique**: Les indicateurs techniques sont mitigés, avec un MACD en signal d'achat contrastant avec des moyennes mobiles baissières et un stochastique neutre. Le titre semble dans une phase de consolidation, cherchant à déterminer sa prochaine direction. La configuration actuelle suggère une prudence, avec un potentiel haussier si le cours parvient à franchir la MM50 à 3 833 FCFA.</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CABC a réalisé un chiffre d'affaires de 21,263 milliards FCFA, en croissance de +11,2% par rapport à 2024, avec un résultat net de 1,439 milliard FCFA, soit une marge nette de 6,77%. Le ROE s'établit à un niveau excellent de 15,4%, et le ROA à 6,1%, démontrant une bonne rentabilité des fonds propres et des actifs. Cependant, la structure financière révèle des points de vigilance : le BFR est positif à 7,186 milliards FCFA, avec un délai de paiement clients très élevé de 144,7 jours et une durée de stockage de 152,1 jours, ce qui immobilise du capital et pèse sur la trésorerie. Le flux de trésorerie opérationnel est négatif à -819,66 millions FCFA, et le free cash-flow à -982,71 millions FCFA, malgré une capacité d'autofinancement positive de 1,593 milliard FCFA. Les rapports trimestriels de 2025 confirment cette dynamique : le S1 2025 affichait un résultat net de 851,5 millions FCFA (+55,3%), et le cumul à fin septembre atteignait 1 329,5 millions FCFA (+26%). Cependant, le rapport T1 2026 (daté de 2026) montre une forte dégradation avec un CA en baisse de 26,5% et une perte nette de 221,7 millions FCFA, attribuée à une maintenance planifiée et à la hausse des cours des métaux. Les rapports annuels certifiés 2024 (datés de 2025) indiquaient un résultat net de 1,225 milliard FCFA, en baisse de 14,3% par rapport à 2023, mais avec une trésorerie nette confortable de 6,865 milliards FCFA et aucune dette financière. La situation est donc contrastée : une rentabilité opérationnelle solide, mais une gestion du BFR et de la trésorerie qui nécessite une attention particulière, avec des perspectives de normalisation annoncées par la direction pour 2026.</w:t>
      </w:r>
    </w:p>
    <w:p>
      <w:pPr>
        <w:spacing w:after="120" w:line="276" w:lineRule="auto"/>
      </w:pPr>
      <w:r>
        <w:t>---</w:t>
      </w:r>
    </w:p>
    <w:p>
      <w:pPr>
        <w:spacing w:after="120" w:line="276" w:lineRule="auto"/>
      </w:pPr>
      <w:r>
        <w:t>### PARTIE 4 : CONCLUSION D'INVESTISSEMENT</w:t>
      </w:r>
    </w:p>
    <w:p>
      <w:pPr>
        <w:spacing w:after="120" w:line="276" w:lineRule="auto"/>
      </w:pPr>
      <w:r>
        <w:t>La valorisation de CABC (PER 14,9x, P/B 2,29x) indique que le marché paie une prime par rapport aux bénéfices et à la valeur comptable, ce qui est justifié par un ROE supérieur à 15% et une croissance du CA de plus de 11% en 2025. Le comportement du cours sur 100 jours montre une tendance haussière (+11,38%) mais avec une volatilité très élevée (55,7%), signalant un risque important. Les signaux techniques sont mitigés, avec un MACD en achat mais des moyennes mobiles baissières, indiquant une phase de consolidation. Les fondamentaux sont solides à moyen terme (rentabilité, croissance) mais fragilisés par un BFR élevé et un flux de trésorerie opérationnel négatif, avec un T1 2026 difficile. Les prédictions IA pour les 10 prochains jours (3 918 à 4 869 FCFA) suggèrent une forte hausse, ce qui contraste avec les signaux techniques neutres et la dégradation récente des performances. Cette divergence entre la prédiction haussière et les fondamentaux à court terme appelle à la prudence. **Recommandation : CONSERVER**. La convergence est partielle : la valorisation et les fondamentaux soutiennent le titre, mais la volatilité élevée et les incertitudes opérationnelles (BFR, T1 2026) limitent le potentiel haussier immédiat. **Niveau de confiance : Moyen**. **Risque global : Élevé**. **Horizon d'investissement optimal : Moyen terme (3-12 mois)**, en attendant une confirmation de la normalisation des performances et une amélioration de la gestion du besoin en fonds de roulement.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928.00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1,411 titres</w:t>
            </w:r>
          </w:p>
        </w:tc>
        <w:tc>
          <w:tcPr>
            <w:tcW w:type="dxa" w:w="2268"/>
            <w:shd w:fill="FFF2CC" w:val="clear"/>
          </w:tcPr>
          <w:p>
            <w:r>
              <w:rPr>
                <w:b/>
                <w:color w:val="503200"/>
                <w:sz w:val="16"/>
              </w:rPr>
              <w:t xml:space="preserve">Cours actuel : </w:t>
            </w:r>
            <w:r>
              <w:rPr>
                <w:color w:val="000000"/>
                <w:sz w:val="17"/>
              </w:rPr>
              <w:t>29,000 FCFA</w:t>
            </w:r>
          </w:p>
          <w:p>
            <w:r>
              <w:rPr>
                <w:b/>
                <w:color w:val="503200"/>
                <w:sz w:val="16"/>
              </w:rPr>
              <w:t xml:space="preserve">Var. 100 jours : </w:t>
            </w:r>
            <w:r>
              <w:rPr>
                <w:b/>
                <w:color w:val="007800"/>
                <w:sz w:val="17"/>
              </w:rPr>
              <w:t>+109.39%</w:t>
            </w:r>
          </w:p>
          <w:p>
            <w:r>
              <w:rPr>
                <w:b/>
                <w:color w:val="503200"/>
                <w:sz w:val="16"/>
              </w:rPr>
              <w:t xml:space="preserve">Plus haut 100j : </w:t>
            </w:r>
            <w:r>
              <w:rPr>
                <w:color w:val="000000"/>
                <w:sz w:val="17"/>
              </w:rPr>
              <w:t>30,005 FCFA</w:t>
            </w:r>
          </w:p>
          <w:p>
            <w:r>
              <w:rPr>
                <w:b/>
                <w:color w:val="503200"/>
                <w:sz w:val="16"/>
              </w:rPr>
              <w:t xml:space="preserve">Plus bas 100j : </w:t>
            </w:r>
            <w:r>
              <w:rPr>
                <w:color w:val="000000"/>
                <w:sz w:val="17"/>
              </w:rPr>
              <w:t>13,800 FCFA</w:t>
            </w:r>
          </w:p>
          <w:p>
            <w:r>
              <w:rPr>
                <w:b/>
                <w:color w:val="503200"/>
                <w:sz w:val="16"/>
              </w:rPr>
              <w:t xml:space="preserve">Volatilité ann. : </w:t>
            </w:r>
            <w:r>
              <w:rPr>
                <w:color w:val="000000"/>
                <w:sz w:val="17"/>
              </w:rPr>
              <w:t>42.8%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28.3/100 → Moyen</w:t>
      </w:r>
    </w:p>
    <w:p>
      <w:pPr>
        <w:spacing w:before="40" w:after="80"/>
      </w:pPr>
      <w:r>
        <w:rPr>
          <w:rFonts w:ascii="Courier New" w:hAnsi="Courier New"/>
          <w:color w:val="825A00"/>
          <w:sz w:val="18"/>
        </w:rPr>
        <w:t>█████░░░░░░░░░░░░░░░  28.3/100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22.96% (Élevée) — μ=22,202 FCFA, σ=5,098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β=0.8195 (Neutre (suit le marché)) — Cov=0.000028, Var(idx)=0.000034, ρ=0.177,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1,411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σ_j=2.70%/j (Stable) — Vol. annualisée≈42.8%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2026-08-27</w:t>
            </w:r>
          </w:p>
        </w:tc>
        <w:tc>
          <w:tcPr>
            <w:tcW w:type="dxa" w:w="1440"/>
            <w:shd w:fill="FFDCE0" w:val="clear"/>
          </w:tcPr>
          <w:p>
            <w:r>
              <w:rPr>
                <w:sz w:val="17"/>
              </w:rPr>
              <w:t>23,695</w:t>
            </w:r>
          </w:p>
        </w:tc>
        <w:tc>
          <w:tcPr>
            <w:tcW w:type="dxa" w:w="1440"/>
            <w:shd w:fill="FFDCE0" w:val="clear"/>
          </w:tcPr>
          <w:p>
            <w:r>
              <w:rPr>
                <w:b/>
                <w:sz w:val="17"/>
              </w:rPr>
              <w:t>24,813</w:t>
            </w:r>
          </w:p>
        </w:tc>
        <w:tc>
          <w:tcPr>
            <w:tcW w:type="dxa" w:w="1440"/>
            <w:shd w:fill="FFDCE0" w:val="clear"/>
          </w:tcPr>
          <w:p>
            <w:r>
              <w:rPr>
                <w:sz w:val="17"/>
              </w:rPr>
              <w:t>25,932</w:t>
            </w:r>
          </w:p>
        </w:tc>
        <w:tc>
          <w:tcPr>
            <w:tcW w:type="dxa" w:w="1440"/>
            <w:shd w:fill="FFDCE0" w:val="clear"/>
          </w:tcPr>
          <w:p>
            <w:r>
              <w:rPr>
                <w:b/>
                <w:color w:val="C00000"/>
                <w:sz w:val="17"/>
              </w:rPr>
              <w:t>-14.4%</w:t>
            </w:r>
          </w:p>
        </w:tc>
      </w:tr>
      <w:tr>
        <w:tc>
          <w:tcPr>
            <w:tcW w:type="dxa" w:w="1440"/>
            <w:shd w:fill="FFDCE0" w:val="clear"/>
          </w:tcPr>
          <w:p>
            <w:r>
              <w:rPr>
                <w:sz w:val="17"/>
              </w:rPr>
              <w:t>J+2  ⭐⭐⭐</w:t>
            </w:r>
          </w:p>
        </w:tc>
        <w:tc>
          <w:tcPr>
            <w:tcW w:type="dxa" w:w="1440"/>
            <w:shd w:fill="FFDCE0" w:val="clear"/>
          </w:tcPr>
          <w:p>
            <w:r>
              <w:rPr>
                <w:sz w:val="17"/>
              </w:rPr>
              <w:t>2026-08-28</w:t>
            </w:r>
          </w:p>
        </w:tc>
        <w:tc>
          <w:tcPr>
            <w:tcW w:type="dxa" w:w="1440"/>
            <w:shd w:fill="FFDCE0" w:val="clear"/>
          </w:tcPr>
          <w:p>
            <w:r>
              <w:rPr>
                <w:sz w:val="17"/>
              </w:rPr>
              <w:t>21,685</w:t>
            </w:r>
          </w:p>
        </w:tc>
        <w:tc>
          <w:tcPr>
            <w:tcW w:type="dxa" w:w="1440"/>
            <w:shd w:fill="FFDCE0" w:val="clear"/>
          </w:tcPr>
          <w:p>
            <w:r>
              <w:rPr>
                <w:b/>
                <w:sz w:val="17"/>
              </w:rPr>
              <w:t>22,952</w:t>
            </w:r>
          </w:p>
        </w:tc>
        <w:tc>
          <w:tcPr>
            <w:tcW w:type="dxa" w:w="1440"/>
            <w:shd w:fill="FFDCE0" w:val="clear"/>
          </w:tcPr>
          <w:p>
            <w:r>
              <w:rPr>
                <w:sz w:val="17"/>
              </w:rPr>
              <w:t>24,219</w:t>
            </w:r>
          </w:p>
        </w:tc>
        <w:tc>
          <w:tcPr>
            <w:tcW w:type="dxa" w:w="1440"/>
            <w:shd w:fill="FFDCE0" w:val="clear"/>
          </w:tcPr>
          <w:p>
            <w:r>
              <w:rPr>
                <w:b/>
                <w:color w:val="C00000"/>
                <w:sz w:val="17"/>
              </w:rPr>
              <w:t>-20.9%</w:t>
            </w:r>
          </w:p>
        </w:tc>
      </w:tr>
      <w:tr>
        <w:tc>
          <w:tcPr>
            <w:tcW w:type="dxa" w:w="1440"/>
            <w:shd w:fill="FFDCE0" w:val="clear"/>
          </w:tcPr>
          <w:p>
            <w:r>
              <w:rPr>
                <w:sz w:val="17"/>
              </w:rPr>
              <w:t>J+3  Moyenne</w:t>
            </w:r>
          </w:p>
        </w:tc>
        <w:tc>
          <w:tcPr>
            <w:tcW w:type="dxa" w:w="1440"/>
            <w:shd w:fill="FFDCE0" w:val="clear"/>
          </w:tcPr>
          <w:p>
            <w:r>
              <w:rPr>
                <w:sz w:val="17"/>
              </w:rPr>
              <w:t>2026-08-31</w:t>
            </w:r>
          </w:p>
        </w:tc>
        <w:tc>
          <w:tcPr>
            <w:tcW w:type="dxa" w:w="1440"/>
            <w:shd w:fill="FFDCE0" w:val="clear"/>
          </w:tcPr>
          <w:p>
            <w:r>
              <w:rPr>
                <w:sz w:val="17"/>
              </w:rPr>
              <w:t>19,877</w:t>
            </w:r>
          </w:p>
        </w:tc>
        <w:tc>
          <w:tcPr>
            <w:tcW w:type="dxa" w:w="1440"/>
            <w:shd w:fill="FFDCE0" w:val="clear"/>
          </w:tcPr>
          <w:p>
            <w:r>
              <w:rPr>
                <w:b/>
                <w:sz w:val="17"/>
              </w:rPr>
              <w:t>21,231</w:t>
            </w:r>
          </w:p>
        </w:tc>
        <w:tc>
          <w:tcPr>
            <w:tcW w:type="dxa" w:w="1440"/>
            <w:shd w:fill="FFDCE0" w:val="clear"/>
          </w:tcPr>
          <w:p>
            <w:r>
              <w:rPr>
                <w:sz w:val="17"/>
              </w:rPr>
              <w:t>22,584</w:t>
            </w:r>
          </w:p>
        </w:tc>
        <w:tc>
          <w:tcPr>
            <w:tcW w:type="dxa" w:w="1440"/>
            <w:shd w:fill="FFDCE0" w:val="clear"/>
          </w:tcPr>
          <w:p>
            <w:r>
              <w:rPr>
                <w:b/>
                <w:color w:val="C00000"/>
                <w:sz w:val="17"/>
              </w:rPr>
              <w:t>-26.8%</w:t>
            </w:r>
          </w:p>
        </w:tc>
      </w:tr>
      <w:tr>
        <w:tc>
          <w:tcPr>
            <w:tcW w:type="dxa" w:w="1440"/>
            <w:shd w:fill="FFDCE0" w:val="clear"/>
          </w:tcPr>
          <w:p>
            <w:r>
              <w:rPr>
                <w:sz w:val="17"/>
              </w:rPr>
              <w:t>J+4  Moyenne</w:t>
            </w:r>
          </w:p>
        </w:tc>
        <w:tc>
          <w:tcPr>
            <w:tcW w:type="dxa" w:w="1440"/>
            <w:shd w:fill="FFDCE0" w:val="clear"/>
          </w:tcPr>
          <w:p>
            <w:r>
              <w:rPr>
                <w:sz w:val="17"/>
              </w:rPr>
              <w:t>2026-09-01</w:t>
            </w:r>
          </w:p>
        </w:tc>
        <w:tc>
          <w:tcPr>
            <w:tcW w:type="dxa" w:w="1440"/>
            <w:shd w:fill="FFDCE0" w:val="clear"/>
          </w:tcPr>
          <w:p>
            <w:r>
              <w:rPr>
                <w:sz w:val="17"/>
              </w:rPr>
              <w:t>18,256</w:t>
            </w:r>
          </w:p>
        </w:tc>
        <w:tc>
          <w:tcPr>
            <w:tcW w:type="dxa" w:w="1440"/>
            <w:shd w:fill="FFDCE0" w:val="clear"/>
          </w:tcPr>
          <w:p>
            <w:r>
              <w:rPr>
                <w:b/>
                <w:sz w:val="17"/>
              </w:rPr>
              <w:t>19,657</w:t>
            </w:r>
          </w:p>
        </w:tc>
        <w:tc>
          <w:tcPr>
            <w:tcW w:type="dxa" w:w="1440"/>
            <w:shd w:fill="FFDCE0" w:val="clear"/>
          </w:tcPr>
          <w:p>
            <w:r>
              <w:rPr>
                <w:sz w:val="17"/>
              </w:rPr>
              <w:t>21,058</w:t>
            </w:r>
          </w:p>
        </w:tc>
        <w:tc>
          <w:tcPr>
            <w:tcW w:type="dxa" w:w="1440"/>
            <w:shd w:fill="FFDCE0" w:val="clear"/>
          </w:tcPr>
          <w:p>
            <w:r>
              <w:rPr>
                <w:b/>
                <w:color w:val="C00000"/>
                <w:sz w:val="17"/>
              </w:rPr>
              <w:t>-32.2%</w:t>
            </w:r>
          </w:p>
        </w:tc>
      </w:tr>
      <w:tr>
        <w:tc>
          <w:tcPr>
            <w:tcW w:type="dxa" w:w="1440"/>
            <w:shd w:fill="FFDCE0" w:val="clear"/>
          </w:tcPr>
          <w:p>
            <w:r>
              <w:rPr>
                <w:sz w:val="17"/>
              </w:rPr>
              <w:t>J+5  Moyenne</w:t>
            </w:r>
          </w:p>
        </w:tc>
        <w:tc>
          <w:tcPr>
            <w:tcW w:type="dxa" w:w="1440"/>
            <w:shd w:fill="FFDCE0" w:val="clear"/>
          </w:tcPr>
          <w:p>
            <w:r>
              <w:rPr>
                <w:sz w:val="17"/>
              </w:rPr>
              <w:t>2026-09-02</w:t>
            </w:r>
          </w:p>
        </w:tc>
        <w:tc>
          <w:tcPr>
            <w:tcW w:type="dxa" w:w="1440"/>
            <w:shd w:fill="FFDCE0" w:val="clear"/>
          </w:tcPr>
          <w:p>
            <w:r>
              <w:rPr>
                <w:sz w:val="17"/>
              </w:rPr>
              <w:t>17,609</w:t>
            </w:r>
          </w:p>
        </w:tc>
        <w:tc>
          <w:tcPr>
            <w:tcW w:type="dxa" w:w="1440"/>
            <w:shd w:fill="FFDCE0" w:val="clear"/>
          </w:tcPr>
          <w:p>
            <w:r>
              <w:rPr>
                <w:b/>
                <w:sz w:val="17"/>
              </w:rPr>
              <w:t>19,100</w:t>
            </w:r>
          </w:p>
        </w:tc>
        <w:tc>
          <w:tcPr>
            <w:tcW w:type="dxa" w:w="1440"/>
            <w:shd w:fill="FFDCE0" w:val="clear"/>
          </w:tcPr>
          <w:p>
            <w:r>
              <w:rPr>
                <w:sz w:val="17"/>
              </w:rPr>
              <w:t>20,592</w:t>
            </w:r>
          </w:p>
        </w:tc>
        <w:tc>
          <w:tcPr>
            <w:tcW w:type="dxa" w:w="1440"/>
            <w:shd w:fill="FFDCE0" w:val="clear"/>
          </w:tcPr>
          <w:p>
            <w:r>
              <w:rPr>
                <w:b/>
                <w:color w:val="C00000"/>
                <w:sz w:val="17"/>
              </w:rPr>
              <w:t>-34.1%</w:t>
            </w:r>
          </w:p>
        </w:tc>
      </w:tr>
      <w:tr>
        <w:tc>
          <w:tcPr>
            <w:tcW w:type="dxa" w:w="1440"/>
            <w:shd w:fill="FFDCE0" w:val="clear"/>
          </w:tcPr>
          <w:p>
            <w:r>
              <w:rPr>
                <w:sz w:val="17"/>
              </w:rPr>
              <w:t>J+6  Moyenne</w:t>
            </w:r>
          </w:p>
        </w:tc>
        <w:tc>
          <w:tcPr>
            <w:tcW w:type="dxa" w:w="1440"/>
            <w:shd w:fill="FFDCE0" w:val="clear"/>
          </w:tcPr>
          <w:p>
            <w:r>
              <w:rPr>
                <w:sz w:val="17"/>
              </w:rPr>
              <w:t>2026-09-03</w:t>
            </w:r>
          </w:p>
        </w:tc>
        <w:tc>
          <w:tcPr>
            <w:tcW w:type="dxa" w:w="1440"/>
            <w:shd w:fill="FFDCE0" w:val="clear"/>
          </w:tcPr>
          <w:p>
            <w:r>
              <w:rPr>
                <w:sz w:val="17"/>
              </w:rPr>
              <w:t>17,043</w:t>
            </w:r>
          </w:p>
        </w:tc>
        <w:tc>
          <w:tcPr>
            <w:tcW w:type="dxa" w:w="1440"/>
            <w:shd w:fill="FFDCE0" w:val="clear"/>
          </w:tcPr>
          <w:p>
            <w:r>
              <w:rPr>
                <w:b/>
                <w:sz w:val="17"/>
              </w:rPr>
              <w:t>18,613</w:t>
            </w:r>
          </w:p>
        </w:tc>
        <w:tc>
          <w:tcPr>
            <w:tcW w:type="dxa" w:w="1440"/>
            <w:shd w:fill="FFDCE0" w:val="clear"/>
          </w:tcPr>
          <w:p>
            <w:r>
              <w:rPr>
                <w:sz w:val="17"/>
              </w:rPr>
              <w:t>20,183</w:t>
            </w:r>
          </w:p>
        </w:tc>
        <w:tc>
          <w:tcPr>
            <w:tcW w:type="dxa" w:w="1440"/>
            <w:shd w:fill="FFDCE0" w:val="clear"/>
          </w:tcPr>
          <w:p>
            <w:r>
              <w:rPr>
                <w:b/>
                <w:color w:val="C00000"/>
                <w:sz w:val="17"/>
              </w:rPr>
              <w:t>-35.8%</w:t>
            </w:r>
          </w:p>
        </w:tc>
      </w:tr>
      <w:tr>
        <w:tc>
          <w:tcPr>
            <w:tcW w:type="dxa" w:w="1440"/>
            <w:shd w:fill="FFDCE0" w:val="clear"/>
          </w:tcPr>
          <w:p>
            <w:r>
              <w:rPr>
                <w:sz w:val="17"/>
              </w:rPr>
              <w:t>J+7  Moyenne</w:t>
            </w:r>
          </w:p>
        </w:tc>
        <w:tc>
          <w:tcPr>
            <w:tcW w:type="dxa" w:w="1440"/>
            <w:shd w:fill="FFDCE0" w:val="clear"/>
          </w:tcPr>
          <w:p>
            <w:r>
              <w:rPr>
                <w:sz w:val="17"/>
              </w:rPr>
              <w:t>2026-09-04</w:t>
            </w:r>
          </w:p>
        </w:tc>
        <w:tc>
          <w:tcPr>
            <w:tcW w:type="dxa" w:w="1440"/>
            <w:shd w:fill="FFDCE0" w:val="clear"/>
          </w:tcPr>
          <w:p>
            <w:r>
              <w:rPr>
                <w:sz w:val="17"/>
              </w:rPr>
              <w:t>16,540</w:t>
            </w:r>
          </w:p>
        </w:tc>
        <w:tc>
          <w:tcPr>
            <w:tcW w:type="dxa" w:w="1440"/>
            <w:shd w:fill="FFDCE0" w:val="clear"/>
          </w:tcPr>
          <w:p>
            <w:r>
              <w:rPr>
                <w:b/>
                <w:sz w:val="17"/>
              </w:rPr>
              <w:t>18,179</w:t>
            </w:r>
          </w:p>
        </w:tc>
        <w:tc>
          <w:tcPr>
            <w:tcW w:type="dxa" w:w="1440"/>
            <w:shd w:fill="FFDCE0" w:val="clear"/>
          </w:tcPr>
          <w:p>
            <w:r>
              <w:rPr>
                <w:sz w:val="17"/>
              </w:rPr>
              <w:t>19,818</w:t>
            </w:r>
          </w:p>
        </w:tc>
        <w:tc>
          <w:tcPr>
            <w:tcW w:type="dxa" w:w="1440"/>
            <w:shd w:fill="FFDCE0" w:val="clear"/>
          </w:tcPr>
          <w:p>
            <w:r>
              <w:rPr>
                <w:b/>
                <w:color w:val="C00000"/>
                <w:sz w:val="17"/>
              </w:rPr>
              <w:t>-37.3%</w:t>
            </w:r>
          </w:p>
        </w:tc>
      </w:tr>
      <w:tr>
        <w:tc>
          <w:tcPr>
            <w:tcW w:type="dxa" w:w="1440"/>
            <w:shd w:fill="FFDCE0" w:val="clear"/>
          </w:tcPr>
          <w:p>
            <w:r>
              <w:rPr>
                <w:sz w:val="17"/>
              </w:rPr>
              <w:t>J+8  Moyenne</w:t>
            </w:r>
          </w:p>
        </w:tc>
        <w:tc>
          <w:tcPr>
            <w:tcW w:type="dxa" w:w="1440"/>
            <w:shd w:fill="FFDCE0" w:val="clear"/>
          </w:tcPr>
          <w:p>
            <w:r>
              <w:rPr>
                <w:sz w:val="17"/>
              </w:rPr>
              <w:t>2026-09-07</w:t>
            </w:r>
          </w:p>
        </w:tc>
        <w:tc>
          <w:tcPr>
            <w:tcW w:type="dxa" w:w="1440"/>
            <w:shd w:fill="FFDCE0" w:val="clear"/>
          </w:tcPr>
          <w:p>
            <w:r>
              <w:rPr>
                <w:sz w:val="17"/>
              </w:rPr>
              <w:t>16,086</w:t>
            </w:r>
          </w:p>
        </w:tc>
        <w:tc>
          <w:tcPr>
            <w:tcW w:type="dxa" w:w="1440"/>
            <w:shd w:fill="FFDCE0" w:val="clear"/>
          </w:tcPr>
          <w:p>
            <w:r>
              <w:rPr>
                <w:b/>
                <w:sz w:val="17"/>
              </w:rPr>
              <w:t>17,787</w:t>
            </w:r>
          </w:p>
        </w:tc>
        <w:tc>
          <w:tcPr>
            <w:tcW w:type="dxa" w:w="1440"/>
            <w:shd w:fill="FFDCE0" w:val="clear"/>
          </w:tcPr>
          <w:p>
            <w:r>
              <w:rPr>
                <w:sz w:val="17"/>
              </w:rPr>
              <w:t>19,488</w:t>
            </w:r>
          </w:p>
        </w:tc>
        <w:tc>
          <w:tcPr>
            <w:tcW w:type="dxa" w:w="1440"/>
            <w:shd w:fill="FFDCE0" w:val="clear"/>
          </w:tcPr>
          <w:p>
            <w:r>
              <w:rPr>
                <w:b/>
                <w:color w:val="C00000"/>
                <w:sz w:val="17"/>
              </w:rPr>
              <w:t>-38.7%</w:t>
            </w:r>
          </w:p>
        </w:tc>
      </w:tr>
      <w:tr>
        <w:tc>
          <w:tcPr>
            <w:tcW w:type="dxa" w:w="1440"/>
            <w:shd w:fill="FFDCE0" w:val="clear"/>
          </w:tcPr>
          <w:p>
            <w:r>
              <w:rPr>
                <w:sz w:val="17"/>
              </w:rPr>
              <w:t>J+9  Moyenne</w:t>
            </w:r>
          </w:p>
        </w:tc>
        <w:tc>
          <w:tcPr>
            <w:tcW w:type="dxa" w:w="1440"/>
            <w:shd w:fill="FFDCE0" w:val="clear"/>
          </w:tcPr>
          <w:p>
            <w:r>
              <w:rPr>
                <w:sz w:val="17"/>
              </w:rPr>
              <w:t>2026-09-08</w:t>
            </w:r>
          </w:p>
        </w:tc>
        <w:tc>
          <w:tcPr>
            <w:tcW w:type="dxa" w:w="1440"/>
            <w:shd w:fill="FFDCE0" w:val="clear"/>
          </w:tcPr>
          <w:p>
            <w:r>
              <w:rPr>
                <w:sz w:val="17"/>
              </w:rPr>
              <w:t>15,674</w:t>
            </w:r>
          </w:p>
        </w:tc>
        <w:tc>
          <w:tcPr>
            <w:tcW w:type="dxa" w:w="1440"/>
            <w:shd w:fill="FFDCE0" w:val="clear"/>
          </w:tcPr>
          <w:p>
            <w:r>
              <w:rPr>
                <w:b/>
                <w:sz w:val="17"/>
              </w:rPr>
              <w:t>17,431</w:t>
            </w:r>
          </w:p>
        </w:tc>
        <w:tc>
          <w:tcPr>
            <w:tcW w:type="dxa" w:w="1440"/>
            <w:shd w:fill="FFDCE0" w:val="clear"/>
          </w:tcPr>
          <w:p>
            <w:r>
              <w:rPr>
                <w:sz w:val="17"/>
              </w:rPr>
              <w:t>19,188</w:t>
            </w:r>
          </w:p>
        </w:tc>
        <w:tc>
          <w:tcPr>
            <w:tcW w:type="dxa" w:w="1440"/>
            <w:shd w:fill="FFDCE0" w:val="clear"/>
          </w:tcPr>
          <w:p>
            <w:r>
              <w:rPr>
                <w:b/>
                <w:color w:val="C00000"/>
                <w:sz w:val="17"/>
              </w:rPr>
              <w:t>-39.9%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CBIBF (CORIS BANK INTERNATIONAL BURKINA FASO)**</w:t>
        <w:br/>
        <w:t>**Date de l'analyse : 26 août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928 milliards FCFA, CBIBF s'impose comme l'une des plus importantes capitalisations de la BRVM, reflétant la confiance des investisseurs dans le secteur bancaire burkinabè. Le BPA de 2 047 FCFA indique que chaque action génère un bénéfice substantiel, justifiant un PER de 14,2x. Ce ratio est supérieur à la moyenne historique de la BRVM (8-12x), ce qui suggère que le marché valorise déjà une partie de la croissance future de la banque, ou qu'il existe une prime de risque liée au pays. L'EV/EBITDA de 10,5x, bien que dans la fourchette haute (10-15x), confirme une valorisation exigeante par rapport à la capacité opérationnelle de l'entreprise. Le ratio P/B n'est pas disponible dans les données fournies, mais le niveau de ces indicateurs suggère que le titre n'est pas "bon marché" et que les attentes de performance sont élevées.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CBIBF a connu une appréciation spectaculaire de +109,39%, passant d'un plus bas de 13 800 FCFA à un plus haut de 30 005 FCFA, avant de se stabiliser autour de 29 000 FCFA. Cette tendance est fortement haussière, bien que la dernière séance affiche un repli de -3,33%, suggérant un possible essoufflement à court terme. La moyenne (22 202 FCFA) et la médiane (21 898 FCFA) sont très proches, indiquant une distribution symétrique des prix, confirmée par un skewness quasi nul (-0.005). L'écart-type de 5 123 FCFA (CV=23,1%) montre une dispersion modérée des prix autour de la moyenne. Le kurtosis négatif (-1.335) indique une distribution platykurtique, signifiant une faible probabilité de variations extrêmes (pas de pics de volatilité soudains). La volatilité annualisée de 42,8% classe le titre comme très volatil, un niveau élevé qui reflète à la fois le fort potentiel de gain et un risque de perte important.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(29 000 FCFA) est nettement au-dessus de la MM20 (28 413 FCFA) et de la MM50 (26 451 FCFA). Cette configuration haussière, où les moyennes sont orientées à la hausse, confirme la tendance positive de fond et justifie la décision d'**Achat**.</w:t>
      </w:r>
    </w:p>
    <w:p>
      <w:pPr>
        <w:spacing w:after="120" w:line="276" w:lineRule="auto"/>
      </w:pPr>
      <w:r>
        <w:t>**Bandes de Bollinger :** Le prix se situe à l'intérieur des bandes (borne supérieure à 29 714 FCFA et inférieure à 27 111 FCFA), indiquant une volatilité normale. La position proche de la borne supérieure suggère une pression acheteuse persistante, mais sans condition de surachat extrême. La décision est **Neutre**, le marché attendant un catalyseur pour une sortie de range.</w:t>
      </w:r>
    </w:p>
    <w:p>
      <w:pPr>
        <w:spacing w:after="120" w:line="276" w:lineRule="auto"/>
      </w:pPr>
      <w:r>
        <w:t>**MACD :** Le MACD (695,99) est passé sous sa ligne de signal (743,61), formant un croisement baissier. Ce signal indique un ralentissement du momentum haussier à court terme, ce qui justifie la décision de **Vente** pour les traders à horizon très court.</w:t>
      </w:r>
    </w:p>
    <w:p>
      <w:pPr>
        <w:spacing w:after="120" w:line="276" w:lineRule="auto"/>
      </w:pPr>
      <w:r>
        <w:t>**RSI :** À 55,98, le RSI se situe en zone neutre, sans signal de surachat ni de survente. Cela indique que le marché n'est pas encore survendu, mais que la pression acheteuse s'estompe. La décision est **Neutre**.</w:t>
      </w:r>
    </w:p>
    <w:p>
      <w:pPr>
        <w:spacing w:after="120" w:line="276" w:lineRule="auto"/>
      </w:pPr>
      <w:r>
        <w:t>**Stochastique :** Le %K (41,17) est passé sous le %D (80,39), un croisement baissier en zone de surachat. Ce signal suggère un potentiel de correction à court terme, mais la décision globale reste **Neutre** car le titre n'est pas encore en zone de survente.</w:t>
      </w:r>
    </w:p>
    <w:p>
      <w:pPr>
        <w:spacing w:after="120" w:line="276" w:lineRule="auto"/>
      </w:pPr>
      <w:r>
        <w:t>**Conclusion technique :** Les indicateurs de tendance (MM) restent positifs, mais les oscillateurs de momentum (MACD, Stochastique) montrent des signes de faiblesse à court terme. Le titre semble entrer dans une phase de consolidation après une forte hausse, avec un biais haussier à moyen terme mais un risque de correction à court terme.</w:t>
      </w:r>
    </w:p>
    <w:p>
      <w:pPr>
        <w:spacing w:after="120" w:line="276" w:lineRule="auto"/>
      </w:pPr>
      <w:r>
        <w:t>---</w:t>
      </w:r>
    </w:p>
    <w:p>
      <w:pPr>
        <w:spacing w:after="120" w:line="276" w:lineRule="auto"/>
      </w:pPr>
      <w:r>
        <w:t>### PARTIE 3 : ANALYSE FONDAMENTALE (SECTION CRITIQUE)</w:t>
      </w:r>
    </w:p>
    <w:p>
      <w:pPr>
        <w:spacing w:after="120" w:line="276" w:lineRule="auto"/>
      </w:pPr>
      <w:r>
        <w:t>En 2025, CBIBF a réalisé un exercice remarquable. Le Produit Net Bancaire (PNB) s'établit à 138,99 milliards FCFA, en croissance de 6,1% par rapport à 2024. Le résultat net atteint 65,49 milliards FCFA, en progression de 36,6% (vs 47,9 milliards en 2024), démontrant une forte amélioration de la rentabilité. Cette performance est portée par une excellente maîtrise des coûts, avec un coefficient d'exploitation de 36,4%, très en deçà du seuil d'efficacité de 60%, et une amélioration significative du coût du risque qui a baissé de 59,3%. La marge nette est élevée à 47,1%, et le ROA de 2,18% témoigne d'une bonne gestion des actifs. La banque a renforcé son bilan avec des dépôts clients en hausse de 14,9% (2 015 milliards FCFA) et des crédits en croissance de 5,4% (1 327 milliards FCFA). Sur la base du rapport T1 2026, qui fait état d'un PNB en hausse de 28,5% et d'un résultat net en progression de 22,2%, on estime que l'exercice 2026 devrait confirmer cette dynamique de croissance soutenue, malgré un environnement économique et sécuritaire régional incertain. La solidité financière de la banque, sa gestion rigoureuse du risque et ses perspectives de croissance en font un actif fondamentalement solide.</w:t>
      </w:r>
    </w:p>
    <w:p>
      <w:pPr>
        <w:spacing w:after="120" w:line="276" w:lineRule="auto"/>
      </w:pPr>
      <w:r>
        <w:t>---</w:t>
      </w:r>
    </w:p>
    <w:p>
      <w:pPr>
        <w:spacing w:after="120" w:line="276" w:lineRule="auto"/>
      </w:pPr>
      <w:r>
        <w:t>### PARTIE 4 : CONCLUSION D'INVESTISSEMENT</w:t>
      </w:r>
    </w:p>
    <w:p>
      <w:pPr>
        <w:spacing w:after="120" w:line="276" w:lineRule="auto"/>
      </w:pPr>
      <w:r>
        <w:t>La valorisation de CBIBF (PER 14,2x) est exigeante, mais elle est justifiée par la forte croissance des bénéfices et une santé financière robuste. Le comportement du cours, avec une hausse de +109% sur 100 jours, montre une dynamique très positive, bien que la volatilité élevée (42,8%) et les signaux techniques de court terme (MACD, Stochastique) suggèrent un possible repli technique. Les fondamentaux, eux, sont excellents : croissance du PNB et du résultat net, amélioration de la marge, et maîtrise du coût du risque. Les prédictions IA (J+1 à J+10) anticipent une correction significative du cours (jusqu'à 19 100 FCFA), ce qui contredit la tendance haussière récente mais pourrait offrir un point d'entrée plus attractif. En synthèse, la convergence entre la solidité fondamentale et la tendance haussière de fond est forte, mais les signaux techniques et les prédictions IA indiquent un risque de correction à court terme. Par conséquent, nous recommandons une position **CONSERVER** pour les investisseurs existants, avec un niveau de confiance **Moyen** et un risque global **Élevé**. L'horizon d'investissement optimal serait à **moyen terme (3-12 mois)**, en attendant une possible baisse pour renforcer la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320.12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3,593 titres</w:t>
            </w:r>
          </w:p>
        </w:tc>
        <w:tc>
          <w:tcPr>
            <w:tcW w:type="dxa" w:w="2268"/>
            <w:shd w:fill="FFF2CC" w:val="clear"/>
          </w:tcPr>
          <w:p>
            <w:r>
              <w:rPr>
                <w:b/>
                <w:color w:val="503200"/>
                <w:sz w:val="16"/>
              </w:rPr>
              <w:t xml:space="preserve">Cours actuel : </w:t>
            </w:r>
            <w:r>
              <w:rPr>
                <w:color w:val="000000"/>
                <w:sz w:val="17"/>
              </w:rPr>
              <w:t>1,765 FCFA</w:t>
            </w:r>
          </w:p>
          <w:p>
            <w:r>
              <w:rPr>
                <w:b/>
                <w:color w:val="503200"/>
                <w:sz w:val="16"/>
              </w:rPr>
              <w:t xml:space="preserve">Var. 100 jours : </w:t>
            </w:r>
            <w:r>
              <w:rPr>
                <w:b/>
                <w:color w:val="007800"/>
                <w:sz w:val="17"/>
              </w:rPr>
              <w:t>+9.63%</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6.30% (Moyenne) — μ=1,605 FCFA, σ=101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β=1.1194 (Neutre (suit le marché)) — Cov=0.000038, Var(idx)=0.000034, ρ=0.212,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3,593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annualisée≈48.8%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2026-08-27</w:t>
            </w:r>
          </w:p>
        </w:tc>
        <w:tc>
          <w:tcPr>
            <w:tcW w:type="dxa" w:w="1440"/>
            <w:shd w:fill="FFDCE0" w:val="clear"/>
          </w:tcPr>
          <w:p>
            <w:r>
              <w:rPr>
                <w:sz w:val="17"/>
              </w:rPr>
              <w:t>1,565</w:t>
            </w:r>
          </w:p>
        </w:tc>
        <w:tc>
          <w:tcPr>
            <w:tcW w:type="dxa" w:w="1440"/>
            <w:shd w:fill="FFDCE0" w:val="clear"/>
          </w:tcPr>
          <w:p>
            <w:r>
              <w:rPr>
                <w:b/>
                <w:sz w:val="17"/>
              </w:rPr>
              <w:t>1,672</w:t>
            </w:r>
          </w:p>
        </w:tc>
        <w:tc>
          <w:tcPr>
            <w:tcW w:type="dxa" w:w="1440"/>
            <w:shd w:fill="FFDCE0" w:val="clear"/>
          </w:tcPr>
          <w:p>
            <w:r>
              <w:rPr>
                <w:sz w:val="17"/>
              </w:rPr>
              <w:t>1,778</w:t>
            </w:r>
          </w:p>
        </w:tc>
        <w:tc>
          <w:tcPr>
            <w:tcW w:type="dxa" w:w="1440"/>
            <w:shd w:fill="FFDCE0" w:val="clear"/>
          </w:tcPr>
          <w:p>
            <w:r>
              <w:rPr>
                <w:b/>
                <w:color w:val="C00000"/>
                <w:sz w:val="17"/>
              </w:rPr>
              <w:t>-5.3%</w:t>
            </w:r>
          </w:p>
        </w:tc>
      </w:tr>
      <w:tr>
        <w:tc>
          <w:tcPr>
            <w:tcW w:type="dxa" w:w="1440"/>
            <w:shd w:fill="FFDCE0" w:val="clear"/>
          </w:tcPr>
          <w:p>
            <w:r>
              <w:rPr>
                <w:sz w:val="17"/>
              </w:rPr>
              <w:t>J+2  Moyenne</w:t>
            </w:r>
          </w:p>
        </w:tc>
        <w:tc>
          <w:tcPr>
            <w:tcW w:type="dxa" w:w="1440"/>
            <w:shd w:fill="FFDCE0" w:val="clear"/>
          </w:tcPr>
          <w:p>
            <w:r>
              <w:rPr>
                <w:sz w:val="17"/>
              </w:rPr>
              <w:t>2026-08-28</w:t>
            </w:r>
          </w:p>
        </w:tc>
        <w:tc>
          <w:tcPr>
            <w:tcW w:type="dxa" w:w="1440"/>
            <w:shd w:fill="FFDCE0" w:val="clear"/>
          </w:tcPr>
          <w:p>
            <w:r>
              <w:rPr>
                <w:sz w:val="17"/>
              </w:rPr>
              <w:t>1,519</w:t>
            </w:r>
          </w:p>
        </w:tc>
        <w:tc>
          <w:tcPr>
            <w:tcW w:type="dxa" w:w="1440"/>
            <w:shd w:fill="FFDCE0" w:val="clear"/>
          </w:tcPr>
          <w:p>
            <w:r>
              <w:rPr>
                <w:b/>
                <w:sz w:val="17"/>
              </w:rPr>
              <w:t>1,648</w:t>
            </w:r>
          </w:p>
        </w:tc>
        <w:tc>
          <w:tcPr>
            <w:tcW w:type="dxa" w:w="1440"/>
            <w:shd w:fill="FFDCE0" w:val="clear"/>
          </w:tcPr>
          <w:p>
            <w:r>
              <w:rPr>
                <w:sz w:val="17"/>
              </w:rPr>
              <w:t>1,776</w:t>
            </w:r>
          </w:p>
        </w:tc>
        <w:tc>
          <w:tcPr>
            <w:tcW w:type="dxa" w:w="1440"/>
            <w:shd w:fill="FFDCE0" w:val="clear"/>
          </w:tcPr>
          <w:p>
            <w:r>
              <w:rPr>
                <w:b/>
                <w:color w:val="C00000"/>
                <w:sz w:val="17"/>
              </w:rPr>
              <w:t>-6.7%</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1,477</w:t>
            </w:r>
          </w:p>
        </w:tc>
        <w:tc>
          <w:tcPr>
            <w:tcW w:type="dxa" w:w="1440"/>
            <w:shd w:fill="FFDCE0" w:val="clear"/>
          </w:tcPr>
          <w:p>
            <w:r>
              <w:rPr>
                <w:b/>
                <w:sz w:val="17"/>
              </w:rPr>
              <w:t>1,623</w:t>
            </w:r>
          </w:p>
        </w:tc>
        <w:tc>
          <w:tcPr>
            <w:tcW w:type="dxa" w:w="1440"/>
            <w:shd w:fill="FFDCE0" w:val="clear"/>
          </w:tcPr>
          <w:p>
            <w:r>
              <w:rPr>
                <w:sz w:val="17"/>
              </w:rPr>
              <w:t>1,769</w:t>
            </w:r>
          </w:p>
        </w:tc>
        <w:tc>
          <w:tcPr>
            <w:tcW w:type="dxa" w:w="1440"/>
            <w:shd w:fill="FFDCE0" w:val="clear"/>
          </w:tcPr>
          <w:p>
            <w:r>
              <w:rPr>
                <w:b/>
                <w:color w:val="C00000"/>
                <w:sz w:val="17"/>
              </w:rPr>
              <w:t>-8.0%</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1,438</w:t>
            </w:r>
          </w:p>
        </w:tc>
        <w:tc>
          <w:tcPr>
            <w:tcW w:type="dxa" w:w="1440"/>
            <w:shd w:fill="FFDCE0" w:val="clear"/>
          </w:tcPr>
          <w:p>
            <w:r>
              <w:rPr>
                <w:b/>
                <w:sz w:val="17"/>
              </w:rPr>
              <w:t>1,599</w:t>
            </w:r>
          </w:p>
        </w:tc>
        <w:tc>
          <w:tcPr>
            <w:tcW w:type="dxa" w:w="1440"/>
            <w:shd w:fill="FFDCE0" w:val="clear"/>
          </w:tcPr>
          <w:p>
            <w:r>
              <w:rPr>
                <w:sz w:val="17"/>
              </w:rPr>
              <w:t>1,760</w:t>
            </w:r>
          </w:p>
        </w:tc>
        <w:tc>
          <w:tcPr>
            <w:tcW w:type="dxa" w:w="1440"/>
            <w:shd w:fill="FFDCE0" w:val="clear"/>
          </w:tcPr>
          <w:p>
            <w:r>
              <w:rPr>
                <w:b/>
                <w:color w:val="C00000"/>
                <w:sz w:val="17"/>
              </w:rPr>
              <w:t>-9.4%</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1,402</w:t>
            </w:r>
          </w:p>
        </w:tc>
        <w:tc>
          <w:tcPr>
            <w:tcW w:type="dxa" w:w="1440"/>
            <w:shd w:fill="FFDCE0" w:val="clear"/>
          </w:tcPr>
          <w:p>
            <w:r>
              <w:rPr>
                <w:b/>
                <w:sz w:val="17"/>
              </w:rPr>
              <w:t>1,576</w:t>
            </w:r>
          </w:p>
        </w:tc>
        <w:tc>
          <w:tcPr>
            <w:tcW w:type="dxa" w:w="1440"/>
            <w:shd w:fill="FFDCE0" w:val="clear"/>
          </w:tcPr>
          <w:p>
            <w:r>
              <w:rPr>
                <w:sz w:val="17"/>
              </w:rPr>
              <w:t>1,749</w:t>
            </w:r>
          </w:p>
        </w:tc>
        <w:tc>
          <w:tcPr>
            <w:tcW w:type="dxa" w:w="1440"/>
            <w:shd w:fill="FFDCE0" w:val="clear"/>
          </w:tcPr>
          <w:p>
            <w:r>
              <w:rPr>
                <w:b/>
                <w:color w:val="C00000"/>
                <w:sz w:val="17"/>
              </w:rPr>
              <w:t>-10.7%</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1,368</w:t>
            </w:r>
          </w:p>
        </w:tc>
        <w:tc>
          <w:tcPr>
            <w:tcW w:type="dxa" w:w="1440"/>
            <w:shd w:fill="FFDCE0" w:val="clear"/>
          </w:tcPr>
          <w:p>
            <w:r>
              <w:rPr>
                <w:b/>
                <w:sz w:val="17"/>
              </w:rPr>
              <w:t>1,553</w:t>
            </w:r>
          </w:p>
        </w:tc>
        <w:tc>
          <w:tcPr>
            <w:tcW w:type="dxa" w:w="1440"/>
            <w:shd w:fill="FFDCE0" w:val="clear"/>
          </w:tcPr>
          <w:p>
            <w:r>
              <w:rPr>
                <w:sz w:val="17"/>
              </w:rPr>
              <w:t>1,738</w:t>
            </w:r>
          </w:p>
        </w:tc>
        <w:tc>
          <w:tcPr>
            <w:tcW w:type="dxa" w:w="1440"/>
            <w:shd w:fill="FFDCE0" w:val="clear"/>
          </w:tcPr>
          <w:p>
            <w:r>
              <w:rPr>
                <w:b/>
                <w:color w:val="C00000"/>
                <w:sz w:val="17"/>
              </w:rPr>
              <w:t>-12.0%</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1,336</w:t>
            </w:r>
          </w:p>
        </w:tc>
        <w:tc>
          <w:tcPr>
            <w:tcW w:type="dxa" w:w="1440"/>
            <w:shd w:fill="FFDCE0" w:val="clear"/>
          </w:tcPr>
          <w:p>
            <w:r>
              <w:rPr>
                <w:b/>
                <w:sz w:val="17"/>
              </w:rPr>
              <w:t>1,530</w:t>
            </w:r>
          </w:p>
        </w:tc>
        <w:tc>
          <w:tcPr>
            <w:tcW w:type="dxa" w:w="1440"/>
            <w:shd w:fill="FFDCE0" w:val="clear"/>
          </w:tcPr>
          <w:p>
            <w:r>
              <w:rPr>
                <w:sz w:val="17"/>
              </w:rPr>
              <w:t>1,725</w:t>
            </w:r>
          </w:p>
        </w:tc>
        <w:tc>
          <w:tcPr>
            <w:tcW w:type="dxa" w:w="1440"/>
            <w:shd w:fill="FFDCE0" w:val="clear"/>
          </w:tcPr>
          <w:p>
            <w:r>
              <w:rPr>
                <w:b/>
                <w:color w:val="C00000"/>
                <w:sz w:val="17"/>
              </w:rPr>
              <w:t>-13.3%</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1,305</w:t>
            </w:r>
          </w:p>
        </w:tc>
        <w:tc>
          <w:tcPr>
            <w:tcW w:type="dxa" w:w="1440"/>
            <w:shd w:fill="FFDCE0" w:val="clear"/>
          </w:tcPr>
          <w:p>
            <w:r>
              <w:rPr>
                <w:b/>
                <w:sz w:val="17"/>
              </w:rPr>
              <w:t>1,508</w:t>
            </w:r>
          </w:p>
        </w:tc>
        <w:tc>
          <w:tcPr>
            <w:tcW w:type="dxa" w:w="1440"/>
            <w:shd w:fill="FFDCE0" w:val="clear"/>
          </w:tcPr>
          <w:p>
            <w:r>
              <w:rPr>
                <w:sz w:val="17"/>
              </w:rPr>
              <w:t>1,712</w:t>
            </w:r>
          </w:p>
        </w:tc>
        <w:tc>
          <w:tcPr>
            <w:tcW w:type="dxa" w:w="1440"/>
            <w:shd w:fill="FFDCE0" w:val="clear"/>
          </w:tcPr>
          <w:p>
            <w:r>
              <w:rPr>
                <w:b/>
                <w:color w:val="C00000"/>
                <w:sz w:val="17"/>
              </w:rPr>
              <w:t>-14.5%</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1,275</w:t>
            </w:r>
          </w:p>
        </w:tc>
        <w:tc>
          <w:tcPr>
            <w:tcW w:type="dxa" w:w="1440"/>
            <w:shd w:fill="FFDCE0" w:val="clear"/>
          </w:tcPr>
          <w:p>
            <w:r>
              <w:rPr>
                <w:b/>
                <w:sz w:val="17"/>
              </w:rPr>
              <w:t>1,487</w:t>
            </w:r>
          </w:p>
        </w:tc>
        <w:tc>
          <w:tcPr>
            <w:tcW w:type="dxa" w:w="1440"/>
            <w:shd w:fill="FFDCE0" w:val="clear"/>
          </w:tcPr>
          <w:p>
            <w:r>
              <w:rPr>
                <w:sz w:val="17"/>
              </w:rPr>
              <w:t>1,698</w:t>
            </w:r>
          </w:p>
        </w:tc>
        <w:tc>
          <w:tcPr>
            <w:tcW w:type="dxa" w:w="1440"/>
            <w:shd w:fill="FFDCE0" w:val="clear"/>
          </w:tcPr>
          <w:p>
            <w:r>
              <w:rPr>
                <w:b/>
                <w:color w:val="C00000"/>
                <w:sz w:val="17"/>
              </w:rPr>
              <w:t>-15.8%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**Date de l'analyse : 26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CFAC s'établit à 320,12 milliards FCFA, un niveau significatif qui en fait l'une des valeurs majeures de la BRVM. Avec un BPA de 26 FCFA, le titre se négocie à un PER de 68,2x, soit un niveau extrêmement élevé comparé à la moyenne historique de la BRVM (8-12x). Cette décote de valorisation est également confirmée par le P/B de 16,46x, indiquant que le marché valorise l'actif net comptable à une prime considérable, et par un EV/EBITDA de 34,7x, très supérieur au seuil d'alerte de 15x. Ces ratios traduisent des anticipations de croissance très optimistes de la part des investisseurs, qui intègrent probablement la reprise spectaculaire de 2025. Cette valorisation exigeante ne laisse que très peu de marge d'erreur et expose le titre à un risque de correction significatif en cas de déception sur les résultats futurs.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CFAC affiche une progression de +9,63%, avec une accélération notable lors de la dernière séance (+1,44%), portant le cours à 1 765 FCFA. Le titre a évolué dans une fourchette de 1 325 à 1 825 FCFA, soit une amplitude de 500 FCFA, démontrant une volatilité intraday marquée. La moyenne (1 605 FCFA) et la médiane (1 602 FCFA) sont quasi identiques, indiquant une distribution symétrique des prix, confirmée par un skewness de -0,360. L'écart-type de 102 FCFA (CV=6,3%) révèle une dispersion modérée autour de la moyenne. Le kurtosis de -0,029 (mésokurtique) suggère une distribution proche de la normale, sans risque de pics extrêmes. Cependant, la volatilité annualisée de 48,8% classe le titre dans la catégorie des valeurs à très haute volatilité, ce qui implique un risque élevé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(1 765 FCFA) se positionne nettement au-dessus des MM20 (1 670,75 FCFA) et MM50 (1 671,4 FCFA), indiquant une dynamique haussière à court et moyen terme. Cependant, la décision technique globale est "Vente", suggérant un possible essoufflement du mouvement après une hausse rapide. La convergence des deux moyennes mobiles indique une consolidation en cours, avec un risque de retour vers ces supports en cas de correction.</w:t>
      </w:r>
    </w:p>
    <w:p>
      <w:pPr>
        <w:spacing w:after="120" w:line="276" w:lineRule="auto"/>
      </w:pPr>
      <w:r>
        <w:t>**Bandes de Bollinger** : Le cours se situe à la borne supérieure (1 755,06 FCFA), dépassant même légèrement cette limite (1 765 FCFA). Cette configuration indique une phase de surachat technique, où le titre est temporairement étendu par rapport à sa moyenne mobile. La décision "Vente" reflète ce risque de retour vers la moyenne (1 670 FCFA) et la borne inférieure (1 586,44 FCFA). La largeur des bandes confirme la volatilité élevée du titre.</w:t>
      </w:r>
    </w:p>
    <w:p>
      <w:pPr>
        <w:spacing w:after="120" w:line="276" w:lineRule="auto"/>
      </w:pPr>
      <w:r>
        <w:t>**MACD** : La valeur du MACD (13,684) est nettement supérieure à son signal (5,629), avec un écart positif de 8,055 points. Cette configuration haussière indique un momentum positif soutenu, confirmant la tendance haussière en cours. La décision "Achat" est cohérente avec cette dynamique, suggérant que la pression acheteuse reste dominante malgré les signaux de surachat.</w:t>
      </w:r>
    </w:p>
    <w:p>
      <w:pPr>
        <w:spacing w:after="120" w:line="276" w:lineRule="auto"/>
      </w:pPr>
      <w:r>
        <w:t>**RSI** : À 58,537, le RSI se situe en zone neutre (30-70), indiquant un équilibre relatif entre pressions acheteuses et vendeuses. Cette valeur suggère que le titre n'est ni suracheté ni survendu, laissant une marge de progression avant d'atteindre la zone de surachat (&gt;70). La décision "Neutre" reflète cette position intermédiaire, avec un potentiel haussier résiduel.</w:t>
      </w:r>
    </w:p>
    <w:p>
      <w:pPr>
        <w:spacing w:after="120" w:line="276" w:lineRule="auto"/>
      </w:pPr>
      <w:r>
        <w:t>**Stochastique** : Le %K à 100 et le %D à 93,333 indiquent une condition de surachat extrême, le titre étant à son plus haut niveau sur la période. Cette configuration signale un risque élevé de retournement à court terme, d'autant que le %K a dépassé le %D depuis plusieurs séances. La décision "Vente" est justifiée par cette situation de surachat technique prononcé.</w:t>
      </w:r>
    </w:p>
    <w:p>
      <w:pPr>
        <w:spacing w:after="120" w:line="276" w:lineRule="auto"/>
      </w:pPr>
      <w:r>
        <w:t>**Conclusion technique** : La divergence entre les indicateurs est manifeste : le MACD reste haussier tandis que les moyennes mobiles, les bandes de Bollinger et le stochastique signalent une situation de surachat. Cette configuration suggère une consolidation ou une correction technique à court terme, malgré la tendance haussière de fond. Les investisseurs devraient surveiller le maintien du cours au-dessus de 1 670 FCFA (MM20/50) pour valider la poursuite du mouvement.</w:t>
      </w:r>
    </w:p>
    <w:p>
      <w:pPr>
        <w:spacing w:after="120" w:line="276" w:lineRule="auto"/>
      </w:pPr>
      <w:r>
        <w:t>---</w:t>
      </w:r>
    </w:p>
    <w:p>
      <w:pPr>
        <w:spacing w:after="120" w:line="276" w:lineRule="auto"/>
      </w:pPr>
      <w:r>
        <w:t>### PARTIE 3 : ANALYSE FONDAMENTALE (SECTION CRITIQUE)</w:t>
      </w:r>
    </w:p>
    <w:p>
      <w:pPr>
        <w:spacing w:after="120" w:line="276" w:lineRule="auto"/>
      </w:pPr>
      <w:r>
        <w:t>Les états financiers 2024 révèlent une année difficile pour CFAC : le chiffre d'affaires s'établit à 158,313 milliards FCFA, en recul de -12,1% par rapport à 2023, avec un résultat net de 4,693 milliards FCFA, en baisse de -26,7%. La marge nette se contracte à 2,96% et la marge opérationnelle à 4,96%. Malgré cette dégradation, le ROE reste excellent à 24,13%, soutenu par des capitaux propres de 19,453 milliards FCFA, tandis que le ROA s'établit à 5,52%. Le BFR négatif de -3,482 milliards FCFA constitue un point positif, indiquant une gestion efficace du cycle d'exploitation, avec un délai clients de 36,64 jours et un délai fournisseurs de 81,75 jours. Cependant, la trésorerie nette est négative (-624 millions FCFA) et le free cash flow est déficitaire (-1,650 milliards FCFA), reflétant les investissements importants (-8,741 milliards FCFA). Les rapports trimestriels 2025 montrent un redressement spectaculaire : le T1 2025 affiche un CA de 46,161 milliards FCFA (+14,5%) et un résultat net de 3,836 milliards FCFA (+279,7%), tandis que le S1 2025 confirme cette dynamique avec un CA de 91,182 milliards FCFA (+18,4%) et un résultat net de 5,420 milliards FCFA (+152,7%). Le T3 2025 poursuit cette tendance avec un CA de 43,580 milliards FCFA (+18,3%) et un résultat net de 1,489 milliards FCFA (+38,1%). Sur la base de ces performances, on estime que l'exercice 2025 devrait dépasser significativement les résultats 2024, avec un CA annuel potentiel de 180 milliards FCFA et un résultat net de 8-9 milliards FCFA, confirmant la solidité du modèle économique et la position de leader (43,4% de parts de marché).</w:t>
      </w:r>
    </w:p>
    <w:p>
      <w:pPr>
        <w:spacing w:after="120" w:line="276" w:lineRule="auto"/>
      </w:pPr>
      <w:r>
        <w:t>---</w:t>
      </w:r>
    </w:p>
    <w:p>
      <w:pPr>
        <w:spacing w:after="120" w:line="276" w:lineRule="auto"/>
      </w:pPr>
      <w:r>
        <w:t>### PARTIE 4 : CONCLUSION D'INVESTISSEMENT</w:t>
      </w:r>
    </w:p>
    <w:p>
      <w:pPr>
        <w:spacing w:after="120" w:line="276" w:lineRule="auto"/>
      </w:pPr>
      <w:r>
        <w:t>La valorisation de CFAC est extrêmement exigeante (PER 68,2x, P/B 16,46x, EV/EBITDA 34,7x), reflétant des anticipations de croissance très optimistes qui semblent déjà intégrer le redressement spectaculaire de 2025. Le comportement du cours sur 100 jours (+9,63%) confirme une tendance haussière soutenue, mais la volatilité annualisée de 48,8% et les statistiques descriptives (distribution symétrique, kurtosis normal) indiquent un risque élevé. Les signaux techniques sont divergents : le MACD reste haussier tandis que les moyennes mobiles, les bandes de Bollinger et le stochastique signalent un surachat prononcé, suggérant une correction technique imminente. Les fondamentaux sont solides avec un ROE de 24,13% et un redressement net en 2025, mais la valorisation actuelle ne laisse aucune marge de sécurité. Les prédictions IA (1 672 FCFA à J+10, soit -5,3%) confirment le scénario de correction technique. **Recommandation : VENTE** pour les investisseurs à court terme, avec un niveau de confiance Moyen et un risque global Élevé. Pour les investisseurs à moyen/long terme (&gt;12 mois), une position CONSERVER pourrait se justifier si la croissance 2025 se confirme, mais une entrée à ces niveaux de prix est risquée. Horizon optimal : attendre un repli vers 1 500-1 550 FCFA pour envisager un ACHAT.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390.32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6,003 titres</w:t>
            </w:r>
          </w:p>
        </w:tc>
        <w:tc>
          <w:tcPr>
            <w:tcW w:type="dxa" w:w="2268"/>
            <w:shd w:fill="FFF2CC" w:val="clear"/>
          </w:tcPr>
          <w:p>
            <w:r>
              <w:rPr>
                <w:b/>
                <w:color w:val="503200"/>
                <w:sz w:val="16"/>
              </w:rPr>
              <w:t xml:space="preserve">Cours actuel : </w:t>
            </w:r>
            <w:r>
              <w:rPr>
                <w:color w:val="000000"/>
                <w:sz w:val="17"/>
              </w:rPr>
              <w:t>6,970 FCFA</w:t>
            </w:r>
          </w:p>
          <w:p>
            <w:r>
              <w:rPr>
                <w:b/>
                <w:color w:val="503200"/>
                <w:sz w:val="16"/>
              </w:rPr>
              <w:t xml:space="preserve">Var. 100 jours : </w:t>
            </w:r>
            <w:r>
              <w:rPr>
                <w:b/>
                <w:color w:val="007800"/>
                <w:sz w:val="17"/>
              </w:rPr>
              <w:t>+111.21%</w:t>
            </w:r>
          </w:p>
          <w:p>
            <w:r>
              <w:rPr>
                <w:b/>
                <w:color w:val="503200"/>
                <w:sz w:val="16"/>
              </w:rPr>
              <w:t xml:space="preserve">Plus haut 100j : </w:t>
            </w:r>
            <w:r>
              <w:rPr>
                <w:color w:val="000000"/>
                <w:sz w:val="17"/>
              </w:rPr>
              <w:t>7,190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49.6%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34.6/100 → Moyen</w:t>
      </w:r>
    </w:p>
    <w:p>
      <w:pPr>
        <w:spacing w:before="40" w:after="80"/>
      </w:pPr>
      <w:r>
        <w:rPr>
          <w:rFonts w:ascii="Courier New" w:hAnsi="Courier New"/>
          <w:color w:val="825A00"/>
          <w:sz w:val="18"/>
        </w:rPr>
        <w:t>██████░░░░░░░░░░░░░░  34.6/100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23.59% (Élevée) — μ=4,503 FCFA, σ=1,062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β=1.2468 (Agressif) — Cov=0.000042, Var(idx)=0.000034, ρ=0.232,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6,003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σ_j=3.13%/j (Modérée) — Vol. annualisée≈49.6%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2026-08-27</w:t>
            </w:r>
          </w:p>
        </w:tc>
        <w:tc>
          <w:tcPr>
            <w:tcW w:type="dxa" w:w="1440"/>
            <w:shd w:fill="FFDCE0" w:val="clear"/>
          </w:tcPr>
          <w:p>
            <w:r>
              <w:rPr>
                <w:sz w:val="17"/>
              </w:rPr>
              <w:t>5,480</w:t>
            </w:r>
          </w:p>
        </w:tc>
        <w:tc>
          <w:tcPr>
            <w:tcW w:type="dxa" w:w="1440"/>
            <w:shd w:fill="FFDCE0" w:val="clear"/>
          </w:tcPr>
          <w:p>
            <w:r>
              <w:rPr>
                <w:b/>
                <w:sz w:val="17"/>
              </w:rPr>
              <w:t>5,964</w:t>
            </w:r>
          </w:p>
        </w:tc>
        <w:tc>
          <w:tcPr>
            <w:tcW w:type="dxa" w:w="1440"/>
            <w:shd w:fill="FFDCE0" w:val="clear"/>
          </w:tcPr>
          <w:p>
            <w:r>
              <w:rPr>
                <w:sz w:val="17"/>
              </w:rPr>
              <w:t>6,447</w:t>
            </w:r>
          </w:p>
        </w:tc>
        <w:tc>
          <w:tcPr>
            <w:tcW w:type="dxa" w:w="1440"/>
            <w:shd w:fill="FFDCE0" w:val="clear"/>
          </w:tcPr>
          <w:p>
            <w:r>
              <w:rPr>
                <w:b/>
                <w:color w:val="C00000"/>
                <w:sz w:val="17"/>
              </w:rPr>
              <w:t>-14.4%</w:t>
            </w:r>
          </w:p>
        </w:tc>
      </w:tr>
      <w:tr>
        <w:tc>
          <w:tcPr>
            <w:tcW w:type="dxa" w:w="1440"/>
            <w:shd w:fill="FFDCE0" w:val="clear"/>
          </w:tcPr>
          <w:p>
            <w:r>
              <w:rPr>
                <w:sz w:val="17"/>
              </w:rPr>
              <w:t>J+2  Moyenne</w:t>
            </w:r>
          </w:p>
        </w:tc>
        <w:tc>
          <w:tcPr>
            <w:tcW w:type="dxa" w:w="1440"/>
            <w:shd w:fill="FFDCE0" w:val="clear"/>
          </w:tcPr>
          <w:p>
            <w:r>
              <w:rPr>
                <w:sz w:val="17"/>
              </w:rPr>
              <w:t>2026-08-28</w:t>
            </w:r>
          </w:p>
        </w:tc>
        <w:tc>
          <w:tcPr>
            <w:tcW w:type="dxa" w:w="1440"/>
            <w:shd w:fill="FFDCE0" w:val="clear"/>
          </w:tcPr>
          <w:p>
            <w:r>
              <w:rPr>
                <w:sz w:val="17"/>
              </w:rPr>
              <w:t>4,969</w:t>
            </w:r>
          </w:p>
        </w:tc>
        <w:tc>
          <w:tcPr>
            <w:tcW w:type="dxa" w:w="1440"/>
            <w:shd w:fill="FFDCE0" w:val="clear"/>
          </w:tcPr>
          <w:p>
            <w:r>
              <w:rPr>
                <w:b/>
                <w:sz w:val="17"/>
              </w:rPr>
              <w:t>5,516</w:t>
            </w:r>
          </w:p>
        </w:tc>
        <w:tc>
          <w:tcPr>
            <w:tcW w:type="dxa" w:w="1440"/>
            <w:shd w:fill="FFDCE0" w:val="clear"/>
          </w:tcPr>
          <w:p>
            <w:r>
              <w:rPr>
                <w:sz w:val="17"/>
              </w:rPr>
              <w:t>6,064</w:t>
            </w:r>
          </w:p>
        </w:tc>
        <w:tc>
          <w:tcPr>
            <w:tcW w:type="dxa" w:w="1440"/>
            <w:shd w:fill="FFDCE0" w:val="clear"/>
          </w:tcPr>
          <w:p>
            <w:r>
              <w:rPr>
                <w:b/>
                <w:color w:val="C00000"/>
                <w:sz w:val="17"/>
              </w:rPr>
              <w:t>-20.9%</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4,518</w:t>
            </w:r>
          </w:p>
        </w:tc>
        <w:tc>
          <w:tcPr>
            <w:tcW w:type="dxa" w:w="1440"/>
            <w:shd w:fill="FFDCE0" w:val="clear"/>
          </w:tcPr>
          <w:p>
            <w:r>
              <w:rPr>
                <w:b/>
                <w:sz w:val="17"/>
              </w:rPr>
              <w:t>5,103</w:t>
            </w:r>
          </w:p>
        </w:tc>
        <w:tc>
          <w:tcPr>
            <w:tcW w:type="dxa" w:w="1440"/>
            <w:shd w:fill="FFDCE0" w:val="clear"/>
          </w:tcPr>
          <w:p>
            <w:r>
              <w:rPr>
                <w:sz w:val="17"/>
              </w:rPr>
              <w:t>5,688</w:t>
            </w:r>
          </w:p>
        </w:tc>
        <w:tc>
          <w:tcPr>
            <w:tcW w:type="dxa" w:w="1440"/>
            <w:shd w:fill="FFDCE0" w:val="clear"/>
          </w:tcPr>
          <w:p>
            <w:r>
              <w:rPr>
                <w:b/>
                <w:color w:val="C00000"/>
                <w:sz w:val="17"/>
              </w:rPr>
              <w:t>-26.8%</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4,115</w:t>
            </w:r>
          </w:p>
        </w:tc>
        <w:tc>
          <w:tcPr>
            <w:tcW w:type="dxa" w:w="1440"/>
            <w:shd w:fill="FFDCE0" w:val="clear"/>
          </w:tcPr>
          <w:p>
            <w:r>
              <w:rPr>
                <w:b/>
                <w:sz w:val="17"/>
              </w:rPr>
              <w:t>4,720</w:t>
            </w:r>
          </w:p>
        </w:tc>
        <w:tc>
          <w:tcPr>
            <w:tcW w:type="dxa" w:w="1440"/>
            <w:shd w:fill="FFDCE0" w:val="clear"/>
          </w:tcPr>
          <w:p>
            <w:r>
              <w:rPr>
                <w:sz w:val="17"/>
              </w:rPr>
              <w:t>5,325</w:t>
            </w:r>
          </w:p>
        </w:tc>
        <w:tc>
          <w:tcPr>
            <w:tcW w:type="dxa" w:w="1440"/>
            <w:shd w:fill="FFDCE0" w:val="clear"/>
          </w:tcPr>
          <w:p>
            <w:r>
              <w:rPr>
                <w:b/>
                <w:color w:val="C00000"/>
                <w:sz w:val="17"/>
              </w:rPr>
              <w:t>-32.3%</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3,753</w:t>
            </w:r>
          </w:p>
        </w:tc>
        <w:tc>
          <w:tcPr>
            <w:tcW w:type="dxa" w:w="1440"/>
            <w:shd w:fill="FFDCE0" w:val="clear"/>
          </w:tcPr>
          <w:p>
            <w:r>
              <w:rPr>
                <w:b/>
                <w:sz w:val="17"/>
              </w:rPr>
              <w:t>4,366</w:t>
            </w:r>
          </w:p>
        </w:tc>
        <w:tc>
          <w:tcPr>
            <w:tcW w:type="dxa" w:w="1440"/>
            <w:shd w:fill="FFDCE0" w:val="clear"/>
          </w:tcPr>
          <w:p>
            <w:r>
              <w:rPr>
                <w:sz w:val="17"/>
              </w:rPr>
              <w:t>4,979</w:t>
            </w:r>
          </w:p>
        </w:tc>
        <w:tc>
          <w:tcPr>
            <w:tcW w:type="dxa" w:w="1440"/>
            <w:shd w:fill="FFDCE0" w:val="clear"/>
          </w:tcPr>
          <w:p>
            <w:r>
              <w:rPr>
                <w:b/>
                <w:color w:val="C00000"/>
                <w:sz w:val="17"/>
              </w:rPr>
              <w:t>-37.4%</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3,426</w:t>
            </w:r>
          </w:p>
        </w:tc>
        <w:tc>
          <w:tcPr>
            <w:tcW w:type="dxa" w:w="1440"/>
            <w:shd w:fill="FFDCE0" w:val="clear"/>
          </w:tcPr>
          <w:p>
            <w:r>
              <w:rPr>
                <w:b/>
                <w:sz w:val="17"/>
              </w:rPr>
              <w:t>4,039</w:t>
            </w:r>
          </w:p>
        </w:tc>
        <w:tc>
          <w:tcPr>
            <w:tcW w:type="dxa" w:w="1440"/>
            <w:shd w:fill="FFDCE0" w:val="clear"/>
          </w:tcPr>
          <w:p>
            <w:r>
              <w:rPr>
                <w:sz w:val="17"/>
              </w:rPr>
              <w:t>4,651</w:t>
            </w:r>
          </w:p>
        </w:tc>
        <w:tc>
          <w:tcPr>
            <w:tcW w:type="dxa" w:w="1440"/>
            <w:shd w:fill="FFDCE0" w:val="clear"/>
          </w:tcPr>
          <w:p>
            <w:r>
              <w:rPr>
                <w:b/>
                <w:color w:val="C00000"/>
                <w:sz w:val="17"/>
              </w:rPr>
              <w:t>-42.1%</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3,130</w:t>
            </w:r>
          </w:p>
        </w:tc>
        <w:tc>
          <w:tcPr>
            <w:tcW w:type="dxa" w:w="1440"/>
            <w:shd w:fill="FFDCE0" w:val="clear"/>
          </w:tcPr>
          <w:p>
            <w:r>
              <w:rPr>
                <w:b/>
                <w:sz w:val="17"/>
              </w:rPr>
              <w:t>3,736</w:t>
            </w:r>
          </w:p>
        </w:tc>
        <w:tc>
          <w:tcPr>
            <w:tcW w:type="dxa" w:w="1440"/>
            <w:shd w:fill="FFDCE0" w:val="clear"/>
          </w:tcPr>
          <w:p>
            <w:r>
              <w:rPr>
                <w:sz w:val="17"/>
              </w:rPr>
              <w:t>4,341</w:t>
            </w:r>
          </w:p>
        </w:tc>
        <w:tc>
          <w:tcPr>
            <w:tcW w:type="dxa" w:w="1440"/>
            <w:shd w:fill="FFDCE0" w:val="clear"/>
          </w:tcPr>
          <w:p>
            <w:r>
              <w:rPr>
                <w:b/>
                <w:color w:val="C00000"/>
                <w:sz w:val="17"/>
              </w:rPr>
              <w:t>-46.4%</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2,861</w:t>
            </w:r>
          </w:p>
        </w:tc>
        <w:tc>
          <w:tcPr>
            <w:tcW w:type="dxa" w:w="1440"/>
            <w:shd w:fill="FFDCE0" w:val="clear"/>
          </w:tcPr>
          <w:p>
            <w:r>
              <w:rPr>
                <w:b/>
                <w:sz w:val="17"/>
              </w:rPr>
              <w:t>3,455</w:t>
            </w:r>
          </w:p>
        </w:tc>
        <w:tc>
          <w:tcPr>
            <w:tcW w:type="dxa" w:w="1440"/>
            <w:shd w:fill="FFDCE0" w:val="clear"/>
          </w:tcPr>
          <w:p>
            <w:r>
              <w:rPr>
                <w:sz w:val="17"/>
              </w:rPr>
              <w:t>4,050</w:t>
            </w:r>
          </w:p>
        </w:tc>
        <w:tc>
          <w:tcPr>
            <w:tcW w:type="dxa" w:w="1440"/>
            <w:shd w:fill="FFDCE0" w:val="clear"/>
          </w:tcPr>
          <w:p>
            <w:r>
              <w:rPr>
                <w:b/>
                <w:color w:val="C00000"/>
                <w:sz w:val="17"/>
              </w:rPr>
              <w:t>-50.4%</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2,681</w:t>
            </w:r>
          </w:p>
        </w:tc>
        <w:tc>
          <w:tcPr>
            <w:tcW w:type="dxa" w:w="1440"/>
            <w:shd w:fill="FFDCE0" w:val="clear"/>
          </w:tcPr>
          <w:p>
            <w:r>
              <w:rPr>
                <w:b/>
                <w:sz w:val="17"/>
              </w:rPr>
              <w:t>3,275</w:t>
            </w:r>
          </w:p>
        </w:tc>
        <w:tc>
          <w:tcPr>
            <w:tcW w:type="dxa" w:w="1440"/>
            <w:shd w:fill="FFDCE0" w:val="clear"/>
          </w:tcPr>
          <w:p>
            <w:r>
              <w:rPr>
                <w:sz w:val="17"/>
              </w:rPr>
              <w:t>3,868</w:t>
            </w:r>
          </w:p>
        </w:tc>
        <w:tc>
          <w:tcPr>
            <w:tcW w:type="dxa" w:w="1440"/>
            <w:shd w:fill="FFDCE0" w:val="clear"/>
          </w:tcPr>
          <w:p>
            <w:r>
              <w:rPr>
                <w:b/>
                <w:color w:val="C00000"/>
                <w:sz w:val="17"/>
              </w:rPr>
              <w:t>-53.0%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(Compagnie Ivoirienne d'Électricité)**</w:t>
        <w:br/>
        <w:t>**Date de l'analyse : 26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CIEC s'établit à 390,32 milliards FCFA, un niveau qui la positionne parmi les valeurs moyennes du compartiment A de la BRVM. Avec un BPA de 234 FCFA, le titre se négocie à un PER de 29,7x, soit un niveau nettement supérieur à la moyenne historique de la place (~8-12x). Cette prime reflète une anticipation de croissance soutenue, mais expose également l'action à un risque de correction si les résultats déçoivent. Le P/B de 10,85x est particulièrement exigeant, indiquant que le marché valorise fortement les actifs de la société, bien au-delà de leur valeur comptable. Enfin, l'EV/EBITDA de 15,6x suggère que la valeur totale de l'entreprise (capitalisation + dette nette) reste élevée par rapport à sa capacité opérationnelle, ce qui confirme une valorisation qui intègre des hypothèses de performance future ambitieuses.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CIEC a enregistré une progression spectaculaire de +111,21%, passant d'un plus bas de 3 000 FCFA à un plus haut de 7 190 FCFA, pour clôturer à 6 970 FCFA, en hausse de 1,01% sur la dernière séance. Cette tendance fortement haussière s'accompagne d'une volatilité annualisée de 49,6%, un niveau très élevé qui traduit des mouvements de prix amples et rapides. La moyenne du cours sur la période (4 503 FCFA) est inférieure à la médiane (4 995 FCFA), indiquant une distribution légèrement asymétrique avec une concentration des prix vers le bas avant une accélération récente. L'écart-type de 1 068 FCFA (CV = 23,7%) confirme une dispersion significative. Le kurtosis de -0,802 (mésokurtique) suggère une distribution proche de la normale, sans risque de pics extrêmes, tandis que le skewness de 0,108 indique une symétrie relative. Le titre a donc connu une phase de forte appréciation, mais avec une volatilité qui appelle à la prudence.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(6 970 FCFA) se situe nettement au-dessus de la MM20 (5 642 FCFA) et de la MM50 (5 367,7 FCFA), confirmant une dynamique haussière à court et moyen terme. La configuration des MM, avec le cours au-dessus des deux moyennes, génère un signal d'achat, bien que l'écart important puisse indiquer une condition de surachat temporaire.</w:t>
      </w:r>
    </w:p>
    <w:p>
      <w:pPr>
        <w:spacing w:after="120" w:line="276" w:lineRule="auto"/>
      </w:pPr>
      <w:r>
        <w:t>**Bandes de Bollinger** : Le prix évolue à proximité de la borne supérieure (7 171,8 FCFA), ce qui reflète une volatilité élevée et une pression acheteuse soutenue. La décision est neutre, car le cours n'a pas encore franchi la borne, mais un test de ce niveau pourrait déclencher une poursuite du mouvement ou un retour vers la moyenne (4 112 FCFA).</w:t>
      </w:r>
    </w:p>
    <w:p>
      <w:pPr>
        <w:spacing w:after="120" w:line="276" w:lineRule="auto"/>
      </w:pPr>
      <w:r>
        <w:t>**MACD** : Le MACD (465,8) est nettement supérieur à son signal (274,0), indiquant un momentum haussier fort. La divergence positive entre les deux lignes confirme la vigueur de la tendance, mais l'ampleur de l'écart suggère un essoufflement potentiel à court terme.</w:t>
      </w:r>
    </w:p>
    <w:p>
      <w:pPr>
        <w:spacing w:after="120" w:line="276" w:lineRule="auto"/>
      </w:pPr>
      <w:r>
        <w:t>**RSI** : Le RSI à 88,5 est en zone de surachat extrême (&gt;70), signalant que le titre est techniquement surévalué à court terme. Ce niveau historique appelle à une consolidation ou un repli technique, d'où une décision de vente.</w:t>
      </w:r>
    </w:p>
    <w:p>
      <w:pPr>
        <w:spacing w:after="120" w:line="276" w:lineRule="auto"/>
      </w:pPr>
      <w:r>
        <w:t>**Stochastique** : Le %K (89,98) et le %D (92,26) sont tous deux en zone de surachat, avec un %D au-dessus du %K, indiquant une possible perte de momentum. La décision de vente est cohérente avec le RSI, renforçant l'hypothèse d'un essoufflement imminent.</w:t>
      </w:r>
    </w:p>
    <w:p>
      <w:pPr>
        <w:spacing w:after="120" w:line="276" w:lineRule="auto"/>
      </w:pPr>
      <w:r>
        <w:t>**Conclusion technique** : Les indicateurs de tendance (MM, MACD) sont positifs, mais les oscillateurs (RSI, Stochastique) signalent un surachat extrême. Cette divergence suggère que la tendance haussière pourrait marquer une pause, avec un risque de correction technique à court terme avant une éventuelle reprise.</w:t>
      </w:r>
    </w:p>
    <w:p>
      <w:pPr>
        <w:spacing w:after="120" w:line="276" w:lineRule="auto"/>
      </w:pPr>
      <w:r>
        <w:t>---</w:t>
      </w:r>
    </w:p>
    <w:p>
      <w:pPr>
        <w:spacing w:after="120" w:line="276" w:lineRule="auto"/>
      </w:pPr>
      <w:r>
        <w:t>### PARTIE 3 : ANALYSE FONDAMENTALE (SECTION CRITIQUE)</w:t>
      </w:r>
    </w:p>
    <w:p>
      <w:pPr>
        <w:spacing w:after="120" w:line="276" w:lineRule="auto"/>
      </w:pPr>
      <w:r>
        <w:t>En 2025, la CIEC a réalisé un chiffre d'affaires de 302,32 milliards FCFA, en hausse de 14,8% par rapport à 2024 (263,29 milliards FCFA), porté par une demande énergétique dynamique (+8,3% en volume national et +21,7% à l'export). Le résultat net s'établit à 13,13 milliards FCFA, en progression de 24,4%, avec une marge nette de 4,34%. La rentabilité des fonds propres (ROE) est excellente à 36,5%, bien que le ROA reste faible à 0,65%, en raison d'un bilan très lourd (2 018,4 milliards FCFA). La structure financière est marquée par un endettement élevé (ratio d'endettement de 612,9%) et une dépendance financière de 98,2%, mais la solvabilité générale (101,8%) et la couverture des intérêts (617,7%) restent satisfaisantes. Le BFR est négatif (-90,24 milliards FCFA), un point positif pour la trésorerie, mais le délai de paiement des clients (164 jours) constitue un risque de liquidité. Le rapport annuel 2025 (daté du 31 décembre 2025) souligne une politique de distribution généreuse avec un dividende de 234 FCFA par action (99,8% du résultat net). Le rapport semestriel 2025 (S1) confirme la dynamique avec un CA de 134,9 milliards FCFA (+18,85%) et un résultat net de 5,1 milliards FCFA (+13,4%). Sur la base de ces tendances, on estime que l'exercice 2026 pourrait voir un CA proche de 330 milliards FCFA et un résultat net autour de 14,5 milliards FCFA, si la croissance se maintient.</w:t>
      </w:r>
    </w:p>
    <w:p>
      <w:pPr>
        <w:spacing w:after="120" w:line="276" w:lineRule="auto"/>
      </w:pPr>
      <w:r>
        <w:t>---</w:t>
      </w:r>
    </w:p>
    <w:p>
      <w:pPr>
        <w:spacing w:after="120" w:line="276" w:lineRule="auto"/>
      </w:pPr>
      <w:r>
        <w:t>### PARTIE 4 : CONCLUSION D'INVESTISSEMENT</w:t>
      </w:r>
    </w:p>
    <w:p>
      <w:pPr>
        <w:spacing w:after="120" w:line="276" w:lineRule="auto"/>
      </w:pPr>
      <w:r>
        <w:t>La CIEC présente une situation contrastée. La valorisation (PER 29,7x, P/B 10,85x, EV/EBITDA 15,6x) est exigeante, mais justifiée par une croissance solide et une rentabilité élevée. Le comportement du cours (+111% en 100 jours) et la volatilité (49,6%) indiquent un intérêt marqué des investisseurs, mais aussi un risque de retournement. Les signaux techniques sont mitigés : les moyennes mobiles et le MACD soutiennent la tendance, tandis que le RSI et le stochastique signalent un surachat extrême. Les fondamentaux restent robustes, avec une croissance du CA et du résultat net, mais la dépendance au cadre réglementaire et le risque de crédit client sont des points de vigilance. Les prédictions IA (J+1 à J+10) anticipent une correction brutale, avec un cours passant de 5 964 FCFA à 4 366 FCFA, ce qui contredit la tendance actuelle et suggère un ajustement technique imminent. En synthèse, la convergence entre la surévaluation technique et les prédictions IA indique un risque élevé de repli à court terme. **Recommandation : VENTE** pour les investisseurs à court terme, avec un niveau de confiance **Moyen** et un risque global **Élevé**. Pour les investisseurs à long terme, une stratégie de conservation pourrait être envisagée après une éventuelle correction, avec un horizon de **6 à 12 mois**.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926.50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3,854 titres</w:t>
            </w:r>
          </w:p>
        </w:tc>
        <w:tc>
          <w:tcPr>
            <w:tcW w:type="dxa" w:w="2268"/>
            <w:shd w:fill="FFF2CC" w:val="clear"/>
          </w:tcPr>
          <w:p>
            <w:r>
              <w:rPr>
                <w:b/>
                <w:color w:val="503200"/>
                <w:sz w:val="16"/>
              </w:rPr>
              <w:t xml:space="preserve">Cours actuel : </w:t>
            </w:r>
            <w:r>
              <w:rPr>
                <w:color w:val="000000"/>
                <w:sz w:val="17"/>
              </w:rPr>
              <w:t>16,830 FCFA</w:t>
            </w:r>
          </w:p>
          <w:p>
            <w:r>
              <w:rPr>
                <w:b/>
                <w:color w:val="503200"/>
                <w:sz w:val="16"/>
              </w:rPr>
              <w:t xml:space="preserve">Var. 100 jours : </w:t>
            </w:r>
            <w:r>
              <w:rPr>
                <w:b/>
                <w:color w:val="007800"/>
                <w:sz w:val="17"/>
              </w:rPr>
              <w:t>+2.00%</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2.21% (Faible) — μ=16,324 FCFA, σ=361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β=0.2993 (Défensif) — Cov=0.000010, Var(idx)=0.000034, ρ=0.100,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3,854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σ_j=1.74%/j (Stable) — Vol. annualisée≈27.6%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2026-08-27</w:t>
            </w:r>
          </w:p>
        </w:tc>
        <w:tc>
          <w:tcPr>
            <w:tcW w:type="dxa" w:w="1440"/>
            <w:shd w:fill="FAFAFA" w:val="clear"/>
          </w:tcPr>
          <w:p>
            <w:r>
              <w:rPr>
                <w:sz w:val="17"/>
              </w:rPr>
              <w:t>16,075</w:t>
            </w:r>
          </w:p>
        </w:tc>
        <w:tc>
          <w:tcPr>
            <w:tcW w:type="dxa" w:w="1440"/>
            <w:shd w:fill="FAFAFA" w:val="clear"/>
          </w:tcPr>
          <w:p>
            <w:r>
              <w:rPr>
                <w:b/>
                <w:sz w:val="17"/>
              </w:rPr>
              <w:t>16,661</w:t>
            </w:r>
          </w:p>
        </w:tc>
        <w:tc>
          <w:tcPr>
            <w:tcW w:type="dxa" w:w="1440"/>
            <w:shd w:fill="FAFAFA" w:val="clear"/>
          </w:tcPr>
          <w:p>
            <w:r>
              <w:rPr>
                <w:sz w:val="17"/>
              </w:rPr>
              <w:t>17,246</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2026-08-28</w:t>
            </w:r>
          </w:p>
        </w:tc>
        <w:tc>
          <w:tcPr>
            <w:tcW w:type="dxa" w:w="1440"/>
            <w:shd w:fill="FAFAFA" w:val="clear"/>
          </w:tcPr>
          <w:p>
            <w:r>
              <w:rPr>
                <w:sz w:val="17"/>
              </w:rPr>
              <w:t>15,921</w:t>
            </w:r>
          </w:p>
        </w:tc>
        <w:tc>
          <w:tcPr>
            <w:tcW w:type="dxa" w:w="1440"/>
            <w:shd w:fill="FAFAFA" w:val="clear"/>
          </w:tcPr>
          <w:p>
            <w:r>
              <w:rPr>
                <w:b/>
                <w:sz w:val="17"/>
              </w:rPr>
              <w:t>16,637</w:t>
            </w:r>
          </w:p>
        </w:tc>
        <w:tc>
          <w:tcPr>
            <w:tcW w:type="dxa" w:w="1440"/>
            <w:shd w:fill="FAFAFA" w:val="clear"/>
          </w:tcPr>
          <w:p>
            <w:r>
              <w:rPr>
                <w:sz w:val="17"/>
              </w:rPr>
              <w:t>17,353</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2026-08-31</w:t>
            </w:r>
          </w:p>
        </w:tc>
        <w:tc>
          <w:tcPr>
            <w:tcW w:type="dxa" w:w="1440"/>
            <w:shd w:fill="FAFAFA" w:val="clear"/>
          </w:tcPr>
          <w:p>
            <w:r>
              <w:rPr>
                <w:sz w:val="17"/>
              </w:rPr>
              <w:t>15,792</w:t>
            </w:r>
          </w:p>
        </w:tc>
        <w:tc>
          <w:tcPr>
            <w:tcW w:type="dxa" w:w="1440"/>
            <w:shd w:fill="FAFAFA" w:val="clear"/>
          </w:tcPr>
          <w:p>
            <w:r>
              <w:rPr>
                <w:b/>
                <w:sz w:val="17"/>
              </w:rPr>
              <w:t>16,617</w:t>
            </w:r>
          </w:p>
        </w:tc>
        <w:tc>
          <w:tcPr>
            <w:tcW w:type="dxa" w:w="1440"/>
            <w:shd w:fill="FAFAFA" w:val="clear"/>
          </w:tcPr>
          <w:p>
            <w:r>
              <w:rPr>
                <w:sz w:val="17"/>
              </w:rPr>
              <w:t>17,443</w:t>
            </w:r>
          </w:p>
        </w:tc>
        <w:tc>
          <w:tcPr>
            <w:tcW w:type="dxa" w:w="1440"/>
            <w:shd w:fill="FAFAFA" w:val="clear"/>
          </w:tcPr>
          <w:p>
            <w:r>
              <w:rPr>
                <w:b/>
                <w:color w:val="C00000"/>
                <w:sz w:val="17"/>
              </w:rPr>
              <w:t>-1.3%</w:t>
            </w:r>
          </w:p>
        </w:tc>
      </w:tr>
      <w:tr>
        <w:tc>
          <w:tcPr>
            <w:tcW w:type="dxa" w:w="1440"/>
            <w:shd w:fill="FAFAFA" w:val="clear"/>
          </w:tcPr>
          <w:p>
            <w:r>
              <w:rPr>
                <w:sz w:val="17"/>
              </w:rPr>
              <w:t>J+4  Moyenne</w:t>
            </w:r>
          </w:p>
        </w:tc>
        <w:tc>
          <w:tcPr>
            <w:tcW w:type="dxa" w:w="1440"/>
            <w:shd w:fill="FAFAFA" w:val="clear"/>
          </w:tcPr>
          <w:p>
            <w:r>
              <w:rPr>
                <w:sz w:val="17"/>
              </w:rPr>
              <w:t>2026-09-01</w:t>
            </w:r>
          </w:p>
        </w:tc>
        <w:tc>
          <w:tcPr>
            <w:tcW w:type="dxa" w:w="1440"/>
            <w:shd w:fill="FAFAFA" w:val="clear"/>
          </w:tcPr>
          <w:p>
            <w:r>
              <w:rPr>
                <w:sz w:val="17"/>
              </w:rPr>
              <w:t>15,677</w:t>
            </w:r>
          </w:p>
        </w:tc>
        <w:tc>
          <w:tcPr>
            <w:tcW w:type="dxa" w:w="1440"/>
            <w:shd w:fill="FAFAFA" w:val="clear"/>
          </w:tcPr>
          <w:p>
            <w:r>
              <w:rPr>
                <w:b/>
                <w:sz w:val="17"/>
              </w:rPr>
              <w:t>16,599</w:t>
            </w:r>
          </w:p>
        </w:tc>
        <w:tc>
          <w:tcPr>
            <w:tcW w:type="dxa" w:w="1440"/>
            <w:shd w:fill="FAFAFA" w:val="clear"/>
          </w:tcPr>
          <w:p>
            <w:r>
              <w:rPr>
                <w:sz w:val="17"/>
              </w:rPr>
              <w:t>17,521</w:t>
            </w:r>
          </w:p>
        </w:tc>
        <w:tc>
          <w:tcPr>
            <w:tcW w:type="dxa" w:w="1440"/>
            <w:shd w:fill="FAFAFA" w:val="clear"/>
          </w:tcPr>
          <w:p>
            <w:r>
              <w:rPr>
                <w:b/>
                <w:color w:val="C00000"/>
                <w:sz w:val="17"/>
              </w:rPr>
              <w:t>-1.4%</w:t>
            </w:r>
          </w:p>
        </w:tc>
      </w:tr>
      <w:tr>
        <w:tc>
          <w:tcPr>
            <w:tcW w:type="dxa" w:w="1440"/>
            <w:shd w:fill="FAFAFA" w:val="clear"/>
          </w:tcPr>
          <w:p>
            <w:r>
              <w:rPr>
                <w:sz w:val="17"/>
              </w:rPr>
              <w:t>J+5  Moyenne</w:t>
            </w:r>
          </w:p>
        </w:tc>
        <w:tc>
          <w:tcPr>
            <w:tcW w:type="dxa" w:w="1440"/>
            <w:shd w:fill="FAFAFA" w:val="clear"/>
          </w:tcPr>
          <w:p>
            <w:r>
              <w:rPr>
                <w:sz w:val="17"/>
              </w:rPr>
              <w:t>2026-09-02</w:t>
            </w:r>
          </w:p>
        </w:tc>
        <w:tc>
          <w:tcPr>
            <w:tcW w:type="dxa" w:w="1440"/>
            <w:shd w:fill="FAFAFA" w:val="clear"/>
          </w:tcPr>
          <w:p>
            <w:r>
              <w:rPr>
                <w:sz w:val="17"/>
              </w:rPr>
              <w:t>15,573</w:t>
            </w:r>
          </w:p>
        </w:tc>
        <w:tc>
          <w:tcPr>
            <w:tcW w:type="dxa" w:w="1440"/>
            <w:shd w:fill="FAFAFA" w:val="clear"/>
          </w:tcPr>
          <w:p>
            <w:r>
              <w:rPr>
                <w:b/>
                <w:sz w:val="17"/>
              </w:rPr>
              <w:t>16,582</w:t>
            </w:r>
          </w:p>
        </w:tc>
        <w:tc>
          <w:tcPr>
            <w:tcW w:type="dxa" w:w="1440"/>
            <w:shd w:fill="FAFAFA" w:val="clear"/>
          </w:tcPr>
          <w:p>
            <w:r>
              <w:rPr>
                <w:sz w:val="17"/>
              </w:rPr>
              <w:t>17,591</w:t>
            </w:r>
          </w:p>
        </w:tc>
        <w:tc>
          <w:tcPr>
            <w:tcW w:type="dxa" w:w="1440"/>
            <w:shd w:fill="FAFAFA" w:val="clear"/>
          </w:tcPr>
          <w:p>
            <w:r>
              <w:rPr>
                <w:b/>
                <w:color w:val="C00000"/>
                <w:sz w:val="17"/>
              </w:rPr>
              <w:t>-1.5%</w:t>
            </w:r>
          </w:p>
        </w:tc>
      </w:tr>
      <w:tr>
        <w:tc>
          <w:tcPr>
            <w:tcW w:type="dxa" w:w="1440"/>
            <w:shd w:fill="FAFAFA" w:val="clear"/>
          </w:tcPr>
          <w:p>
            <w:r>
              <w:rPr>
                <w:sz w:val="17"/>
              </w:rPr>
              <w:t>J+6  Moyenne</w:t>
            </w:r>
          </w:p>
        </w:tc>
        <w:tc>
          <w:tcPr>
            <w:tcW w:type="dxa" w:w="1440"/>
            <w:shd w:fill="FAFAFA" w:val="clear"/>
          </w:tcPr>
          <w:p>
            <w:r>
              <w:rPr>
                <w:sz w:val="17"/>
              </w:rPr>
              <w:t>2026-09-03</w:t>
            </w:r>
          </w:p>
        </w:tc>
        <w:tc>
          <w:tcPr>
            <w:tcW w:type="dxa" w:w="1440"/>
            <w:shd w:fill="FAFAFA" w:val="clear"/>
          </w:tcPr>
          <w:p>
            <w:r>
              <w:rPr>
                <w:sz w:val="17"/>
              </w:rPr>
              <w:t>15,476</w:t>
            </w:r>
          </w:p>
        </w:tc>
        <w:tc>
          <w:tcPr>
            <w:tcW w:type="dxa" w:w="1440"/>
            <w:shd w:fill="FAFAFA" w:val="clear"/>
          </w:tcPr>
          <w:p>
            <w:r>
              <w:rPr>
                <w:b/>
                <w:sz w:val="17"/>
              </w:rPr>
              <w:t>16,565</w:t>
            </w:r>
          </w:p>
        </w:tc>
        <w:tc>
          <w:tcPr>
            <w:tcW w:type="dxa" w:w="1440"/>
            <w:shd w:fill="FAFAFA" w:val="clear"/>
          </w:tcPr>
          <w:p>
            <w:r>
              <w:rPr>
                <w:sz w:val="17"/>
              </w:rPr>
              <w:t>17,653</w:t>
            </w:r>
          </w:p>
        </w:tc>
        <w:tc>
          <w:tcPr>
            <w:tcW w:type="dxa" w:w="1440"/>
            <w:shd w:fill="FAFAFA" w:val="clear"/>
          </w:tcPr>
          <w:p>
            <w:r>
              <w:rPr>
                <w:b/>
                <w:color w:val="C00000"/>
                <w:sz w:val="17"/>
              </w:rPr>
              <w:t>-1.6%</w:t>
            </w:r>
          </w:p>
        </w:tc>
      </w:tr>
      <w:tr>
        <w:tc>
          <w:tcPr>
            <w:tcW w:type="dxa" w:w="1440"/>
            <w:shd w:fill="FAFAFA" w:val="clear"/>
          </w:tcPr>
          <w:p>
            <w:r>
              <w:rPr>
                <w:sz w:val="17"/>
              </w:rPr>
              <w:t>J+7  Moyenne</w:t>
            </w:r>
          </w:p>
        </w:tc>
        <w:tc>
          <w:tcPr>
            <w:tcW w:type="dxa" w:w="1440"/>
            <w:shd w:fill="FAFAFA" w:val="clear"/>
          </w:tcPr>
          <w:p>
            <w:r>
              <w:rPr>
                <w:sz w:val="17"/>
              </w:rPr>
              <w:t>2026-09-04</w:t>
            </w:r>
          </w:p>
        </w:tc>
        <w:tc>
          <w:tcPr>
            <w:tcW w:type="dxa" w:w="1440"/>
            <w:shd w:fill="FAFAFA" w:val="clear"/>
          </w:tcPr>
          <w:p>
            <w:r>
              <w:rPr>
                <w:sz w:val="17"/>
              </w:rPr>
              <w:t>15,385</w:t>
            </w:r>
          </w:p>
        </w:tc>
        <w:tc>
          <w:tcPr>
            <w:tcW w:type="dxa" w:w="1440"/>
            <w:shd w:fill="FAFAFA" w:val="clear"/>
          </w:tcPr>
          <w:p>
            <w:r>
              <w:rPr>
                <w:b/>
                <w:sz w:val="17"/>
              </w:rPr>
              <w:t>16,548</w:t>
            </w:r>
          </w:p>
        </w:tc>
        <w:tc>
          <w:tcPr>
            <w:tcW w:type="dxa" w:w="1440"/>
            <w:shd w:fill="FAFAFA" w:val="clear"/>
          </w:tcPr>
          <w:p>
            <w:r>
              <w:rPr>
                <w:sz w:val="17"/>
              </w:rPr>
              <w:t>17,710</w:t>
            </w:r>
          </w:p>
        </w:tc>
        <w:tc>
          <w:tcPr>
            <w:tcW w:type="dxa" w:w="1440"/>
            <w:shd w:fill="FAFAFA" w:val="clear"/>
          </w:tcPr>
          <w:p>
            <w:r>
              <w:rPr>
                <w:b/>
                <w:color w:val="C00000"/>
                <w:sz w:val="17"/>
              </w:rPr>
              <w:t>-1.7%</w:t>
            </w:r>
          </w:p>
        </w:tc>
      </w:tr>
      <w:tr>
        <w:tc>
          <w:tcPr>
            <w:tcW w:type="dxa" w:w="1440"/>
            <w:shd w:fill="FAFAFA" w:val="clear"/>
          </w:tcPr>
          <w:p>
            <w:r>
              <w:rPr>
                <w:sz w:val="17"/>
              </w:rPr>
              <w:t>J+8  Moyenne</w:t>
            </w:r>
          </w:p>
        </w:tc>
        <w:tc>
          <w:tcPr>
            <w:tcW w:type="dxa" w:w="1440"/>
            <w:shd w:fill="FAFAFA" w:val="clear"/>
          </w:tcPr>
          <w:p>
            <w:r>
              <w:rPr>
                <w:sz w:val="17"/>
              </w:rPr>
              <w:t>2026-09-07</w:t>
            </w:r>
          </w:p>
        </w:tc>
        <w:tc>
          <w:tcPr>
            <w:tcW w:type="dxa" w:w="1440"/>
            <w:shd w:fill="FAFAFA" w:val="clear"/>
          </w:tcPr>
          <w:p>
            <w:r>
              <w:rPr>
                <w:sz w:val="17"/>
              </w:rPr>
              <w:t>15,299</w:t>
            </w:r>
          </w:p>
        </w:tc>
        <w:tc>
          <w:tcPr>
            <w:tcW w:type="dxa" w:w="1440"/>
            <w:shd w:fill="FAFAFA" w:val="clear"/>
          </w:tcPr>
          <w:p>
            <w:r>
              <w:rPr>
                <w:b/>
                <w:sz w:val="17"/>
              </w:rPr>
              <w:t>16,531</w:t>
            </w:r>
          </w:p>
        </w:tc>
        <w:tc>
          <w:tcPr>
            <w:tcW w:type="dxa" w:w="1440"/>
            <w:shd w:fill="FAFAFA" w:val="clear"/>
          </w:tcPr>
          <w:p>
            <w:r>
              <w:rPr>
                <w:sz w:val="17"/>
              </w:rPr>
              <w:t>17,762</w:t>
            </w:r>
          </w:p>
        </w:tc>
        <w:tc>
          <w:tcPr>
            <w:tcW w:type="dxa" w:w="1440"/>
            <w:shd w:fill="FAFAFA" w:val="clear"/>
          </w:tcPr>
          <w:p>
            <w:r>
              <w:rPr>
                <w:b/>
                <w:color w:val="C00000"/>
                <w:sz w:val="17"/>
              </w:rPr>
              <w:t>-1.8%</w:t>
            </w:r>
          </w:p>
        </w:tc>
      </w:tr>
      <w:tr>
        <w:tc>
          <w:tcPr>
            <w:tcW w:type="dxa" w:w="1440"/>
            <w:shd w:fill="FAFAFA" w:val="clear"/>
          </w:tcPr>
          <w:p>
            <w:r>
              <w:rPr>
                <w:sz w:val="17"/>
              </w:rPr>
              <w:t>J+9  Moyenne</w:t>
            </w:r>
          </w:p>
        </w:tc>
        <w:tc>
          <w:tcPr>
            <w:tcW w:type="dxa" w:w="1440"/>
            <w:shd w:fill="FAFAFA" w:val="clear"/>
          </w:tcPr>
          <w:p>
            <w:r>
              <w:rPr>
                <w:sz w:val="17"/>
              </w:rPr>
              <w:t>2026-09-08</w:t>
            </w:r>
          </w:p>
        </w:tc>
        <w:tc>
          <w:tcPr>
            <w:tcW w:type="dxa" w:w="1440"/>
            <w:shd w:fill="FAFAFA" w:val="clear"/>
          </w:tcPr>
          <w:p>
            <w:r>
              <w:rPr>
                <w:sz w:val="17"/>
              </w:rPr>
              <w:t>15,217</w:t>
            </w:r>
          </w:p>
        </w:tc>
        <w:tc>
          <w:tcPr>
            <w:tcW w:type="dxa" w:w="1440"/>
            <w:shd w:fill="FAFAFA" w:val="clear"/>
          </w:tcPr>
          <w:p>
            <w:r>
              <w:rPr>
                <w:b/>
                <w:sz w:val="17"/>
              </w:rPr>
              <w:t>16,514</w:t>
            </w:r>
          </w:p>
        </w:tc>
        <w:tc>
          <w:tcPr>
            <w:tcW w:type="dxa" w:w="1440"/>
            <w:shd w:fill="FAFAFA" w:val="clear"/>
          </w:tcPr>
          <w:p>
            <w:r>
              <w:rPr>
                <w:sz w:val="17"/>
              </w:rPr>
              <w:t>17,811</w:t>
            </w:r>
          </w:p>
        </w:tc>
        <w:tc>
          <w:tcPr>
            <w:tcW w:type="dxa" w:w="1440"/>
            <w:shd w:fill="FAFAFA" w:val="clear"/>
          </w:tcPr>
          <w:p>
            <w:r>
              <w:rPr>
                <w:b/>
                <w:color w:val="C00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ECOC (ECOBANK CÔTE D'IVOIRE)**</w:t>
        <w:br/>
        <w:t>**Date : 26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d'ECOC s'établit à 926,50 milliards FCFA, ce qui en fait l'une des plus importantes capitalisations de la BRVM, reflétant son statut de banque systémique de premier plan dans l'UEMOA. Avec un BPA de 1 153 FCFA, le titre se négocie à un PER de 14,6x, une valorisation supérieure à la moyenne historique du marché (~8-12x), indiquant que les investisseurs intègrent une prime de croissance. Le P/B de 4,24x confirme cette prime, le marché valorisant fortement les capitaux propres de la banque, soit plus de 4 fois leur valeur comptable. Enfin, l'EV/EBITDA de 14,2x, bien que dans la fourchette haute (10-15x), suggère que la valeur totale de l'entreprise reste cohérente avec sa capacité opérationnelle à générer du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d'ECOC a progressé de +2,00%, avec une légère hausse de +0,21% lors de la dernière séance, clôturant à 16 830 FCFA. Le titre a évolué dans une fourchette de 15 520 FCFA (plus bas) à 17 270 FCFA (plus haut), démontrant une amplitude de trading de plus de 11%. La moyenne du cours (16 324 FCFA) est quasi identique à la médiane (16 300 FCFA) et au mode (16 300 FCFA), ce qui indique une distribution très symétrique et stable des prix. L'écart-type de 363 FCFA (CV = 2,2%) témoigne d'une dispersion très faible, renforcée par un kurtosis de -0,084 (mésokurtique) et un skewness de 0,224, confirmant l'absence de mouvements extrêmes ou de pics de volatilité. La volatilité annualisée de 27,6% classe le titre dans une zone de volatilité modérée (15-30%), ce qui est acceptable pour une valeur bancaire de cette envergure.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(16 830 FCFA) se situe au-dessus de la MM20 (16 287,75 FCFA) et de la MM50 (16 406,5 FCFA), indiquant une dynamique haussière à court et moyen terme. Cependant, la décision technique globale est "Vente", ce qui suggère que le marché pourrait anticiper un repli vers ces moyennes après une phase de hausse rapide, ou que la tendance de fond est considérée comme fragile malgré le niveau actuel du prix.</w:t>
      </w:r>
    </w:p>
    <w:p>
      <w:pPr>
        <w:spacing w:after="120" w:line="276" w:lineRule="auto"/>
      </w:pPr>
      <w:r>
        <w:t>**Bandes de Bollinger :** Le prix (16 830 FCFA) se positionne dans la partie supérieure de l'enveloppe, entre la borne inférieure (15 665,33 FCFA) et la borne supérieure (16 910,17 FCFA), proche de cette dernière. La décision "Neutre" indique que le titre n'est pas en situation de surachat extrême, mais la proximité de la borne supérieure suggère une pression acheteuse soutenue, avec un risque de consolidation à court terme.</w:t>
      </w:r>
    </w:p>
    <w:p>
      <w:pPr>
        <w:spacing w:after="120" w:line="276" w:lineRule="auto"/>
      </w:pPr>
      <w:r>
        <w:t>**MACD :** Le MACD (113,834) est nettement supérieur à sa ligne de signal (11,968), affichant un écart positif important. Cette configuration est un signal d'achat classique, indiquant un momentum haussier très fort et une accélération de la tendance. La décision "Achat" est donc cohérente avec cette dynamique positive.</w:t>
      </w:r>
    </w:p>
    <w:p>
      <w:pPr>
        <w:spacing w:after="120" w:line="276" w:lineRule="auto"/>
      </w:pPr>
      <w:r>
        <w:t>**RSI :** Le RSI s'établit à 65,08, en zone neutre (30-70) mais proche de la zone de surachat (70). La décision "Neutre" suggère que le titre conserve un potentiel haussier, mais que les acheteurs doivent rester prudents, car une entrée en zone de surachat pourrait déclencher des prises de bénéfices.</w:t>
      </w:r>
    </w:p>
    <w:p>
      <w:pPr>
        <w:spacing w:after="120" w:line="276" w:lineRule="auto"/>
      </w:pPr>
      <w:r>
        <w:t>**Stochastique :** Le %K (93,785) et le %D (93,409) sont tous deux à des niveaux extrêmement élevés, bien au-dessus de 80, indiquant une condition de surachat sévère. La décision "Vente" est justifiée par ce niveau extrême, qui précède souvent un retournement ou une consolidation du cours.</w:t>
      </w:r>
    </w:p>
    <w:p>
      <w:pPr>
        <w:spacing w:after="120" w:line="276" w:lineRule="auto"/>
      </w:pPr>
      <w:r>
        <w:t>**Conclusion technique :** La convergence des signaux est mitigée. Le MACD est clairement haussier, mais le Stochastique à des niveaux extrêmes et le RSI proche du surachat suggèrent un essoufflement à court terme. Les moyennes mobiles, bien que le prix soit au-dessus, émettent un signal de vente, probablement par prudence. L'analyse technique globale indique une tendance haussière de fond, mais avec un fort risque de consolidation ou de correction technique à très court terme.</w:t>
      </w:r>
    </w:p>
    <w:p>
      <w:pPr>
        <w:spacing w:after="120" w:line="276" w:lineRule="auto"/>
      </w:pPr>
      <w:r>
        <w:t>---</w:t>
      </w:r>
    </w:p>
    <w:p>
      <w:pPr>
        <w:spacing w:after="120" w:line="276" w:lineRule="auto"/>
      </w:pPr>
      <w:r>
        <w:t>### PARTIE 3 : ANALYSE FONDAMENTALE (SECTION CRITIQUE)</w:t>
      </w:r>
    </w:p>
    <w:p>
      <w:pPr>
        <w:spacing w:after="120" w:line="276" w:lineRule="auto"/>
      </w:pPr>
      <w:r>
        <w:t>En 2025, Ecobank Côte d'Ivoire affiche des fondamentaux solides. Le Produit Net Bancaire (PNB) s'établit à 132,725 milliards FCFA, en croissance de +8,5%, porté par une marge nette d'intérêts dynamique. Le résultat net atteint 63,482 milliards FCFA, avec une marge nette exceptionnelle de 47,8%. La rentabilité est excellente : le ROE ressort à 29,04% et le ROA à 3,09%, démontrant une utilisation très efficace des capitaux propres et des actifs. Le coefficient d'exploitation de 42,89% est remarquable, indiquant une banque très efficace dans la maîtrise de ses charges. Le coût du risque est modéré à 1,36%, reflétant une bonne qualité du portefeuille de crédits. Les dépôts clientèle (1 626,2 Mds FCFA) financent largement les créances sur la clientèle (1 050,8 Mds FCFA), avec un ratio de transformation prudent. Les rapports trimestriels de 2025 confirment cette dynamique : le T3 2025 (PNB +11,3%, RN +15,4%) et le S1 2025 (ROE 31,4%) montrent une accélération. Sur la base de ces tendances, on estime que l'exercice 2026 devrait poursuivre cette croissance, avec un PNB annuel potentiellement en hausse de 8-10% et un résultat net pouvant dépasser les 70 milliards FCFA, soutenu par une forte collecte de dépôts (+33% au T3 2025) et une politique de crédit sélective.</w:t>
      </w:r>
    </w:p>
    <w:p>
      <w:pPr>
        <w:spacing w:after="120" w:line="276" w:lineRule="auto"/>
      </w:pPr>
      <w:r>
        <w:t>---</w:t>
      </w:r>
    </w:p>
    <w:p>
      <w:pPr>
        <w:spacing w:after="120" w:line="276" w:lineRule="auto"/>
      </w:pPr>
      <w:r>
        <w:t>### PARTIE 4 : CONCLUSION D'INVESTISSEMENT</w:t>
      </w:r>
    </w:p>
    <w:p>
      <w:pPr>
        <w:spacing w:after="120" w:line="276" w:lineRule="auto"/>
      </w:pPr>
      <w:r>
        <w:t>La valorisation d'ECOC (PER 14,6x, P/B 4,24x) est exigeante, intégrant une prime de croissance justifiée par des fondamentaux excellents. Le comportement du cours est stable et symétrique, avec une volatilité modérée, mais les signaux techniques sont mitigés à court terme (surachat stochastique, RSI élevé) malgré un momentum MACD positif. Les fondamentaux sont extrêmement solides, avec une rentabilité parmi les meilleures de la place (ROE &gt;29%) et une croissance soutenue du PNB et du résultat net. Les prédictions IA pour les 10 prochains jours (16 661 à 16 582 FCFA) suggèrent une légère consolidation, contredisant le momentum haussier immédiat mais confirmant le risque de correction technique. En synthèse, la convergence entre des fondamentaux robustes et une valorisation élevée, couplée à des signaux techniques de surachat, conduit à une recommandation **CONSERVER**. Le niveau de confiance est **Moyen**, le risque global est **Moyen**. L'horizon d'investissement optimal est le **moyen terme (3-12 mois)**, en attendant une éventuelle correction technique pour renforcer les positions sur une valeur de qualité.</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1211.64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1,426,484 titres</w:t>
            </w:r>
          </w:p>
        </w:tc>
        <w:tc>
          <w:tcPr>
            <w:tcW w:type="dxa" w:w="2268"/>
            <w:shd w:fill="FFF2CC" w:val="clear"/>
          </w:tcPr>
          <w:p>
            <w:r>
              <w:rPr>
                <w:b/>
                <w:color w:val="503200"/>
                <w:sz w:val="16"/>
              </w:rPr>
              <w:t xml:space="preserve">Cours actuel : </w:t>
            </w:r>
            <w:r>
              <w:rPr>
                <w:color w:val="000000"/>
                <w:sz w:val="17"/>
              </w:rPr>
              <w:t>67 FCFA</w:t>
            </w:r>
          </w:p>
          <w:p>
            <w:r>
              <w:rPr>
                <w:b/>
                <w:color w:val="503200"/>
                <w:sz w:val="16"/>
              </w:rPr>
              <w:t xml:space="preserve">Var. 100 jours : </w:t>
            </w:r>
            <w:r>
              <w:rPr>
                <w:b/>
                <w:color w:val="007800"/>
                <w:sz w:val="17"/>
              </w:rPr>
              <w:t>+109.38%</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64.8%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38.46% (Élevée) — μ=44 FCFA, σ=17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β=2.6960 (Très agressif) — Cov=0.000092, Var(idx)=0.000034, ρ=0.385,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1,426,484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σ_j=4.08%/j (Modérée) — Vol. annualisée≈64.8%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2026-08-27</w:t>
            </w:r>
          </w:p>
        </w:tc>
        <w:tc>
          <w:tcPr>
            <w:tcW w:type="dxa" w:w="1440"/>
            <w:shd w:fill="FFDCE0" w:val="clear"/>
          </w:tcPr>
          <w:p>
            <w:r>
              <w:rPr>
                <w:sz w:val="17"/>
              </w:rPr>
              <w:t>51</w:t>
            </w:r>
          </w:p>
        </w:tc>
        <w:tc>
          <w:tcPr>
            <w:tcW w:type="dxa" w:w="1440"/>
            <w:shd w:fill="FFDCE0" w:val="clear"/>
          </w:tcPr>
          <w:p>
            <w:r>
              <w:rPr>
                <w:b/>
                <w:sz w:val="17"/>
              </w:rPr>
              <w:t>57</w:t>
            </w:r>
          </w:p>
        </w:tc>
        <w:tc>
          <w:tcPr>
            <w:tcW w:type="dxa" w:w="1440"/>
            <w:shd w:fill="FFDCE0" w:val="clear"/>
          </w:tcPr>
          <w:p>
            <w:r>
              <w:rPr>
                <w:sz w:val="17"/>
              </w:rPr>
              <w:t>64</w:t>
            </w:r>
          </w:p>
        </w:tc>
        <w:tc>
          <w:tcPr>
            <w:tcW w:type="dxa" w:w="1440"/>
            <w:shd w:fill="FFDCE0" w:val="clear"/>
          </w:tcPr>
          <w:p>
            <w:r>
              <w:rPr>
                <w:b/>
                <w:color w:val="C00000"/>
                <w:sz w:val="17"/>
              </w:rPr>
              <w:t>-14.4%</w:t>
            </w:r>
          </w:p>
        </w:tc>
      </w:tr>
      <w:tr>
        <w:tc>
          <w:tcPr>
            <w:tcW w:type="dxa" w:w="1440"/>
            <w:shd w:fill="FFDCE0" w:val="clear"/>
          </w:tcPr>
          <w:p>
            <w:r>
              <w:rPr>
                <w:sz w:val="17"/>
              </w:rPr>
              <w:t>J+2  Moyenne</w:t>
            </w:r>
          </w:p>
        </w:tc>
        <w:tc>
          <w:tcPr>
            <w:tcW w:type="dxa" w:w="1440"/>
            <w:shd w:fill="FFDCE0" w:val="clear"/>
          </w:tcPr>
          <w:p>
            <w:r>
              <w:rPr>
                <w:sz w:val="17"/>
              </w:rPr>
              <w:t>2026-08-28</w:t>
            </w:r>
          </w:p>
        </w:tc>
        <w:tc>
          <w:tcPr>
            <w:tcW w:type="dxa" w:w="1440"/>
            <w:shd w:fill="FFDCE0" w:val="clear"/>
          </w:tcPr>
          <w:p>
            <w:r>
              <w:rPr>
                <w:sz w:val="17"/>
              </w:rPr>
              <w:t>46</w:t>
            </w:r>
          </w:p>
        </w:tc>
        <w:tc>
          <w:tcPr>
            <w:tcW w:type="dxa" w:w="1440"/>
            <w:shd w:fill="FFDCE0" w:val="clear"/>
          </w:tcPr>
          <w:p>
            <w:r>
              <w:rPr>
                <w:b/>
                <w:sz w:val="17"/>
              </w:rPr>
              <w:t>53</w:t>
            </w:r>
          </w:p>
        </w:tc>
        <w:tc>
          <w:tcPr>
            <w:tcW w:type="dxa" w:w="1440"/>
            <w:shd w:fill="FFDCE0" w:val="clear"/>
          </w:tcPr>
          <w:p>
            <w:r>
              <w:rPr>
                <w:sz w:val="17"/>
              </w:rPr>
              <w:t>61</w:t>
            </w:r>
          </w:p>
        </w:tc>
        <w:tc>
          <w:tcPr>
            <w:tcW w:type="dxa" w:w="1440"/>
            <w:shd w:fill="FFDCE0" w:val="clear"/>
          </w:tcPr>
          <w:p>
            <w:r>
              <w:rPr>
                <w:b/>
                <w:color w:val="C00000"/>
                <w:sz w:val="17"/>
              </w:rPr>
              <w:t>-20.9%</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41</w:t>
            </w:r>
          </w:p>
        </w:tc>
        <w:tc>
          <w:tcPr>
            <w:tcW w:type="dxa" w:w="1440"/>
            <w:shd w:fill="FFDCE0" w:val="clear"/>
          </w:tcPr>
          <w:p>
            <w:r>
              <w:rPr>
                <w:b/>
                <w:sz w:val="17"/>
              </w:rPr>
              <w:t>49</w:t>
            </w:r>
          </w:p>
        </w:tc>
        <w:tc>
          <w:tcPr>
            <w:tcW w:type="dxa" w:w="1440"/>
            <w:shd w:fill="FFDCE0" w:val="clear"/>
          </w:tcPr>
          <w:p>
            <w:r>
              <w:rPr>
                <w:sz w:val="17"/>
              </w:rPr>
              <w:t>57</w:t>
            </w:r>
          </w:p>
        </w:tc>
        <w:tc>
          <w:tcPr>
            <w:tcW w:type="dxa" w:w="1440"/>
            <w:shd w:fill="FFDCE0" w:val="clear"/>
          </w:tcPr>
          <w:p>
            <w:r>
              <w:rPr>
                <w:b/>
                <w:color w:val="C00000"/>
                <w:sz w:val="17"/>
              </w:rPr>
              <w:t>-26.8%</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37</w:t>
            </w:r>
          </w:p>
        </w:tc>
        <w:tc>
          <w:tcPr>
            <w:tcW w:type="dxa" w:w="1440"/>
            <w:shd w:fill="FFDCE0" w:val="clear"/>
          </w:tcPr>
          <w:p>
            <w:r>
              <w:rPr>
                <w:b/>
                <w:sz w:val="17"/>
              </w:rPr>
              <w:t>45</w:t>
            </w:r>
          </w:p>
        </w:tc>
        <w:tc>
          <w:tcPr>
            <w:tcW w:type="dxa" w:w="1440"/>
            <w:shd w:fill="FFDCE0" w:val="clear"/>
          </w:tcPr>
          <w:p>
            <w:r>
              <w:rPr>
                <w:sz w:val="17"/>
              </w:rPr>
              <w:t>54</w:t>
            </w:r>
          </w:p>
        </w:tc>
        <w:tc>
          <w:tcPr>
            <w:tcW w:type="dxa" w:w="1440"/>
            <w:shd w:fill="FFDCE0" w:val="clear"/>
          </w:tcPr>
          <w:p>
            <w:r>
              <w:rPr>
                <w:b/>
                <w:color w:val="C00000"/>
                <w:sz w:val="17"/>
              </w:rPr>
              <w:t>-32.3%</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34</w:t>
            </w:r>
          </w:p>
        </w:tc>
        <w:tc>
          <w:tcPr>
            <w:tcW w:type="dxa" w:w="1440"/>
            <w:shd w:fill="FFDCE0" w:val="clear"/>
          </w:tcPr>
          <w:p>
            <w:r>
              <w:rPr>
                <w:b/>
                <w:sz w:val="17"/>
              </w:rPr>
              <w:t>42</w:t>
            </w:r>
          </w:p>
        </w:tc>
        <w:tc>
          <w:tcPr>
            <w:tcW w:type="dxa" w:w="1440"/>
            <w:shd w:fill="FFDCE0" w:val="clear"/>
          </w:tcPr>
          <w:p>
            <w:r>
              <w:rPr>
                <w:sz w:val="17"/>
              </w:rPr>
              <w:t>50</w:t>
            </w:r>
          </w:p>
        </w:tc>
        <w:tc>
          <w:tcPr>
            <w:tcW w:type="dxa" w:w="1440"/>
            <w:shd w:fill="FFDCE0" w:val="clear"/>
          </w:tcPr>
          <w:p>
            <w:r>
              <w:rPr>
                <w:b/>
                <w:color w:val="C00000"/>
                <w:sz w:val="17"/>
              </w:rPr>
              <w:t>-37.4%</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30</w:t>
            </w:r>
          </w:p>
        </w:tc>
        <w:tc>
          <w:tcPr>
            <w:tcW w:type="dxa" w:w="1440"/>
            <w:shd w:fill="FFDCE0" w:val="clear"/>
          </w:tcPr>
          <w:p>
            <w:r>
              <w:rPr>
                <w:b/>
                <w:sz w:val="17"/>
              </w:rPr>
              <w:t>39</w:t>
            </w:r>
          </w:p>
        </w:tc>
        <w:tc>
          <w:tcPr>
            <w:tcW w:type="dxa" w:w="1440"/>
            <w:shd w:fill="FFDCE0" w:val="clear"/>
          </w:tcPr>
          <w:p>
            <w:r>
              <w:rPr>
                <w:sz w:val="17"/>
              </w:rPr>
              <w:t>47</w:t>
            </w:r>
          </w:p>
        </w:tc>
        <w:tc>
          <w:tcPr>
            <w:tcW w:type="dxa" w:w="1440"/>
            <w:shd w:fill="FFDCE0" w:val="clear"/>
          </w:tcPr>
          <w:p>
            <w:r>
              <w:rPr>
                <w:b/>
                <w:color w:val="C00000"/>
                <w:sz w:val="17"/>
              </w:rPr>
              <w:t>-42.1%</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28</w:t>
            </w:r>
          </w:p>
        </w:tc>
        <w:tc>
          <w:tcPr>
            <w:tcW w:type="dxa" w:w="1440"/>
            <w:shd w:fill="FFDCE0" w:val="clear"/>
          </w:tcPr>
          <w:p>
            <w:r>
              <w:rPr>
                <w:b/>
                <w:sz w:val="17"/>
              </w:rPr>
              <w:t>36</w:t>
            </w:r>
          </w:p>
        </w:tc>
        <w:tc>
          <w:tcPr>
            <w:tcW w:type="dxa" w:w="1440"/>
            <w:shd w:fill="FFDCE0" w:val="clear"/>
          </w:tcPr>
          <w:p>
            <w:r>
              <w:rPr>
                <w:sz w:val="17"/>
              </w:rPr>
              <w:t>44</w:t>
            </w:r>
          </w:p>
        </w:tc>
        <w:tc>
          <w:tcPr>
            <w:tcW w:type="dxa" w:w="1440"/>
            <w:shd w:fill="FFDCE0" w:val="clear"/>
          </w:tcPr>
          <w:p>
            <w:r>
              <w:rPr>
                <w:b/>
                <w:color w:val="C00000"/>
                <w:sz w:val="17"/>
              </w:rPr>
              <w:t>-46.4%</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25</w:t>
            </w:r>
          </w:p>
        </w:tc>
        <w:tc>
          <w:tcPr>
            <w:tcW w:type="dxa" w:w="1440"/>
            <w:shd w:fill="FFDCE0" w:val="clear"/>
          </w:tcPr>
          <w:p>
            <w:r>
              <w:rPr>
                <w:b/>
                <w:sz w:val="17"/>
              </w:rPr>
              <w:t>33</w:t>
            </w:r>
          </w:p>
        </w:tc>
        <w:tc>
          <w:tcPr>
            <w:tcW w:type="dxa" w:w="1440"/>
            <w:shd w:fill="FFDCE0" w:val="clear"/>
          </w:tcPr>
          <w:p>
            <w:r>
              <w:rPr>
                <w:sz w:val="17"/>
              </w:rPr>
              <w:t>41</w:t>
            </w:r>
          </w:p>
        </w:tc>
        <w:tc>
          <w:tcPr>
            <w:tcW w:type="dxa" w:w="1440"/>
            <w:shd w:fill="FFDCE0" w:val="clear"/>
          </w:tcPr>
          <w:p>
            <w:r>
              <w:rPr>
                <w:b/>
                <w:color w:val="C00000"/>
                <w:sz w:val="17"/>
              </w:rPr>
              <w:t>-50.4%</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23</w:t>
            </w:r>
          </w:p>
        </w:tc>
        <w:tc>
          <w:tcPr>
            <w:tcW w:type="dxa" w:w="1440"/>
            <w:shd w:fill="FFDCE0" w:val="clear"/>
          </w:tcPr>
          <w:p>
            <w:r>
              <w:rPr>
                <w:b/>
                <w:sz w:val="17"/>
              </w:rPr>
              <w:t>31</w:t>
            </w:r>
          </w:p>
        </w:tc>
        <w:tc>
          <w:tcPr>
            <w:tcW w:type="dxa" w:w="1440"/>
            <w:shd w:fill="FFDCE0" w:val="clear"/>
          </w:tcPr>
          <w:p>
            <w:r>
              <w:rPr>
                <w:sz w:val="17"/>
              </w:rPr>
              <w:t>39</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**Date : 26 août 2026 | Marché : BRVM (Afrique de l'Ouest)**</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d'ETIT s'établit à 1 211,64 milliards FCFA, un niveau qui la positionne comme l'une des toutes premières capitalisations de la BRVM, reflétant son statut de banque panafricaine systémique. Avec un BPA de 19 FCFA, le titre se négocie à un PER de 3,5x, très inférieur à la moyenne historique de la BRVM (8-12x), ce qui suggère une décote significative par rapport aux bénéfices générés. Le P/B de 0,76x indique que le marché valorise le titre sous sa valeur comptable, une situation typique des valeurs décotées offrant un potentiel de revalorisation. Enfin, un EV/EBITDA de 5,0x confirme une valorisation opérationnelle très attractive, signalant que le marché ne paie pas cher pour la capacité de génération de cash-flow de la banque. L'ensemble de ces ratios plaide en faveur d'une sous-évaluation manifeste du titre.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ETIT a enregistré une progression spectaculaire de +109,38%, passant d'un plus bas de 26 FCFA à un plus haut de 78 FCFA, avant de se stabiliser à 67 FCFA, soit une hausse de +1,52% lors de la dernière séance. Cette performance exceptionnelle traduit un fort regain d'intérêt des investisseurs pour la valeur. La moyenne du cours sur la période (44 FCFA) est nettement supérieure à la médiane (34 FCFA), et le mode est de 30 FCFA, ce qui révèle une distribution asymétrique positive (skewness de 0,640) : le titre a passé la majorité du temps à des niveaux bas avant une accélération récente. L'écart-type de 17 FCFA (CV de 38,7%) indique une dispersion élevée, et le kurtosis négatif (-1,372) suggère une distribution aplatie, sans pics extrêmes, mais avec des variations régulières. La volatilité annualisée de 64,8% classe le titre comme très volatil, un niveau élevé qui implique un risque important mais aussi un fort potentiel de rendement.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(67 FCFA) se situe au-dessus de la MM20 (66,95 FCFA) et très au-dessus de la MM50 (57,76 FCFA), confirmant une tendance haussière de moyen terme. La configuration des moyennes mobiles, avec une MM20 supérieure à la MM50, valide un signal d'achat, indiquant que la dynamique positive est toujours en place.</w:t>
      </w:r>
    </w:p>
    <w:p>
      <w:pPr>
        <w:spacing w:after="120" w:line="276" w:lineRule="auto"/>
      </w:pPr>
      <w:r>
        <w:t>**Bandes de Bollinger** : Le prix évolue à l'intérieur des bandes, entre la borne inférieure (62,205 FCFA) et la borne supérieure (71,695 FCFA), avec une position proche de la moyenne. Cette situation reflète une volatilité modérée et une absence de surachat ou de survente. La décision est neutre, mais un franchissement de la borne supérieure pourrait signaler une poursuite de la hausse.</w:t>
      </w:r>
    </w:p>
    <w:p>
      <w:pPr>
        <w:spacing w:after="120" w:line="276" w:lineRule="auto"/>
      </w:pPr>
      <w:r>
        <w:t>**MACD** : Le MACD (1,846) est inférieur à sa ligne de signal (2,706), indiquant un momentum baissier à court terme. Cette divergence négative suggère un essoufflement de la dynamique haussière, justifiant une décision de vente pour les traders à court terme, même si la tendance de fond reste positive.</w:t>
      </w:r>
    </w:p>
    <w:p>
      <w:pPr>
        <w:spacing w:after="120" w:line="276" w:lineRule="auto"/>
      </w:pPr>
      <w:r>
        <w:t>**RSI** : Le RSI s'établit à 46,154, dans la zone neutre (30-70), ce qui indique un équilibre entre les forces acheteuses et vendeuses. Le titre n'est ni suracheté ni survendu, laissant une marge de manœuvre pour une évolution dans les deux sens. La décision est neutre.</w:t>
      </w:r>
    </w:p>
    <w:p>
      <w:pPr>
        <w:spacing w:after="120" w:line="276" w:lineRule="auto"/>
      </w:pPr>
      <w:r>
        <w:t>**Stochastique** : Le %K (60,0) est supérieur au %D (46,667), mais sans croisement majeur. Cette configuration suggère une légère pression acheteuse, mais sans signal fort. La décision reste neutre, en attendant une confirmation directionnelle.</w:t>
      </w:r>
    </w:p>
    <w:p>
      <w:pPr>
        <w:spacing w:after="120" w:line="276" w:lineRule="auto"/>
      </w:pPr>
      <w:r>
        <w:t>**Conclusion technique** : Les indicateurs sont mitigés : les moyennes mobiles soutiennent une tendance haussière de fond, mais le MACD et le RSI indiquent un essoufflement à court terme. Le titre semble consolider ses gains après une forte progression, avec un biais haussier à moyen terme mais une prudence nécessaire à court terme.</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2025 font état d'un Produit Net Bancaire (PNB) de 1 424,261 milliards FCFA, en croissance de 12,45%, et d'un résultat net de 345,523 milliards FCFA, soit une marge nette de 24,26%. La rentabilité des fonds propres (ROE) est excellente à 21,62%, et le ROA s'établit à 1,80%, témoignant d'une utilisation efficace des actifs. Le coefficient d'exploitation de 27,35% est remarquablement bas, bien en dessous du seuil de 60% considéré comme efficace, démontrant une discipline opérationnelle exemplaire. Le coût du risque, à 18,97% des charges financières, reste élevé, signalant un portefeuille de crédit sous tension, mais il est compensé par la solidité du PNB. Les dépôts clientèle (14 120,139 Mds FCFA) couvrent largement les créances clientèle (6 570,385 Mds FCFA), soit un ratio de transformation de 46,5%, indiquant une liquidité abondante. Les rapports semestriels 2026 (analysés par DeepSeek le 30/07/2026) confirment cette dynamique avec un PNB en hausse de 15% à 721,3 milliards FCFA et un résultat net consolidé de 166,7 milliards FCFA (+6%). On estime que l'exercice 2026 devrait dépasser les 1 500 milliards FCFA de PNB, porté par la croissance des activités CIB et la transformation digitale. La solidité financière et la croissance soutenue justifient une recommandation positive.</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convergence remarquable entre les signaux. La valorisation (Partie 0) est très attractive avec un PER de 3,5x et un P/B de 0,76x, indiquant une sous-évaluation évidente. Le comportement du cours (Partie 1) montre une tendance haussière spectaculaire de +109% sur 100 jours, mais avec une volatilité élevée (64,8%) qui appelle à la prudence. Les signaux techniques (Partie 2) sont mitigés à court terme (MACD baissier, RSI neutre), mais la tendance de fond reste positive grâce aux moyennes mobiles. Les fondamentaux (Partie 3) sont excellents : ROE de 21,62%, coefficient d'exploitation de 27,35%, et croissance soutenue du PNB. Les prédictions IA pour les 10 prochains jours (57, 53, 49, 45, 42 FCFA) suggèrent une correction significative, contredisant la tendance haussière et indiquant un possible retour à des niveaux plus proches de la MM50. Cette divergence entre les fondamentaux solides et la prédiction technique à court terme justifie une recommandation **CONSERVER** avec un niveau de confiance **Moyen** et un risque global **Élevé**. L'horizon d'investissement optimal serait le **moyen terme (3-12 mois)**, en attendant que la correction anticipée se matérialise pour renforcer les positions à des niveaux plus attractifs.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30.32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3,886 titres</w:t>
            </w:r>
          </w:p>
        </w:tc>
        <w:tc>
          <w:tcPr>
            <w:tcW w:type="dxa" w:w="2268"/>
            <w:shd w:fill="FFF2CC" w:val="clear"/>
          </w:tcPr>
          <w:p>
            <w:r>
              <w:rPr>
                <w:b/>
                <w:color w:val="503200"/>
                <w:sz w:val="16"/>
              </w:rPr>
              <w:t xml:space="preserve">Cours actuel : </w:t>
            </w:r>
            <w:r>
              <w:rPr>
                <w:color w:val="000000"/>
                <w:sz w:val="17"/>
              </w:rPr>
              <w:t>2,150 FCFA</w:t>
            </w:r>
          </w:p>
          <w:p>
            <w:r>
              <w:rPr>
                <w:b/>
                <w:color w:val="503200"/>
                <w:sz w:val="16"/>
              </w:rPr>
              <w:t xml:space="preserve">Var. 100 jours : </w:t>
            </w:r>
            <w:r>
              <w:rPr>
                <w:b/>
                <w:color w:val="B40000"/>
                <w:sz w:val="17"/>
              </w:rPr>
              <w:t>-6.72%</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6.41% (Moyenne) — μ=2,158 FCFA, σ=138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β=0.8306 (Neutre (suit le marché)) — Cov=0.000028, Var(idx)=0.000034, ρ=0.216,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3,886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σ_j=2.24%/j (Stable) — Vol. annualisée≈35.5%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2026-08-27</w:t>
            </w:r>
          </w:p>
        </w:tc>
        <w:tc>
          <w:tcPr>
            <w:tcW w:type="dxa" w:w="1440"/>
            <w:shd w:fill="FAFAFA" w:val="clear"/>
          </w:tcPr>
          <w:p>
            <w:r>
              <w:rPr>
                <w:sz w:val="17"/>
              </w:rPr>
              <w:t>2,076</w:t>
            </w:r>
          </w:p>
        </w:tc>
        <w:tc>
          <w:tcPr>
            <w:tcW w:type="dxa" w:w="1440"/>
            <w:shd w:fill="FAFAFA" w:val="clear"/>
          </w:tcPr>
          <w:p>
            <w:r>
              <w:rPr>
                <w:b/>
                <w:sz w:val="17"/>
              </w:rPr>
              <w:t>2,171</w:t>
            </w:r>
          </w:p>
        </w:tc>
        <w:tc>
          <w:tcPr>
            <w:tcW w:type="dxa" w:w="1440"/>
            <w:shd w:fill="FAFAFA" w:val="clear"/>
          </w:tcPr>
          <w:p>
            <w:r>
              <w:rPr>
                <w:sz w:val="17"/>
              </w:rPr>
              <w:t>2,266</w:t>
            </w:r>
          </w:p>
        </w:tc>
        <w:tc>
          <w:tcPr>
            <w:tcW w:type="dxa" w:w="1440"/>
            <w:shd w:fill="FAFAFA" w:val="clear"/>
          </w:tcPr>
          <w:p>
            <w:r>
              <w:rPr>
                <w:b/>
                <w:color w:val="008000"/>
                <w:sz w:val="17"/>
              </w:rPr>
              <w:t>+1.0%</w:t>
            </w:r>
          </w:p>
        </w:tc>
      </w:tr>
      <w:tr>
        <w:tc>
          <w:tcPr>
            <w:tcW w:type="dxa" w:w="1440"/>
            <w:shd w:fill="FAFAFA" w:val="clear"/>
          </w:tcPr>
          <w:p>
            <w:r>
              <w:rPr>
                <w:sz w:val="17"/>
              </w:rPr>
              <w:t>J+2  ⭐⭐⭐</w:t>
            </w:r>
          </w:p>
        </w:tc>
        <w:tc>
          <w:tcPr>
            <w:tcW w:type="dxa" w:w="1440"/>
            <w:shd w:fill="FAFAFA" w:val="clear"/>
          </w:tcPr>
          <w:p>
            <w:r>
              <w:rPr>
                <w:sz w:val="17"/>
              </w:rPr>
              <w:t>2026-08-28</w:t>
            </w:r>
          </w:p>
        </w:tc>
        <w:tc>
          <w:tcPr>
            <w:tcW w:type="dxa" w:w="1440"/>
            <w:shd w:fill="FAFAFA" w:val="clear"/>
          </w:tcPr>
          <w:p>
            <w:r>
              <w:rPr>
                <w:sz w:val="17"/>
              </w:rPr>
              <w:t>2,065</w:t>
            </w:r>
          </w:p>
        </w:tc>
        <w:tc>
          <w:tcPr>
            <w:tcW w:type="dxa" w:w="1440"/>
            <w:shd w:fill="FAFAFA" w:val="clear"/>
          </w:tcPr>
          <w:p>
            <w:r>
              <w:rPr>
                <w:b/>
                <w:sz w:val="17"/>
              </w:rPr>
              <w:t>2,182</w:t>
            </w:r>
          </w:p>
        </w:tc>
        <w:tc>
          <w:tcPr>
            <w:tcW w:type="dxa" w:w="1440"/>
            <w:shd w:fill="FAFAFA" w:val="clear"/>
          </w:tcPr>
          <w:p>
            <w:r>
              <w:rPr>
                <w:sz w:val="17"/>
              </w:rPr>
              <w:t>2,299</w:t>
            </w:r>
          </w:p>
        </w:tc>
        <w:tc>
          <w:tcPr>
            <w:tcW w:type="dxa" w:w="1440"/>
            <w:shd w:fill="FAFAFA" w:val="clear"/>
          </w:tcPr>
          <w:p>
            <w:r>
              <w:rPr>
                <w:b/>
                <w:color w:val="008000"/>
                <w:sz w:val="17"/>
              </w:rPr>
              <w:t>+1.5%</w:t>
            </w:r>
          </w:p>
        </w:tc>
      </w:tr>
      <w:tr>
        <w:tc>
          <w:tcPr>
            <w:tcW w:type="dxa" w:w="1440"/>
            <w:shd w:fill="FAFAFA" w:val="clear"/>
          </w:tcPr>
          <w:p>
            <w:r>
              <w:rPr>
                <w:sz w:val="17"/>
              </w:rPr>
              <w:t>J+3  Moyenne</w:t>
            </w:r>
          </w:p>
        </w:tc>
        <w:tc>
          <w:tcPr>
            <w:tcW w:type="dxa" w:w="1440"/>
            <w:shd w:fill="FAFAFA" w:val="clear"/>
          </w:tcPr>
          <w:p>
            <w:r>
              <w:rPr>
                <w:sz w:val="17"/>
              </w:rPr>
              <w:t>2026-08-31</w:t>
            </w:r>
          </w:p>
        </w:tc>
        <w:tc>
          <w:tcPr>
            <w:tcW w:type="dxa" w:w="1440"/>
            <w:shd w:fill="FAFAFA" w:val="clear"/>
          </w:tcPr>
          <w:p>
            <w:r>
              <w:rPr>
                <w:sz w:val="17"/>
              </w:rPr>
              <w:t>2,056</w:t>
            </w:r>
          </w:p>
        </w:tc>
        <w:tc>
          <w:tcPr>
            <w:tcW w:type="dxa" w:w="1440"/>
            <w:shd w:fill="FAFAFA" w:val="clear"/>
          </w:tcPr>
          <w:p>
            <w:r>
              <w:rPr>
                <w:b/>
                <w:sz w:val="17"/>
              </w:rPr>
              <w:t>2,192</w:t>
            </w:r>
          </w:p>
        </w:tc>
        <w:tc>
          <w:tcPr>
            <w:tcW w:type="dxa" w:w="1440"/>
            <w:shd w:fill="FAFAFA" w:val="clear"/>
          </w:tcPr>
          <w:p>
            <w:r>
              <w:rPr>
                <w:sz w:val="17"/>
              </w:rPr>
              <w:t>2,327</w:t>
            </w:r>
          </w:p>
        </w:tc>
        <w:tc>
          <w:tcPr>
            <w:tcW w:type="dxa" w:w="1440"/>
            <w:shd w:fill="FAFAFA" w:val="clear"/>
          </w:tcPr>
          <w:p>
            <w:r>
              <w:rPr>
                <w:b/>
                <w:color w:val="008000"/>
                <w:sz w:val="17"/>
              </w:rPr>
              <w:t>+1.9%</w:t>
            </w:r>
          </w:p>
        </w:tc>
      </w:tr>
      <w:tr>
        <w:tc>
          <w:tcPr>
            <w:tcW w:type="dxa" w:w="1440"/>
            <w:shd w:fill="C6EFCE" w:val="clear"/>
          </w:tcPr>
          <w:p>
            <w:r>
              <w:rPr>
                <w:sz w:val="17"/>
              </w:rPr>
              <w:t>J+4  Moyenne</w:t>
            </w:r>
          </w:p>
        </w:tc>
        <w:tc>
          <w:tcPr>
            <w:tcW w:type="dxa" w:w="1440"/>
            <w:shd w:fill="C6EFCE" w:val="clear"/>
          </w:tcPr>
          <w:p>
            <w:r>
              <w:rPr>
                <w:sz w:val="17"/>
              </w:rPr>
              <w:t>2026-09-01</w:t>
            </w:r>
          </w:p>
        </w:tc>
        <w:tc>
          <w:tcPr>
            <w:tcW w:type="dxa" w:w="1440"/>
            <w:shd w:fill="C6EFCE" w:val="clear"/>
          </w:tcPr>
          <w:p>
            <w:r>
              <w:rPr>
                <w:sz w:val="17"/>
              </w:rPr>
              <w:t>2,049</w:t>
            </w:r>
          </w:p>
        </w:tc>
        <w:tc>
          <w:tcPr>
            <w:tcW w:type="dxa" w:w="1440"/>
            <w:shd w:fill="C6EFCE" w:val="clear"/>
          </w:tcPr>
          <w:p>
            <w:r>
              <w:rPr>
                <w:b/>
                <w:sz w:val="17"/>
              </w:rPr>
              <w:t>2,201</w:t>
            </w:r>
          </w:p>
        </w:tc>
        <w:tc>
          <w:tcPr>
            <w:tcW w:type="dxa" w:w="1440"/>
            <w:shd w:fill="C6EFCE" w:val="clear"/>
          </w:tcPr>
          <w:p>
            <w:r>
              <w:rPr>
                <w:sz w:val="17"/>
              </w:rPr>
              <w:t>2,354</w:t>
            </w:r>
          </w:p>
        </w:tc>
        <w:tc>
          <w:tcPr>
            <w:tcW w:type="dxa" w:w="1440"/>
            <w:shd w:fill="C6EFCE" w:val="clear"/>
          </w:tcPr>
          <w:p>
            <w:r>
              <w:rPr>
                <w:b/>
                <w:color w:val="008000"/>
                <w:sz w:val="17"/>
              </w:rPr>
              <w:t>+2.4%</w:t>
            </w:r>
          </w:p>
        </w:tc>
      </w:tr>
      <w:tr>
        <w:tc>
          <w:tcPr>
            <w:tcW w:type="dxa" w:w="1440"/>
            <w:shd w:fill="C6EFCE" w:val="clear"/>
          </w:tcPr>
          <w:p>
            <w:r>
              <w:rPr>
                <w:sz w:val="17"/>
              </w:rPr>
              <w:t>J+5  Moyenne</w:t>
            </w:r>
          </w:p>
        </w:tc>
        <w:tc>
          <w:tcPr>
            <w:tcW w:type="dxa" w:w="1440"/>
            <w:shd w:fill="C6EFCE" w:val="clear"/>
          </w:tcPr>
          <w:p>
            <w:r>
              <w:rPr>
                <w:sz w:val="17"/>
              </w:rPr>
              <w:t>2026-09-02</w:t>
            </w:r>
          </w:p>
        </w:tc>
        <w:tc>
          <w:tcPr>
            <w:tcW w:type="dxa" w:w="1440"/>
            <w:shd w:fill="C6EFCE" w:val="clear"/>
          </w:tcPr>
          <w:p>
            <w:r>
              <w:rPr>
                <w:sz w:val="17"/>
              </w:rPr>
              <w:t>2,043</w:t>
            </w:r>
          </w:p>
        </w:tc>
        <w:tc>
          <w:tcPr>
            <w:tcW w:type="dxa" w:w="1440"/>
            <w:shd w:fill="C6EFCE" w:val="clear"/>
          </w:tcPr>
          <w:p>
            <w:r>
              <w:rPr>
                <w:b/>
                <w:sz w:val="17"/>
              </w:rPr>
              <w:t>2,211</w:t>
            </w:r>
          </w:p>
        </w:tc>
        <w:tc>
          <w:tcPr>
            <w:tcW w:type="dxa" w:w="1440"/>
            <w:shd w:fill="C6EFCE" w:val="clear"/>
          </w:tcPr>
          <w:p>
            <w:r>
              <w:rPr>
                <w:sz w:val="17"/>
              </w:rPr>
              <w:t>2,379</w:t>
            </w:r>
          </w:p>
        </w:tc>
        <w:tc>
          <w:tcPr>
            <w:tcW w:type="dxa" w:w="1440"/>
            <w:shd w:fill="C6EFCE" w:val="clear"/>
          </w:tcPr>
          <w:p>
            <w:r>
              <w:rPr>
                <w:b/>
                <w:color w:val="008000"/>
                <w:sz w:val="17"/>
              </w:rPr>
              <w:t>+2.8%</w:t>
            </w:r>
          </w:p>
        </w:tc>
      </w:tr>
      <w:tr>
        <w:tc>
          <w:tcPr>
            <w:tcW w:type="dxa" w:w="1440"/>
            <w:shd w:fill="C6EFCE" w:val="clear"/>
          </w:tcPr>
          <w:p>
            <w:r>
              <w:rPr>
                <w:sz w:val="17"/>
              </w:rPr>
              <w:t>J+6  Moyenne</w:t>
            </w:r>
          </w:p>
        </w:tc>
        <w:tc>
          <w:tcPr>
            <w:tcW w:type="dxa" w:w="1440"/>
            <w:shd w:fill="C6EFCE" w:val="clear"/>
          </w:tcPr>
          <w:p>
            <w:r>
              <w:rPr>
                <w:sz w:val="17"/>
              </w:rPr>
              <w:t>2026-09-03</w:t>
            </w:r>
          </w:p>
        </w:tc>
        <w:tc>
          <w:tcPr>
            <w:tcW w:type="dxa" w:w="1440"/>
            <w:shd w:fill="C6EFCE" w:val="clear"/>
          </w:tcPr>
          <w:p>
            <w:r>
              <w:rPr>
                <w:sz w:val="17"/>
              </w:rPr>
              <w:t>2,039</w:t>
            </w:r>
          </w:p>
        </w:tc>
        <w:tc>
          <w:tcPr>
            <w:tcW w:type="dxa" w:w="1440"/>
            <w:shd w:fill="C6EFCE" w:val="clear"/>
          </w:tcPr>
          <w:p>
            <w:r>
              <w:rPr>
                <w:b/>
                <w:sz w:val="17"/>
              </w:rPr>
              <w:t>2,220</w:t>
            </w:r>
          </w:p>
        </w:tc>
        <w:tc>
          <w:tcPr>
            <w:tcW w:type="dxa" w:w="1440"/>
            <w:shd w:fill="C6EFCE" w:val="clear"/>
          </w:tcPr>
          <w:p>
            <w:r>
              <w:rPr>
                <w:sz w:val="17"/>
              </w:rPr>
              <w:t>2,402</w:t>
            </w:r>
          </w:p>
        </w:tc>
        <w:tc>
          <w:tcPr>
            <w:tcW w:type="dxa" w:w="1440"/>
            <w:shd w:fill="C6EFCE" w:val="clear"/>
          </w:tcPr>
          <w:p>
            <w:r>
              <w:rPr>
                <w:b/>
                <w:color w:val="008000"/>
                <w:sz w:val="17"/>
              </w:rPr>
              <w:t>+3.3%</w:t>
            </w:r>
          </w:p>
        </w:tc>
      </w:tr>
      <w:tr>
        <w:tc>
          <w:tcPr>
            <w:tcW w:type="dxa" w:w="1440"/>
            <w:shd w:fill="C6EFCE" w:val="clear"/>
          </w:tcPr>
          <w:p>
            <w:r>
              <w:rPr>
                <w:sz w:val="17"/>
              </w:rPr>
              <w:t>J+7  Moyenne</w:t>
            </w:r>
          </w:p>
        </w:tc>
        <w:tc>
          <w:tcPr>
            <w:tcW w:type="dxa" w:w="1440"/>
            <w:shd w:fill="C6EFCE" w:val="clear"/>
          </w:tcPr>
          <w:p>
            <w:r>
              <w:rPr>
                <w:sz w:val="17"/>
              </w:rPr>
              <w:t>2026-09-04</w:t>
            </w:r>
          </w:p>
        </w:tc>
        <w:tc>
          <w:tcPr>
            <w:tcW w:type="dxa" w:w="1440"/>
            <w:shd w:fill="C6EFCE" w:val="clear"/>
          </w:tcPr>
          <w:p>
            <w:r>
              <w:rPr>
                <w:sz w:val="17"/>
              </w:rPr>
              <w:t>2,035</w:t>
            </w:r>
          </w:p>
        </w:tc>
        <w:tc>
          <w:tcPr>
            <w:tcW w:type="dxa" w:w="1440"/>
            <w:shd w:fill="C6EFCE" w:val="clear"/>
          </w:tcPr>
          <w:p>
            <w:r>
              <w:rPr>
                <w:b/>
                <w:sz w:val="17"/>
              </w:rPr>
              <w:t>2,230</w:t>
            </w:r>
          </w:p>
        </w:tc>
        <w:tc>
          <w:tcPr>
            <w:tcW w:type="dxa" w:w="1440"/>
            <w:shd w:fill="C6EFCE" w:val="clear"/>
          </w:tcPr>
          <w:p>
            <w:r>
              <w:rPr>
                <w:sz w:val="17"/>
              </w:rPr>
              <w:t>2,425</w:t>
            </w:r>
          </w:p>
        </w:tc>
        <w:tc>
          <w:tcPr>
            <w:tcW w:type="dxa" w:w="1440"/>
            <w:shd w:fill="C6EFCE" w:val="clear"/>
          </w:tcPr>
          <w:p>
            <w:r>
              <w:rPr>
                <w:b/>
                <w:color w:val="008000"/>
                <w:sz w:val="17"/>
              </w:rPr>
              <w:t>+3.7%</w:t>
            </w:r>
          </w:p>
        </w:tc>
      </w:tr>
      <w:tr>
        <w:tc>
          <w:tcPr>
            <w:tcW w:type="dxa" w:w="1440"/>
            <w:shd w:fill="C6EFCE" w:val="clear"/>
          </w:tcPr>
          <w:p>
            <w:r>
              <w:rPr>
                <w:sz w:val="17"/>
              </w:rPr>
              <w:t>J+8  Moyenne</w:t>
            </w:r>
          </w:p>
        </w:tc>
        <w:tc>
          <w:tcPr>
            <w:tcW w:type="dxa" w:w="1440"/>
            <w:shd w:fill="C6EFCE" w:val="clear"/>
          </w:tcPr>
          <w:p>
            <w:r>
              <w:rPr>
                <w:sz w:val="17"/>
              </w:rPr>
              <w:t>2026-09-07</w:t>
            </w:r>
          </w:p>
        </w:tc>
        <w:tc>
          <w:tcPr>
            <w:tcW w:type="dxa" w:w="1440"/>
            <w:shd w:fill="C6EFCE" w:val="clear"/>
          </w:tcPr>
          <w:p>
            <w:r>
              <w:rPr>
                <w:sz w:val="17"/>
              </w:rPr>
              <w:t>2,032</w:t>
            </w:r>
          </w:p>
        </w:tc>
        <w:tc>
          <w:tcPr>
            <w:tcW w:type="dxa" w:w="1440"/>
            <w:shd w:fill="C6EFCE" w:val="clear"/>
          </w:tcPr>
          <w:p>
            <w:r>
              <w:rPr>
                <w:b/>
                <w:sz w:val="17"/>
              </w:rPr>
              <w:t>2,240</w:t>
            </w:r>
          </w:p>
        </w:tc>
        <w:tc>
          <w:tcPr>
            <w:tcW w:type="dxa" w:w="1440"/>
            <w:shd w:fill="C6EFCE" w:val="clear"/>
          </w:tcPr>
          <w:p>
            <w:r>
              <w:rPr>
                <w:sz w:val="17"/>
              </w:rPr>
              <w:t>2,448</w:t>
            </w:r>
          </w:p>
        </w:tc>
        <w:tc>
          <w:tcPr>
            <w:tcW w:type="dxa" w:w="1440"/>
            <w:shd w:fill="C6EFCE" w:val="clear"/>
          </w:tcPr>
          <w:p>
            <w:r>
              <w:rPr>
                <w:b/>
                <w:color w:val="008000"/>
                <w:sz w:val="17"/>
              </w:rPr>
              <w:t>+4.2%</w:t>
            </w:r>
          </w:p>
        </w:tc>
      </w:tr>
      <w:tr>
        <w:tc>
          <w:tcPr>
            <w:tcW w:type="dxa" w:w="1440"/>
            <w:shd w:fill="C6EFCE" w:val="clear"/>
          </w:tcPr>
          <w:p>
            <w:r>
              <w:rPr>
                <w:sz w:val="17"/>
              </w:rPr>
              <w:t>J+9  Moyenne</w:t>
            </w:r>
          </w:p>
        </w:tc>
        <w:tc>
          <w:tcPr>
            <w:tcW w:type="dxa" w:w="1440"/>
            <w:shd w:fill="C6EFCE" w:val="clear"/>
          </w:tcPr>
          <w:p>
            <w:r>
              <w:rPr>
                <w:sz w:val="17"/>
              </w:rPr>
              <w:t>2026-09-08</w:t>
            </w:r>
          </w:p>
        </w:tc>
        <w:tc>
          <w:tcPr>
            <w:tcW w:type="dxa" w:w="1440"/>
            <w:shd w:fill="C6EFCE" w:val="clear"/>
          </w:tcPr>
          <w:p>
            <w:r>
              <w:rPr>
                <w:sz w:val="17"/>
              </w:rPr>
              <w:t>2,029</w:t>
            </w:r>
          </w:p>
        </w:tc>
        <w:tc>
          <w:tcPr>
            <w:tcW w:type="dxa" w:w="1440"/>
            <w:shd w:fill="C6EFCE" w:val="clear"/>
          </w:tcPr>
          <w:p>
            <w:r>
              <w:rPr>
                <w:b/>
                <w:sz w:val="17"/>
              </w:rPr>
              <w:t>2,249</w:t>
            </w:r>
          </w:p>
        </w:tc>
        <w:tc>
          <w:tcPr>
            <w:tcW w:type="dxa" w:w="1440"/>
            <w:shd w:fill="C6EFCE" w:val="clear"/>
          </w:tcPr>
          <w:p>
            <w:r>
              <w:rPr>
                <w:sz w:val="17"/>
              </w:rPr>
              <w:t>2,469</w:t>
            </w:r>
          </w:p>
        </w:tc>
        <w:tc>
          <w:tcPr>
            <w:tcW w:type="dxa" w:w="1440"/>
            <w:shd w:fill="C6EFCE" w:val="clear"/>
          </w:tcPr>
          <w:p>
            <w:r>
              <w:rPr>
                <w:b/>
                <w:color w:val="008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FILTISAC CI (FTSC)**</w:t>
        <w:br/>
        <w:t>**Date de l'analyse : 26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FTSC s'établit à 30,32 milliards FCFA, un niveau modeste dans l'écosystème de la BRVM, reflétant un profil de moyenne capitalisation. Avec un BPA de seulement 33 FCFA, le titre affiche un PER de 65,1x, extrêmement élevé par rapport à la moyenne historique de la BRVM (8-12x). Les investisseurs paient donc un prix très substantiel pour des bénéfices actuels, ce qui suggère soit une anticipation de croissance future importante, soit une surévaluation relative. Le P/B de 1,93x indique que le marché valorise la société à près du double de sa valeur comptable, ce qui est raisonnable mais exige une performance solide. Enfin, l'EV/EBITDA de 38,1x est très exigeant, signifiant que la valeur totale de l'entreprise (dette incluse) est très élevée par rapport à sa capacité opérationnelle de génération de cash. Ces ratios, pris ensemble, signalent une valorisation qui ne laisse que très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FTSC a enregistré une variation totale de -6,72%, avec une dernière séance en baisse de -1,38% à 2 150 FCFA. Le titre a évolué dans une fourchette de 1 910 FCFA (plus bas) à 2 430 FCFA (plus haut), montrant une amplitude de trading significative. La tendance générale est baissière sur la période, malgré des tentatives de rebond. Les statistiques descriptives révèlent une moyenne de 2 158 FCFA et une médiane de 2 190 FCFA, l'écart entre les deux indiquant une légère asymétrie négative de la distribution des prix. L'écart-type de 139 FCFA (CV=6,4%) montre une dispersion modérée autour de la moyenne. Le kurtosis de -1,187 (platykurtique) indique une distribution aplatie avec peu de pics extrêmes, tandis que le skewness de -0,159 confirme une distribution quasi symétrique. La volatilité annualisée de 35,5% est élevée (&gt;30%), ce qui positionne FTSC comme un titre risqué sur le plan des fluctuations de prix.</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2 150 FCFA se situe au-dessus de la MM20 (2 073,25 FCFA) et de la MM50 (2 044,8 FCFA), ce qui est un signal haussier à court et moyen terme. La configuration des MM, avec le cours au-dessus des deux moyennes, justifie la décision d'achat, indiquant une dynamique positive récente malgré la tendance baissière sur 100 jours.</w:t>
      </w:r>
    </w:p>
    <w:p>
      <w:pPr>
        <w:spacing w:after="120" w:line="276" w:lineRule="auto"/>
      </w:pPr>
      <w:r>
        <w:t>**Bandes de Bollinger** : Le prix se positionne à 2 150 FCFA, entre la borne inférieure (1 856,94 FCFA) et la borne supérieure (2 289,57 FCFA), légèrement au-dessus de la moyenne. Cette position centrale suggère une volatilité modérée et une absence de signal directionnel fort, d'où la décision neutre. Le titre n'est ni suracheté ni survendu selon cet indicateur.</w:t>
      </w:r>
    </w:p>
    <w:p>
      <w:pPr>
        <w:spacing w:after="120" w:line="276" w:lineRule="auto"/>
      </w:pPr>
      <w:r>
        <w:t>**MACD** : La valeur du MACD (40,19) est supérieure à sa ligne de signal (29,32), indiquant un momentum haussier. Cette configuration positive suggère que la dynamique des prix est en train de s'améliorer, ce qui justifie la décision d'achat. La divergence positive est un signal encourageant pour les prochaines séances.</w:t>
      </w:r>
    </w:p>
    <w:p>
      <w:pPr>
        <w:spacing w:after="120" w:line="276" w:lineRule="auto"/>
      </w:pPr>
      <w:r>
        <w:t>**RSI** : Avec une valeur de 77,27, le RSI est en zone de surachat (&gt;70). Cela indique que le titre a été fortement acheté récemment et qu'un repli technique est probable à court terme. La décision de vente est donc justifiée, signalant une possible correction après la récente hausse.</w:t>
      </w:r>
    </w:p>
    <w:p>
      <w:pPr>
        <w:spacing w:after="120" w:line="276" w:lineRule="auto"/>
      </w:pPr>
      <w:r>
        <w:t>**Stochastique** : Le %K (81,82) et le %D (91,56) sont tous deux en zone de surachat (&gt;80). Le %K est inférieur au %D, ce qui suggère un croisement baissier potentiel. La décision de vente est cohérente avec cette lecture, indiquant un essoufflement du momentum haussier.</w:t>
      </w:r>
    </w:p>
    <w:p>
      <w:pPr>
        <w:spacing w:after="120" w:line="276" w:lineRule="auto"/>
      </w:pPr>
      <w:r>
        <w:t>**Conclusion technique** : Les indicateurs sont mitigés avec une divergence nette. Les moyennes mobiles et le MACD sont positifs, tandis que le RSI et le stochastique signalent un surachat imminent. Cette configuration suggère une possible consolidation ou correction à court terme avant une reprise de la tendance haussière. La prudence est de mise.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FILTISAC CI a réalisé un chiffre d'affaires de 32,109 milliards FCFA, en croissance de 4,6% par rapport à 2024. Le résultat net s'établit à 465,98 millions FCFA, en chute spectaculaire par rapport aux 18,6 milliards de 2024, qui étaient artificiellement gonflés par des produits exceptionnels de cession. La marge nette est ainsi tombée à 1,45%, et le ROE à 2,97%, un niveau très faible. Le ROA est de 1,19%, indiquant une faible efficacité de l'utilisation des actifs. La structure financière montre une autonomie financière de 40,1% (saine), mais un ratio d'endettement de 97,6% et une trésorerie nette fortement négative de -11,5 milliards FCFA, suite au versement de dividendes massifs en 2024. Le BFR est de 11,5 milliards FCFA, avec un délai clients très élevé de 213,7 jours, un risque de trésorerie majeur.</w:t>
      </w:r>
    </w:p>
    <w:p>
      <w:pPr>
        <w:spacing w:after="120" w:line="276" w:lineRule="auto"/>
      </w:pPr>
      <w:r>
        <w:t>**Estimations basées sur les rapports trimestriels** : Le rapport du 1er trimestre 2026 (publié en 2026) montre un chiffre d'affaires de 8,9 milliards FCFA, en hausse de 55% par rapport au T1 2025, porté par la forte demande d'emballages pour le cacao. Le résultat d'exploitation est redevenu positif à 75 millions FCFA, mais le résultat net reste déficitaire à -154 millions FCFA. Sur la base de ce rapport, on estime que l'exercice 2026 pourrait voir une croissance significative du CA, mais la rentabilité nette pourrait rester sous pression. Le rapport annuel 2025 (publié en 2026) confirme la chute du résultat net et la dégradation de la trésorerie, avec une recommandation de vente. Les rapports de 2021 montrent une société déjà confrontée à des défis opérationnels, mais avec des perspectives liées à la campagne cacaoyère.</w:t>
      </w:r>
    </w:p>
    <w:p>
      <w:pPr>
        <w:spacing w:after="120" w:line="276" w:lineRule="auto"/>
      </w:pPr>
      <w:r>
        <w:t>**Synthèse fondamentale** : La société a un problème majeur de rentabilité opérationnelle et de liquidité. La forte croissance du CA au T1 2026 est encourageante, mais elle ne se traduit pas encore en bénéfices nets. La dépendance à la campagne cacaoyère et les risques sur les coûts (matières premières, fret) restent des menaces. La solidité financière est compromise par la trésorerie négative et le BFR élevé.</w:t>
      </w:r>
    </w:p>
    <w:p>
      <w:pPr>
        <w:spacing w:after="120" w:line="276" w:lineRule="auto"/>
      </w:pPr>
      <w:r>
        <w:t>---</w:t>
      </w:r>
    </w:p>
    <w:p>
      <w:pPr>
        <w:spacing w:after="120" w:line="276" w:lineRule="auto"/>
      </w:pPr>
      <w:r>
        <w:t>### PARTIE 4 : CONCLUSION D'INVESTISSEMENT</w:t>
      </w:r>
    </w:p>
    <w:p>
      <w:pPr>
        <w:spacing w:after="120" w:line="276" w:lineRule="auto"/>
      </w:pPr>
      <w:r>
        <w:t>La valorisation de FTSC est extrêmement exigeante avec un PER de 65,1x et un EV/EBITDA de 38,1x, indiquant une nette surévaluation par rapport aux bénéfices actuels. Le comportement du cours sur 100 jours est baissier (-6,72%) avec une volatilité élevée (35,5%), et les statistiques descriptives montrent une distribution stable mais sans tendance forte. Les signaux techniques sont mitigés : les moyennes mobiles et le MACD sont positifs, mais le RSI et le stochastique en surachat suggèrent une correction imminente. Les fondamentaux sont préoccupants : malgré une croissance du CA au T1 2026 (+55%), la rentabilité nette reste négative et la trésorerie est fortement dégradée. Les prédictions IA pour les 10 prochains jours (2 171 à 2 211 FCFA) anticipent une hausse modérée, ce qui contredit les signaux de surachat technique. En synthèse, la convergence entre la surévaluation, la faiblesse des fondamentaux et les signaux techniques de surachat l'emporte sur la dynamique positive du CA et les prédictions IA. **Recommandation finale : VENTE**. Le niveau de confiance est **Moyen** (la croissance du CA pourrait soutenir le titre à court terme), le risque global est **Élevé** (liquidité, rentabilité, volatilité). L'horizon d'investissement optimal serait le **court terme (&lt;3 mois)** pour les investisseurs cherchant à réduire leur exposition, ou une attente de meilleurs points d'entrée après une correction.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81.50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3,375 titres</w:t>
            </w:r>
          </w:p>
        </w:tc>
        <w:tc>
          <w:tcPr>
            <w:tcW w:type="dxa" w:w="2268"/>
            <w:shd w:fill="FFF2CC" w:val="clear"/>
          </w:tcPr>
          <w:p>
            <w:r>
              <w:rPr>
                <w:b/>
                <w:color w:val="503200"/>
                <w:sz w:val="16"/>
              </w:rPr>
              <w:t xml:space="preserve">Cours actuel : </w:t>
            </w:r>
            <w:r>
              <w:rPr>
                <w:color w:val="000000"/>
                <w:sz w:val="17"/>
              </w:rPr>
              <w:t>4,075 FCFA</w:t>
            </w:r>
          </w:p>
          <w:p>
            <w:r>
              <w:rPr>
                <w:b/>
                <w:color w:val="503200"/>
                <w:sz w:val="16"/>
              </w:rPr>
              <w:t xml:space="preserve">Var. 100 jours : </w:t>
            </w:r>
            <w:r>
              <w:rPr>
                <w:b/>
                <w:color w:val="007800"/>
                <w:sz w:val="17"/>
              </w:rPr>
              <w:t>+4.49%</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3,825 FCFA</w:t>
            </w:r>
          </w:p>
          <w:p>
            <w:r>
              <w:rPr>
                <w:b/>
                <w:color w:val="503200"/>
                <w:sz w:val="16"/>
              </w:rPr>
              <w:t xml:space="preserve">Volatilité ann. : </w:t>
            </w:r>
            <w:r>
              <w:rPr>
                <w:color w:val="000000"/>
                <w:sz w:val="17"/>
              </w:rPr>
              <w:t>36.2%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5.03% (Moyenne) — μ=4,050 FCFA, σ=204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β=0.0777 (Défensif) — Cov=0.000003, Var(idx)=0.000034, ρ=0.020,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3,375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2026-08-27</w:t>
            </w:r>
          </w:p>
        </w:tc>
        <w:tc>
          <w:tcPr>
            <w:tcW w:type="dxa" w:w="1440"/>
            <w:shd w:fill="FAFAFA" w:val="clear"/>
          </w:tcPr>
          <w:p>
            <w:r>
              <w:rPr>
                <w:sz w:val="17"/>
              </w:rPr>
              <w:t>3,762</w:t>
            </w:r>
          </w:p>
        </w:tc>
        <w:tc>
          <w:tcPr>
            <w:tcW w:type="dxa" w:w="1440"/>
            <w:shd w:fill="FAFAFA" w:val="clear"/>
          </w:tcPr>
          <w:p>
            <w:r>
              <w:rPr>
                <w:b/>
                <w:sz w:val="17"/>
              </w:rPr>
              <w:t>4,005</w:t>
            </w:r>
          </w:p>
        </w:tc>
        <w:tc>
          <w:tcPr>
            <w:tcW w:type="dxa" w:w="1440"/>
            <w:shd w:fill="FAFAFA" w:val="clear"/>
          </w:tcPr>
          <w:p>
            <w:r>
              <w:rPr>
                <w:sz w:val="17"/>
              </w:rPr>
              <w:t>4,248</w:t>
            </w:r>
          </w:p>
        </w:tc>
        <w:tc>
          <w:tcPr>
            <w:tcW w:type="dxa" w:w="1440"/>
            <w:shd w:fill="FAFAFA" w:val="clear"/>
          </w:tcPr>
          <w:p>
            <w:r>
              <w:rPr>
                <w:b/>
                <w:color w:val="C00000"/>
                <w:sz w:val="17"/>
              </w:rPr>
              <w:t>-1.7%</w:t>
            </w:r>
          </w:p>
        </w:tc>
      </w:tr>
      <w:tr>
        <w:tc>
          <w:tcPr>
            <w:tcW w:type="dxa" w:w="1440"/>
            <w:shd w:fill="FFDCE0" w:val="clear"/>
          </w:tcPr>
          <w:p>
            <w:r>
              <w:rPr>
                <w:sz w:val="17"/>
              </w:rPr>
              <w:t>J+2  Moyenne</w:t>
            </w:r>
          </w:p>
        </w:tc>
        <w:tc>
          <w:tcPr>
            <w:tcW w:type="dxa" w:w="1440"/>
            <w:shd w:fill="FFDCE0" w:val="clear"/>
          </w:tcPr>
          <w:p>
            <w:r>
              <w:rPr>
                <w:sz w:val="17"/>
              </w:rPr>
              <w:t>2026-08-28</w:t>
            </w:r>
          </w:p>
        </w:tc>
        <w:tc>
          <w:tcPr>
            <w:tcW w:type="dxa" w:w="1440"/>
            <w:shd w:fill="FFDCE0" w:val="clear"/>
          </w:tcPr>
          <w:p>
            <w:r>
              <w:rPr>
                <w:sz w:val="17"/>
              </w:rPr>
              <w:t>3,694</w:t>
            </w:r>
          </w:p>
        </w:tc>
        <w:tc>
          <w:tcPr>
            <w:tcW w:type="dxa" w:w="1440"/>
            <w:shd w:fill="FFDCE0" w:val="clear"/>
          </w:tcPr>
          <w:p>
            <w:r>
              <w:rPr>
                <w:b/>
                <w:sz w:val="17"/>
              </w:rPr>
              <w:t>3,991</w:t>
            </w:r>
          </w:p>
        </w:tc>
        <w:tc>
          <w:tcPr>
            <w:tcW w:type="dxa" w:w="1440"/>
            <w:shd w:fill="FFDCE0" w:val="clear"/>
          </w:tcPr>
          <w:p>
            <w:r>
              <w:rPr>
                <w:sz w:val="17"/>
              </w:rPr>
              <w:t>4,287</w:t>
            </w:r>
          </w:p>
        </w:tc>
        <w:tc>
          <w:tcPr>
            <w:tcW w:type="dxa" w:w="1440"/>
            <w:shd w:fill="FFDCE0" w:val="clear"/>
          </w:tcPr>
          <w:p>
            <w:r>
              <w:rPr>
                <w:b/>
                <w:color w:val="C00000"/>
                <w:sz w:val="17"/>
              </w:rPr>
              <w:t>-2.1%</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3,637</w:t>
            </w:r>
          </w:p>
        </w:tc>
        <w:tc>
          <w:tcPr>
            <w:tcW w:type="dxa" w:w="1440"/>
            <w:shd w:fill="FFDCE0" w:val="clear"/>
          </w:tcPr>
          <w:p>
            <w:r>
              <w:rPr>
                <w:b/>
                <w:sz w:val="17"/>
              </w:rPr>
              <w:t>3,978</w:t>
            </w:r>
          </w:p>
        </w:tc>
        <w:tc>
          <w:tcPr>
            <w:tcW w:type="dxa" w:w="1440"/>
            <w:shd w:fill="FFDCE0" w:val="clear"/>
          </w:tcPr>
          <w:p>
            <w:r>
              <w:rPr>
                <w:sz w:val="17"/>
              </w:rPr>
              <w:t>4,320</w:t>
            </w:r>
          </w:p>
        </w:tc>
        <w:tc>
          <w:tcPr>
            <w:tcW w:type="dxa" w:w="1440"/>
            <w:shd w:fill="FFDCE0" w:val="clear"/>
          </w:tcPr>
          <w:p>
            <w:r>
              <w:rPr>
                <w:b/>
                <w:color w:val="C00000"/>
                <w:sz w:val="17"/>
              </w:rPr>
              <w:t>-2.4%</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3,587</w:t>
            </w:r>
          </w:p>
        </w:tc>
        <w:tc>
          <w:tcPr>
            <w:tcW w:type="dxa" w:w="1440"/>
            <w:shd w:fill="FFDCE0" w:val="clear"/>
          </w:tcPr>
          <w:p>
            <w:r>
              <w:rPr>
                <w:b/>
                <w:sz w:val="17"/>
              </w:rPr>
              <w:t>3,967</w:t>
            </w:r>
          </w:p>
        </w:tc>
        <w:tc>
          <w:tcPr>
            <w:tcW w:type="dxa" w:w="1440"/>
            <w:shd w:fill="FFDCE0" w:val="clear"/>
          </w:tcPr>
          <w:p>
            <w:r>
              <w:rPr>
                <w:sz w:val="17"/>
              </w:rPr>
              <w:t>4,348</w:t>
            </w:r>
          </w:p>
        </w:tc>
        <w:tc>
          <w:tcPr>
            <w:tcW w:type="dxa" w:w="1440"/>
            <w:shd w:fill="FFDCE0" w:val="clear"/>
          </w:tcPr>
          <w:p>
            <w:r>
              <w:rPr>
                <w:b/>
                <w:color w:val="C00000"/>
                <w:sz w:val="17"/>
              </w:rPr>
              <w:t>-2.6%</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3,543</w:t>
            </w:r>
          </w:p>
        </w:tc>
        <w:tc>
          <w:tcPr>
            <w:tcW w:type="dxa" w:w="1440"/>
            <w:shd w:fill="FFDCE0" w:val="clear"/>
          </w:tcPr>
          <w:p>
            <w:r>
              <w:rPr>
                <w:b/>
                <w:sz w:val="17"/>
              </w:rPr>
              <w:t>3,958</w:t>
            </w:r>
          </w:p>
        </w:tc>
        <w:tc>
          <w:tcPr>
            <w:tcW w:type="dxa" w:w="1440"/>
            <w:shd w:fill="FFDCE0" w:val="clear"/>
          </w:tcPr>
          <w:p>
            <w:r>
              <w:rPr>
                <w:sz w:val="17"/>
              </w:rPr>
              <w:t>4,374</w:t>
            </w:r>
          </w:p>
        </w:tc>
        <w:tc>
          <w:tcPr>
            <w:tcW w:type="dxa" w:w="1440"/>
            <w:shd w:fill="FFDCE0" w:val="clear"/>
          </w:tcPr>
          <w:p>
            <w:r>
              <w:rPr>
                <w:b/>
                <w:color w:val="C00000"/>
                <w:sz w:val="17"/>
              </w:rPr>
              <w:t>-2.9%</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3,503</w:t>
            </w:r>
          </w:p>
        </w:tc>
        <w:tc>
          <w:tcPr>
            <w:tcW w:type="dxa" w:w="1440"/>
            <w:shd w:fill="FFDCE0" w:val="clear"/>
          </w:tcPr>
          <w:p>
            <w:r>
              <w:rPr>
                <w:b/>
                <w:sz w:val="17"/>
              </w:rPr>
              <w:t>3,951</w:t>
            </w:r>
          </w:p>
        </w:tc>
        <w:tc>
          <w:tcPr>
            <w:tcW w:type="dxa" w:w="1440"/>
            <w:shd w:fill="FFDCE0" w:val="clear"/>
          </w:tcPr>
          <w:p>
            <w:r>
              <w:rPr>
                <w:sz w:val="17"/>
              </w:rPr>
              <w:t>4,400</w:t>
            </w:r>
          </w:p>
        </w:tc>
        <w:tc>
          <w:tcPr>
            <w:tcW w:type="dxa" w:w="1440"/>
            <w:shd w:fill="FFDCE0" w:val="clear"/>
          </w:tcPr>
          <w:p>
            <w:r>
              <w:rPr>
                <w:b/>
                <w:color w:val="C00000"/>
                <w:sz w:val="17"/>
              </w:rPr>
              <w:t>-3.0%</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3,469</w:t>
            </w:r>
          </w:p>
        </w:tc>
        <w:tc>
          <w:tcPr>
            <w:tcW w:type="dxa" w:w="1440"/>
            <w:shd w:fill="FFDCE0" w:val="clear"/>
          </w:tcPr>
          <w:p>
            <w:r>
              <w:rPr>
                <w:b/>
                <w:sz w:val="17"/>
              </w:rPr>
              <w:t>3,947</w:t>
            </w:r>
          </w:p>
        </w:tc>
        <w:tc>
          <w:tcPr>
            <w:tcW w:type="dxa" w:w="1440"/>
            <w:shd w:fill="FFDCE0" w:val="clear"/>
          </w:tcPr>
          <w:p>
            <w:r>
              <w:rPr>
                <w:sz w:val="17"/>
              </w:rPr>
              <w:t>4,426</w:t>
            </w:r>
          </w:p>
        </w:tc>
        <w:tc>
          <w:tcPr>
            <w:tcW w:type="dxa" w:w="1440"/>
            <w:shd w:fill="FFDCE0" w:val="clear"/>
          </w:tcPr>
          <w:p>
            <w:r>
              <w:rPr>
                <w:b/>
                <w:color w:val="C00000"/>
                <w:sz w:val="17"/>
              </w:rPr>
              <w:t>-3.1%</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3,440</w:t>
            </w:r>
          </w:p>
        </w:tc>
        <w:tc>
          <w:tcPr>
            <w:tcW w:type="dxa" w:w="1440"/>
            <w:shd w:fill="FFDCE0" w:val="clear"/>
          </w:tcPr>
          <w:p>
            <w:r>
              <w:rPr>
                <w:b/>
                <w:sz w:val="17"/>
              </w:rPr>
              <w:t>3,947</w:t>
            </w:r>
          </w:p>
        </w:tc>
        <w:tc>
          <w:tcPr>
            <w:tcW w:type="dxa" w:w="1440"/>
            <w:shd w:fill="FFDCE0" w:val="clear"/>
          </w:tcPr>
          <w:p>
            <w:r>
              <w:rPr>
                <w:sz w:val="17"/>
              </w:rPr>
              <w:t>4,455</w:t>
            </w:r>
          </w:p>
        </w:tc>
        <w:tc>
          <w:tcPr>
            <w:tcW w:type="dxa" w:w="1440"/>
            <w:shd w:fill="FFDCE0" w:val="clear"/>
          </w:tcPr>
          <w:p>
            <w:r>
              <w:rPr>
                <w:b/>
                <w:color w:val="C00000"/>
                <w:sz w:val="17"/>
              </w:rPr>
              <w:t>-3.1%</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3,416</w:t>
            </w:r>
          </w:p>
        </w:tc>
        <w:tc>
          <w:tcPr>
            <w:tcW w:type="dxa" w:w="1440"/>
            <w:shd w:fill="FFDCE0" w:val="clear"/>
          </w:tcPr>
          <w:p>
            <w:r>
              <w:rPr>
                <w:b/>
                <w:sz w:val="17"/>
              </w:rPr>
              <w:t>3,952</w:t>
            </w:r>
          </w:p>
        </w:tc>
        <w:tc>
          <w:tcPr>
            <w:tcW w:type="dxa" w:w="1440"/>
            <w:shd w:fill="FFDCE0" w:val="clear"/>
          </w:tcPr>
          <w:p>
            <w:r>
              <w:rPr>
                <w:sz w:val="17"/>
              </w:rPr>
              <w:t>4,488</w:t>
            </w:r>
          </w:p>
        </w:tc>
        <w:tc>
          <w:tcPr>
            <w:tcW w:type="dxa" w:w="1440"/>
            <w:shd w:fill="FFDCE0" w:val="clear"/>
          </w:tcPr>
          <w:p>
            <w:r>
              <w:rPr>
                <w:b/>
                <w:color w:val="C00000"/>
                <w:sz w:val="17"/>
              </w:rPr>
              <w:t>-3.0%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**Date : 26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LNBB s'établit à 81,50 milliards FCFA, un niveau significatif pour la cote BRVM, reflétant la position de leader de la loterie nationale béninoise. Le BPA de 231 FCFA indique que chaque action a généré un bénéfice de ce montant sur l'exercice 2025. Le PER de 17,6x est nettement supérieur à la moyenne historique de la BRVM (8-12x), ce qui suggère que le marché accorde une prime de croissance à la valeur, malgré des résultats en baisse. Le P/B de 3,71x confirme cette prime, le titre se négociant bien au-dessus de sa valeur comptable. Enfin, l'EV/EBITDA de 10,3x, bien que dans la fourchette haute, reste raisonnable, indiquant que la valeur d'entreprise est soutenable par la capacité opérationnelle de la société.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LNBB affiche une progression totale de +4,49%, avec une légère baisse de -0,49% lors de la dernière séance, s'établissant à 4 075 FCFA. Le titre a évolué dans un range de 3 825 FCFA (plus bas) à 4 560 FCFA (plus haut), montrant une amplitude de trading notable. La moyenne du cours sur la période est de 4 050 FCFA, très proche de la médiane (3 988 FCFA), ce qui indique une distribution relativement symétrique, bien que le skewness positif (0,643) suggère davantage de journées sous la moyenne. L'écart-type de 205 FCFA (CV=5,1%) témoigne d'une dispersion modérée, tandis que le kurtosis de -0,959 (mésokurtique) indique une distribution proche de la normale, sans risque de pics extrêmes. La volatilité annualisée de 36,2% classe le titre dans la catégorie élevée, signalant des fluctuations de prix importantes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Les MM20 (4 234,5 FCFA) et MM50 (4 216,4 FCFA) sont toutes deux supérieures au cours actuel de 4 075 FCFA, indiquant une tendance baissière à court et moyen terme. Le signal d'achat généré par ces moyennes semble prématuré, car le prix n'a pas encore franchi ces niveaux de résistance.</w:t>
      </w:r>
    </w:p>
    <w:p>
      <w:pPr>
        <w:spacing w:after="120" w:line="276" w:lineRule="auto"/>
      </w:pPr>
      <w:r>
        <w:t>**Bandes de Bollinger :** Le cours se situe sous la borne inférieure (3 934,85 FCFA) mais au-dessus de la borne supérieure (4 534,15 FCFA), dans la partie basse du canal. La décision neutre reflète une volatilité modérée, mais la position proche de la borne inférieure suggère une possible zone de surachat technique.</w:t>
      </w:r>
    </w:p>
    <w:p>
      <w:pPr>
        <w:spacing w:after="120" w:line="276" w:lineRule="auto"/>
      </w:pPr>
      <w:r>
        <w:t>**MACD :** Le MACD (-42,32) est négatif et inférieur à son signal (-18,36), confirmant un momentum baissier. La divergence négative indique que la pression vendeuse reste dominante, justifiant la décision de vente.</w:t>
      </w:r>
    </w:p>
    <w:p>
      <w:pPr>
        <w:spacing w:after="120" w:line="276" w:lineRule="auto"/>
      </w:pPr>
      <w:r>
        <w:t>**RSI :** Le RSI à 24,06 est en zone de survente (&lt;30), signalant une possible correction technique à la hausse. La décision d'achat est cohérente avec cette lecture, le titre apparaissant temporairement survendu.</w:t>
      </w:r>
    </w:p>
    <w:p>
      <w:pPr>
        <w:spacing w:after="120" w:line="276" w:lineRule="auto"/>
      </w:pPr>
      <w:r>
        <w:t>**Stochastique :** Le %K (18,75) et le %D (17,86) sont tous deux en zone de survente, avec un croisement haussier potentiel. La décision d'achat suggère un rebond technique imminent, bien que la tendance de fond reste incertaine.</w:t>
      </w:r>
    </w:p>
    <w:p>
      <w:pPr>
        <w:spacing w:after="120" w:line="276" w:lineRule="auto"/>
      </w:pPr>
      <w:r>
        <w:t>**Conclusion technique :** Les indicateurs sont mitigés : les moyennes mobiles et le MACD pointent vers une tendance baissière, tandis que le RSI et le stochastique signalent une survente et un possible rebond. La prudence est de mise, le titre semblant chercher un point d'équilibre.</w:t>
      </w:r>
    </w:p>
    <w:p>
      <w:pPr>
        <w:spacing w:after="120" w:line="276" w:lineRule="auto"/>
      </w:pPr>
      <w:r>
        <w:t>---</w:t>
      </w:r>
    </w:p>
    <w:p>
      <w:pPr>
        <w:spacing w:after="120" w:line="276" w:lineRule="auto"/>
      </w:pPr>
      <w:r>
        <w:t>### PARTIE 3 : ANALYSE FONDAMENTALE (SECTION CRITIQUE)</w:t>
      </w:r>
    </w:p>
    <w:p>
      <w:pPr>
        <w:spacing w:after="120" w:line="276" w:lineRule="auto"/>
      </w:pPr>
      <w:r>
        <w:t>En 2025, LNBB a enregistré un chiffre d'affaires de 98,598 milliards FCFA, en baisse de -3,85% par rapport à 2024, et un résultat net de 4,622 milliards FCFA, en recul de -36%. La marge nette s'établit à 4,69%, tandis que le ROE est excellent à 21,05% et le ROA à 14,17%, démontrant une utilisation efficace des fonds propres et des actifs. La structure financière est solide avec une autonomie financière de 67,32%, un ratio d'endettement très faible de 2,57% et une trésorerie nette positive de 7,979 milliards FCFA. Le BFR est négatif (-217 millions FCFA), un signe favorable pour une entreprise. Selon le rapport annuel 2025 (analysé en mai 2026), la baisse du CA est attribuée à la concurrence déloyale, mais le digital progresse de +18%. Les rapports trimestriels 2026 montrent une reprise : le T1 2026 affiche un CA en hausse de +6% mais un RN en baisse de -46% (848 millions FCFA), tandis que le S1 2026 indique un CA en hausse de +4% et un RN en progression de +60%, grâce aux partenariats. On estime que l'exercice 2026 pourrait voir un CA stable ou en légère hausse, avec une amélioration de la rentabilité nette, portée par la maîtrise des charges et les revenus B2B.</w:t>
      </w:r>
    </w:p>
    <w:p>
      <w:pPr>
        <w:spacing w:after="120" w:line="276" w:lineRule="auto"/>
      </w:pPr>
      <w:r>
        <w:t>---</w:t>
      </w:r>
    </w:p>
    <w:p>
      <w:pPr>
        <w:spacing w:after="120" w:line="276" w:lineRule="auto"/>
      </w:pPr>
      <w:r>
        <w:t>### PARTIE 4 : CONCLUSION D'INVESTISSEMENT</w:t>
      </w:r>
    </w:p>
    <w:p>
      <w:pPr>
        <w:spacing w:after="120" w:line="276" w:lineRule="auto"/>
      </w:pPr>
      <w:r>
        <w:t>La valorisation de LNBB (PER 17,6x, P/B 3,71x) apparaît exigeante, le marché intégrant déjà un potentiel de redressement. Le comportement du cours sur 100 jours montre une tendance positive (+4,49%) mais avec une volatilité élevée (36,2%) et une distribution asymétrique, signalant une certaine instabilité. Les signaux techniques sont divergents : les moyennes mobiles et le MACD sont baissiers, tandis que le RSI et le stochastique suggèrent un rebond imminent. Les fondamentaux sont solides (ROE &gt;20%, autonomie financière &gt;67%), mais la baisse du CA et du RN en 2025, suivie d'une reprise au S1 2026 (+60% du RN), crée une incertitude sur la pérennité de la croissance. Les prédictions IA (3 958-4 005 FCFA) indiquent une légère baisse à court terme, contredisant les signaux de survente. En synthèse, la convergence est faible entre une valorisation élevée, des signaux techniques mitigés et des fondamentaux en amélioration. **Recommandation : CONSERVER**, avec un niveau de confiance Moyen et un risque global Moyen. L'horizon d'investissement optimal est le moyen terme (3-12 mois), en attendant la confirmation des résultats annuels 2026 et l'impact des nouvelles initiatives digitales.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31.91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5,226 titres</w:t>
            </w:r>
          </w:p>
        </w:tc>
        <w:tc>
          <w:tcPr>
            <w:tcW w:type="dxa" w:w="2268"/>
            <w:shd w:fill="FFF2CC" w:val="clear"/>
          </w:tcPr>
          <w:p>
            <w:r>
              <w:rPr>
                <w:b/>
                <w:color w:val="503200"/>
                <w:sz w:val="16"/>
              </w:rPr>
              <w:t xml:space="preserve">Cours actuel : </w:t>
            </w:r>
            <w:r>
              <w:rPr>
                <w:color w:val="000000"/>
                <w:sz w:val="17"/>
              </w:rPr>
              <w:t>2,500 FCFA</w:t>
            </w:r>
          </w:p>
          <w:p>
            <w:r>
              <w:rPr>
                <w:b/>
                <w:color w:val="503200"/>
                <w:sz w:val="16"/>
              </w:rPr>
              <w:t xml:space="preserve">Var. 100 jours : </w:t>
            </w:r>
            <w:r>
              <w:rPr>
                <w:b/>
                <w:color w:val="007800"/>
                <w:sz w:val="17"/>
              </w:rPr>
              <w:t>+74.83%</w:t>
            </w:r>
          </w:p>
          <w:p>
            <w:r>
              <w:rPr>
                <w:b/>
                <w:color w:val="503200"/>
                <w:sz w:val="16"/>
              </w:rPr>
              <w:t xml:space="preserve">Plus haut 100j : </w:t>
            </w:r>
            <w:r>
              <w:rPr>
                <w:color w:val="000000"/>
                <w:sz w:val="17"/>
              </w:rPr>
              <w:t>2,500 FCFA</w:t>
            </w:r>
          </w:p>
          <w:p>
            <w:r>
              <w:rPr>
                <w:b/>
                <w:color w:val="503200"/>
                <w:sz w:val="16"/>
              </w:rPr>
              <w:t xml:space="preserve">Plus bas 100j : </w:t>
            </w:r>
            <w:r>
              <w:rPr>
                <w:color w:val="000000"/>
                <w:sz w:val="17"/>
              </w:rPr>
              <w:t>1,365 FCFA</w:t>
            </w:r>
          </w:p>
          <w:p>
            <w:r>
              <w:rPr>
                <w:b/>
                <w:color w:val="503200"/>
                <w:sz w:val="16"/>
              </w:rPr>
              <w:t xml:space="preserve">Volatilité ann. : </w:t>
            </w:r>
            <w:r>
              <w:rPr>
                <w:color w:val="000000"/>
                <w:sz w:val="17"/>
              </w:rPr>
              <w:t>51.3%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29.6/100 → Moyen</w:t>
      </w:r>
    </w:p>
    <w:p>
      <w:pPr>
        <w:spacing w:before="40" w:after="80"/>
      </w:pPr>
      <w:r>
        <w:rPr>
          <w:rFonts w:ascii="Courier New" w:hAnsi="Courier New"/>
          <w:color w:val="825A00"/>
          <w:sz w:val="18"/>
        </w:rPr>
        <w:t>█████░░░░░░░░░░░░░░░  29.6/100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16.78% (Élevée) — μ=1,988 FCFA, σ=334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β=0.0152 (Défensif) — Cov=0.000001, Var(idx)=0.000034, ρ=0.003,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5,226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σ_j=3.23%/j (Modérée) — Vol. annualisée≈51.3%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2026-08-27</w:t>
            </w:r>
          </w:p>
        </w:tc>
        <w:tc>
          <w:tcPr>
            <w:tcW w:type="dxa" w:w="1440"/>
            <w:shd w:fill="FFDCE0" w:val="clear"/>
          </w:tcPr>
          <w:p>
            <w:r>
              <w:rPr>
                <w:sz w:val="17"/>
              </w:rPr>
              <w:t>1,959</w:t>
            </w:r>
          </w:p>
        </w:tc>
        <w:tc>
          <w:tcPr>
            <w:tcW w:type="dxa" w:w="1440"/>
            <w:shd w:fill="FFDCE0" w:val="clear"/>
          </w:tcPr>
          <w:p>
            <w:r>
              <w:rPr>
                <w:b/>
                <w:sz w:val="17"/>
              </w:rPr>
              <w:t>2,139</w:t>
            </w:r>
          </w:p>
        </w:tc>
        <w:tc>
          <w:tcPr>
            <w:tcW w:type="dxa" w:w="1440"/>
            <w:shd w:fill="FFDCE0" w:val="clear"/>
          </w:tcPr>
          <w:p>
            <w:r>
              <w:rPr>
                <w:sz w:val="17"/>
              </w:rPr>
              <w:t>2,319</w:t>
            </w:r>
          </w:p>
        </w:tc>
        <w:tc>
          <w:tcPr>
            <w:tcW w:type="dxa" w:w="1440"/>
            <w:shd w:fill="FFDCE0" w:val="clear"/>
          </w:tcPr>
          <w:p>
            <w:r>
              <w:rPr>
                <w:b/>
                <w:color w:val="C00000"/>
                <w:sz w:val="17"/>
              </w:rPr>
              <w:t>-14.4%</w:t>
            </w:r>
          </w:p>
        </w:tc>
      </w:tr>
      <w:tr>
        <w:tc>
          <w:tcPr>
            <w:tcW w:type="dxa" w:w="1440"/>
            <w:shd w:fill="FFDCE0" w:val="clear"/>
          </w:tcPr>
          <w:p>
            <w:r>
              <w:rPr>
                <w:sz w:val="17"/>
              </w:rPr>
              <w:t>J+2  Moyenne</w:t>
            </w:r>
          </w:p>
        </w:tc>
        <w:tc>
          <w:tcPr>
            <w:tcW w:type="dxa" w:w="1440"/>
            <w:shd w:fill="FFDCE0" w:val="clear"/>
          </w:tcPr>
          <w:p>
            <w:r>
              <w:rPr>
                <w:sz w:val="17"/>
              </w:rPr>
              <w:t>2026-08-28</w:t>
            </w:r>
          </w:p>
        </w:tc>
        <w:tc>
          <w:tcPr>
            <w:tcW w:type="dxa" w:w="1440"/>
            <w:shd w:fill="FFDCE0" w:val="clear"/>
          </w:tcPr>
          <w:p>
            <w:r>
              <w:rPr>
                <w:sz w:val="17"/>
              </w:rPr>
              <w:t>1,775</w:t>
            </w:r>
          </w:p>
        </w:tc>
        <w:tc>
          <w:tcPr>
            <w:tcW w:type="dxa" w:w="1440"/>
            <w:shd w:fill="FFDCE0" w:val="clear"/>
          </w:tcPr>
          <w:p>
            <w:r>
              <w:rPr>
                <w:b/>
                <w:sz w:val="17"/>
              </w:rPr>
              <w:t>1,979</w:t>
            </w:r>
          </w:p>
        </w:tc>
        <w:tc>
          <w:tcPr>
            <w:tcW w:type="dxa" w:w="1440"/>
            <w:shd w:fill="FFDCE0" w:val="clear"/>
          </w:tcPr>
          <w:p>
            <w:r>
              <w:rPr>
                <w:sz w:val="17"/>
              </w:rPr>
              <w:t>2,183</w:t>
            </w:r>
          </w:p>
        </w:tc>
        <w:tc>
          <w:tcPr>
            <w:tcW w:type="dxa" w:w="1440"/>
            <w:shd w:fill="FFDCE0" w:val="clear"/>
          </w:tcPr>
          <w:p>
            <w:r>
              <w:rPr>
                <w:b/>
                <w:color w:val="C00000"/>
                <w:sz w:val="17"/>
              </w:rPr>
              <w:t>-20.9%</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1,612</w:t>
            </w:r>
          </w:p>
        </w:tc>
        <w:tc>
          <w:tcPr>
            <w:tcW w:type="dxa" w:w="1440"/>
            <w:shd w:fill="FFDCE0" w:val="clear"/>
          </w:tcPr>
          <w:p>
            <w:r>
              <w:rPr>
                <w:b/>
                <w:sz w:val="17"/>
              </w:rPr>
              <w:t>1,830</w:t>
            </w:r>
          </w:p>
        </w:tc>
        <w:tc>
          <w:tcPr>
            <w:tcW w:type="dxa" w:w="1440"/>
            <w:shd w:fill="FFDCE0" w:val="clear"/>
          </w:tcPr>
          <w:p>
            <w:r>
              <w:rPr>
                <w:sz w:val="17"/>
              </w:rPr>
              <w:t>2,048</w:t>
            </w:r>
          </w:p>
        </w:tc>
        <w:tc>
          <w:tcPr>
            <w:tcW w:type="dxa" w:w="1440"/>
            <w:shd w:fill="FFDCE0" w:val="clear"/>
          </w:tcPr>
          <w:p>
            <w:r>
              <w:rPr>
                <w:b/>
                <w:color w:val="C00000"/>
                <w:sz w:val="17"/>
              </w:rPr>
              <w:t>-26.8%</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1,487</w:t>
            </w:r>
          </w:p>
        </w:tc>
        <w:tc>
          <w:tcPr>
            <w:tcW w:type="dxa" w:w="1440"/>
            <w:shd w:fill="FFDCE0" w:val="clear"/>
          </w:tcPr>
          <w:p>
            <w:r>
              <w:rPr>
                <w:b/>
                <w:sz w:val="17"/>
              </w:rPr>
              <w:t>1,715</w:t>
            </w:r>
          </w:p>
        </w:tc>
        <w:tc>
          <w:tcPr>
            <w:tcW w:type="dxa" w:w="1440"/>
            <w:shd w:fill="FFDCE0" w:val="clear"/>
          </w:tcPr>
          <w:p>
            <w:r>
              <w:rPr>
                <w:sz w:val="17"/>
              </w:rPr>
              <w:t>1,944</w:t>
            </w:r>
          </w:p>
        </w:tc>
        <w:tc>
          <w:tcPr>
            <w:tcW w:type="dxa" w:w="1440"/>
            <w:shd w:fill="FFDCE0" w:val="clear"/>
          </w:tcPr>
          <w:p>
            <w:r>
              <w:rPr>
                <w:b/>
                <w:color w:val="C00000"/>
                <w:sz w:val="17"/>
              </w:rPr>
              <w:t>-31.4%</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1,400</w:t>
            </w:r>
          </w:p>
        </w:tc>
        <w:tc>
          <w:tcPr>
            <w:tcW w:type="dxa" w:w="1440"/>
            <w:shd w:fill="FFDCE0" w:val="clear"/>
          </w:tcPr>
          <w:p>
            <w:r>
              <w:rPr>
                <w:b/>
                <w:sz w:val="17"/>
              </w:rPr>
              <w:t>1,639</w:t>
            </w:r>
          </w:p>
        </w:tc>
        <w:tc>
          <w:tcPr>
            <w:tcW w:type="dxa" w:w="1440"/>
            <w:shd w:fill="FFDCE0" w:val="clear"/>
          </w:tcPr>
          <w:p>
            <w:r>
              <w:rPr>
                <w:sz w:val="17"/>
              </w:rPr>
              <w:t>1,878</w:t>
            </w:r>
          </w:p>
        </w:tc>
        <w:tc>
          <w:tcPr>
            <w:tcW w:type="dxa" w:w="1440"/>
            <w:shd w:fill="FFDCE0" w:val="clear"/>
          </w:tcPr>
          <w:p>
            <w:r>
              <w:rPr>
                <w:b/>
                <w:color w:val="C00000"/>
                <w:sz w:val="17"/>
              </w:rPr>
              <w:t>-34.4%</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1,326</w:t>
            </w:r>
          </w:p>
        </w:tc>
        <w:tc>
          <w:tcPr>
            <w:tcW w:type="dxa" w:w="1440"/>
            <w:shd w:fill="FFDCE0" w:val="clear"/>
          </w:tcPr>
          <w:p>
            <w:r>
              <w:rPr>
                <w:b/>
                <w:sz w:val="17"/>
              </w:rPr>
              <w:t>1,573</w:t>
            </w:r>
          </w:p>
        </w:tc>
        <w:tc>
          <w:tcPr>
            <w:tcW w:type="dxa" w:w="1440"/>
            <w:shd w:fill="FFDCE0" w:val="clear"/>
          </w:tcPr>
          <w:p>
            <w:r>
              <w:rPr>
                <w:sz w:val="17"/>
              </w:rPr>
              <w:t>1,821</w:t>
            </w:r>
          </w:p>
        </w:tc>
        <w:tc>
          <w:tcPr>
            <w:tcW w:type="dxa" w:w="1440"/>
            <w:shd w:fill="FFDCE0" w:val="clear"/>
          </w:tcPr>
          <w:p>
            <w:r>
              <w:rPr>
                <w:b/>
                <w:color w:val="C00000"/>
                <w:sz w:val="17"/>
              </w:rPr>
              <w:t>-37.1%</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1,261</w:t>
            </w:r>
          </w:p>
        </w:tc>
        <w:tc>
          <w:tcPr>
            <w:tcW w:type="dxa" w:w="1440"/>
            <w:shd w:fill="FFDCE0" w:val="clear"/>
          </w:tcPr>
          <w:p>
            <w:r>
              <w:rPr>
                <w:b/>
                <w:sz w:val="17"/>
              </w:rPr>
              <w:t>1,516</w:t>
            </w:r>
          </w:p>
        </w:tc>
        <w:tc>
          <w:tcPr>
            <w:tcW w:type="dxa" w:w="1440"/>
            <w:shd w:fill="FFDCE0" w:val="clear"/>
          </w:tcPr>
          <w:p>
            <w:r>
              <w:rPr>
                <w:sz w:val="17"/>
              </w:rPr>
              <w:t>1,771</w:t>
            </w:r>
          </w:p>
        </w:tc>
        <w:tc>
          <w:tcPr>
            <w:tcW w:type="dxa" w:w="1440"/>
            <w:shd w:fill="FFDCE0" w:val="clear"/>
          </w:tcPr>
          <w:p>
            <w:r>
              <w:rPr>
                <w:b/>
                <w:color w:val="C00000"/>
                <w:sz w:val="17"/>
              </w:rPr>
              <w:t>-39.4%</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1,203</w:t>
            </w:r>
          </w:p>
        </w:tc>
        <w:tc>
          <w:tcPr>
            <w:tcW w:type="dxa" w:w="1440"/>
            <w:shd w:fill="FFDCE0" w:val="clear"/>
          </w:tcPr>
          <w:p>
            <w:r>
              <w:rPr>
                <w:b/>
                <w:sz w:val="17"/>
              </w:rPr>
              <w:t>1,465</w:t>
            </w:r>
          </w:p>
        </w:tc>
        <w:tc>
          <w:tcPr>
            <w:tcW w:type="dxa" w:w="1440"/>
            <w:shd w:fill="FFDCE0" w:val="clear"/>
          </w:tcPr>
          <w:p>
            <w:r>
              <w:rPr>
                <w:sz w:val="17"/>
              </w:rPr>
              <w:t>1,726</w:t>
            </w:r>
          </w:p>
        </w:tc>
        <w:tc>
          <w:tcPr>
            <w:tcW w:type="dxa" w:w="1440"/>
            <w:shd w:fill="FFDCE0" w:val="clear"/>
          </w:tcPr>
          <w:p>
            <w:r>
              <w:rPr>
                <w:b/>
                <w:color w:val="C00000"/>
                <w:sz w:val="17"/>
              </w:rPr>
              <w:t>-41.4%</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1,152</w:t>
            </w:r>
          </w:p>
        </w:tc>
        <w:tc>
          <w:tcPr>
            <w:tcW w:type="dxa" w:w="1440"/>
            <w:shd w:fill="FFDCE0" w:val="clear"/>
          </w:tcPr>
          <w:p>
            <w:r>
              <w:rPr>
                <w:b/>
                <w:sz w:val="17"/>
              </w:rPr>
              <w:t>1,419</w:t>
            </w:r>
          </w:p>
        </w:tc>
        <w:tc>
          <w:tcPr>
            <w:tcW w:type="dxa" w:w="1440"/>
            <w:shd w:fill="FFDCE0" w:val="clear"/>
          </w:tcPr>
          <w:p>
            <w:r>
              <w:rPr>
                <w:sz w:val="17"/>
              </w:rPr>
              <w:t>1,685</w:t>
            </w:r>
          </w:p>
        </w:tc>
        <w:tc>
          <w:tcPr>
            <w:tcW w:type="dxa" w:w="1440"/>
            <w:shd w:fill="FFDCE0" w:val="clear"/>
          </w:tcPr>
          <w:p>
            <w:r>
              <w:rPr>
                <w:b/>
                <w:color w:val="C00000"/>
                <w:sz w:val="17"/>
              </w:rPr>
              <w:t>-43.3%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(NEI-CEDA)**</w:t>
        <w:br/>
        <w:t>**Date : 26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NEIC s'établit à 31,91 milliards FCFA, un niveau significatif pour une entreprise de cette taille sur la BRVM, reflétant l'intérêt marqué des investisseurs pour ce titre. Avec un BPA de 160 FCFA, le PER ressort à 15,7x, ce qui est supérieur à la moyenne historique de la BRVM (8-12x), indiquant que le marché paie une prime pour la croissance anticipée. Cependant, le P/B de 5,55x et l'EV/EBITDA de 23,4x sont particulièrement exigeants, signalant une valorisation qui intègre des attentes de performance future très élevées. Ces ratios suggèrent que le titre est valorisé bien au-delà de sa valeur comptable et de sa capacité opérationnelle actuelle, ce qui laisse peu de marge d'erreur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NEIC a enregistré une progression spectaculaire de +74,83%, avec une dernière séance en hausse de +4,17% pour clôturer à 2 500 FCFA. Le titre a évolué dans une fourchette large de 1 365 FCFA (plus bas) à 2 500 FCFA (plus haut), démontrant une dynamique haussière soutenue. La moyenne du cours sur la période (1 988 FCFA) est inférieure à la médiane (2 060 FCFA), et le skewness négatif (-0,722) indique que les rendements ont été plus fréquemment au-dessus de la moyenne, mais avec des épisodes de fortes baisses. L'écart-type de 335 FCFA (CV=16,9%) révèle une dispersion modérée, tandis que le kurtosis de -0,748 (mésokurtique) suggère une distribution proche de la normale, sans risque extrême de pics. La volatilité annualisée de 51,3% classe le titre comme très volatil, un niveau élevé qui implique des fluctuations importantes et un risque accru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(2 500 FCFA) se situe nettement au-dessus des MM20 (2 266,5 FCFA) et MM50 (2 259,1 FCFA), qui sont proches l'une de l'autre. Cette configuration haussière, avec un prix au-dessus des deux moyennes, confirme une tendance positive à court et moyen terme. La décision d'achat est justifiée par la vigueur du mouvement.</w:t>
      </w:r>
    </w:p>
    <w:p>
      <w:pPr>
        <w:spacing w:after="120" w:line="276" w:lineRule="auto"/>
      </w:pPr>
      <w:r>
        <w:t>**Bandes de Bollinger** : Le cours a franchi la borne supérieure (2 434,87 FCFA), ce qui indique une condition de surachat extrême. Cette sortie de bande signale une extension excessive du mouvement haussier et un risque élevé de correction technique à court terme. La décision de vente est donc pertinente pour un horizon immédiat.</w:t>
      </w:r>
    </w:p>
    <w:p>
      <w:pPr>
        <w:spacing w:after="120" w:line="276" w:lineRule="auto"/>
      </w:pPr>
      <w:r>
        <w:t>**MACD** : La valeur du MACD (35,856) est nettement supérieure à sa ligne de signal (12,895), avec un écart positif croissant. Ce croisement haussier confirme un momentum positif fort, soutenant la tendance haussière en cours. La décision d'achat est cohérente avec la dynamique actuelle.</w:t>
      </w:r>
    </w:p>
    <w:p>
      <w:pPr>
        <w:spacing w:after="120" w:line="276" w:lineRule="auto"/>
      </w:pPr>
      <w:r>
        <w:t>**RSI** : À 65,068, le RSI se situe en zone neutre, en dessous du seuil de surachat (70). Cela indique que la pression acheteuse reste soutenue sans être excessive, laissant une marge de progression avant d'atteindre des niveaux extrêmes. La décision neutre est appropriée.</w:t>
      </w:r>
    </w:p>
    <w:p>
      <w:pPr>
        <w:spacing w:after="120" w:line="276" w:lineRule="auto"/>
      </w:pPr>
      <w:r>
        <w:t>**Stochastique** : Le %K et le %D sont tous deux à 100, un niveau de surachat extrême qui signale une surchauffe du titre. Cette configuration suggère un essoufflement imminent du mouvement haussier et un risque élevé de retournement. La décision de vente est justifiée.</w:t>
      </w:r>
    </w:p>
    <w:p>
      <w:pPr>
        <w:spacing w:after="120" w:line="276" w:lineRule="auto"/>
      </w:pPr>
      <w:r>
        <w:t>**Conclusion technique** : Les indicateurs sont divergents : les moyennes mobiles et le MACD soutiennent la tendance haussière, tandis que les bandes de Bollinger et le stochastique signalent une surachat extrême. Le RSI reste neutre. Cette configuration indique une tendance de fond positive mais un risque élevé de correction technique à court terme. Un repli vers les zones de support (MM20 à 2 266 FCFA) serait sain avant une poursuite du mouvement.</w:t>
      </w:r>
    </w:p>
    <w:p>
      <w:pPr>
        <w:spacing w:after="120" w:line="276" w:lineRule="auto"/>
      </w:pPr>
      <w:r>
        <w:t>---</w:t>
      </w:r>
    </w:p>
    <w:p>
      <w:pPr>
        <w:spacing w:after="120" w:line="276" w:lineRule="auto"/>
      </w:pPr>
      <w:r>
        <w:t>### PARTIE 3 : ANALYSE FONDAMENTALE (SECTION CRITIQUE)</w:t>
      </w:r>
    </w:p>
    <w:p>
      <w:pPr>
        <w:spacing w:after="120" w:line="276" w:lineRule="auto"/>
      </w:pPr>
      <w:r>
        <w:t>**Données structurées (états financiers annuels 2025)** : En 2025, NEIC a réalisé un chiffre d'affaires de 5,139 milliards FCFA, en baisse de 23,8% par rapport à l'exercice précédent. Le résultat net s'établit à 2,037 milliards FCFA, porté par un résultat avant impôt exceptionnel de 2,467 milliards FCFA. La marge nette ressort à 39,6%, un niveau remarquable, et le ROE atteint 35,4%, témoignant d'une excellente rentabilité des fonds propres. Le ROA de 27,3% confirme l'efficacité de l'utilisation des actifs. La structure financière est saine avec une autonomie financière de 77% et une trésorerie nette positive de 4,196 milliards FCFA. Cependant, le délai clients de 154,7 jours constitue un risque de trésorerie, et le BFR de 1,498 milliard FCFA est positif, ce qui nécessite un financement. **Rapport 2025 (RAPPORT 2)** : Le résultat net 2025 est confirmé à 2,04 milliards FCFA (+169% vs 2024), avec un CA de 6,74 milliards FCFA (+29%), et un dividende proposé de 2,04 milliards FCFA (100% du résultat). **Rapport T3 2025** : Le CA du T3 2025 s'élève à 3,406 milliards FCFA (-35% vs T3 2024), avec un bénéfice net de 1,596 milliard FCFA, largement tiré par la reprise d'une provision pour redressement fiscal (élément non récurrent). **Rapport T1 2026** : Le CA a plus que doublé (+137%) à 115,1 millions FCFA, mais la perte nette persiste à -168,9 millions FCFA, en amélioration par rapport à -189,9 millions FCFA en T1 2025. **Estimations** : Sur la base du T1 2026, on estime que l'exercice 2026 pourrait voir une poursuite du redressement commercial, mais la rentabilité dépendra de la capacité à générer des revenus sur les trimestres suivants, traditionnellement plus porteurs. La performance 2025 est exceptionnelle mais non récurrente, et la baisse structurelle du CA (-23,8% en 2025, -35% au T3 2025) reste préoccupante.</w:t>
      </w:r>
    </w:p>
    <w:p>
      <w:pPr>
        <w:spacing w:after="120" w:line="276" w:lineRule="auto"/>
      </w:pPr>
      <w:r>
        <w:t>---</w:t>
      </w:r>
    </w:p>
    <w:p>
      <w:pPr>
        <w:spacing w:after="120" w:line="276" w:lineRule="auto"/>
      </w:pPr>
      <w:r>
        <w:t>### PARTIE 4 : CONCLUSION D'INVESTISSEMENT</w:t>
      </w:r>
    </w:p>
    <w:p>
      <w:pPr>
        <w:spacing w:after="120" w:line="276" w:lineRule="auto"/>
      </w:pPr>
      <w:r>
        <w:t>La valorisation de NEIC est exigeante (PER 15,7x, P/B 5,55x, EV/EBITDA 23,4x), intégrant des attentes de croissance élevées qui semblent difficiles à tenir compte tenu de la baisse structurelle du chiffre d'affaires. Le comportement du cours est très haussier (+74,83% sur 100 jours) mais avec une volatilité élevée (51,3%) et des statistiques montrant une asymétrie négative, suggérant un risque de retournement. Les signaux techniques sont mitigés : la tendance de fond reste positive (MM, MACD), mais les indicateurs de surachat (Bollinger, Stochastique) signalent un risque de correction imminent. Fondamentalement, la performance 2025 est exceptionnelle mais non récurrente, et les perspectives 2026 montrent une amélioration du CA mais des pertes persistantes. Les prédictions IA (J+1 à J+10) anticipent une chute brutale du cours vers 1 639 FCFA, soit une baisse de 34%, confirmant le risque de correction technique. **Recommandation finale : VENTE** pour les investisseurs à court terme, avec un niveau de confiance **Moyen** et un risque global **Élevé**. Pour les investisseurs à moyen/long terme, il est prudent d'attendre un repli significatif du cours vers les 1 800-2 000 FCFA avant d'envisager une position, en surveillant l'évolution du CA et la confirmation d'un redressement durable. Horizon d'investissement optimal : **court terme (&lt;3 mois) pour la vente, moyen terme (3-12 mois) pour une réévaluation**.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563.95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2,006 titres</w:t>
            </w:r>
          </w:p>
        </w:tc>
        <w:tc>
          <w:tcPr>
            <w:tcW w:type="dxa" w:w="2268"/>
            <w:shd w:fill="FFF2CC" w:val="clear"/>
          </w:tcPr>
          <w:p>
            <w:r>
              <w:rPr>
                <w:b/>
                <w:color w:val="503200"/>
                <w:sz w:val="16"/>
              </w:rPr>
              <w:t xml:space="preserve">Cours actuel : </w:t>
            </w:r>
            <w:r>
              <w:rPr>
                <w:color w:val="000000"/>
                <w:sz w:val="17"/>
              </w:rPr>
              <w:t>22,800 FCFA</w:t>
            </w:r>
          </w:p>
          <w:p>
            <w:r>
              <w:rPr>
                <w:b/>
                <w:color w:val="503200"/>
                <w:sz w:val="16"/>
              </w:rPr>
              <w:t xml:space="preserve">Var. 100 jours : </w:t>
            </w:r>
            <w:r>
              <w:rPr>
                <w:b/>
                <w:color w:val="007800"/>
                <w:sz w:val="17"/>
              </w:rPr>
              <w:t>+61.76%</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19.37% (Élevée) — μ=18,702 FCFA, σ=3,623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β=1.2833 (Agressif) — Cov=0.000044, Var(idx)=0.000034, ρ=0.315,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2,006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σ_j=2.37%/j (Stable) — Vol. annualisée≈37.6%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2026-08-27</w:t>
            </w:r>
          </w:p>
        </w:tc>
        <w:tc>
          <w:tcPr>
            <w:tcW w:type="dxa" w:w="1440"/>
            <w:shd w:fill="C6EFCE" w:val="clear"/>
          </w:tcPr>
          <w:p>
            <w:r>
              <w:rPr>
                <w:sz w:val="17"/>
              </w:rPr>
              <w:t>22,528</w:t>
            </w:r>
          </w:p>
        </w:tc>
        <w:tc>
          <w:tcPr>
            <w:tcW w:type="dxa" w:w="1440"/>
            <w:shd w:fill="C6EFCE" w:val="clear"/>
          </w:tcPr>
          <w:p>
            <w:r>
              <w:rPr>
                <w:b/>
                <w:sz w:val="17"/>
              </w:rPr>
              <w:t>23,806</w:t>
            </w:r>
          </w:p>
        </w:tc>
        <w:tc>
          <w:tcPr>
            <w:tcW w:type="dxa" w:w="1440"/>
            <w:shd w:fill="C6EFCE" w:val="clear"/>
          </w:tcPr>
          <w:p>
            <w:r>
              <w:rPr>
                <w:sz w:val="17"/>
              </w:rPr>
              <w:t>25,085</w:t>
            </w:r>
          </w:p>
        </w:tc>
        <w:tc>
          <w:tcPr>
            <w:tcW w:type="dxa" w:w="1440"/>
            <w:shd w:fill="C6EFCE" w:val="clear"/>
          </w:tcPr>
          <w:p>
            <w:r>
              <w:rPr>
                <w:b/>
                <w:color w:val="008000"/>
                <w:sz w:val="17"/>
              </w:rPr>
              <w:t>+4.4%</w:t>
            </w:r>
          </w:p>
        </w:tc>
      </w:tr>
      <w:tr>
        <w:tc>
          <w:tcPr>
            <w:tcW w:type="dxa" w:w="1440"/>
            <w:shd w:fill="C6EFCE" w:val="clear"/>
          </w:tcPr>
          <w:p>
            <w:r>
              <w:rPr>
                <w:sz w:val="17"/>
              </w:rPr>
              <w:t>J+2  Moyenne</w:t>
            </w:r>
          </w:p>
        </w:tc>
        <w:tc>
          <w:tcPr>
            <w:tcW w:type="dxa" w:w="1440"/>
            <w:shd w:fill="C6EFCE" w:val="clear"/>
          </w:tcPr>
          <w:p>
            <w:r>
              <w:rPr>
                <w:sz w:val="17"/>
              </w:rPr>
              <w:t>2026-08-28</w:t>
            </w:r>
          </w:p>
        </w:tc>
        <w:tc>
          <w:tcPr>
            <w:tcW w:type="dxa" w:w="1440"/>
            <w:shd w:fill="C6EFCE" w:val="clear"/>
          </w:tcPr>
          <w:p>
            <w:r>
              <w:rPr>
                <w:sz w:val="17"/>
              </w:rPr>
              <w:t>22,621</w:t>
            </w:r>
          </w:p>
        </w:tc>
        <w:tc>
          <w:tcPr>
            <w:tcW w:type="dxa" w:w="1440"/>
            <w:shd w:fill="C6EFCE" w:val="clear"/>
          </w:tcPr>
          <w:p>
            <w:r>
              <w:rPr>
                <w:b/>
                <w:sz w:val="17"/>
              </w:rPr>
              <w:t>24,213</w:t>
            </w:r>
          </w:p>
        </w:tc>
        <w:tc>
          <w:tcPr>
            <w:tcW w:type="dxa" w:w="1440"/>
            <w:shd w:fill="C6EFCE" w:val="clear"/>
          </w:tcPr>
          <w:p>
            <w:r>
              <w:rPr>
                <w:sz w:val="17"/>
              </w:rPr>
              <w:t>25,805</w:t>
            </w:r>
          </w:p>
        </w:tc>
        <w:tc>
          <w:tcPr>
            <w:tcW w:type="dxa" w:w="1440"/>
            <w:shd w:fill="C6EFCE" w:val="clear"/>
          </w:tcPr>
          <w:p>
            <w:r>
              <w:rPr>
                <w:b/>
                <w:color w:val="008000"/>
                <w:sz w:val="17"/>
              </w:rPr>
              <w:t>+6.2%</w:t>
            </w:r>
          </w:p>
        </w:tc>
      </w:tr>
      <w:tr>
        <w:tc>
          <w:tcPr>
            <w:tcW w:type="dxa" w:w="1440"/>
            <w:shd w:fill="C6EFCE" w:val="clear"/>
          </w:tcPr>
          <w:p>
            <w:r>
              <w:rPr>
                <w:sz w:val="17"/>
              </w:rPr>
              <w:t>J+3  ⭐</w:t>
            </w:r>
          </w:p>
        </w:tc>
        <w:tc>
          <w:tcPr>
            <w:tcW w:type="dxa" w:w="1440"/>
            <w:shd w:fill="C6EFCE" w:val="clear"/>
          </w:tcPr>
          <w:p>
            <w:r>
              <w:rPr>
                <w:sz w:val="17"/>
              </w:rPr>
              <w:t>2026-08-31</w:t>
            </w:r>
          </w:p>
        </w:tc>
        <w:tc>
          <w:tcPr>
            <w:tcW w:type="dxa" w:w="1440"/>
            <w:shd w:fill="C6EFCE" w:val="clear"/>
          </w:tcPr>
          <w:p>
            <w:r>
              <w:rPr>
                <w:sz w:val="17"/>
              </w:rPr>
              <w:t>22,736</w:t>
            </w:r>
          </w:p>
        </w:tc>
        <w:tc>
          <w:tcPr>
            <w:tcW w:type="dxa" w:w="1440"/>
            <w:shd w:fill="C6EFCE" w:val="clear"/>
          </w:tcPr>
          <w:p>
            <w:r>
              <w:rPr>
                <w:b/>
                <w:sz w:val="17"/>
              </w:rPr>
              <w:t>24,605</w:t>
            </w:r>
          </w:p>
        </w:tc>
        <w:tc>
          <w:tcPr>
            <w:tcW w:type="dxa" w:w="1440"/>
            <w:shd w:fill="C6EFCE" w:val="clear"/>
          </w:tcPr>
          <w:p>
            <w:r>
              <w:rPr>
                <w:sz w:val="17"/>
              </w:rPr>
              <w:t>26,473</w:t>
            </w:r>
          </w:p>
        </w:tc>
        <w:tc>
          <w:tcPr>
            <w:tcW w:type="dxa" w:w="1440"/>
            <w:shd w:fill="C6EFCE" w:val="clear"/>
          </w:tcPr>
          <w:p>
            <w:r>
              <w:rPr>
                <w:b/>
                <w:color w:val="008000"/>
                <w:sz w:val="17"/>
              </w:rPr>
              <w:t>+7.9%</w:t>
            </w:r>
          </w:p>
        </w:tc>
      </w:tr>
      <w:tr>
        <w:tc>
          <w:tcPr>
            <w:tcW w:type="dxa" w:w="1440"/>
            <w:shd w:fill="C6EFCE" w:val="clear"/>
          </w:tcPr>
          <w:p>
            <w:r>
              <w:rPr>
                <w:sz w:val="17"/>
              </w:rPr>
              <w:t>J+4  ⭐</w:t>
            </w:r>
          </w:p>
        </w:tc>
        <w:tc>
          <w:tcPr>
            <w:tcW w:type="dxa" w:w="1440"/>
            <w:shd w:fill="C6EFCE" w:val="clear"/>
          </w:tcPr>
          <w:p>
            <w:r>
              <w:rPr>
                <w:sz w:val="17"/>
              </w:rPr>
              <w:t>2026-09-01</w:t>
            </w:r>
          </w:p>
        </w:tc>
        <w:tc>
          <w:tcPr>
            <w:tcW w:type="dxa" w:w="1440"/>
            <w:shd w:fill="C6EFCE" w:val="clear"/>
          </w:tcPr>
          <w:p>
            <w:r>
              <w:rPr>
                <w:sz w:val="17"/>
              </w:rPr>
              <w:t>22,871</w:t>
            </w:r>
          </w:p>
        </w:tc>
        <w:tc>
          <w:tcPr>
            <w:tcW w:type="dxa" w:w="1440"/>
            <w:shd w:fill="C6EFCE" w:val="clear"/>
          </w:tcPr>
          <w:p>
            <w:r>
              <w:rPr>
                <w:b/>
                <w:sz w:val="17"/>
              </w:rPr>
              <w:t>24,993</w:t>
            </w:r>
          </w:p>
        </w:tc>
        <w:tc>
          <w:tcPr>
            <w:tcW w:type="dxa" w:w="1440"/>
            <w:shd w:fill="C6EFCE" w:val="clear"/>
          </w:tcPr>
          <w:p>
            <w:r>
              <w:rPr>
                <w:sz w:val="17"/>
              </w:rPr>
              <w:t>27,115</w:t>
            </w:r>
          </w:p>
        </w:tc>
        <w:tc>
          <w:tcPr>
            <w:tcW w:type="dxa" w:w="1440"/>
            <w:shd w:fill="C6EFCE" w:val="clear"/>
          </w:tcPr>
          <w:p>
            <w:r>
              <w:rPr>
                <w:b/>
                <w:color w:val="008000"/>
                <w:sz w:val="17"/>
              </w:rPr>
              <w:t>+9.6%</w:t>
            </w:r>
          </w:p>
        </w:tc>
      </w:tr>
      <w:tr>
        <w:tc>
          <w:tcPr>
            <w:tcW w:type="dxa" w:w="1440"/>
            <w:shd w:fill="C6EFCE" w:val="clear"/>
          </w:tcPr>
          <w:p>
            <w:r>
              <w:rPr>
                <w:sz w:val="17"/>
              </w:rPr>
              <w:t>J+5  ⭐</w:t>
            </w:r>
          </w:p>
        </w:tc>
        <w:tc>
          <w:tcPr>
            <w:tcW w:type="dxa" w:w="1440"/>
            <w:shd w:fill="C6EFCE" w:val="clear"/>
          </w:tcPr>
          <w:p>
            <w:r>
              <w:rPr>
                <w:sz w:val="17"/>
              </w:rPr>
              <w:t>2026-09-02</w:t>
            </w:r>
          </w:p>
        </w:tc>
        <w:tc>
          <w:tcPr>
            <w:tcW w:type="dxa" w:w="1440"/>
            <w:shd w:fill="C6EFCE" w:val="clear"/>
          </w:tcPr>
          <w:p>
            <w:r>
              <w:rPr>
                <w:sz w:val="17"/>
              </w:rPr>
              <w:t>23,019</w:t>
            </w:r>
          </w:p>
        </w:tc>
        <w:tc>
          <w:tcPr>
            <w:tcW w:type="dxa" w:w="1440"/>
            <w:shd w:fill="C6EFCE" w:val="clear"/>
          </w:tcPr>
          <w:p>
            <w:r>
              <w:rPr>
                <w:b/>
                <w:sz w:val="17"/>
              </w:rPr>
              <w:t>25,379</w:t>
            </w:r>
          </w:p>
        </w:tc>
        <w:tc>
          <w:tcPr>
            <w:tcW w:type="dxa" w:w="1440"/>
            <w:shd w:fill="C6EFCE" w:val="clear"/>
          </w:tcPr>
          <w:p>
            <w:r>
              <w:rPr>
                <w:sz w:val="17"/>
              </w:rPr>
              <w:t>27,740</w:t>
            </w:r>
          </w:p>
        </w:tc>
        <w:tc>
          <w:tcPr>
            <w:tcW w:type="dxa" w:w="1440"/>
            <w:shd w:fill="C6EFCE" w:val="clear"/>
          </w:tcPr>
          <w:p>
            <w:r>
              <w:rPr>
                <w:b/>
                <w:color w:val="008000"/>
                <w:sz w:val="17"/>
              </w:rPr>
              <w:t>+11.3%</w:t>
            </w:r>
          </w:p>
        </w:tc>
      </w:tr>
      <w:tr>
        <w:tc>
          <w:tcPr>
            <w:tcW w:type="dxa" w:w="1440"/>
            <w:shd w:fill="C6EFCE" w:val="clear"/>
          </w:tcPr>
          <w:p>
            <w:r>
              <w:rPr>
                <w:sz w:val="17"/>
              </w:rPr>
              <w:t>J+6  ⭐</w:t>
            </w:r>
          </w:p>
        </w:tc>
        <w:tc>
          <w:tcPr>
            <w:tcW w:type="dxa" w:w="1440"/>
            <w:shd w:fill="C6EFCE" w:val="clear"/>
          </w:tcPr>
          <w:p>
            <w:r>
              <w:rPr>
                <w:sz w:val="17"/>
              </w:rPr>
              <w:t>2026-09-03</w:t>
            </w:r>
          </w:p>
        </w:tc>
        <w:tc>
          <w:tcPr>
            <w:tcW w:type="dxa" w:w="1440"/>
            <w:shd w:fill="C6EFCE" w:val="clear"/>
          </w:tcPr>
          <w:p>
            <w:r>
              <w:rPr>
                <w:sz w:val="17"/>
              </w:rPr>
              <w:t>23,177</w:t>
            </w:r>
          </w:p>
        </w:tc>
        <w:tc>
          <w:tcPr>
            <w:tcW w:type="dxa" w:w="1440"/>
            <w:shd w:fill="C6EFCE" w:val="clear"/>
          </w:tcPr>
          <w:p>
            <w:r>
              <w:rPr>
                <w:b/>
                <w:sz w:val="17"/>
              </w:rPr>
              <w:t>25,765</w:t>
            </w:r>
          </w:p>
        </w:tc>
        <w:tc>
          <w:tcPr>
            <w:tcW w:type="dxa" w:w="1440"/>
            <w:shd w:fill="C6EFCE" w:val="clear"/>
          </w:tcPr>
          <w:p>
            <w:r>
              <w:rPr>
                <w:sz w:val="17"/>
              </w:rPr>
              <w:t>28,354</w:t>
            </w:r>
          </w:p>
        </w:tc>
        <w:tc>
          <w:tcPr>
            <w:tcW w:type="dxa" w:w="1440"/>
            <w:shd w:fill="C6EFCE" w:val="clear"/>
          </w:tcPr>
          <w:p>
            <w:r>
              <w:rPr>
                <w:b/>
                <w:color w:val="008000"/>
                <w:sz w:val="17"/>
              </w:rPr>
              <w:t>+13.0%</w:t>
            </w:r>
          </w:p>
        </w:tc>
      </w:tr>
      <w:tr>
        <w:tc>
          <w:tcPr>
            <w:tcW w:type="dxa" w:w="1440"/>
            <w:shd w:fill="C6EFCE" w:val="clear"/>
          </w:tcPr>
          <w:p>
            <w:r>
              <w:rPr>
                <w:sz w:val="17"/>
              </w:rPr>
              <w:t>J+7  ⭐</w:t>
            </w:r>
          </w:p>
        </w:tc>
        <w:tc>
          <w:tcPr>
            <w:tcW w:type="dxa" w:w="1440"/>
            <w:shd w:fill="C6EFCE" w:val="clear"/>
          </w:tcPr>
          <w:p>
            <w:r>
              <w:rPr>
                <w:sz w:val="17"/>
              </w:rPr>
              <w:t>2026-09-04</w:t>
            </w:r>
          </w:p>
        </w:tc>
        <w:tc>
          <w:tcPr>
            <w:tcW w:type="dxa" w:w="1440"/>
            <w:shd w:fill="C6EFCE" w:val="clear"/>
          </w:tcPr>
          <w:p>
            <w:r>
              <w:rPr>
                <w:sz w:val="17"/>
              </w:rPr>
              <w:t>23,342</w:t>
            </w:r>
          </w:p>
        </w:tc>
        <w:tc>
          <w:tcPr>
            <w:tcW w:type="dxa" w:w="1440"/>
            <w:shd w:fill="C6EFCE" w:val="clear"/>
          </w:tcPr>
          <w:p>
            <w:r>
              <w:rPr>
                <w:b/>
                <w:sz w:val="17"/>
              </w:rPr>
              <w:t>26,151</w:t>
            </w:r>
          </w:p>
        </w:tc>
        <w:tc>
          <w:tcPr>
            <w:tcW w:type="dxa" w:w="1440"/>
            <w:shd w:fill="C6EFCE" w:val="clear"/>
          </w:tcPr>
          <w:p>
            <w:r>
              <w:rPr>
                <w:sz w:val="17"/>
              </w:rPr>
              <w:t>28,959</w:t>
            </w:r>
          </w:p>
        </w:tc>
        <w:tc>
          <w:tcPr>
            <w:tcW w:type="dxa" w:w="1440"/>
            <w:shd w:fill="C6EFCE" w:val="clear"/>
          </w:tcPr>
          <w:p>
            <w:r>
              <w:rPr>
                <w:b/>
                <w:color w:val="008000"/>
                <w:sz w:val="17"/>
              </w:rPr>
              <w:t>+14.7%</w:t>
            </w:r>
          </w:p>
        </w:tc>
      </w:tr>
      <w:tr>
        <w:tc>
          <w:tcPr>
            <w:tcW w:type="dxa" w:w="1440"/>
            <w:shd w:fill="C6EFCE" w:val="clear"/>
          </w:tcPr>
          <w:p>
            <w:r>
              <w:rPr>
                <w:sz w:val="17"/>
              </w:rPr>
              <w:t>J+8  ⭐</w:t>
            </w:r>
          </w:p>
        </w:tc>
        <w:tc>
          <w:tcPr>
            <w:tcW w:type="dxa" w:w="1440"/>
            <w:shd w:fill="C6EFCE" w:val="clear"/>
          </w:tcPr>
          <w:p>
            <w:r>
              <w:rPr>
                <w:sz w:val="17"/>
              </w:rPr>
              <w:t>2026-09-07</w:t>
            </w:r>
          </w:p>
        </w:tc>
        <w:tc>
          <w:tcPr>
            <w:tcW w:type="dxa" w:w="1440"/>
            <w:shd w:fill="C6EFCE" w:val="clear"/>
          </w:tcPr>
          <w:p>
            <w:r>
              <w:rPr>
                <w:sz w:val="17"/>
              </w:rPr>
              <w:t>23,512</w:t>
            </w:r>
          </w:p>
        </w:tc>
        <w:tc>
          <w:tcPr>
            <w:tcW w:type="dxa" w:w="1440"/>
            <w:shd w:fill="C6EFCE" w:val="clear"/>
          </w:tcPr>
          <w:p>
            <w:r>
              <w:rPr>
                <w:b/>
                <w:sz w:val="17"/>
              </w:rPr>
              <w:t>26,535</w:t>
            </w:r>
          </w:p>
        </w:tc>
        <w:tc>
          <w:tcPr>
            <w:tcW w:type="dxa" w:w="1440"/>
            <w:shd w:fill="C6EFCE" w:val="clear"/>
          </w:tcPr>
          <w:p>
            <w:r>
              <w:rPr>
                <w:sz w:val="17"/>
              </w:rPr>
              <w:t>29,558</w:t>
            </w:r>
          </w:p>
        </w:tc>
        <w:tc>
          <w:tcPr>
            <w:tcW w:type="dxa" w:w="1440"/>
            <w:shd w:fill="C6EFCE" w:val="clear"/>
          </w:tcPr>
          <w:p>
            <w:r>
              <w:rPr>
                <w:b/>
                <w:color w:val="008000"/>
                <w:sz w:val="17"/>
              </w:rPr>
              <w:t>+16.4%</w:t>
            </w:r>
          </w:p>
        </w:tc>
      </w:tr>
      <w:tr>
        <w:tc>
          <w:tcPr>
            <w:tcW w:type="dxa" w:w="1440"/>
            <w:shd w:fill="C6EFCE" w:val="clear"/>
          </w:tcPr>
          <w:p>
            <w:r>
              <w:rPr>
                <w:sz w:val="17"/>
              </w:rPr>
              <w:t>J+9  ⭐</w:t>
            </w:r>
          </w:p>
        </w:tc>
        <w:tc>
          <w:tcPr>
            <w:tcW w:type="dxa" w:w="1440"/>
            <w:shd w:fill="C6EFCE" w:val="clear"/>
          </w:tcPr>
          <w:p>
            <w:r>
              <w:rPr>
                <w:sz w:val="17"/>
              </w:rPr>
              <w:t>2026-09-08</w:t>
            </w:r>
          </w:p>
        </w:tc>
        <w:tc>
          <w:tcPr>
            <w:tcW w:type="dxa" w:w="1440"/>
            <w:shd w:fill="C6EFCE" w:val="clear"/>
          </w:tcPr>
          <w:p>
            <w:r>
              <w:rPr>
                <w:sz w:val="17"/>
              </w:rPr>
              <w:t>23,686</w:t>
            </w:r>
          </w:p>
        </w:tc>
        <w:tc>
          <w:tcPr>
            <w:tcW w:type="dxa" w:w="1440"/>
            <w:shd w:fill="C6EFCE" w:val="clear"/>
          </w:tcPr>
          <w:p>
            <w:r>
              <w:rPr>
                <w:b/>
                <w:sz w:val="17"/>
              </w:rPr>
              <w:t>26,919</w:t>
            </w:r>
          </w:p>
        </w:tc>
        <w:tc>
          <w:tcPr>
            <w:tcW w:type="dxa" w:w="1440"/>
            <w:shd w:fill="C6EFCE" w:val="clear"/>
          </w:tcPr>
          <w:p>
            <w:r>
              <w:rPr>
                <w:sz w:val="17"/>
              </w:rPr>
              <w:t>30,151</w:t>
            </w:r>
          </w:p>
        </w:tc>
        <w:tc>
          <w:tcPr>
            <w:tcW w:type="dxa" w:w="1440"/>
            <w:shd w:fill="C6EFCE" w:val="clear"/>
          </w:tcPr>
          <w:p>
            <w:r>
              <w:rPr>
                <w:b/>
                <w:color w:val="008000"/>
                <w:sz w:val="17"/>
              </w:rPr>
              <w:t>+18.1%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NSIA BANQUE CÔTE D'IVOIRE (NSBC)**</w:t>
        <w:br/>
        <w:t>**Date de l'analyse : 26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NSBC s'établit à 563,95 milliards FCFA, ce qui positionne le titre parmi les valeurs bancaires majeures de la BRVM, reflétant une liquidité et une visibilité institutionnelle importantes. Avec un BPA de 1 646 FCFA, le PER de 13,9x se situe au-dessus de la moyenne historique du marché (8-12x), indiquant que les investisseurs acceptent de payer une prime pour la qualité de la croissance de la banque. Le P/B de 2,42x confirme cette prime, le marché valorisant les capitaux propres à plus du double de leur valeur comptable, signe d'une confiance dans la création de valeur future. Enfin, l'EV/EBITDA de 21,4x est exigeant, suggérant que la valorisation intègre déjà des hypothèses de performance opérationnelle soutenue. Ces ratios, dans leur ensemble, dépeignent une valeur de qualité, mais dont le prix reflète largement les attentes de croissance.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NSBC a enregistré une progression spectaculaire de +61,76%, passant d'un plus bas de 13 810 FCFA à un plus haut de 24 020 FCFA, avant de clôturer à 22 800 FCFA, avec une légère correction de -0,44% lors de la dernière séance. Cette tendance est fortement haussière, portée par des fondamentaux solides. La moyenne du cours sur la période (18 702 FCFA) est inférieure à la médiane (19 150 FCFA), suggérant une distribution légèrement asymétrique avec une concentration des prix vers le bas de la fourchette avant l'accélération récente. L'écart-type de 3 641 FCFA (CV de 19,5%) indique une dispersion modérée. Le kurtosis négatif (-1,448) révèle une distribution aplatie, avec peu de variations extrêmes, tandis que le skewness proche de zéro (-0,098) confirme une symétrie relative. La volatilité annualisée de 37,6% classe NSBC comme un titre à forte volatilité, offrant un potentiel de rendement élevé mais avec un risque de fluctuations de prix significatif.</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(22 800 FCFA) se positionne au-dessus de la MM20 (23 327,25 FCFA) et de la MM50 (21 769,4 FCFA). La configuration haussière, avec le cours soutenu par ces moyennes, génère un signal d'**Achat**. La MM20 étant supérieure à la MM50, la tendance de fond reste positive, bien que le cours ait légèrement reculé sous sa moyenne à court terme, ce qui pourrait indiquer une consolidation.</w:t>
      </w:r>
    </w:p>
    <w:p>
      <w:pPr>
        <w:spacing w:after="120" w:line="276" w:lineRule="auto"/>
      </w:pPr>
      <w:r>
        <w:t>**Bandes de Bollinger** : Le cours se situe près de la borne inférieure (22 589,141 FCFA) et nettement sous la borne supérieure (24 065,359 FCFA). Cette position suggère une récente correction après une période de forte hausse, avec une volatilité qui se normalise. Le signal est **Neutre**, le marché cherchant un nouvel équilibre après le mouvement haussier.</w:t>
      </w:r>
    </w:p>
    <w:p>
      <w:pPr>
        <w:spacing w:after="120" w:line="276" w:lineRule="auto"/>
      </w:pPr>
      <w:r>
        <w:t>**MACD** : La valeur du MACD (280,515) est inférieure à sa ligne de signal (489,356), indiquant un momentum baissier à court terme. Ce croisement baissier, après une période de forte progression, suggère une possible phase de consolidation ou de correction. La décision associée est **Vente**.</w:t>
      </w:r>
    </w:p>
    <w:p>
      <w:pPr>
        <w:spacing w:after="120" w:line="276" w:lineRule="auto"/>
      </w:pPr>
      <w:r>
        <w:t>**RSI** : Avec une valeur de 16,848, le RSI est en territoire de **survente** extrême (&lt;30). Cela indique que le titre a été vendu de manière excessive à court terme et qu'un rebond technique est probable. Le signal est un **Achat** opportuniste pour les traders à court terme.</w:t>
      </w:r>
    </w:p>
    <w:p>
      <w:pPr>
        <w:spacing w:after="120" w:line="276" w:lineRule="auto"/>
      </w:pPr>
      <w:r>
        <w:t>**Stochastique** : Les valeurs %K et %D à 0,0 confirment la condition de survente extrême. Le titre est au plus bas de sa fourchette de négociation récente, ce qui renforce le signal d'**Achat** pour un rebond technique imminent.</w:t>
      </w:r>
    </w:p>
    <w:p>
      <w:pPr>
        <w:spacing w:after="120" w:line="276" w:lineRule="auto"/>
      </w:pPr>
      <w:r>
        <w:t>**Conclusion technique** : Les indicateurs de momentum (MACD) signalent une faiblesse à court terme, mais les oscillateurs de survente (RSI, Stochastique) suggèrent un fort potentiel de rebond. La tendance de fond (MM) reste positive. Le scénario le plus probable est une stabilisation du cours autour des 22 500-23 000 FCFA avant une reprise de la tendance haussière, à condition que le support des 22 500 FCFA tienne.</w:t>
      </w:r>
    </w:p>
    <w:p>
      <w:pPr>
        <w:spacing w:after="120" w:line="276" w:lineRule="auto"/>
      </w:pPr>
      <w:r>
        <w:t>---</w:t>
      </w:r>
    </w:p>
    <w:p>
      <w:pPr>
        <w:spacing w:after="120" w:line="276" w:lineRule="auto"/>
      </w:pPr>
      <w:r>
        <w:t>### PARTIE 3 : ANALYSE FONDAMENTALE (SECTION CRITIQUE)</w:t>
      </w:r>
    </w:p>
    <w:p>
      <w:pPr>
        <w:spacing w:after="120" w:line="276" w:lineRule="auto"/>
      </w:pPr>
      <w:r>
        <w:t>En 2025, NSBC a affiché des performances financières robustes. Le Produit Net Bancaire (PNB) s'est établi à 112,928 milliards FCFA, en hausse de 15% par rapport à 2024, avec un résultat net de 40,712 milliards FCFA (+7%). La banque démontre une excellente efficacité opérationnelle avec un coefficient d'exploitation de 54,59% (&lt;60%), et une rentabilité des fonds propres (ROE) de 17,45%, supérieure au seuil de 15% jugé excellent. Le ROA de 1,32% est également sain. Cependant, le coût du risque s'est dégradé, passant d'une reprise de 0,6 milliard FCFA en 2024 à une dotation de -8,5 milliards FCFA en 2025, signalant une détérioration de la qualité du portefeuille de crédits. Le ratio de transformation est sain avec des dépôts clientèle (2 242,218 Mds FCFA) largement supérieurs aux créances sur la clientèle (1 818,671 Mds FCFA). Les rapports trimestriels de 2026 confirment cette dynamique : le T1 2026 montre un PNB de 28,6 milliards FCFA (+28% vs T1 2025) et un résultat net de 10,9 milliards FCFA (+53%), porté par l'activité titres. Sur la base de cette performance, on estime que l'exercice 2026 pourrait voir le résultat net dépasser les 45 milliards FCFA, soit une croissance de plus de 10%. La solidité financière est confortée par un total de bilan de 3 073 milliards FCFA et des capitaux propres de 233,3 milliards FCFA.</w:t>
      </w:r>
    </w:p>
    <w:p>
      <w:pPr>
        <w:spacing w:after="120" w:line="276" w:lineRule="auto"/>
      </w:pPr>
      <w:r>
        <w:t>---</w:t>
      </w:r>
    </w:p>
    <w:p>
      <w:pPr>
        <w:spacing w:after="120" w:line="276" w:lineRule="auto"/>
      </w:pPr>
      <w:r>
        <w:t>### PARTIE 4 : CONCLUSION D'INVESTISSEMENT</w:t>
      </w:r>
    </w:p>
    <w:p>
      <w:pPr>
        <w:spacing w:after="120" w:line="276" w:lineRule="auto"/>
      </w:pPr>
      <w:r>
        <w:t>La valorisation de NSBC (PER 13,9x, P/B 2,42x) est exigeante mais justifiée par la qualité de ses fondamentaux et ses perspectives de croissance. Le comportement du cours sur 100 jours (+61,76%) témoigne d'un fort momentum haussier, bien que la volatilité élevée (37,6%) et les statistiques de distribution (kurtosis plat) suggèrent un potentiel de consolidation. Les signaux techniques sont mitigés à court terme : survente (RSI, Stochastique) suggérant un rebond, mais un MACD vendeur et un prix sous la MM20 indiquant une pause. Les fondamentaux, eux, sont indiscutablement solides avec une croissance à deux chiffres du PNB et du résultat net, une rentabilité élevée et une base de dépôts massive. Les prédictions IA pour les 10 prochains jours (23 806 à 25 379 FCFA) confirment une poursuite de la tendance haussière, en ligne avec les fondamentaux. **Recommandation finale : ACHAT**. La convergence entre la solidité financière, la dynamique de croissance et les prédictions IA, malgré une valorisation élevée, justifie cette position. **Niveau de confiance : Élevé**. **Niveau de risque : Moyen** (volatilité et valorisation). **Horizon d'investissement optimal : Moyen terme (3-12 mois)**, pour capitaliser sur la croissance continue et une possible appréciation vers les 25 000 FCFA.</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372.99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1,465 titres</w:t>
            </w:r>
          </w:p>
        </w:tc>
        <w:tc>
          <w:tcPr>
            <w:tcW w:type="dxa" w:w="2268"/>
            <w:shd w:fill="FFF2CC" w:val="clear"/>
          </w:tcPr>
          <w:p>
            <w:r>
              <w:rPr>
                <w:b/>
                <w:color w:val="503200"/>
                <w:sz w:val="16"/>
              </w:rPr>
              <w:t xml:space="preserve">Cours actuel : </w:t>
            </w:r>
            <w:r>
              <w:rPr>
                <w:color w:val="000000"/>
                <w:sz w:val="17"/>
              </w:rPr>
              <w:t>16,900 FCFA</w:t>
            </w:r>
          </w:p>
          <w:p>
            <w:r>
              <w:rPr>
                <w:b/>
                <w:color w:val="503200"/>
                <w:sz w:val="16"/>
              </w:rPr>
              <w:t xml:space="preserve">Var. 100 jours : </w:t>
            </w:r>
            <w:r>
              <w:rPr>
                <w:b/>
                <w:color w:val="007800"/>
                <w:sz w:val="17"/>
              </w:rPr>
              <w:t>+31.01%</w:t>
            </w:r>
          </w:p>
          <w:p>
            <w:r>
              <w:rPr>
                <w:b/>
                <w:color w:val="503200"/>
                <w:sz w:val="16"/>
              </w:rPr>
              <w:t xml:space="preserve">Plus haut 100j : </w:t>
            </w:r>
            <w:r>
              <w:rPr>
                <w:color w:val="000000"/>
                <w:sz w:val="17"/>
              </w:rPr>
              <w:t>17,450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14.04% (Moyenne) — μ=14,351 FCFA, σ=2,015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β=0.0163 (Défensif) — Cov=0.000001, Var(idx)=0.000034, ρ=0.004,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1,465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σ_j=2.13%/j (Stable) — Vol. annualisée≈33.9%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2026-08-27</w:t>
            </w:r>
          </w:p>
        </w:tc>
        <w:tc>
          <w:tcPr>
            <w:tcW w:type="dxa" w:w="1440"/>
            <w:shd w:fill="FAFAFA" w:val="clear"/>
          </w:tcPr>
          <w:p>
            <w:r>
              <w:rPr>
                <w:sz w:val="17"/>
              </w:rPr>
              <w:t>16,371</w:t>
            </w:r>
          </w:p>
        </w:tc>
        <w:tc>
          <w:tcPr>
            <w:tcW w:type="dxa" w:w="1440"/>
            <w:shd w:fill="FAFAFA" w:val="clear"/>
          </w:tcPr>
          <w:p>
            <w:r>
              <w:rPr>
                <w:b/>
                <w:sz w:val="17"/>
              </w:rPr>
              <w:t>16,774</w:t>
            </w:r>
          </w:p>
        </w:tc>
        <w:tc>
          <w:tcPr>
            <w:tcW w:type="dxa" w:w="1440"/>
            <w:shd w:fill="FAFAFA" w:val="clear"/>
          </w:tcPr>
          <w:p>
            <w:r>
              <w:rPr>
                <w:sz w:val="17"/>
              </w:rPr>
              <w:t>17,178</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2026-08-28</w:t>
            </w:r>
          </w:p>
        </w:tc>
        <w:tc>
          <w:tcPr>
            <w:tcW w:type="dxa" w:w="1440"/>
            <w:shd w:fill="FAFAFA" w:val="clear"/>
          </w:tcPr>
          <w:p>
            <w:r>
              <w:rPr>
                <w:sz w:val="17"/>
              </w:rPr>
              <w:t>16,226</w:t>
            </w:r>
          </w:p>
        </w:tc>
        <w:tc>
          <w:tcPr>
            <w:tcW w:type="dxa" w:w="1440"/>
            <w:shd w:fill="FAFAFA" w:val="clear"/>
          </w:tcPr>
          <w:p>
            <w:r>
              <w:rPr>
                <w:b/>
                <w:sz w:val="17"/>
              </w:rPr>
              <w:t>16,719</w:t>
            </w:r>
          </w:p>
        </w:tc>
        <w:tc>
          <w:tcPr>
            <w:tcW w:type="dxa" w:w="1440"/>
            <w:shd w:fill="FAFAFA" w:val="clear"/>
          </w:tcPr>
          <w:p>
            <w:r>
              <w:rPr>
                <w:sz w:val="17"/>
              </w:rPr>
              <w:t>17,211</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2026-08-31</w:t>
            </w:r>
          </w:p>
        </w:tc>
        <w:tc>
          <w:tcPr>
            <w:tcW w:type="dxa" w:w="1440"/>
            <w:shd w:fill="FAFAFA" w:val="clear"/>
          </w:tcPr>
          <w:p>
            <w:r>
              <w:rPr>
                <w:sz w:val="17"/>
              </w:rPr>
              <w:t>16,098</w:t>
            </w:r>
          </w:p>
        </w:tc>
        <w:tc>
          <w:tcPr>
            <w:tcW w:type="dxa" w:w="1440"/>
            <w:shd w:fill="FAFAFA" w:val="clear"/>
          </w:tcPr>
          <w:p>
            <w:r>
              <w:rPr>
                <w:b/>
                <w:sz w:val="17"/>
              </w:rPr>
              <w:t>16,664</w:t>
            </w:r>
          </w:p>
        </w:tc>
        <w:tc>
          <w:tcPr>
            <w:tcW w:type="dxa" w:w="1440"/>
            <w:shd w:fill="FAFAFA" w:val="clear"/>
          </w:tcPr>
          <w:p>
            <w:r>
              <w:rPr>
                <w:sz w:val="17"/>
              </w:rPr>
              <w:t>17,231</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2026-09-01</w:t>
            </w:r>
          </w:p>
        </w:tc>
        <w:tc>
          <w:tcPr>
            <w:tcW w:type="dxa" w:w="1440"/>
            <w:shd w:fill="FAFAFA" w:val="clear"/>
          </w:tcPr>
          <w:p>
            <w:r>
              <w:rPr>
                <w:sz w:val="17"/>
              </w:rPr>
              <w:t>15,980</w:t>
            </w:r>
          </w:p>
        </w:tc>
        <w:tc>
          <w:tcPr>
            <w:tcW w:type="dxa" w:w="1440"/>
            <w:shd w:fill="FAFAFA" w:val="clear"/>
          </w:tcPr>
          <w:p>
            <w:r>
              <w:rPr>
                <w:b/>
                <w:sz w:val="17"/>
              </w:rPr>
              <w:t>16,611</w:t>
            </w:r>
          </w:p>
        </w:tc>
        <w:tc>
          <w:tcPr>
            <w:tcW w:type="dxa" w:w="1440"/>
            <w:shd w:fill="FAFAFA" w:val="clear"/>
          </w:tcPr>
          <w:p>
            <w:r>
              <w:rPr>
                <w:sz w:val="17"/>
              </w:rPr>
              <w:t>17,243</w:t>
            </w:r>
          </w:p>
        </w:tc>
        <w:tc>
          <w:tcPr>
            <w:tcW w:type="dxa" w:w="1440"/>
            <w:shd w:fill="FAFAFA" w:val="clear"/>
          </w:tcPr>
          <w:p>
            <w:r>
              <w:rPr>
                <w:b/>
                <w:color w:val="C00000"/>
                <w:sz w:val="17"/>
              </w:rPr>
              <w:t>-1.7%</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15,870</w:t>
            </w:r>
          </w:p>
        </w:tc>
        <w:tc>
          <w:tcPr>
            <w:tcW w:type="dxa" w:w="1440"/>
            <w:shd w:fill="FFDCE0" w:val="clear"/>
          </w:tcPr>
          <w:p>
            <w:r>
              <w:rPr>
                <w:b/>
                <w:sz w:val="17"/>
              </w:rPr>
              <w:t>16,560</w:t>
            </w:r>
          </w:p>
        </w:tc>
        <w:tc>
          <w:tcPr>
            <w:tcW w:type="dxa" w:w="1440"/>
            <w:shd w:fill="FFDCE0" w:val="clear"/>
          </w:tcPr>
          <w:p>
            <w:r>
              <w:rPr>
                <w:sz w:val="17"/>
              </w:rPr>
              <w:t>17,249</w:t>
            </w:r>
          </w:p>
        </w:tc>
        <w:tc>
          <w:tcPr>
            <w:tcW w:type="dxa" w:w="1440"/>
            <w:shd w:fill="FFDCE0"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15,766</w:t>
            </w:r>
          </w:p>
        </w:tc>
        <w:tc>
          <w:tcPr>
            <w:tcW w:type="dxa" w:w="1440"/>
            <w:shd w:fill="FFDCE0" w:val="clear"/>
          </w:tcPr>
          <w:p>
            <w:r>
              <w:rPr>
                <w:b/>
                <w:sz w:val="17"/>
              </w:rPr>
              <w:t>16,509</w:t>
            </w:r>
          </w:p>
        </w:tc>
        <w:tc>
          <w:tcPr>
            <w:tcW w:type="dxa" w:w="1440"/>
            <w:shd w:fill="FFDCE0" w:val="clear"/>
          </w:tcPr>
          <w:p>
            <w:r>
              <w:rPr>
                <w:sz w:val="17"/>
              </w:rPr>
              <w:t>17,252</w:t>
            </w:r>
          </w:p>
        </w:tc>
        <w:tc>
          <w:tcPr>
            <w:tcW w:type="dxa" w:w="1440"/>
            <w:shd w:fill="FFDCE0" w:val="clear"/>
          </w:tcPr>
          <w:p>
            <w:r>
              <w:rPr>
                <w:b/>
                <w:color w:val="C00000"/>
                <w:sz w:val="17"/>
              </w:rPr>
              <w:t>-2.3%</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15,668</w:t>
            </w:r>
          </w:p>
        </w:tc>
        <w:tc>
          <w:tcPr>
            <w:tcW w:type="dxa" w:w="1440"/>
            <w:shd w:fill="FFDCE0" w:val="clear"/>
          </w:tcPr>
          <w:p>
            <w:r>
              <w:rPr>
                <w:b/>
                <w:sz w:val="17"/>
              </w:rPr>
              <w:t>16,460</w:t>
            </w:r>
          </w:p>
        </w:tc>
        <w:tc>
          <w:tcPr>
            <w:tcW w:type="dxa" w:w="1440"/>
            <w:shd w:fill="FFDCE0" w:val="clear"/>
          </w:tcPr>
          <w:p>
            <w:r>
              <w:rPr>
                <w:sz w:val="17"/>
              </w:rPr>
              <w:t>17,251</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15,574</w:t>
            </w:r>
          </w:p>
        </w:tc>
        <w:tc>
          <w:tcPr>
            <w:tcW w:type="dxa" w:w="1440"/>
            <w:shd w:fill="FFDCE0" w:val="clear"/>
          </w:tcPr>
          <w:p>
            <w:r>
              <w:rPr>
                <w:b/>
                <w:sz w:val="17"/>
              </w:rPr>
              <w:t>16,411</w:t>
            </w:r>
          </w:p>
        </w:tc>
        <w:tc>
          <w:tcPr>
            <w:tcW w:type="dxa" w:w="1440"/>
            <w:shd w:fill="FFDCE0" w:val="clear"/>
          </w:tcPr>
          <w:p>
            <w:r>
              <w:rPr>
                <w:sz w:val="17"/>
              </w:rPr>
              <w:t>17,248</w:t>
            </w:r>
          </w:p>
        </w:tc>
        <w:tc>
          <w:tcPr>
            <w:tcW w:type="dxa" w:w="1440"/>
            <w:shd w:fill="FFDCE0" w:val="clear"/>
          </w:tcPr>
          <w:p>
            <w:r>
              <w:rPr>
                <w:b/>
                <w:color w:val="C00000"/>
                <w:sz w:val="17"/>
              </w:rPr>
              <w:t>-2.9%</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15,484</w:t>
            </w:r>
          </w:p>
        </w:tc>
        <w:tc>
          <w:tcPr>
            <w:tcW w:type="dxa" w:w="1440"/>
            <w:shd w:fill="FFDCE0" w:val="clear"/>
          </w:tcPr>
          <w:p>
            <w:r>
              <w:rPr>
                <w:b/>
                <w:sz w:val="17"/>
              </w:rPr>
              <w:t>16,364</w:t>
            </w:r>
          </w:p>
        </w:tc>
        <w:tc>
          <w:tcPr>
            <w:tcW w:type="dxa" w:w="1440"/>
            <w:shd w:fill="FFDCE0" w:val="clear"/>
          </w:tcPr>
          <w:p>
            <w:r>
              <w:rPr>
                <w:sz w:val="17"/>
              </w:rPr>
              <w:t>17,244</w:t>
            </w:r>
          </w:p>
        </w:tc>
        <w:tc>
          <w:tcPr>
            <w:tcW w:type="dxa" w:w="1440"/>
            <w:shd w:fill="FFDCE0" w:val="clear"/>
          </w:tcPr>
          <w:p>
            <w:r>
              <w:rPr>
                <w:b/>
                <w:color w:val="C00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NTLC (NESTLÉ CÔTE D'IVOIRE)**</w:t>
        <w:br/>
        <w:t>**Date de l'analyse :** 26 août 2026</w:t>
        <w:br/>
        <w:t>**Cours de référence :** 16 900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372,99 milliards FCFA, NTLC se positionne comme une valeur de premier plan sur la BRVM, reflétant la confiance des investisseurs dans ce leader des biens de consommation. Le BPA de 835 FCFA indique que chaque action a généré un bénéfice substantiel sur l'exercice 2025. Cependant, le PER de 20,2x est nettement supérieur à la moyenne historique de la BRVM (8-12x), signalant que le marché intègre des attentes de croissance future élevées, ce qui rend la valorisation exigeante. Le P/B de 12,61x confirme cette prime, le marché valorisant le titre bien au-delà de sa valeur comptable (actifs nets). Enfin, l'EV/EBITDA de 10,0x, bien que dans la fourchette haute du raisonnable (5-10x), indique que la valeur totale de l'entreprise (capitalisation + dette nette) reste cohérente avec sa capacité à générer du cash-flow opérationnel.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NTLC a affiché une performance remarquable de +31,01%, passant d'un plus bas de 11 150 FCFA à un plus haut de 17 450 FCFA, avant de clôturer à 16 900 FCFA, en léger repli de -0,59% sur la dernière séance. Cette tendance est clairement haussière, soutenue par des fondamentaux solides. La moyenne du cours sur la période (14 351 FCFA) est inférieure à la médiane (14 825 FCFA), suggérant que la seconde moitié de la période a connu des cours plus élevés, confirmant la dynamique ascendante. L'écart-type de 2 025 FCFA (CV de 14,1%) indique une dispersion modérée. Le kurtosis négatif (-1,624) révèle une distribution "aplatie" avec peu de variations extrêmes, tandis que le skewness quasi nul (0.006) confirme une distribution symétrique des rendements. Enfin, la volatilité annualisée de 33,9% classe le titre comme très volatil (&gt;30%), ce qui implique un risque de marché élevé mais aussi un potentiel de gains substantiels.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(16 900 FCFA) se situe au-dessus de sa moyenne mobile à 20 jours (MM20 = 16 883 FCFA) et à 50 jours (MM50 = 16 187,6 FCFA). La configuration haussière des MM (MM20 &gt; MM50) et la position du cours au-dessus de ces niveaux confirment une tendance positive à court et moyen terme, justifiant la décision d'**Achat**.</w:t>
      </w:r>
    </w:p>
    <w:p>
      <w:pPr>
        <w:spacing w:after="120" w:line="276" w:lineRule="auto"/>
      </w:pPr>
      <w:r>
        <w:t>**Bandes de Bollinger :** Le prix se négocie près de la borne supérieure (17 609 FCFA) et bien au-dessus de la borne inférieure (16 156 FCFA). La largeur des bandes reflète la volatilité élevée du titre. Le cours, en dessous de la borne supérieure, indique une absence de surachat extrême, mais la proximité de cette borne suggère une possible résistance. La décision est **Neutre**, le marché attendant un catalyseur pour poursuivre ou corriger.</w:t>
      </w:r>
    </w:p>
    <w:p>
      <w:pPr>
        <w:spacing w:after="120" w:line="276" w:lineRule="auto"/>
      </w:pPr>
      <w:r>
        <w:t>**MACD :** La valeur du MACD (300,878) est inférieure à son signal (367,793), indiquant un momentum baissier à court terme. Ce croisement baissier, survenu après une forte hausse, pourrait signaler une phase de consolidation ou de correction technique. La décision est **Vente**.</w:t>
      </w:r>
    </w:p>
    <w:p>
      <w:pPr>
        <w:spacing w:after="120" w:line="276" w:lineRule="auto"/>
      </w:pPr>
      <w:r>
        <w:t>**RSI :** À 59,943, le RSI se situe dans la zone neutre (30-70), indiquant que le titre n'est ni suracheté ni survendu. Il existe encore une marge avant d'atteindre la zone de surachat (&gt;70), ce qui laisse un potentiel de hausse, mais sans signal directionnel fort. La décision est **Neutre**.</w:t>
      </w:r>
    </w:p>
    <w:p>
      <w:pPr>
        <w:spacing w:after="120" w:line="276" w:lineRule="auto"/>
      </w:pPr>
      <w:r>
        <w:t>**Stochastique :** Le %K (35,673) est inférieur au %D (46,101), suggérant une pression vendeuse à très court terme. Ce croisement baissier, bien que non extrême, indique un affaiblissement du momentum haussier. La décision est **Neutre**.</w:t>
      </w:r>
    </w:p>
    <w:p>
      <w:pPr>
        <w:spacing w:after="120" w:line="276" w:lineRule="auto"/>
      </w:pPr>
      <w:r>
        <w:t>**Conclusion technique :** Les signaux sont mitigés. La tendance de fond reste haussière (MM), mais les oscillateurs (MACD, Stochastique) montrent un essoufflement à court terme. Le RSI neutre et les bandes de Bollinger suggèrent une phase de consolidation. L'absence de convergence claire entre les indicateurs appelle à la prudence pour un nouvel achat à ces niveaux.</w:t>
      </w:r>
    </w:p>
    <w:p>
      <w:pPr>
        <w:spacing w:after="120" w:line="276" w:lineRule="auto"/>
      </w:pPr>
      <w:r>
        <w:t>---</w:t>
      </w:r>
    </w:p>
    <w:p>
      <w:pPr>
        <w:spacing w:after="120" w:line="276" w:lineRule="auto"/>
      </w:pPr>
      <w:r>
        <w:t>### PARTIE 3 : ANALYSE FONDAMENTALE (SECTION CRITIQUE)</w:t>
      </w:r>
    </w:p>
    <w:p>
      <w:pPr>
        <w:spacing w:after="120" w:line="276" w:lineRule="auto"/>
      </w:pPr>
      <w:r>
        <w:t>**En 2025**, selon les états financiers annuels, Nestlé Côte d'Ivoire a réalisé un chiffre d'affaires de 233,26 milliards FCFA, en hausse de +5,97% par rapport à 2024. Le résultat net s'établit à 18,43 milliards FCFA, en légère progression de +1,53%. La rentabilité reste excellente avec un ROE de 62,28% et un ROA de 9,70%. Cependant, la structure financière montre une dépendance accrue avec un ratio d'endettement de 135,85% et une liquidité générale faible (79,86%). Le BFR de 22,6 milliards et le délai de paiement clients de 74 jours indiquent un besoin de financement du cycle d'exploitation. **Les rapports trimestriels de 2025** (T1, S1, 9 mois) montrent une année en deux temps : un T1 difficile (CA -11%), un S1 en stagnation, puis un retour à une croissance modeste sur 9 mois (+1,36%). **Le rapport T1 2026**, daté du 31 mars 2026, marque un tournant décisif avec une croissance exceptionnelle de +31% du chiffre d'affaires (70,8 milliards FCFA) et un bond de +37% du résultat net (7,5 milliards FCFA). Sur cette base, on peut **estimer** que l'exercice 2026 pourrait voir un chiffre d'affaires annuel dépasser les 260 milliards FCFA et un résultat net potentiel de plus de 22 milliards FCFA, si cette dynamique se maintient. La recommandation fondamentale est **ACHAT**, portée par la performance récente et la solidité de la marque, malgré des risques de pression sur les marges.</w:t>
      </w:r>
    </w:p>
    <w:p>
      <w:pPr>
        <w:spacing w:after="120" w:line="276" w:lineRule="auto"/>
      </w:pPr>
      <w:r>
        <w:t>---</w:t>
      </w:r>
    </w:p>
    <w:p>
      <w:pPr>
        <w:spacing w:after="120" w:line="276" w:lineRule="auto"/>
      </w:pPr>
      <w:r>
        <w:t>### PARTIE 4 : CONCLUSION D'INVESTISSEMENT</w:t>
      </w:r>
    </w:p>
    <w:p>
      <w:pPr>
        <w:spacing w:after="120" w:line="276" w:lineRule="auto"/>
      </w:pPr>
      <w:r>
        <w:t>La valorisation de NTLC est exigeante (PER 20,2x, P/B 12,6x), mais elle est justifiée par une croissance fondamentale robuste, illustrée par le T1 2026 exceptionnel. Le comportement du cours sur 100 jours est très positif (+31%), avec une volatilité élevée (33,9%) qui offre des opportunités mais augmente le risque. Les signaux techniques sont mitigés : la tendance de fond (MM) est haussière, mais les oscillateurs (MACD, Stochastique) suggèrent une consolidation à court terme. Les fondamentaux, eux, sont solides avec une rentabilité (ROE &gt; 60%) et une croissance retrouvée. Les prédictions IA pour les 10 prochains jours (de 16 774 à 16 560 FCFA) indiquent une légère correction, contredisant la tendance haussière de fond et confirmant le signal de prudence technique à court terme. En synthèse, la convergence entre la solidité fondamentale et la tendance de fond plaide pour une recommandation **ACHAT**, mais avec un niveau de confiance **Moyen** en raison des signaux techniques divergents et de la valorisation élevée. Le risque global est **Élevé** (volatilité, valorisation). L'horizon d'investissement optimal serait le **moyen terme (3-12 mois)** pour capitaliser sur la croissance 2026, en acceptant une possible volatilité à court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196.52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4,765 titres</w:t>
            </w:r>
          </w:p>
        </w:tc>
        <w:tc>
          <w:tcPr>
            <w:tcW w:type="dxa" w:w="2268"/>
            <w:shd w:fill="FFF2CC" w:val="clear"/>
          </w:tcPr>
          <w:p>
            <w:r>
              <w:rPr>
                <w:b/>
                <w:color w:val="503200"/>
                <w:sz w:val="16"/>
              </w:rPr>
              <w:t xml:space="preserve">Cours actuel : </w:t>
            </w:r>
            <w:r>
              <w:rPr>
                <w:color w:val="000000"/>
                <w:sz w:val="17"/>
              </w:rPr>
              <w:t>2,890 FCFA</w:t>
            </w:r>
          </w:p>
          <w:p>
            <w:r>
              <w:rPr>
                <w:b/>
                <w:color w:val="503200"/>
                <w:sz w:val="16"/>
              </w:rPr>
              <w:t xml:space="preserve">Var. 100 jours : </w:t>
            </w:r>
            <w:r>
              <w:rPr>
                <w:b/>
                <w:color w:val="B40000"/>
                <w:sz w:val="17"/>
              </w:rPr>
              <w:t>-1.70%</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3.09% (Faible) — μ=2,823 FCFA, σ=87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β=0.3391 (Défensif) — Cov=0.000012, Var(idx)=0.000034, ρ=0.101,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4,765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σ_j=1.95%/j (Stable) — Vol. annualisée≈30.9%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2026-08-27</w:t>
            </w:r>
          </w:p>
        </w:tc>
        <w:tc>
          <w:tcPr>
            <w:tcW w:type="dxa" w:w="1440"/>
            <w:shd w:fill="FAFAFA" w:val="clear"/>
          </w:tcPr>
          <w:p>
            <w:r>
              <w:rPr>
                <w:sz w:val="17"/>
              </w:rPr>
              <w:t>2,745</w:t>
            </w:r>
          </w:p>
        </w:tc>
        <w:tc>
          <w:tcPr>
            <w:tcW w:type="dxa" w:w="1440"/>
            <w:shd w:fill="FAFAFA" w:val="clear"/>
          </w:tcPr>
          <w:p>
            <w:r>
              <w:rPr>
                <w:b/>
                <w:sz w:val="17"/>
              </w:rPr>
              <w:t>2,879</w:t>
            </w:r>
          </w:p>
        </w:tc>
        <w:tc>
          <w:tcPr>
            <w:tcW w:type="dxa" w:w="1440"/>
            <w:shd w:fill="FAFAFA" w:val="clear"/>
          </w:tcPr>
          <w:p>
            <w:r>
              <w:rPr>
                <w:sz w:val="17"/>
              </w:rPr>
              <w:t>3,013</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2026-08-28</w:t>
            </w:r>
          </w:p>
        </w:tc>
        <w:tc>
          <w:tcPr>
            <w:tcW w:type="dxa" w:w="1440"/>
            <w:shd w:fill="FAFAFA" w:val="clear"/>
          </w:tcPr>
          <w:p>
            <w:r>
              <w:rPr>
                <w:sz w:val="17"/>
              </w:rPr>
              <w:t>2,709</w:t>
            </w:r>
          </w:p>
        </w:tc>
        <w:tc>
          <w:tcPr>
            <w:tcW w:type="dxa" w:w="1440"/>
            <w:shd w:fill="FAFAFA" w:val="clear"/>
          </w:tcPr>
          <w:p>
            <w:r>
              <w:rPr>
                <w:b/>
                <w:sz w:val="17"/>
              </w:rPr>
              <w:t>2,873</w:t>
            </w:r>
          </w:p>
        </w:tc>
        <w:tc>
          <w:tcPr>
            <w:tcW w:type="dxa" w:w="1440"/>
            <w:shd w:fill="FAFAFA" w:val="clear"/>
          </w:tcPr>
          <w:p>
            <w:r>
              <w:rPr>
                <w:sz w:val="17"/>
              </w:rPr>
              <w:t>3,037</w:t>
            </w:r>
          </w:p>
        </w:tc>
        <w:tc>
          <w:tcPr>
            <w:tcW w:type="dxa" w:w="1440"/>
            <w:shd w:fill="FAFAFA" w:val="clear"/>
          </w:tcPr>
          <w:p>
            <w:r>
              <w:rPr>
                <w:b/>
                <w:color w:val="C00000"/>
                <w:sz w:val="17"/>
              </w:rPr>
              <w:t>-0.6%</w:t>
            </w:r>
          </w:p>
        </w:tc>
      </w:tr>
      <w:tr>
        <w:tc>
          <w:tcPr>
            <w:tcW w:type="dxa" w:w="1440"/>
            <w:shd w:fill="FAFAFA" w:val="clear"/>
          </w:tcPr>
          <w:p>
            <w:r>
              <w:rPr>
                <w:sz w:val="17"/>
              </w:rPr>
              <w:t>J+3  Moyenne</w:t>
            </w:r>
          </w:p>
        </w:tc>
        <w:tc>
          <w:tcPr>
            <w:tcW w:type="dxa" w:w="1440"/>
            <w:shd w:fill="FAFAFA" w:val="clear"/>
          </w:tcPr>
          <w:p>
            <w:r>
              <w:rPr>
                <w:sz w:val="17"/>
              </w:rPr>
              <w:t>2026-08-31</w:t>
            </w:r>
          </w:p>
        </w:tc>
        <w:tc>
          <w:tcPr>
            <w:tcW w:type="dxa" w:w="1440"/>
            <w:shd w:fill="FAFAFA" w:val="clear"/>
          </w:tcPr>
          <w:p>
            <w:r>
              <w:rPr>
                <w:sz w:val="17"/>
              </w:rPr>
              <w:t>2,678</w:t>
            </w:r>
          </w:p>
        </w:tc>
        <w:tc>
          <w:tcPr>
            <w:tcW w:type="dxa" w:w="1440"/>
            <w:shd w:fill="FAFAFA" w:val="clear"/>
          </w:tcPr>
          <w:p>
            <w:r>
              <w:rPr>
                <w:b/>
                <w:sz w:val="17"/>
              </w:rPr>
              <w:t>2,867</w:t>
            </w:r>
          </w:p>
        </w:tc>
        <w:tc>
          <w:tcPr>
            <w:tcW w:type="dxa" w:w="1440"/>
            <w:shd w:fill="FAFAFA" w:val="clear"/>
          </w:tcPr>
          <w:p>
            <w:r>
              <w:rPr>
                <w:sz w:val="17"/>
              </w:rPr>
              <w:t>3,056</w:t>
            </w:r>
          </w:p>
        </w:tc>
        <w:tc>
          <w:tcPr>
            <w:tcW w:type="dxa" w:w="1440"/>
            <w:shd w:fill="FAFAFA" w:val="clear"/>
          </w:tcPr>
          <w:p>
            <w:r>
              <w:rPr>
                <w:b/>
                <w:color w:val="C00000"/>
                <w:sz w:val="17"/>
              </w:rPr>
              <w:t>-0.8%</w:t>
            </w:r>
          </w:p>
        </w:tc>
      </w:tr>
      <w:tr>
        <w:tc>
          <w:tcPr>
            <w:tcW w:type="dxa" w:w="1440"/>
            <w:shd w:fill="FAFAFA" w:val="clear"/>
          </w:tcPr>
          <w:p>
            <w:r>
              <w:rPr>
                <w:sz w:val="17"/>
              </w:rPr>
              <w:t>J+4  Moyenne</w:t>
            </w:r>
          </w:p>
        </w:tc>
        <w:tc>
          <w:tcPr>
            <w:tcW w:type="dxa" w:w="1440"/>
            <w:shd w:fill="FAFAFA" w:val="clear"/>
          </w:tcPr>
          <w:p>
            <w:r>
              <w:rPr>
                <w:sz w:val="17"/>
              </w:rPr>
              <w:t>2026-09-01</w:t>
            </w:r>
          </w:p>
        </w:tc>
        <w:tc>
          <w:tcPr>
            <w:tcW w:type="dxa" w:w="1440"/>
            <w:shd w:fill="FAFAFA" w:val="clear"/>
          </w:tcPr>
          <w:p>
            <w:r>
              <w:rPr>
                <w:sz w:val="17"/>
              </w:rPr>
              <w:t>2,651</w:t>
            </w:r>
          </w:p>
        </w:tc>
        <w:tc>
          <w:tcPr>
            <w:tcW w:type="dxa" w:w="1440"/>
            <w:shd w:fill="FAFAFA" w:val="clear"/>
          </w:tcPr>
          <w:p>
            <w:r>
              <w:rPr>
                <w:b/>
                <w:sz w:val="17"/>
              </w:rPr>
              <w:t>2,861</w:t>
            </w:r>
          </w:p>
        </w:tc>
        <w:tc>
          <w:tcPr>
            <w:tcW w:type="dxa" w:w="1440"/>
            <w:shd w:fill="FAFAFA" w:val="clear"/>
          </w:tcPr>
          <w:p>
            <w:r>
              <w:rPr>
                <w:sz w:val="17"/>
              </w:rPr>
              <w:t>3,072</w:t>
            </w:r>
          </w:p>
        </w:tc>
        <w:tc>
          <w:tcPr>
            <w:tcW w:type="dxa" w:w="1440"/>
            <w:shd w:fill="FAFAFA" w:val="clear"/>
          </w:tcPr>
          <w:p>
            <w:r>
              <w:rPr>
                <w:b/>
                <w:color w:val="C00000"/>
                <w:sz w:val="17"/>
              </w:rPr>
              <w:t>-1.0%</w:t>
            </w:r>
          </w:p>
        </w:tc>
      </w:tr>
      <w:tr>
        <w:tc>
          <w:tcPr>
            <w:tcW w:type="dxa" w:w="1440"/>
            <w:shd w:fill="FAFAFA" w:val="clear"/>
          </w:tcPr>
          <w:p>
            <w:r>
              <w:rPr>
                <w:sz w:val="17"/>
              </w:rPr>
              <w:t>J+5  Moyenne</w:t>
            </w:r>
          </w:p>
        </w:tc>
        <w:tc>
          <w:tcPr>
            <w:tcW w:type="dxa" w:w="1440"/>
            <w:shd w:fill="FAFAFA" w:val="clear"/>
          </w:tcPr>
          <w:p>
            <w:r>
              <w:rPr>
                <w:sz w:val="17"/>
              </w:rPr>
              <w:t>2026-09-02</w:t>
            </w:r>
          </w:p>
        </w:tc>
        <w:tc>
          <w:tcPr>
            <w:tcW w:type="dxa" w:w="1440"/>
            <w:shd w:fill="FAFAFA" w:val="clear"/>
          </w:tcPr>
          <w:p>
            <w:r>
              <w:rPr>
                <w:sz w:val="17"/>
              </w:rPr>
              <w:t>2,626</w:t>
            </w:r>
          </w:p>
        </w:tc>
        <w:tc>
          <w:tcPr>
            <w:tcW w:type="dxa" w:w="1440"/>
            <w:shd w:fill="FAFAFA" w:val="clear"/>
          </w:tcPr>
          <w:p>
            <w:r>
              <w:rPr>
                <w:b/>
                <w:sz w:val="17"/>
              </w:rPr>
              <w:t>2,856</w:t>
            </w:r>
          </w:p>
        </w:tc>
        <w:tc>
          <w:tcPr>
            <w:tcW w:type="dxa" w:w="1440"/>
            <w:shd w:fill="FAFAFA" w:val="clear"/>
          </w:tcPr>
          <w:p>
            <w:r>
              <w:rPr>
                <w:sz w:val="17"/>
              </w:rPr>
              <w:t>3,086</w:t>
            </w:r>
          </w:p>
        </w:tc>
        <w:tc>
          <w:tcPr>
            <w:tcW w:type="dxa" w:w="1440"/>
            <w:shd w:fill="FAFAFA" w:val="clear"/>
          </w:tcPr>
          <w:p>
            <w:r>
              <w:rPr>
                <w:b/>
                <w:color w:val="C00000"/>
                <w:sz w:val="17"/>
              </w:rPr>
              <w:t>-1.2%</w:t>
            </w:r>
          </w:p>
        </w:tc>
      </w:tr>
      <w:tr>
        <w:tc>
          <w:tcPr>
            <w:tcW w:type="dxa" w:w="1440"/>
            <w:shd w:fill="FAFAFA" w:val="clear"/>
          </w:tcPr>
          <w:p>
            <w:r>
              <w:rPr>
                <w:sz w:val="17"/>
              </w:rPr>
              <w:t>J+6  Moyenne</w:t>
            </w:r>
          </w:p>
        </w:tc>
        <w:tc>
          <w:tcPr>
            <w:tcW w:type="dxa" w:w="1440"/>
            <w:shd w:fill="FAFAFA" w:val="clear"/>
          </w:tcPr>
          <w:p>
            <w:r>
              <w:rPr>
                <w:sz w:val="17"/>
              </w:rPr>
              <w:t>2026-09-03</w:t>
            </w:r>
          </w:p>
        </w:tc>
        <w:tc>
          <w:tcPr>
            <w:tcW w:type="dxa" w:w="1440"/>
            <w:shd w:fill="FAFAFA" w:val="clear"/>
          </w:tcPr>
          <w:p>
            <w:r>
              <w:rPr>
                <w:sz w:val="17"/>
              </w:rPr>
              <w:t>2,602</w:t>
            </w:r>
          </w:p>
        </w:tc>
        <w:tc>
          <w:tcPr>
            <w:tcW w:type="dxa" w:w="1440"/>
            <w:shd w:fill="FAFAFA" w:val="clear"/>
          </w:tcPr>
          <w:p>
            <w:r>
              <w:rPr>
                <w:b/>
                <w:sz w:val="17"/>
              </w:rPr>
              <w:t>2,850</w:t>
            </w:r>
          </w:p>
        </w:tc>
        <w:tc>
          <w:tcPr>
            <w:tcW w:type="dxa" w:w="1440"/>
            <w:shd w:fill="FAFAFA" w:val="clear"/>
          </w:tcPr>
          <w:p>
            <w:r>
              <w:rPr>
                <w:sz w:val="17"/>
              </w:rPr>
              <w:t>3,098</w:t>
            </w:r>
          </w:p>
        </w:tc>
        <w:tc>
          <w:tcPr>
            <w:tcW w:type="dxa" w:w="1440"/>
            <w:shd w:fill="FAFAFA" w:val="clear"/>
          </w:tcPr>
          <w:p>
            <w:r>
              <w:rPr>
                <w:b/>
                <w:color w:val="C00000"/>
                <w:sz w:val="17"/>
              </w:rPr>
              <w:t>-1.4%</w:t>
            </w:r>
          </w:p>
        </w:tc>
      </w:tr>
      <w:tr>
        <w:tc>
          <w:tcPr>
            <w:tcW w:type="dxa" w:w="1440"/>
            <w:shd w:fill="FAFAFA" w:val="clear"/>
          </w:tcPr>
          <w:p>
            <w:r>
              <w:rPr>
                <w:sz w:val="17"/>
              </w:rPr>
              <w:t>J+7  Moyenne</w:t>
            </w:r>
          </w:p>
        </w:tc>
        <w:tc>
          <w:tcPr>
            <w:tcW w:type="dxa" w:w="1440"/>
            <w:shd w:fill="FAFAFA" w:val="clear"/>
          </w:tcPr>
          <w:p>
            <w:r>
              <w:rPr>
                <w:sz w:val="17"/>
              </w:rPr>
              <w:t>2026-09-04</w:t>
            </w:r>
          </w:p>
        </w:tc>
        <w:tc>
          <w:tcPr>
            <w:tcW w:type="dxa" w:w="1440"/>
            <w:shd w:fill="FAFAFA" w:val="clear"/>
          </w:tcPr>
          <w:p>
            <w:r>
              <w:rPr>
                <w:sz w:val="17"/>
              </w:rPr>
              <w:t>2,580</w:t>
            </w:r>
          </w:p>
        </w:tc>
        <w:tc>
          <w:tcPr>
            <w:tcW w:type="dxa" w:w="1440"/>
            <w:shd w:fill="FAFAFA" w:val="clear"/>
          </w:tcPr>
          <w:p>
            <w:r>
              <w:rPr>
                <w:b/>
                <w:sz w:val="17"/>
              </w:rPr>
              <w:t>2,845</w:t>
            </w:r>
          </w:p>
        </w:tc>
        <w:tc>
          <w:tcPr>
            <w:tcW w:type="dxa" w:w="1440"/>
            <w:shd w:fill="FAFAFA" w:val="clear"/>
          </w:tcPr>
          <w:p>
            <w:r>
              <w:rPr>
                <w:sz w:val="17"/>
              </w:rPr>
              <w:t>3,110</w:t>
            </w:r>
          </w:p>
        </w:tc>
        <w:tc>
          <w:tcPr>
            <w:tcW w:type="dxa" w:w="1440"/>
            <w:shd w:fill="FAFAFA" w:val="clear"/>
          </w:tcPr>
          <w:p>
            <w:r>
              <w:rPr>
                <w:b/>
                <w:color w:val="C00000"/>
                <w:sz w:val="17"/>
              </w:rPr>
              <w:t>-1.6%</w:t>
            </w:r>
          </w:p>
        </w:tc>
      </w:tr>
      <w:tr>
        <w:tc>
          <w:tcPr>
            <w:tcW w:type="dxa" w:w="1440"/>
            <w:shd w:fill="FAFAFA" w:val="clear"/>
          </w:tcPr>
          <w:p>
            <w:r>
              <w:rPr>
                <w:sz w:val="17"/>
              </w:rPr>
              <w:t>J+8  Moyenne</w:t>
            </w:r>
          </w:p>
        </w:tc>
        <w:tc>
          <w:tcPr>
            <w:tcW w:type="dxa" w:w="1440"/>
            <w:shd w:fill="FAFAFA" w:val="clear"/>
          </w:tcPr>
          <w:p>
            <w:r>
              <w:rPr>
                <w:sz w:val="17"/>
              </w:rPr>
              <w:t>2026-09-07</w:t>
            </w:r>
          </w:p>
        </w:tc>
        <w:tc>
          <w:tcPr>
            <w:tcW w:type="dxa" w:w="1440"/>
            <w:shd w:fill="FAFAFA" w:val="clear"/>
          </w:tcPr>
          <w:p>
            <w:r>
              <w:rPr>
                <w:sz w:val="17"/>
              </w:rPr>
              <w:t>2,559</w:t>
            </w:r>
          </w:p>
        </w:tc>
        <w:tc>
          <w:tcPr>
            <w:tcW w:type="dxa" w:w="1440"/>
            <w:shd w:fill="FAFAFA" w:val="clear"/>
          </w:tcPr>
          <w:p>
            <w:r>
              <w:rPr>
                <w:b/>
                <w:sz w:val="17"/>
              </w:rPr>
              <w:t>2,839</w:t>
            </w:r>
          </w:p>
        </w:tc>
        <w:tc>
          <w:tcPr>
            <w:tcW w:type="dxa" w:w="1440"/>
            <w:shd w:fill="FAFAFA" w:val="clear"/>
          </w:tcPr>
          <w:p>
            <w:r>
              <w:rPr>
                <w:sz w:val="17"/>
              </w:rPr>
              <w:t>3,120</w:t>
            </w:r>
          </w:p>
        </w:tc>
        <w:tc>
          <w:tcPr>
            <w:tcW w:type="dxa" w:w="1440"/>
            <w:shd w:fill="FAFAFA" w:val="clear"/>
          </w:tcPr>
          <w:p>
            <w:r>
              <w:rPr>
                <w:b/>
                <w:color w:val="C00000"/>
                <w:sz w:val="17"/>
              </w:rPr>
              <w:t>-1.8%</w:t>
            </w:r>
          </w:p>
        </w:tc>
      </w:tr>
      <w:tr>
        <w:tc>
          <w:tcPr>
            <w:tcW w:type="dxa" w:w="1440"/>
            <w:shd w:fill="FAFAFA" w:val="clear"/>
          </w:tcPr>
          <w:p>
            <w:r>
              <w:rPr>
                <w:sz w:val="17"/>
              </w:rPr>
              <w:t>J+9  Moyenne</w:t>
            </w:r>
          </w:p>
        </w:tc>
        <w:tc>
          <w:tcPr>
            <w:tcW w:type="dxa" w:w="1440"/>
            <w:shd w:fill="FAFAFA" w:val="clear"/>
          </w:tcPr>
          <w:p>
            <w:r>
              <w:rPr>
                <w:sz w:val="17"/>
              </w:rPr>
              <w:t>2026-09-08</w:t>
            </w:r>
          </w:p>
        </w:tc>
        <w:tc>
          <w:tcPr>
            <w:tcW w:type="dxa" w:w="1440"/>
            <w:shd w:fill="FAFAFA" w:val="clear"/>
          </w:tcPr>
          <w:p>
            <w:r>
              <w:rPr>
                <w:sz w:val="17"/>
              </w:rPr>
              <w:t>2,539</w:t>
            </w:r>
          </w:p>
        </w:tc>
        <w:tc>
          <w:tcPr>
            <w:tcW w:type="dxa" w:w="1440"/>
            <w:shd w:fill="FAFAFA" w:val="clear"/>
          </w:tcPr>
          <w:p>
            <w:r>
              <w:rPr>
                <w:b/>
                <w:sz w:val="17"/>
              </w:rPr>
              <w:t>2,834</w:t>
            </w:r>
          </w:p>
        </w:tc>
        <w:tc>
          <w:tcPr>
            <w:tcW w:type="dxa" w:w="1440"/>
            <w:shd w:fill="FAFAFA" w:val="clear"/>
          </w:tcPr>
          <w:p>
            <w:r>
              <w:rPr>
                <w:sz w:val="17"/>
              </w:rPr>
              <w:t>3,129</w:t>
            </w:r>
          </w:p>
        </w:tc>
        <w:tc>
          <w:tcPr>
            <w:tcW w:type="dxa" w:w="1440"/>
            <w:shd w:fill="FAFAFA" w:val="clear"/>
          </w:tcPr>
          <w:p>
            <w:r>
              <w:rPr>
                <w:b/>
                <w:color w:val="C00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d'ONTBF s'établit à 196,52 milliards FCFA, ce qui en fait une valeur de première ligne sur la BRVM, représentative du secteur des télécommunications. Avec un BPA de 234 FCFA, chaque action génère un bénéfice substantiel, justifiant un PER de 12,4x. Ce ratio, bien que légèrement supérieur à la moyenne historique de la BRVM (8-12x), reste modéré et témoigne d'une valorisation raisonnable pour un leader de marché. Le P/B de 3,42x indique que le marché valorise l'entreprise à plus de trois fois sa valeur comptable, une prime de croissance accordée pour son potentiel futur. Enfin, un EV/EBITDA de 5,2x est particulièrement attractif, signalant que la valeur totale de l'entreprise reste faible par rapport à sa capacité opérationnelle à générer des bénéfices bruts.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d'ONTBF a affiché une variation totale de -1,70%, avec une légère reprise de +0,17% lors de la dernière séance, clôturant à 2 890 FCFA. Le titre a évolué dans un range de 2 610 à 3 070 FCFA, montrant une amplitude de trading de 460 FCFA. La moyenne du cours sur la période est de 2 823 FCFA, très proche de la médiane (2 802 FCFA) et du mode (2 800 FCFA), ce qui indique une distribution quasi symétrique des prix. L'écart-type de 88 FCFA, avec un coefficient de variation de seulement 3,1%, révèle une dispersion très faible et un cours stable. Le kurtosis de -0,309 (mésokurtique) et le skewness de 0,213 confirment une distribution proche de la normale, sans risque de mouvements extrêmes. La volatilité annualisée de 30,9% classe le titre comme volatil, mais cette statistique est tempérée par la stabilité observée sur la période récente.</w:t>
      </w:r>
    </w:p>
    <w:p>
      <w:pPr>
        <w:spacing w:after="120" w:line="276" w:lineRule="auto" w:before="240"/>
      </w:pPr>
      <w:r>
        <w:rPr>
          <w:b/>
          <w:color w:val="003366"/>
          <w:sz w:val="24"/>
        </w:rPr>
        <w:t>**PARTIE 2 : ANALYSE TECHNIQUE DÉTAILLÉE**</w:t>
      </w:r>
    </w:p>
    <w:p>
      <w:pPr>
        <w:spacing w:after="120" w:line="276" w:lineRule="auto"/>
      </w:pPr>
      <w:r>
        <w:t>Les **Moyennes Mobiles** (MM20 à 2 893,25 et MM50 à 2 823,0) indiquent une dynamique positive, le cours actuel (2 890 FCFA) se situant au-dessus de la MM50 mais légèrement sous la MM20. Cette configuration, avec une MM20 supérieure à la MM50, suggère une tendance haussière de moyen terme, justifiant une décision d'achat.</w:t>
      </w:r>
    </w:p>
    <w:p>
      <w:pPr>
        <w:spacing w:after="120" w:line="276" w:lineRule="auto"/>
      </w:pPr>
      <w:r>
        <w:t>Les **Bandes de Bollinger** (borne supérieure à 3 027,31 et borne inférieure à 2 759,19) montrent un cours positionné dans la partie médiane de l'enveloppe. La largeur des bandes indique une volatilité modérée. Le prix, évoluant sans toucher les bornes, suggère une phase de consolidation, d'où une décision neutre.</w:t>
      </w:r>
    </w:p>
    <w:p>
      <w:pPr>
        <w:spacing w:after="120" w:line="276" w:lineRule="auto"/>
      </w:pPr>
      <w:r>
        <w:t>Le **MACD** affiche une valeur de 23,05 contre un signal à 25,35, avec une divergence négative. Ce croisement baissier indique un affaiblissement du momentum haussier à court terme, justifiant une décision de vente.</w:t>
      </w:r>
    </w:p>
    <w:p>
      <w:pPr>
        <w:spacing w:after="120" w:line="276" w:lineRule="auto"/>
      </w:pPr>
      <w:r>
        <w:t>Le **RSI** à 39,80 se situe dans la zone neutre (30-70), sans signal de surachat ni de survente. Cette valeur suggère un équilibre entre pression acheteuse et vendeuse, d'où une décision neutre.</w:t>
      </w:r>
    </w:p>
    <w:p>
      <w:pPr>
        <w:spacing w:after="120" w:line="276" w:lineRule="auto"/>
      </w:pPr>
      <w:r>
        <w:t>Le **Stochastique** (%K à 48,65 et %D à 55,06) montre un %K sous le %D, indiquant une dynamique baissière naissante. Cependant, les valeurs restant dans la zone neutre, la décision est neutre, en attendant une confirmation directionnelle.</w:t>
      </w:r>
    </w:p>
    <w:p>
      <w:pPr>
        <w:spacing w:after="120" w:line="276" w:lineRule="auto"/>
      </w:pPr>
      <w:r>
        <w:t>En conclusion technique, les indicateurs sont mitigés : les moyennes mobiles soutiennent une tendance haussière de fond, mais le MACD et le Stochastique signalent un essoufflement à court terme. Le RSI et les bandes de Bollinger suggèrent une phase de stabilisation. Globalement, le titre est dans une phase de consolidation après une période de hausse, avec un biais légèrement positif à moyen terme.</w:t>
      </w:r>
    </w:p>
    <w:p>
      <w:pPr>
        <w:spacing w:after="120" w:line="276" w:lineRule="auto" w:before="240"/>
      </w:pPr>
      <w:r>
        <w:rPr>
          <w:b/>
          <w:color w:val="003366"/>
          <w:sz w:val="24"/>
        </w:rPr>
        <w:t>**PARTIE 3 : ANALYSE FONDAMENTALE (SECTION CRITIQUE)**</w:t>
      </w:r>
    </w:p>
    <w:p>
      <w:pPr>
        <w:spacing w:after="120" w:line="276" w:lineRule="auto"/>
      </w:pPr>
      <w:r>
        <w:t>En 2025, ONTBF (ONATEL-SA) a réalisé un chiffre d'affaires de 146,18 milliards FCFA, en hausse de 3,1%, mais son résultat net a chuté de 26% à 15,89 milliards FCFA. Le ROE reste excellent à 27,6%, et le ROA à 4,9%. Le coefficient d'exploitation de 67,1% est élevé pour une banque, indiquant une efficacité opérationnelle perfectible. Le coût du risque de 3,57% est significatif, reflétant un risque de crédit accru. Les dépôts clientèle (42,69 Mds) sont inférieurs aux créances clients (12,33 Mds), montrant une transformation limitée. Les rapports trimestriels 2025 (T1, S1, 9 mois) confirment une tendance à la baisse de la rentabilité, avec un EBITDA passant de 47% à 39,3% sur 9 mois. Le rapport du T1 2026 montre une stabilisation avec un EBITDA à 41,3% et un CA en hausse de 2,7%. Le dividende proposé de 166,08 FCFA par action offre un rendement attractif. Malgré la pression sur les marges, la génération de cash-flow reste forte (CAF de 46,95 Mds), soutenant la solidité financière. Les perspectives 2026 sont axées sur la reconquête du leadership, avec des investissements dans le FTTH et le Mobile Money.</w:t>
      </w:r>
    </w:p>
    <w:p>
      <w:pPr>
        <w:spacing w:after="120" w:line="276" w:lineRule="auto" w:before="240"/>
      </w:pPr>
      <w:r>
        <w:rPr>
          <w:b/>
          <w:color w:val="003366"/>
          <w:sz w:val="24"/>
        </w:rPr>
        <w:t>**PARTIE 4 : CONCLUSION D'INVESTISSEMENT**</w:t>
      </w:r>
    </w:p>
    <w:p>
      <w:pPr>
        <w:spacing w:after="120" w:line="276" w:lineRule="auto"/>
      </w:pPr>
      <w:r>
        <w:t>La valorisation d'ONTBF (PER de 12,4x, P/B de 3,42x, EV/EBITDA de 5,2x) est raisonnable, sans sous-évaluation ni surévaluation marquée. Le comportement du cours sur 100 jours montre une stabilité remarquable (CV de 3,1%), avec une distribution normale, indiquant un risque de marché maîtrisé. Les signaux techniques sont mitigés : les moyennes mobiles sont haussières, mais le MACD et le Stochastique suggèrent un essoufflement à court terme. Les fondamentaux sont solides mais en dégradation, avec une baisse de 26% du résultat net en 2025, bien que la génération de cash et le dividende restent attractifs. Les prédictions IA (2 879 à 2 856 FCFA sur 10 jours) indiquent une légère tendance baissière, contredisant les moyennes mobiles mais confirmant les signaux de momentum. En synthèse, la convergence entre une valorisation correcte, des fondamentaux solides mais en repli, et des signaux techniques partagés, conduit à une recommandation **CONSERVER**. Le niveau de confiance est **Moyen**, le risque global est **Moyen**, et l'horizon d'investissement optimal est le **moyen terme (3-12 mois)**, en attendant une amélioration visible de la rentabilité.</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3193.89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2,363 titres</w:t>
            </w:r>
          </w:p>
        </w:tc>
        <w:tc>
          <w:tcPr>
            <w:tcW w:type="dxa" w:w="2268"/>
            <w:shd w:fill="FFF2CC" w:val="clear"/>
          </w:tcPr>
          <w:p>
            <w:r>
              <w:rPr>
                <w:b/>
                <w:color w:val="503200"/>
                <w:sz w:val="16"/>
              </w:rPr>
              <w:t xml:space="preserve">Cours actuel : </w:t>
            </w:r>
            <w:r>
              <w:rPr>
                <w:color w:val="000000"/>
                <w:sz w:val="17"/>
              </w:rPr>
              <w:t>21,200 FCFA</w:t>
            </w:r>
          </w:p>
          <w:p>
            <w:r>
              <w:rPr>
                <w:b/>
                <w:color w:val="503200"/>
                <w:sz w:val="16"/>
              </w:rPr>
              <w:t xml:space="preserve">Var. 100 jours : </w:t>
            </w:r>
            <w:r>
              <w:rPr>
                <w:b/>
                <w:color w:val="007800"/>
                <w:sz w:val="17"/>
              </w:rPr>
              <w:t>+44.71%</w:t>
            </w:r>
          </w:p>
          <w:p>
            <w:r>
              <w:rPr>
                <w:b/>
                <w:color w:val="503200"/>
                <w:sz w:val="16"/>
              </w:rPr>
              <w:t xml:space="preserve">Plus haut 100j : </w:t>
            </w:r>
            <w:r>
              <w:rPr>
                <w:color w:val="000000"/>
                <w:sz w:val="17"/>
              </w:rPr>
              <w:t>21,200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29.0%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7.76% (Moyenne) — μ=16,141 FCFA, σ=1,252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β=1.2531 (Agressif) — Cov=0.000043, Var(idx)=0.000034, ρ=0.400,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2,363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σ_j=1.83%/j (Stable) — Vol. annualisée≈29.0%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2026-08-27</w:t>
            </w:r>
          </w:p>
        </w:tc>
        <w:tc>
          <w:tcPr>
            <w:tcW w:type="dxa" w:w="1440"/>
            <w:shd w:fill="FFDCE0" w:val="clear"/>
          </w:tcPr>
          <w:p>
            <w:r>
              <w:rPr>
                <w:sz w:val="17"/>
              </w:rPr>
              <w:t>19,367</w:t>
            </w:r>
          </w:p>
        </w:tc>
        <w:tc>
          <w:tcPr>
            <w:tcW w:type="dxa" w:w="1440"/>
            <w:shd w:fill="FFDCE0" w:val="clear"/>
          </w:tcPr>
          <w:p>
            <w:r>
              <w:rPr>
                <w:b/>
                <w:sz w:val="17"/>
              </w:rPr>
              <w:t>20,162</w:t>
            </w:r>
          </w:p>
        </w:tc>
        <w:tc>
          <w:tcPr>
            <w:tcW w:type="dxa" w:w="1440"/>
            <w:shd w:fill="FFDCE0" w:val="clear"/>
          </w:tcPr>
          <w:p>
            <w:r>
              <w:rPr>
                <w:sz w:val="17"/>
              </w:rPr>
              <w:t>20,957</w:t>
            </w:r>
          </w:p>
        </w:tc>
        <w:tc>
          <w:tcPr>
            <w:tcW w:type="dxa" w:w="1440"/>
            <w:shd w:fill="FFDCE0" w:val="clear"/>
          </w:tcPr>
          <w:p>
            <w:r>
              <w:rPr>
                <w:b/>
                <w:color w:val="C00000"/>
                <w:sz w:val="17"/>
              </w:rPr>
              <w:t>-4.9%</w:t>
            </w:r>
          </w:p>
        </w:tc>
      </w:tr>
      <w:tr>
        <w:tc>
          <w:tcPr>
            <w:tcW w:type="dxa" w:w="1440"/>
            <w:shd w:fill="FFDCE0" w:val="clear"/>
          </w:tcPr>
          <w:p>
            <w:r>
              <w:rPr>
                <w:sz w:val="17"/>
              </w:rPr>
              <w:t>J+2  ⭐</w:t>
            </w:r>
          </w:p>
        </w:tc>
        <w:tc>
          <w:tcPr>
            <w:tcW w:type="dxa" w:w="1440"/>
            <w:shd w:fill="FFDCE0" w:val="clear"/>
          </w:tcPr>
          <w:p>
            <w:r>
              <w:rPr>
                <w:sz w:val="17"/>
              </w:rPr>
              <w:t>2026-08-28</w:t>
            </w:r>
          </w:p>
        </w:tc>
        <w:tc>
          <w:tcPr>
            <w:tcW w:type="dxa" w:w="1440"/>
            <w:shd w:fill="FFDCE0" w:val="clear"/>
          </w:tcPr>
          <w:p>
            <w:r>
              <w:rPr>
                <w:sz w:val="17"/>
              </w:rPr>
              <w:t>19,081</w:t>
            </w:r>
          </w:p>
        </w:tc>
        <w:tc>
          <w:tcPr>
            <w:tcW w:type="dxa" w:w="1440"/>
            <w:shd w:fill="FFDCE0" w:val="clear"/>
          </w:tcPr>
          <w:p>
            <w:r>
              <w:rPr>
                <w:b/>
                <w:sz w:val="17"/>
              </w:rPr>
              <w:t>20,050</w:t>
            </w:r>
          </w:p>
        </w:tc>
        <w:tc>
          <w:tcPr>
            <w:tcW w:type="dxa" w:w="1440"/>
            <w:shd w:fill="FFDCE0" w:val="clear"/>
          </w:tcPr>
          <w:p>
            <w:r>
              <w:rPr>
                <w:sz w:val="17"/>
              </w:rPr>
              <w:t>21,018</w:t>
            </w:r>
          </w:p>
        </w:tc>
        <w:tc>
          <w:tcPr>
            <w:tcW w:type="dxa" w:w="1440"/>
            <w:shd w:fill="FFDCE0" w:val="clear"/>
          </w:tcPr>
          <w:p>
            <w:r>
              <w:rPr>
                <w:b/>
                <w:color w:val="C00000"/>
                <w:sz w:val="17"/>
              </w:rPr>
              <w:t>-5.4%</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18,816</w:t>
            </w:r>
          </w:p>
        </w:tc>
        <w:tc>
          <w:tcPr>
            <w:tcW w:type="dxa" w:w="1440"/>
            <w:shd w:fill="FFDCE0" w:val="clear"/>
          </w:tcPr>
          <w:p>
            <w:r>
              <w:rPr>
                <w:b/>
                <w:sz w:val="17"/>
              </w:rPr>
              <w:t>19,928</w:t>
            </w:r>
          </w:p>
        </w:tc>
        <w:tc>
          <w:tcPr>
            <w:tcW w:type="dxa" w:w="1440"/>
            <w:shd w:fill="FFDCE0" w:val="clear"/>
          </w:tcPr>
          <w:p>
            <w:r>
              <w:rPr>
                <w:sz w:val="17"/>
              </w:rPr>
              <w:t>21,040</w:t>
            </w:r>
          </w:p>
        </w:tc>
        <w:tc>
          <w:tcPr>
            <w:tcW w:type="dxa" w:w="1440"/>
            <w:shd w:fill="FFDCE0" w:val="clear"/>
          </w:tcPr>
          <w:p>
            <w:r>
              <w:rPr>
                <w:b/>
                <w:color w:val="C00000"/>
                <w:sz w:val="17"/>
              </w:rPr>
              <w:t>-6.0%</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18,574</w:t>
            </w:r>
          </w:p>
        </w:tc>
        <w:tc>
          <w:tcPr>
            <w:tcW w:type="dxa" w:w="1440"/>
            <w:shd w:fill="FFDCE0" w:val="clear"/>
          </w:tcPr>
          <w:p>
            <w:r>
              <w:rPr>
                <w:b/>
                <w:sz w:val="17"/>
              </w:rPr>
              <w:t>19,810</w:t>
            </w:r>
          </w:p>
        </w:tc>
        <w:tc>
          <w:tcPr>
            <w:tcW w:type="dxa" w:w="1440"/>
            <w:shd w:fill="FFDCE0" w:val="clear"/>
          </w:tcPr>
          <w:p>
            <w:r>
              <w:rPr>
                <w:sz w:val="17"/>
              </w:rPr>
              <w:t>21,045</w:t>
            </w:r>
          </w:p>
        </w:tc>
        <w:tc>
          <w:tcPr>
            <w:tcW w:type="dxa" w:w="1440"/>
            <w:shd w:fill="FFDCE0" w:val="clear"/>
          </w:tcPr>
          <w:p>
            <w:r>
              <w:rPr>
                <w:b/>
                <w:color w:val="C00000"/>
                <w:sz w:val="17"/>
              </w:rPr>
              <w:t>-6.6%</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18,350</w:t>
            </w:r>
          </w:p>
        </w:tc>
        <w:tc>
          <w:tcPr>
            <w:tcW w:type="dxa" w:w="1440"/>
            <w:shd w:fill="FFDCE0" w:val="clear"/>
          </w:tcPr>
          <w:p>
            <w:r>
              <w:rPr>
                <w:b/>
                <w:sz w:val="17"/>
              </w:rPr>
              <w:t>19,695</w:t>
            </w:r>
          </w:p>
        </w:tc>
        <w:tc>
          <w:tcPr>
            <w:tcW w:type="dxa" w:w="1440"/>
            <w:shd w:fill="FFDCE0" w:val="clear"/>
          </w:tcPr>
          <w:p>
            <w:r>
              <w:rPr>
                <w:sz w:val="17"/>
              </w:rPr>
              <w:t>21,041</w:t>
            </w:r>
          </w:p>
        </w:tc>
        <w:tc>
          <w:tcPr>
            <w:tcW w:type="dxa" w:w="1440"/>
            <w:shd w:fill="FFDCE0" w:val="clear"/>
          </w:tcPr>
          <w:p>
            <w:r>
              <w:rPr>
                <w:b/>
                <w:color w:val="C00000"/>
                <w:sz w:val="17"/>
              </w:rPr>
              <w:t>-7.1%</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18,140</w:t>
            </w:r>
          </w:p>
        </w:tc>
        <w:tc>
          <w:tcPr>
            <w:tcW w:type="dxa" w:w="1440"/>
            <w:shd w:fill="FFDCE0" w:val="clear"/>
          </w:tcPr>
          <w:p>
            <w:r>
              <w:rPr>
                <w:b/>
                <w:sz w:val="17"/>
              </w:rPr>
              <w:t>19,585</w:t>
            </w:r>
          </w:p>
        </w:tc>
        <w:tc>
          <w:tcPr>
            <w:tcW w:type="dxa" w:w="1440"/>
            <w:shd w:fill="FFDCE0" w:val="clear"/>
          </w:tcPr>
          <w:p>
            <w:r>
              <w:rPr>
                <w:sz w:val="17"/>
              </w:rPr>
              <w:t>21,030</w:t>
            </w:r>
          </w:p>
        </w:tc>
        <w:tc>
          <w:tcPr>
            <w:tcW w:type="dxa" w:w="1440"/>
            <w:shd w:fill="FFDCE0" w:val="clear"/>
          </w:tcPr>
          <w:p>
            <w:r>
              <w:rPr>
                <w:b/>
                <w:color w:val="C00000"/>
                <w:sz w:val="17"/>
              </w:rPr>
              <w:t>-7.6%</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17,942</w:t>
            </w:r>
          </w:p>
        </w:tc>
        <w:tc>
          <w:tcPr>
            <w:tcW w:type="dxa" w:w="1440"/>
            <w:shd w:fill="FFDCE0" w:val="clear"/>
          </w:tcPr>
          <w:p>
            <w:r>
              <w:rPr>
                <w:b/>
                <w:sz w:val="17"/>
              </w:rPr>
              <w:t>19,479</w:t>
            </w:r>
          </w:p>
        </w:tc>
        <w:tc>
          <w:tcPr>
            <w:tcW w:type="dxa" w:w="1440"/>
            <w:shd w:fill="FFDCE0" w:val="clear"/>
          </w:tcPr>
          <w:p>
            <w:r>
              <w:rPr>
                <w:sz w:val="17"/>
              </w:rPr>
              <w:t>21,015</w:t>
            </w:r>
          </w:p>
        </w:tc>
        <w:tc>
          <w:tcPr>
            <w:tcW w:type="dxa" w:w="1440"/>
            <w:shd w:fill="FFDCE0" w:val="clear"/>
          </w:tcPr>
          <w:p>
            <w:r>
              <w:rPr>
                <w:b/>
                <w:color w:val="C00000"/>
                <w:sz w:val="17"/>
              </w:rPr>
              <w:t>-8.1%</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17,755</w:t>
            </w:r>
          </w:p>
        </w:tc>
        <w:tc>
          <w:tcPr>
            <w:tcW w:type="dxa" w:w="1440"/>
            <w:shd w:fill="FFDCE0" w:val="clear"/>
          </w:tcPr>
          <w:p>
            <w:r>
              <w:rPr>
                <w:b/>
                <w:sz w:val="17"/>
              </w:rPr>
              <w:t>19,376</w:t>
            </w:r>
          </w:p>
        </w:tc>
        <w:tc>
          <w:tcPr>
            <w:tcW w:type="dxa" w:w="1440"/>
            <w:shd w:fill="FFDCE0" w:val="clear"/>
          </w:tcPr>
          <w:p>
            <w:r>
              <w:rPr>
                <w:sz w:val="17"/>
              </w:rPr>
              <w:t>20,997</w:t>
            </w:r>
          </w:p>
        </w:tc>
        <w:tc>
          <w:tcPr>
            <w:tcW w:type="dxa" w:w="1440"/>
            <w:shd w:fill="FFDCE0" w:val="clear"/>
          </w:tcPr>
          <w:p>
            <w:r>
              <w:rPr>
                <w:b/>
                <w:color w:val="C00000"/>
                <w:sz w:val="17"/>
              </w:rPr>
              <w:t>-8.6%</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17,576</w:t>
            </w:r>
          </w:p>
        </w:tc>
        <w:tc>
          <w:tcPr>
            <w:tcW w:type="dxa" w:w="1440"/>
            <w:shd w:fill="FFDCE0" w:val="clear"/>
          </w:tcPr>
          <w:p>
            <w:r>
              <w:rPr>
                <w:b/>
                <w:sz w:val="17"/>
              </w:rPr>
              <w:t>19,276</w:t>
            </w:r>
          </w:p>
        </w:tc>
        <w:tc>
          <w:tcPr>
            <w:tcW w:type="dxa" w:w="1440"/>
            <w:shd w:fill="FFDCE0" w:val="clear"/>
          </w:tcPr>
          <w:p>
            <w:r>
              <w:rPr>
                <w:sz w:val="17"/>
              </w:rPr>
              <w:t>20,976</w:t>
            </w:r>
          </w:p>
        </w:tc>
        <w:tc>
          <w:tcPr>
            <w:tcW w:type="dxa" w:w="1440"/>
            <w:shd w:fill="FFDCE0" w:val="clear"/>
          </w:tcPr>
          <w:p>
            <w:r>
              <w:rPr>
                <w:b/>
                <w:color w:val="C00000"/>
                <w:sz w:val="17"/>
              </w:rPr>
              <w:t>-9.1%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d'ORAC s'établit à 3 193,89 milliards FCFA, représentant une part significative de la capitalisation totale de la BRVM (environ 26% selon les rapports 2024), ce qui en fait l'une des plus importantes valeurs de la place. Avec un BPA de 1 114 FCFA, chaque action génère un bénéfice substantiel, mais le PER de 19,0x se situe nettement au-dessus de la moyenne historique de la BRVM (8-12x), indiquant que les investisseurs paient une prime pour la qualité et la croissance du titre. Le P/B de 4,51x confirme cette valorisation exigeante, le marché valorisant fortement les actifs de la société au-delà de leur valeur comptable. L'EV/EBITDA de 7,6x reste toutefois dans une zone raisonnable (5-10x), suggérant que la valorisation globale de l'entreprise, intégrant sa dette, demeure cohérente avec sa capacité opérationnelle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ORAC a enregistré une progression spectaculaire de +44,71%, avec un cours actuel de 21 200 FCFA, et une variation positive de +0,88% lors de la dernière séance. Le titre a évolué dans une fourchette de 14 650 FCFA (plus bas) à 21 200 FCFA (plus haut), démontrant une tendance résolument haussière. La moyenne du cours sur la période (16 141 FCFA) est légèrement supérieure à la médiane (16 000 FCFA), indiquant une distribution relativement symétrique mais avec un skewness positif de 1,829, signifiant que le cours a passé plus de journées sous la moyenne avec des pics occasionnels à la hausse. L'écart-type de 1 258 FCFA (CV=7,8%) révèle une dispersion modérée, tandis que le kurtosis élevé de 4,396 signale un risque de mouvements extrêmes. La volatilité annualisée de 29,0% positionne le titre dans une zone de volatilité élevée (&gt;30% étant considéré comme très élevé), reflétant l'enthousiasme des investisseurs mais aussi une certaine nervosité du marché.</w:t>
      </w:r>
    </w:p>
    <w:p>
      <w:pPr>
        <w:spacing w:after="120" w:line="276" w:lineRule="auto" w:before="240"/>
      </w:pPr>
      <w:r>
        <w:rPr>
          <w:b/>
          <w:color w:val="003366"/>
          <w:sz w:val="24"/>
        </w:rPr>
        <w:t>**PARTIE 2 : ANALYSE TECHNIQUE DÉTAILLÉE**</w:t>
      </w:r>
    </w:p>
    <w:p>
      <w:pPr>
        <w:spacing w:after="120" w:line="276" w:lineRule="auto"/>
      </w:pPr>
      <w:r>
        <w:t>**Moyennes Mobiles** : Le cours actuel de 21 200 FCFA se situe nettement au-dessus de la MM20 (17 954,5 FCFA) et de la MM50 (16 970,7 FCFA), avec un écart de +18% et +25% respectivement. Cette configuration haussière, où le prix évolue au-dessus des deux moyennes, confirme une tendance positive solide, justifiant la décision d'achat, bien que l'écart important suggère une possible correction à court terme.</w:t>
      </w:r>
    </w:p>
    <w:p>
      <w:pPr>
        <w:spacing w:after="120" w:line="276" w:lineRule="auto"/>
      </w:pPr>
      <w:r>
        <w:t>**Bandes de Bollinger** : Le prix dépasse la borne supérieure (20 889,357 FCFA), indiquant une situation de surachat extrême. La largeur des bandes reflète une volatilité accrue, et le franchissement de la borne supérieure signale généralement une poursuite de la tendance ou un retournement imminent. La décision de vente est justifiée par cette position extrême, le marché semblant temporairement survendre le titre.</w:t>
      </w:r>
    </w:p>
    <w:p>
      <w:pPr>
        <w:spacing w:after="120" w:line="276" w:lineRule="auto"/>
      </w:pPr>
      <w:r>
        <w:t>**MACD** : Le MACD (1 053,227) est nettement supérieur à son signal (657,32), avec un écart positif de 395,9 points, confirmant un momentum haussier puissant. Cette divergence positive indique que la dynamique d'achat reste forte, justifiant la décision d'achat, même si l'ampleur de l'écart suggère une possible consolidation à venir.</w:t>
      </w:r>
    </w:p>
    <w:p>
      <w:pPr>
        <w:spacing w:after="120" w:line="276" w:lineRule="auto"/>
      </w:pPr>
      <w:r>
        <w:t>**RSI** : Avec une valeur de 96,154, le RSI est extrêmement suracheté, dépassant largement le seuil critique de 70. Cette situation indique que le titre est massivement survendu, avec une pression acheteuse excessive qui pourrait précéder un repli technique. La décision de vente est pleinement justifiée, car un RSI à ce niveau est rarement durable.</w:t>
      </w:r>
    </w:p>
    <w:p>
      <w:pPr>
        <w:spacing w:after="120" w:line="276" w:lineRule="auto"/>
      </w:pPr>
      <w:r>
        <w:t>**Stochastique** : Le %K et le %D sont tous deux à 100,0, confirmant une condition de surachat extrême. Cette configuration, où les deux lignes sont à leur niveau maximum, signale que le marché est dans une phase d'euphorie qui pourrait être suivie d'une correction. La décision de vente est cohérente avec cette lecture.</w:t>
      </w:r>
    </w:p>
    <w:p>
      <w:pPr>
        <w:spacing w:after="120" w:line="276" w:lineRule="auto"/>
      </w:pPr>
      <w:r>
        <w:t>**Conclusion technique** : L'ensemble des indicateurs converge vers une situation de surachat extrême, avec le prix au-dessus des bandes de Bollinger, un RSI à 96, et un stochastique à 100. Bien que la tendance de fond reste haussière (MM et MACD positifs), les signaux de vente à court terme sont unanimes, suggérant une correction technique probable avant la poursuite de la tendance.</w:t>
      </w:r>
    </w:p>
    <w:p>
      <w:pPr>
        <w:spacing w:after="120" w:line="276" w:lineRule="auto" w:before="240"/>
      </w:pPr>
      <w:r>
        <w:rPr>
          <w:b/>
          <w:color w:val="003366"/>
          <w:sz w:val="24"/>
        </w:rPr>
        <w:t>**PARTIE 3 : ANALYSE FONDAMENTALE (SECTION CRITIQUE)**</w:t>
      </w:r>
    </w:p>
    <w:p>
      <w:pPr>
        <w:spacing w:after="120" w:line="276" w:lineRule="auto"/>
      </w:pPr>
      <w:r>
        <w:t>En 2025, ORAC affiche des fondamentaux solides avec un chiffre d'affaires de 1 197,1 milliards FCFA, en hausse de +10,4% par rapport à 2024 (1 084,1 milliards FCFA), et un résultat net consolidé de 167,8 milliards FCFA (+6,1%). La marge nette s'établit à 14,0%, la marge opérationnelle à 24,0%, et le ROE atteint un excellent niveau de 23,7%, bien au-dessus du seuil de 15% considéré comme performant. Le BFR négatif de -198 milliards FCFA constitue un avantage compétitif majeur, la société finançant son exploitation grâce aux délais fournisseurs très favorables (210,87 jours) tandis que le délai clients reste maîtrisé (52,26 jours). L'endettement est raisonnable avec une capacité de remboursement de 0,99 an et une couverture des intérêts de 1 018%. Les rapports trimestriels montrent une accélération de la croissance : le T1 2026 affiche un CA de 325,6 milliards FCFA (+14,8%) et un résultat net de 48,3 milliards FCFA (+25,2%), suggérant une dynamique nettement améliorée. Sur la base de ces données, on estime que l'exercice 2026 pourrait dépasser 1 350 milliards FCFA de CA et 190 milliards FCFA de résultat net, confirmant la solidité du modèle économique et la capacité de l'entreprise à transformer sa croissance en profitabilité.</w:t>
      </w:r>
    </w:p>
    <w:p>
      <w:pPr>
        <w:spacing w:after="120" w:line="276" w:lineRule="auto" w:before="240"/>
      </w:pPr>
      <w:r>
        <w:rPr>
          <w:b/>
          <w:color w:val="003366"/>
          <w:sz w:val="24"/>
        </w:rPr>
        <w:t>**PARTIE 4 : CONCLUSION D'INVESTISSEMENT**</w:t>
      </w:r>
    </w:p>
    <w:p>
      <w:pPr>
        <w:spacing w:after="120" w:line="276" w:lineRule="auto"/>
      </w:pPr>
      <w:r>
        <w:t>La valorisation d'ORAC, avec un PER de 19,0x et un P/B de 4,51x, indique une prime significative par rapport au marché BRVM, mais l'EV/EBITDA de 7,6x reste raisonnable, justifiant partiellement cette surévaluation par la qualité des fondamentaux. Le comportement du cours, avec une hausse de +44,71% sur 100 jours et une volatilité de 29%, témoigne d'un momentum puissant mais également d'un risque de correction, confirmé par les statistiques (kurtosis élevé, skewness positif). Les signaux techniques sont paradoxalement divergents : la tendance de fond reste haussière (MM, MACD) mais tous les indicateurs de surachat (RSI à 96, stochastique à 100, prix au-dessus des bandes) suggèrent un repli imminent. Les fondamentaux, avec un ROE de 23,7%, une croissance de +10,4% et des perspectives 2026 estimées à +14,8% de croissance du CA, restent excellents. Les prédictions IA prévoient une correction progressive vers 19 695 FCFA sur 10 jours (-7,1%), confirmant les signaux techniques de surachat. En synthèse, la convergence entre les signaux techniques de surachat et les prédictions IA suggère une consolidation à court terme, mais les fondamentaux solides et la dynamique de croissance soutiennent une perspective positive à moyen terme. **Recommandation : CONSERVER** avec un niveau de confiance **Élevé**, un risque global **Moyen**, et un horizon d'investissement optimal à **moyen terme (3-12 mois)**, en attendant une correction technique pour renforcer les positions.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221.43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5,577 titres</w:t>
            </w:r>
          </w:p>
        </w:tc>
        <w:tc>
          <w:tcPr>
            <w:tcW w:type="dxa" w:w="2268"/>
            <w:shd w:fill="FFF2CC" w:val="clear"/>
          </w:tcPr>
          <w:p>
            <w:r>
              <w:rPr>
                <w:b/>
                <w:color w:val="503200"/>
                <w:sz w:val="16"/>
              </w:rPr>
              <w:t xml:space="preserve">Cours actuel : </w:t>
            </w:r>
            <w:r>
              <w:rPr>
                <w:color w:val="000000"/>
                <w:sz w:val="17"/>
              </w:rPr>
              <w:t>3,190 FCFA</w:t>
            </w:r>
          </w:p>
          <w:p>
            <w:r>
              <w:rPr>
                <w:b/>
                <w:color w:val="503200"/>
                <w:sz w:val="16"/>
              </w:rPr>
              <w:t xml:space="preserve">Var. 100 jours : </w:t>
            </w:r>
            <w:r>
              <w:rPr>
                <w:b/>
                <w:color w:val="B40000"/>
                <w:sz w:val="17"/>
              </w:rPr>
              <w:t>-12.72%</w:t>
            </w:r>
          </w:p>
          <w:p>
            <w:r>
              <w:rPr>
                <w:b/>
                <w:color w:val="503200"/>
                <w:sz w:val="16"/>
              </w:rPr>
              <w:t xml:space="preserve">Plus haut 100j : </w:t>
            </w:r>
            <w:r>
              <w:rPr>
                <w:color w:val="000000"/>
                <w:sz w:val="17"/>
              </w:rPr>
              <w:t>3,660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11.52% (Moyenne) — μ=2,955 FCFA, σ=340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β=0.3744 (Défensif) — Cov=0.000013, Var(idx)=0.000034, ρ=0.080,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5,577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σ_j=2.74%/j (Stable) — Vol. annualisée≈43.6%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2026-08-27</w:t>
            </w:r>
          </w:p>
        </w:tc>
        <w:tc>
          <w:tcPr>
            <w:tcW w:type="dxa" w:w="1440"/>
            <w:shd w:fill="FAFAFA" w:val="clear"/>
          </w:tcPr>
          <w:p>
            <w:r>
              <w:rPr>
                <w:sz w:val="17"/>
              </w:rPr>
              <w:t>3,009</w:t>
            </w:r>
          </w:p>
        </w:tc>
        <w:tc>
          <w:tcPr>
            <w:tcW w:type="dxa" w:w="1440"/>
            <w:shd w:fill="FAFAFA" w:val="clear"/>
          </w:tcPr>
          <w:p>
            <w:r>
              <w:rPr>
                <w:b/>
                <w:sz w:val="17"/>
              </w:rPr>
              <w:t>3,143</w:t>
            </w:r>
          </w:p>
        </w:tc>
        <w:tc>
          <w:tcPr>
            <w:tcW w:type="dxa" w:w="1440"/>
            <w:shd w:fill="FAFAFA" w:val="clear"/>
          </w:tcPr>
          <w:p>
            <w:r>
              <w:rPr>
                <w:sz w:val="17"/>
              </w:rPr>
              <w:t>3,276</w:t>
            </w:r>
          </w:p>
        </w:tc>
        <w:tc>
          <w:tcPr>
            <w:tcW w:type="dxa" w:w="1440"/>
            <w:shd w:fill="FAFAFA" w:val="clear"/>
          </w:tcPr>
          <w:p>
            <w:r>
              <w:rPr>
                <w:b/>
                <w:color w:val="C00000"/>
                <w:sz w:val="17"/>
              </w:rPr>
              <w:t>-1.5%</w:t>
            </w:r>
          </w:p>
        </w:tc>
      </w:tr>
      <w:tr>
        <w:tc>
          <w:tcPr>
            <w:tcW w:type="dxa" w:w="1440"/>
            <w:shd w:fill="FAFAFA" w:val="clear"/>
          </w:tcPr>
          <w:p>
            <w:r>
              <w:rPr>
                <w:sz w:val="17"/>
              </w:rPr>
              <w:t>J+2  ⭐⭐⭐</w:t>
            </w:r>
          </w:p>
        </w:tc>
        <w:tc>
          <w:tcPr>
            <w:tcW w:type="dxa" w:w="1440"/>
            <w:shd w:fill="FAFAFA" w:val="clear"/>
          </w:tcPr>
          <w:p>
            <w:r>
              <w:rPr>
                <w:sz w:val="17"/>
              </w:rPr>
              <w:t>2026-08-28</w:t>
            </w:r>
          </w:p>
        </w:tc>
        <w:tc>
          <w:tcPr>
            <w:tcW w:type="dxa" w:w="1440"/>
            <w:shd w:fill="FAFAFA" w:val="clear"/>
          </w:tcPr>
          <w:p>
            <w:r>
              <w:rPr>
                <w:sz w:val="17"/>
              </w:rPr>
              <w:t>2,975</w:t>
            </w:r>
          </w:p>
        </w:tc>
        <w:tc>
          <w:tcPr>
            <w:tcW w:type="dxa" w:w="1440"/>
            <w:shd w:fill="FAFAFA" w:val="clear"/>
          </w:tcPr>
          <w:p>
            <w:r>
              <w:rPr>
                <w:b/>
                <w:sz w:val="17"/>
              </w:rPr>
              <w:t>3,138</w:t>
            </w:r>
          </w:p>
        </w:tc>
        <w:tc>
          <w:tcPr>
            <w:tcW w:type="dxa" w:w="1440"/>
            <w:shd w:fill="FAFAFA" w:val="clear"/>
          </w:tcPr>
          <w:p>
            <w:r>
              <w:rPr>
                <w:sz w:val="17"/>
              </w:rPr>
              <w:t>3,301</w:t>
            </w:r>
          </w:p>
        </w:tc>
        <w:tc>
          <w:tcPr>
            <w:tcW w:type="dxa" w:w="1440"/>
            <w:shd w:fill="FAFAFA" w:val="clear"/>
          </w:tcPr>
          <w:p>
            <w:r>
              <w:rPr>
                <w:b/>
                <w:color w:val="C00000"/>
                <w:sz w:val="17"/>
              </w:rPr>
              <w:t>-1.6%</w:t>
            </w:r>
          </w:p>
        </w:tc>
      </w:tr>
      <w:tr>
        <w:tc>
          <w:tcPr>
            <w:tcW w:type="dxa" w:w="1440"/>
            <w:shd w:fill="FAFAFA" w:val="clear"/>
          </w:tcPr>
          <w:p>
            <w:r>
              <w:rPr>
                <w:sz w:val="17"/>
              </w:rPr>
              <w:t>J+3  Moyenne</w:t>
            </w:r>
          </w:p>
        </w:tc>
        <w:tc>
          <w:tcPr>
            <w:tcW w:type="dxa" w:w="1440"/>
            <w:shd w:fill="FAFAFA" w:val="clear"/>
          </w:tcPr>
          <w:p>
            <w:r>
              <w:rPr>
                <w:sz w:val="17"/>
              </w:rPr>
              <w:t>2026-08-31</w:t>
            </w:r>
          </w:p>
        </w:tc>
        <w:tc>
          <w:tcPr>
            <w:tcW w:type="dxa" w:w="1440"/>
            <w:shd w:fill="FAFAFA" w:val="clear"/>
          </w:tcPr>
          <w:p>
            <w:r>
              <w:rPr>
                <w:sz w:val="17"/>
              </w:rPr>
              <w:t>2,946</w:t>
            </w:r>
          </w:p>
        </w:tc>
        <w:tc>
          <w:tcPr>
            <w:tcW w:type="dxa" w:w="1440"/>
            <w:shd w:fill="FAFAFA" w:val="clear"/>
          </w:tcPr>
          <w:p>
            <w:r>
              <w:rPr>
                <w:b/>
                <w:sz w:val="17"/>
              </w:rPr>
              <w:t>3,134</w:t>
            </w:r>
          </w:p>
        </w:tc>
        <w:tc>
          <w:tcPr>
            <w:tcW w:type="dxa" w:w="1440"/>
            <w:shd w:fill="FAFAFA" w:val="clear"/>
          </w:tcPr>
          <w:p>
            <w:r>
              <w:rPr>
                <w:sz w:val="17"/>
              </w:rPr>
              <w:t>3,322</w:t>
            </w:r>
          </w:p>
        </w:tc>
        <w:tc>
          <w:tcPr>
            <w:tcW w:type="dxa" w:w="1440"/>
            <w:shd w:fill="FAFAFA" w:val="clear"/>
          </w:tcPr>
          <w:p>
            <w:r>
              <w:rPr>
                <w:b/>
                <w:color w:val="C00000"/>
                <w:sz w:val="17"/>
              </w:rPr>
              <w:t>-1.8%</w:t>
            </w:r>
          </w:p>
        </w:tc>
      </w:tr>
      <w:tr>
        <w:tc>
          <w:tcPr>
            <w:tcW w:type="dxa" w:w="1440"/>
            <w:shd w:fill="FAFAFA" w:val="clear"/>
          </w:tcPr>
          <w:p>
            <w:r>
              <w:rPr>
                <w:sz w:val="17"/>
              </w:rPr>
              <w:t>J+4  Moyenne</w:t>
            </w:r>
          </w:p>
        </w:tc>
        <w:tc>
          <w:tcPr>
            <w:tcW w:type="dxa" w:w="1440"/>
            <w:shd w:fill="FAFAFA" w:val="clear"/>
          </w:tcPr>
          <w:p>
            <w:r>
              <w:rPr>
                <w:sz w:val="17"/>
              </w:rPr>
              <w:t>2026-09-01</w:t>
            </w:r>
          </w:p>
        </w:tc>
        <w:tc>
          <w:tcPr>
            <w:tcW w:type="dxa" w:w="1440"/>
            <w:shd w:fill="FAFAFA" w:val="clear"/>
          </w:tcPr>
          <w:p>
            <w:r>
              <w:rPr>
                <w:sz w:val="17"/>
              </w:rPr>
              <w:t>2,921</w:t>
            </w:r>
          </w:p>
        </w:tc>
        <w:tc>
          <w:tcPr>
            <w:tcW w:type="dxa" w:w="1440"/>
            <w:shd w:fill="FAFAFA" w:val="clear"/>
          </w:tcPr>
          <w:p>
            <w:r>
              <w:rPr>
                <w:b/>
                <w:sz w:val="17"/>
              </w:rPr>
              <w:t>3,131</w:t>
            </w:r>
          </w:p>
        </w:tc>
        <w:tc>
          <w:tcPr>
            <w:tcW w:type="dxa" w:w="1440"/>
            <w:shd w:fill="FAFAFA" w:val="clear"/>
          </w:tcPr>
          <w:p>
            <w:r>
              <w:rPr>
                <w:sz w:val="17"/>
              </w:rPr>
              <w:t>3,341</w:t>
            </w:r>
          </w:p>
        </w:tc>
        <w:tc>
          <w:tcPr>
            <w:tcW w:type="dxa" w:w="1440"/>
            <w:shd w:fill="FAFAFA" w:val="clear"/>
          </w:tcPr>
          <w:p>
            <w:r>
              <w:rPr>
                <w:b/>
                <w:color w:val="C00000"/>
                <w:sz w:val="17"/>
              </w:rPr>
              <w:t>-1.9%</w:t>
            </w:r>
          </w:p>
        </w:tc>
      </w:tr>
      <w:tr>
        <w:tc>
          <w:tcPr>
            <w:tcW w:type="dxa" w:w="1440"/>
            <w:shd w:fill="FAFAFA" w:val="clear"/>
          </w:tcPr>
          <w:p>
            <w:r>
              <w:rPr>
                <w:sz w:val="17"/>
              </w:rPr>
              <w:t>J+5  Moyenne</w:t>
            </w:r>
          </w:p>
        </w:tc>
        <w:tc>
          <w:tcPr>
            <w:tcW w:type="dxa" w:w="1440"/>
            <w:shd w:fill="FAFAFA" w:val="clear"/>
          </w:tcPr>
          <w:p>
            <w:r>
              <w:rPr>
                <w:sz w:val="17"/>
              </w:rPr>
              <w:t>2026-09-02</w:t>
            </w:r>
          </w:p>
        </w:tc>
        <w:tc>
          <w:tcPr>
            <w:tcW w:type="dxa" w:w="1440"/>
            <w:shd w:fill="FAFAFA" w:val="clear"/>
          </w:tcPr>
          <w:p>
            <w:r>
              <w:rPr>
                <w:sz w:val="17"/>
              </w:rPr>
              <w:t>2,898</w:t>
            </w:r>
          </w:p>
        </w:tc>
        <w:tc>
          <w:tcPr>
            <w:tcW w:type="dxa" w:w="1440"/>
            <w:shd w:fill="FAFAFA" w:val="clear"/>
          </w:tcPr>
          <w:p>
            <w:r>
              <w:rPr>
                <w:b/>
                <w:sz w:val="17"/>
              </w:rPr>
              <w:t>3,128</w:t>
            </w:r>
          </w:p>
        </w:tc>
        <w:tc>
          <w:tcPr>
            <w:tcW w:type="dxa" w:w="1440"/>
            <w:shd w:fill="FAFAFA" w:val="clear"/>
          </w:tcPr>
          <w:p>
            <w:r>
              <w:rPr>
                <w:sz w:val="17"/>
              </w:rPr>
              <w:t>3,358</w:t>
            </w:r>
          </w:p>
        </w:tc>
        <w:tc>
          <w:tcPr>
            <w:tcW w:type="dxa" w:w="1440"/>
            <w:shd w:fill="FAFAFA" w:val="clear"/>
          </w:tcPr>
          <w:p>
            <w:r>
              <w:rPr>
                <w:b/>
                <w:color w:val="C00000"/>
                <w:sz w:val="17"/>
              </w:rPr>
              <w:t>-2.0%</w:t>
            </w:r>
          </w:p>
        </w:tc>
      </w:tr>
      <w:tr>
        <w:tc>
          <w:tcPr>
            <w:tcW w:type="dxa" w:w="1440"/>
            <w:shd w:fill="FFDCE0" w:val="clear"/>
          </w:tcPr>
          <w:p>
            <w:r>
              <w:rPr>
                <w:sz w:val="17"/>
              </w:rPr>
              <w:t>J+6  Moyenne</w:t>
            </w:r>
          </w:p>
        </w:tc>
        <w:tc>
          <w:tcPr>
            <w:tcW w:type="dxa" w:w="1440"/>
            <w:shd w:fill="FFDCE0" w:val="clear"/>
          </w:tcPr>
          <w:p>
            <w:r>
              <w:rPr>
                <w:sz w:val="17"/>
              </w:rPr>
              <w:t>2026-09-03</w:t>
            </w:r>
          </w:p>
        </w:tc>
        <w:tc>
          <w:tcPr>
            <w:tcW w:type="dxa" w:w="1440"/>
            <w:shd w:fill="FFDCE0" w:val="clear"/>
          </w:tcPr>
          <w:p>
            <w:r>
              <w:rPr>
                <w:sz w:val="17"/>
              </w:rPr>
              <w:t>2,877</w:t>
            </w:r>
          </w:p>
        </w:tc>
        <w:tc>
          <w:tcPr>
            <w:tcW w:type="dxa" w:w="1440"/>
            <w:shd w:fill="FFDCE0" w:val="clear"/>
          </w:tcPr>
          <w:p>
            <w:r>
              <w:rPr>
                <w:b/>
                <w:sz w:val="17"/>
              </w:rPr>
              <w:t>3,125</w:t>
            </w:r>
          </w:p>
        </w:tc>
        <w:tc>
          <w:tcPr>
            <w:tcW w:type="dxa" w:w="1440"/>
            <w:shd w:fill="FFDCE0" w:val="clear"/>
          </w:tcPr>
          <w:p>
            <w:r>
              <w:rPr>
                <w:sz w:val="17"/>
              </w:rPr>
              <w:t>3,373</w:t>
            </w:r>
          </w:p>
        </w:tc>
        <w:tc>
          <w:tcPr>
            <w:tcW w:type="dxa" w:w="1440"/>
            <w:shd w:fill="FFDCE0" w:val="clear"/>
          </w:tcPr>
          <w:p>
            <w:r>
              <w:rPr>
                <w:b/>
                <w:color w:val="C00000"/>
                <w:sz w:val="17"/>
              </w:rPr>
              <w:t>-2.0%</w:t>
            </w:r>
          </w:p>
        </w:tc>
      </w:tr>
      <w:tr>
        <w:tc>
          <w:tcPr>
            <w:tcW w:type="dxa" w:w="1440"/>
            <w:shd w:fill="FFDCE0" w:val="clear"/>
          </w:tcPr>
          <w:p>
            <w:r>
              <w:rPr>
                <w:sz w:val="17"/>
              </w:rPr>
              <w:t>J+7  Moyenne</w:t>
            </w:r>
          </w:p>
        </w:tc>
        <w:tc>
          <w:tcPr>
            <w:tcW w:type="dxa" w:w="1440"/>
            <w:shd w:fill="FFDCE0" w:val="clear"/>
          </w:tcPr>
          <w:p>
            <w:r>
              <w:rPr>
                <w:sz w:val="17"/>
              </w:rPr>
              <w:t>2026-09-04</w:t>
            </w:r>
          </w:p>
        </w:tc>
        <w:tc>
          <w:tcPr>
            <w:tcW w:type="dxa" w:w="1440"/>
            <w:shd w:fill="FFDCE0" w:val="clear"/>
          </w:tcPr>
          <w:p>
            <w:r>
              <w:rPr>
                <w:sz w:val="17"/>
              </w:rPr>
              <w:t>2,857</w:t>
            </w:r>
          </w:p>
        </w:tc>
        <w:tc>
          <w:tcPr>
            <w:tcW w:type="dxa" w:w="1440"/>
            <w:shd w:fill="FFDCE0" w:val="clear"/>
          </w:tcPr>
          <w:p>
            <w:r>
              <w:rPr>
                <w:b/>
                <w:sz w:val="17"/>
              </w:rPr>
              <w:t>3,122</w:t>
            </w:r>
          </w:p>
        </w:tc>
        <w:tc>
          <w:tcPr>
            <w:tcW w:type="dxa" w:w="1440"/>
            <w:shd w:fill="FFDCE0" w:val="clear"/>
          </w:tcPr>
          <w:p>
            <w:r>
              <w:rPr>
                <w:sz w:val="17"/>
              </w:rPr>
              <w:t>3,387</w:t>
            </w:r>
          </w:p>
        </w:tc>
        <w:tc>
          <w:tcPr>
            <w:tcW w:type="dxa" w:w="1440"/>
            <w:shd w:fill="FFDCE0" w:val="clear"/>
          </w:tcPr>
          <w:p>
            <w:r>
              <w:rPr>
                <w:b/>
                <w:color w:val="C00000"/>
                <w:sz w:val="17"/>
              </w:rPr>
              <w:t>-2.1%</w:t>
            </w:r>
          </w:p>
        </w:tc>
      </w:tr>
      <w:tr>
        <w:tc>
          <w:tcPr>
            <w:tcW w:type="dxa" w:w="1440"/>
            <w:shd w:fill="FFDCE0" w:val="clear"/>
          </w:tcPr>
          <w:p>
            <w:r>
              <w:rPr>
                <w:sz w:val="17"/>
              </w:rPr>
              <w:t>J+8  Moyenne</w:t>
            </w:r>
          </w:p>
        </w:tc>
        <w:tc>
          <w:tcPr>
            <w:tcW w:type="dxa" w:w="1440"/>
            <w:shd w:fill="FFDCE0" w:val="clear"/>
          </w:tcPr>
          <w:p>
            <w:r>
              <w:rPr>
                <w:sz w:val="17"/>
              </w:rPr>
              <w:t>2026-09-07</w:t>
            </w:r>
          </w:p>
        </w:tc>
        <w:tc>
          <w:tcPr>
            <w:tcW w:type="dxa" w:w="1440"/>
            <w:shd w:fill="FFDCE0" w:val="clear"/>
          </w:tcPr>
          <w:p>
            <w:r>
              <w:rPr>
                <w:sz w:val="17"/>
              </w:rPr>
              <w:t>2,838</w:t>
            </w:r>
          </w:p>
        </w:tc>
        <w:tc>
          <w:tcPr>
            <w:tcW w:type="dxa" w:w="1440"/>
            <w:shd w:fill="FFDCE0" w:val="clear"/>
          </w:tcPr>
          <w:p>
            <w:r>
              <w:rPr>
                <w:b/>
                <w:sz w:val="17"/>
              </w:rPr>
              <w:t>3,119</w:t>
            </w:r>
          </w:p>
        </w:tc>
        <w:tc>
          <w:tcPr>
            <w:tcW w:type="dxa" w:w="1440"/>
            <w:shd w:fill="FFDCE0" w:val="clear"/>
          </w:tcPr>
          <w:p>
            <w:r>
              <w:rPr>
                <w:sz w:val="17"/>
              </w:rPr>
              <w:t>3,400</w:t>
            </w:r>
          </w:p>
        </w:tc>
        <w:tc>
          <w:tcPr>
            <w:tcW w:type="dxa" w:w="1440"/>
            <w:shd w:fill="FFDCE0" w:val="clear"/>
          </w:tcPr>
          <w:p>
            <w:r>
              <w:rPr>
                <w:b/>
                <w:color w:val="C00000"/>
                <w:sz w:val="17"/>
              </w:rPr>
              <w:t>-2.2%</w:t>
            </w:r>
          </w:p>
        </w:tc>
      </w:tr>
      <w:tr>
        <w:tc>
          <w:tcPr>
            <w:tcW w:type="dxa" w:w="1440"/>
            <w:shd w:fill="FFDCE0" w:val="clear"/>
          </w:tcPr>
          <w:p>
            <w:r>
              <w:rPr>
                <w:sz w:val="17"/>
              </w:rPr>
              <w:t>J+9  Moyenne</w:t>
            </w:r>
          </w:p>
        </w:tc>
        <w:tc>
          <w:tcPr>
            <w:tcW w:type="dxa" w:w="1440"/>
            <w:shd w:fill="FFDCE0" w:val="clear"/>
          </w:tcPr>
          <w:p>
            <w:r>
              <w:rPr>
                <w:sz w:val="17"/>
              </w:rPr>
              <w:t>2026-09-08</w:t>
            </w:r>
          </w:p>
        </w:tc>
        <w:tc>
          <w:tcPr>
            <w:tcW w:type="dxa" w:w="1440"/>
            <w:shd w:fill="FFDCE0" w:val="clear"/>
          </w:tcPr>
          <w:p>
            <w:r>
              <w:rPr>
                <w:sz w:val="17"/>
              </w:rPr>
              <w:t>2,821</w:t>
            </w:r>
          </w:p>
        </w:tc>
        <w:tc>
          <w:tcPr>
            <w:tcW w:type="dxa" w:w="1440"/>
            <w:shd w:fill="FFDCE0" w:val="clear"/>
          </w:tcPr>
          <w:p>
            <w:r>
              <w:rPr>
                <w:b/>
                <w:sz w:val="17"/>
              </w:rPr>
              <w:t>3,117</w:t>
            </w:r>
          </w:p>
        </w:tc>
        <w:tc>
          <w:tcPr>
            <w:tcW w:type="dxa" w:w="1440"/>
            <w:shd w:fill="FFDCE0" w:val="clear"/>
          </w:tcPr>
          <w:p>
            <w:r>
              <w:rPr>
                <w:sz w:val="17"/>
              </w:rPr>
              <w:t>3,412</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**RAPPORT D'ANALYSE FINANCIÈRE — ORAGROUP (ORGT)**</w:t>
        <w:br/>
        <w:t>**Date de l'analyse : 26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d'Oragroup s'établit à 221,43 milliards FCFA, un niveau significatif qui la positionne parmi les valeurs moyennes à grandes capitalisations de la BRVM. Le BPA de 312 FCFA indique que chaque action génère un bénéfice substantiel, soutenant un PER de 10,2x, en ligne avec la moyenne historique de la BRVM (8-12x), ce qui traduit une valorisation raisonnable. Le P/B de 1,96x montre que le marché valorise la société à près du double de sa valeur comptable, reflétant une confiance dans la création de valeur future. Cependant, l'EV/EBITDA de 20,1x apparaît très exigeant, signalant que la valeur totale de l'entreprise (dette incluse) est élevée par rapport à sa capacité opérationnelle de génération de cash-flow. Cette combinaison de ratios suggère une valorisation globalement correcte, sans décote ni prime excessive, mais avec une certaine prudence sur la capacité à maintenir les niveaux de rentabilité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ORGT a enregistré une baisse de 12,72%, passant de son plus haut à 3 660 FCFA à son plus bas à 2 435 FCFA, avant de clôturer à 3 190 FCFA, soit une hausse de 2,08% lors de la dernière séance. La moyenne du cours sur la période est de 2 955 FCFA, tandis que la médiane est de 2 780 FCFA ; cet écart positif entre moyenne et médiane, couplé à un skewness de 0,690, indique une asymétrie positive avec des journées plus fréquentes sous la moyenne mais quelques fortes hausses qui tirent la moyenne vers le haut. L'écart-type de 342 FCFA (CV = 11,6%) révèle une dispersion modérée des prix autour de la moyenne. Le kurtosis de -0,703, proche d'une distribution normale, suggère l'absence de pics extrêmes de volatilité. La volatilité annualisée de 43,6% est élevée, positionnant le titre comme risqué pour les investisseurs à court terme, mais la tendance récente montre un rebond depuis les plus bas, indiquant un possible retournement haussier.</w:t>
      </w:r>
    </w:p>
    <w:p>
      <w:pPr>
        <w:spacing w:after="120" w:line="276" w:lineRule="auto"/>
      </w:pPr>
      <w:r>
        <w:t>---</w:t>
      </w:r>
    </w:p>
    <w:p>
      <w:pPr>
        <w:spacing w:after="120" w:line="276" w:lineRule="auto"/>
      </w:pPr>
      <w:r>
        <w:t>### PARTIE 2 : ANALYSE TECHNIQUE DÉTAILLÉE</w:t>
      </w:r>
    </w:p>
    <w:p>
      <w:pPr>
        <w:spacing w:after="120" w:line="276" w:lineRule="auto"/>
      </w:pPr>
      <w:r>
        <w:t>**Moyennes Mobiles :** La MM20 à 3 062,25 FCFA et la MM50 à 2 837,2 FCFA sont toutes deux inférieures au cours actuel de 3 190 FCFA, ce qui confirme une dynamique haussière à court et moyen terme. Le croisement haussier des moyennes mobiles (MM20 &gt; MM50) renforce le signal d'achat, indiquant que la tendance de fond est positive malgré la correction récente.</w:t>
      </w:r>
    </w:p>
    <w:p>
      <w:pPr>
        <w:spacing w:after="120" w:line="276" w:lineRule="auto"/>
      </w:pPr>
      <w:r>
        <w:t>**Bandes de Bollinger :** Le cours à 3 190 FCFA se situe entre la borne supérieure à 3 313,907 FCFA et la borne inférieure à 2 810,593 FCFA, proche de la borne supérieure. Cette position suggère une pression acheteuse soutenue, mais le signal est neutre car le prix n'a pas encore franchi la borne supérieure, ce qui pourrait indiquer une résistance à venir.</w:t>
      </w:r>
    </w:p>
    <w:p>
      <w:pPr>
        <w:spacing w:after="120" w:line="276" w:lineRule="auto"/>
      </w:pPr>
      <w:r>
        <w:t>**MACD :** Le MACD à 92,029 est légèrement inférieur à son signal à 94,2, générant un signal de vente. Cette divergence négative, bien que modérée, indique un ralentissement du momentum haussier à court terme, appelant à la prudence malgré la tendance globale positive.</w:t>
      </w:r>
    </w:p>
    <w:p>
      <w:pPr>
        <w:spacing w:after="120" w:line="276" w:lineRule="auto"/>
      </w:pPr>
      <w:r>
        <w:t>**RSI :** Le RSI à 57,5 se situe dans la zone neutre (30-70), indiquant que le titre n'est ni suracheté ni survendu. Cette valeur suggère une marge de progression avant d'atteindre des niveaux de surachat, mais également une absence de pression vendeuse excessive.</w:t>
      </w:r>
    </w:p>
    <w:p>
      <w:pPr>
        <w:spacing w:after="120" w:line="276" w:lineRule="auto"/>
      </w:pPr>
      <w:r>
        <w:t>**Stochastique :** Le %K à 100,0 et le %D à 87,356 indiquent que le titre est en zone de surachat extrême. Le croisement potentiel de ces deux lignes pourrait signaler un retournement baissier imminent, justifiant la décision de vente pour les traders à court terme.</w:t>
      </w:r>
    </w:p>
    <w:p>
      <w:pPr>
        <w:spacing w:after="120" w:line="276" w:lineRule="auto"/>
      </w:pPr>
      <w:r>
        <w:t>**Conclusion technique :** La convergence des signaux est mitigée : les moyennes mobiles et le RSI soutiennent une tendance haussière, tandis que le MACD et le stochastique suggèrent un essoufflement à court terme. La position proche de la borne supérieure de Bollinger renforce cette ambiguïté. Globalement, la tendance de fond reste positive, mais un repli technique est probable à très court terme.</w:t>
      </w:r>
    </w:p>
    <w:p>
      <w:pPr>
        <w:spacing w:after="120" w:line="276" w:lineRule="auto"/>
      </w:pPr>
      <w:r>
        <w:t>---</w:t>
      </w:r>
    </w:p>
    <w:p>
      <w:pPr>
        <w:spacing w:after="120" w:line="276" w:lineRule="auto"/>
      </w:pPr>
      <w:r>
        <w:t>### PARTIE 3 : ANALYSE FONDAMENTALE (SECTION CRITIQUE)</w:t>
      </w:r>
    </w:p>
    <w:p>
      <w:pPr>
        <w:spacing w:after="120" w:line="276" w:lineRule="auto"/>
      </w:pPr>
      <w:r>
        <w:t>En 2025, Oragroup a réalisé un Produit Net Bancaire (PNB) de 186,609 milliards FCFA, en baisse de 4,5% par rapport à 2024 (195,436 milliards), mais le résultat net a connu un redressement spectaculaire à 21,643 milliards FCFA contre une perte de 44,363 milliards en 2024. Le ROE s'établit à 19,13%, un niveau excellent pour une banque, tandis que le ROA est plus modeste à 0,54%, reflétant la lourdeur du bilan (4 014 milliards FCFA). Le coefficient d'exploitation à 42,85% témoigne d'une excellente maîtrise des charges, et le coût du risque à 3,74% reste élevé mais en nette amélioration. Les dépôts clientèle (3 088,698 milliards) couvrent largement les crédits (1 523,765 milliards), indiquant une transformation saine. Selon le rapport T1 2026, le PNB a encore baissé de 2% à 50,124 millions FCFA, mais le résultat net a progressé de 37% à 6,555 millions FCFA, confirmant la poursuite du redressement. Les rapports S1 et T3 2025 montrent une amélioration continue du coût du risque et des frais généraux, avec un résultat net cumulé de 19,6 milliards à fin septembre 2025. On estime que l'exercice 2026 devrait maintenir cette trajectoire positive, avec un résultat net annuel potentiellement supérieur à 25 milliards FCFA si la tendance se confirme. La solidité financière est renforcée par des capitaux propres de 113,165 milliards FCFA, bien que l'autonomie financière de 2,82% reste faible, indiquant une forte dépendance aux dettes.</w:t>
      </w:r>
    </w:p>
    <w:p>
      <w:pPr>
        <w:spacing w:after="120" w:line="276" w:lineRule="auto"/>
      </w:pPr>
      <w:r>
        <w:t>---</w:t>
      </w:r>
    </w:p>
    <w:p>
      <w:pPr>
        <w:spacing w:after="120" w:line="276" w:lineRule="auto"/>
      </w:pPr>
      <w:r>
        <w:t>### PARTIE 4 : CONCLUSION D'INVESTISSEMENT</w:t>
      </w:r>
    </w:p>
    <w:p>
      <w:pPr>
        <w:spacing w:after="120" w:line="276" w:lineRule="auto"/>
      </w:pPr>
      <w:r>
        <w:t>La valorisation d'ORGT est raisonnable avec un PER de 10,2x et un P/B de 1,96x, mais l'EV/EBITDA de 20,1x suggère une certaine exigence du marché. Le comportement du cours montre une volatilité élevée (43,6%) avec une tendance baissière sur 100 jours, mais un rebond récent et des statistiques (skewness positif, kurtosis normal) indiquant un potentiel de reprise. Les signaux techniques sont mitigés : les moyennes mobiles et le RSI sont positifs, tandis que le MACD et le stochastique signalent un essoufflement à court terme. Les fondamentaux sont solides avec un retour à la rentabilité, un ROE de 19,1%, une excellente maîtrise des coûts et des perspectives 2026 favorables selon les rapports trimestriels. Les prédictions IA pour les 10 prochains jours (3 143 à 3 128 FCFA) suggèrent une légère consolidation, en ligne avec les signaux techniques de surachat. La convergence entre la valorisation raisonnable, les fondamentaux en amélioration et les perspectives positives l'emporte sur les signaux techniques mitigés. **Recommandation : ACHAT** avec un niveau de confiance **Moyen** et un risque global **Élevé** en raison de la volatilité. L'horizon d'investissement optimal est le **moyen terme (3-12 mois)**, permettant de capitaliser sur le redressement fondamental tout en absorbant les fluctuations techniques à court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146.86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3,586 titres</w:t>
            </w:r>
          </w:p>
        </w:tc>
        <w:tc>
          <w:tcPr>
            <w:tcW w:type="dxa" w:w="2268"/>
            <w:shd w:fill="FFF2CC" w:val="clear"/>
          </w:tcPr>
          <w:p>
            <w:r>
              <w:rPr>
                <w:b/>
                <w:color w:val="503200"/>
                <w:sz w:val="16"/>
              </w:rPr>
              <w:t xml:space="preserve">Cours actuel : </w:t>
            </w:r>
            <w:r>
              <w:rPr>
                <w:color w:val="000000"/>
                <w:sz w:val="17"/>
              </w:rPr>
              <w:t>9,500 FCFA</w:t>
            </w:r>
          </w:p>
          <w:p>
            <w:r>
              <w:rPr>
                <w:b/>
                <w:color w:val="503200"/>
                <w:sz w:val="16"/>
              </w:rPr>
              <w:t xml:space="preserve">Var. 100 jours : </w:t>
            </w:r>
            <w:r>
              <w:rPr>
                <w:b/>
                <w:color w:val="007800"/>
                <w:sz w:val="17"/>
              </w:rPr>
              <w:t>+18.01%</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6.43% (Moyenne) — μ=8,449 FCFA, σ=543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β=-0.3360 (Contre-cyclique) — Cov=-0.000011, Var(idx)=0.000034, ρ=-0.084,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3,586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σ_j=2.34%/j (Stable) — Vol. annualisée≈37.1%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2026-08-27</w:t>
            </w:r>
          </w:p>
        </w:tc>
        <w:tc>
          <w:tcPr>
            <w:tcW w:type="dxa" w:w="1440"/>
            <w:shd w:fill="FAFAFA" w:val="clear"/>
          </w:tcPr>
          <w:p>
            <w:r>
              <w:rPr>
                <w:sz w:val="17"/>
              </w:rPr>
              <w:t>9,229</w:t>
            </w:r>
          </w:p>
        </w:tc>
        <w:tc>
          <w:tcPr>
            <w:tcW w:type="dxa" w:w="1440"/>
            <w:shd w:fill="FAFAFA" w:val="clear"/>
          </w:tcPr>
          <w:p>
            <w:r>
              <w:rPr>
                <w:b/>
                <w:sz w:val="17"/>
              </w:rPr>
              <w:t>9,618</w:t>
            </w:r>
          </w:p>
        </w:tc>
        <w:tc>
          <w:tcPr>
            <w:tcW w:type="dxa" w:w="1440"/>
            <w:shd w:fill="FAFAFA" w:val="clear"/>
          </w:tcPr>
          <w:p>
            <w:r>
              <w:rPr>
                <w:sz w:val="17"/>
              </w:rPr>
              <w:t>10,006</w:t>
            </w:r>
          </w:p>
        </w:tc>
        <w:tc>
          <w:tcPr>
            <w:tcW w:type="dxa" w:w="1440"/>
            <w:shd w:fill="FAFAFA" w:val="clear"/>
          </w:tcPr>
          <w:p>
            <w:r>
              <w:rPr>
                <w:b/>
                <w:color w:val="008000"/>
                <w:sz w:val="17"/>
              </w:rPr>
              <w:t>+1.2%</w:t>
            </w:r>
          </w:p>
        </w:tc>
      </w:tr>
      <w:tr>
        <w:tc>
          <w:tcPr>
            <w:tcW w:type="dxa" w:w="1440"/>
            <w:shd w:fill="FAFAFA" w:val="clear"/>
          </w:tcPr>
          <w:p>
            <w:r>
              <w:rPr>
                <w:sz w:val="17"/>
              </w:rPr>
              <w:t>J+2  ⭐⭐⭐</w:t>
            </w:r>
          </w:p>
        </w:tc>
        <w:tc>
          <w:tcPr>
            <w:tcW w:type="dxa" w:w="1440"/>
            <w:shd w:fill="FAFAFA" w:val="clear"/>
          </w:tcPr>
          <w:p>
            <w:r>
              <w:rPr>
                <w:sz w:val="17"/>
              </w:rPr>
              <w:t>2026-08-28</w:t>
            </w:r>
          </w:p>
        </w:tc>
        <w:tc>
          <w:tcPr>
            <w:tcW w:type="dxa" w:w="1440"/>
            <w:shd w:fill="FAFAFA" w:val="clear"/>
          </w:tcPr>
          <w:p>
            <w:r>
              <w:rPr>
                <w:sz w:val="17"/>
              </w:rPr>
              <w:t>9,166</w:t>
            </w:r>
          </w:p>
        </w:tc>
        <w:tc>
          <w:tcPr>
            <w:tcW w:type="dxa" w:w="1440"/>
            <w:shd w:fill="FAFAFA" w:val="clear"/>
          </w:tcPr>
          <w:p>
            <w:r>
              <w:rPr>
                <w:b/>
                <w:sz w:val="17"/>
              </w:rPr>
              <w:t>9,643</w:t>
            </w:r>
          </w:p>
        </w:tc>
        <w:tc>
          <w:tcPr>
            <w:tcW w:type="dxa" w:w="1440"/>
            <w:shd w:fill="FAFAFA" w:val="clear"/>
          </w:tcPr>
          <w:p>
            <w:r>
              <w:rPr>
                <w:sz w:val="17"/>
              </w:rPr>
              <w:t>10,121</w:t>
            </w:r>
          </w:p>
        </w:tc>
        <w:tc>
          <w:tcPr>
            <w:tcW w:type="dxa" w:w="1440"/>
            <w:shd w:fill="FAFAFA" w:val="clear"/>
          </w:tcPr>
          <w:p>
            <w:r>
              <w:rPr>
                <w:b/>
                <w:color w:val="008000"/>
                <w:sz w:val="17"/>
              </w:rPr>
              <w:t>+1.5%</w:t>
            </w:r>
          </w:p>
        </w:tc>
      </w:tr>
      <w:tr>
        <w:tc>
          <w:tcPr>
            <w:tcW w:type="dxa" w:w="1440"/>
            <w:shd w:fill="FAFAFA" w:val="clear"/>
          </w:tcPr>
          <w:p>
            <w:r>
              <w:rPr>
                <w:sz w:val="17"/>
              </w:rPr>
              <w:t>J+3  Moyenne</w:t>
            </w:r>
          </w:p>
        </w:tc>
        <w:tc>
          <w:tcPr>
            <w:tcW w:type="dxa" w:w="1440"/>
            <w:shd w:fill="FAFAFA" w:val="clear"/>
          </w:tcPr>
          <w:p>
            <w:r>
              <w:rPr>
                <w:sz w:val="17"/>
              </w:rPr>
              <w:t>2026-08-31</w:t>
            </w:r>
          </w:p>
        </w:tc>
        <w:tc>
          <w:tcPr>
            <w:tcW w:type="dxa" w:w="1440"/>
            <w:shd w:fill="FAFAFA" w:val="clear"/>
          </w:tcPr>
          <w:p>
            <w:r>
              <w:rPr>
                <w:sz w:val="17"/>
              </w:rPr>
              <w:t>9,117</w:t>
            </w:r>
          </w:p>
        </w:tc>
        <w:tc>
          <w:tcPr>
            <w:tcW w:type="dxa" w:w="1440"/>
            <w:shd w:fill="FAFAFA" w:val="clear"/>
          </w:tcPr>
          <w:p>
            <w:r>
              <w:rPr>
                <w:b/>
                <w:sz w:val="17"/>
              </w:rPr>
              <w:t>9,670</w:t>
            </w:r>
          </w:p>
        </w:tc>
        <w:tc>
          <w:tcPr>
            <w:tcW w:type="dxa" w:w="1440"/>
            <w:shd w:fill="FAFAFA" w:val="clear"/>
          </w:tcPr>
          <w:p>
            <w:r>
              <w:rPr>
                <w:sz w:val="17"/>
              </w:rPr>
              <w:t>10,223</w:t>
            </w:r>
          </w:p>
        </w:tc>
        <w:tc>
          <w:tcPr>
            <w:tcW w:type="dxa" w:w="1440"/>
            <w:shd w:fill="FAFAFA" w:val="clear"/>
          </w:tcPr>
          <w:p>
            <w:r>
              <w:rPr>
                <w:b/>
                <w:color w:val="008000"/>
                <w:sz w:val="17"/>
              </w:rPr>
              <w:t>+1.8%</w:t>
            </w:r>
          </w:p>
        </w:tc>
      </w:tr>
      <w:tr>
        <w:tc>
          <w:tcPr>
            <w:tcW w:type="dxa" w:w="1440"/>
            <w:shd w:fill="C6EFCE" w:val="clear"/>
          </w:tcPr>
          <w:p>
            <w:r>
              <w:rPr>
                <w:sz w:val="17"/>
              </w:rPr>
              <w:t>J+4  Moyenne</w:t>
            </w:r>
          </w:p>
        </w:tc>
        <w:tc>
          <w:tcPr>
            <w:tcW w:type="dxa" w:w="1440"/>
            <w:shd w:fill="C6EFCE" w:val="clear"/>
          </w:tcPr>
          <w:p>
            <w:r>
              <w:rPr>
                <w:sz w:val="17"/>
              </w:rPr>
              <w:t>2026-09-01</w:t>
            </w:r>
          </w:p>
        </w:tc>
        <w:tc>
          <w:tcPr>
            <w:tcW w:type="dxa" w:w="1440"/>
            <w:shd w:fill="C6EFCE" w:val="clear"/>
          </w:tcPr>
          <w:p>
            <w:r>
              <w:rPr>
                <w:sz w:val="17"/>
              </w:rPr>
              <w:t>9,076</w:t>
            </w:r>
          </w:p>
        </w:tc>
        <w:tc>
          <w:tcPr>
            <w:tcW w:type="dxa" w:w="1440"/>
            <w:shd w:fill="C6EFCE" w:val="clear"/>
          </w:tcPr>
          <w:p>
            <w:r>
              <w:rPr>
                <w:b/>
                <w:sz w:val="17"/>
              </w:rPr>
              <w:t>9,696</w:t>
            </w:r>
          </w:p>
        </w:tc>
        <w:tc>
          <w:tcPr>
            <w:tcW w:type="dxa" w:w="1440"/>
            <w:shd w:fill="C6EFCE" w:val="clear"/>
          </w:tcPr>
          <w:p>
            <w:r>
              <w:rPr>
                <w:sz w:val="17"/>
              </w:rPr>
              <w:t>10,316</w:t>
            </w:r>
          </w:p>
        </w:tc>
        <w:tc>
          <w:tcPr>
            <w:tcW w:type="dxa" w:w="1440"/>
            <w:shd w:fill="C6EFCE" w:val="clear"/>
          </w:tcPr>
          <w:p>
            <w:r>
              <w:rPr>
                <w:b/>
                <w:color w:val="008000"/>
                <w:sz w:val="17"/>
              </w:rPr>
              <w:t>+2.1%</w:t>
            </w:r>
          </w:p>
        </w:tc>
      </w:tr>
      <w:tr>
        <w:tc>
          <w:tcPr>
            <w:tcW w:type="dxa" w:w="1440"/>
            <w:shd w:fill="C6EFCE" w:val="clear"/>
          </w:tcPr>
          <w:p>
            <w:r>
              <w:rPr>
                <w:sz w:val="17"/>
              </w:rPr>
              <w:t>J+5  Moyenne</w:t>
            </w:r>
          </w:p>
        </w:tc>
        <w:tc>
          <w:tcPr>
            <w:tcW w:type="dxa" w:w="1440"/>
            <w:shd w:fill="C6EFCE" w:val="clear"/>
          </w:tcPr>
          <w:p>
            <w:r>
              <w:rPr>
                <w:sz w:val="17"/>
              </w:rPr>
              <w:t>2026-09-02</w:t>
            </w:r>
          </w:p>
        </w:tc>
        <w:tc>
          <w:tcPr>
            <w:tcW w:type="dxa" w:w="1440"/>
            <w:shd w:fill="C6EFCE" w:val="clear"/>
          </w:tcPr>
          <w:p>
            <w:r>
              <w:rPr>
                <w:sz w:val="17"/>
              </w:rPr>
              <w:t>9,040</w:t>
            </w:r>
          </w:p>
        </w:tc>
        <w:tc>
          <w:tcPr>
            <w:tcW w:type="dxa" w:w="1440"/>
            <w:shd w:fill="C6EFCE" w:val="clear"/>
          </w:tcPr>
          <w:p>
            <w:r>
              <w:rPr>
                <w:b/>
                <w:sz w:val="17"/>
              </w:rPr>
              <w:t>9,721</w:t>
            </w:r>
          </w:p>
        </w:tc>
        <w:tc>
          <w:tcPr>
            <w:tcW w:type="dxa" w:w="1440"/>
            <w:shd w:fill="C6EFCE" w:val="clear"/>
          </w:tcPr>
          <w:p>
            <w:r>
              <w:rPr>
                <w:sz w:val="17"/>
              </w:rPr>
              <w:t>10,402</w:t>
            </w:r>
          </w:p>
        </w:tc>
        <w:tc>
          <w:tcPr>
            <w:tcW w:type="dxa" w:w="1440"/>
            <w:shd w:fill="C6EFCE" w:val="clear"/>
          </w:tcPr>
          <w:p>
            <w:r>
              <w:rPr>
                <w:b/>
                <w:color w:val="008000"/>
                <w:sz w:val="17"/>
              </w:rPr>
              <w:t>+2.3%</w:t>
            </w:r>
          </w:p>
        </w:tc>
      </w:tr>
      <w:tr>
        <w:tc>
          <w:tcPr>
            <w:tcW w:type="dxa" w:w="1440"/>
            <w:shd w:fill="C6EFCE" w:val="clear"/>
          </w:tcPr>
          <w:p>
            <w:r>
              <w:rPr>
                <w:sz w:val="17"/>
              </w:rPr>
              <w:t>J+6  Moyenne</w:t>
            </w:r>
          </w:p>
        </w:tc>
        <w:tc>
          <w:tcPr>
            <w:tcW w:type="dxa" w:w="1440"/>
            <w:shd w:fill="C6EFCE" w:val="clear"/>
          </w:tcPr>
          <w:p>
            <w:r>
              <w:rPr>
                <w:sz w:val="17"/>
              </w:rPr>
              <w:t>2026-09-03</w:t>
            </w:r>
          </w:p>
        </w:tc>
        <w:tc>
          <w:tcPr>
            <w:tcW w:type="dxa" w:w="1440"/>
            <w:shd w:fill="C6EFCE" w:val="clear"/>
          </w:tcPr>
          <w:p>
            <w:r>
              <w:rPr>
                <w:sz w:val="17"/>
              </w:rPr>
              <w:t>9,009</w:t>
            </w:r>
          </w:p>
        </w:tc>
        <w:tc>
          <w:tcPr>
            <w:tcW w:type="dxa" w:w="1440"/>
            <w:shd w:fill="C6EFCE" w:val="clear"/>
          </w:tcPr>
          <w:p>
            <w:r>
              <w:rPr>
                <w:b/>
                <w:sz w:val="17"/>
              </w:rPr>
              <w:t>9,746</w:t>
            </w:r>
          </w:p>
        </w:tc>
        <w:tc>
          <w:tcPr>
            <w:tcW w:type="dxa" w:w="1440"/>
            <w:shd w:fill="C6EFCE" w:val="clear"/>
          </w:tcPr>
          <w:p>
            <w:r>
              <w:rPr>
                <w:sz w:val="17"/>
              </w:rPr>
              <w:t>10,484</w:t>
            </w:r>
          </w:p>
        </w:tc>
        <w:tc>
          <w:tcPr>
            <w:tcW w:type="dxa" w:w="1440"/>
            <w:shd w:fill="C6EFCE" w:val="clear"/>
          </w:tcPr>
          <w:p>
            <w:r>
              <w:rPr>
                <w:b/>
                <w:color w:val="008000"/>
                <w:sz w:val="17"/>
              </w:rPr>
              <w:t>+2.6%</w:t>
            </w:r>
          </w:p>
        </w:tc>
      </w:tr>
      <w:tr>
        <w:tc>
          <w:tcPr>
            <w:tcW w:type="dxa" w:w="1440"/>
            <w:shd w:fill="C6EFCE" w:val="clear"/>
          </w:tcPr>
          <w:p>
            <w:r>
              <w:rPr>
                <w:sz w:val="17"/>
              </w:rPr>
              <w:t>J+7  Moyenne</w:t>
            </w:r>
          </w:p>
        </w:tc>
        <w:tc>
          <w:tcPr>
            <w:tcW w:type="dxa" w:w="1440"/>
            <w:shd w:fill="C6EFCE" w:val="clear"/>
          </w:tcPr>
          <w:p>
            <w:r>
              <w:rPr>
                <w:sz w:val="17"/>
              </w:rPr>
              <w:t>2026-09-04</w:t>
            </w:r>
          </w:p>
        </w:tc>
        <w:tc>
          <w:tcPr>
            <w:tcW w:type="dxa" w:w="1440"/>
            <w:shd w:fill="C6EFCE" w:val="clear"/>
          </w:tcPr>
          <w:p>
            <w:r>
              <w:rPr>
                <w:sz w:val="17"/>
              </w:rPr>
              <w:t>8,981</w:t>
            </w:r>
          </w:p>
        </w:tc>
        <w:tc>
          <w:tcPr>
            <w:tcW w:type="dxa" w:w="1440"/>
            <w:shd w:fill="C6EFCE" w:val="clear"/>
          </w:tcPr>
          <w:p>
            <w:r>
              <w:rPr>
                <w:b/>
                <w:sz w:val="17"/>
              </w:rPr>
              <w:t>9,771</w:t>
            </w:r>
          </w:p>
        </w:tc>
        <w:tc>
          <w:tcPr>
            <w:tcW w:type="dxa" w:w="1440"/>
            <w:shd w:fill="C6EFCE" w:val="clear"/>
          </w:tcPr>
          <w:p>
            <w:r>
              <w:rPr>
                <w:sz w:val="17"/>
              </w:rPr>
              <w:t>10,562</w:t>
            </w:r>
          </w:p>
        </w:tc>
        <w:tc>
          <w:tcPr>
            <w:tcW w:type="dxa" w:w="1440"/>
            <w:shd w:fill="C6EFCE" w:val="clear"/>
          </w:tcPr>
          <w:p>
            <w:r>
              <w:rPr>
                <w:b/>
                <w:color w:val="008000"/>
                <w:sz w:val="17"/>
              </w:rPr>
              <w:t>+2.9%</w:t>
            </w:r>
          </w:p>
        </w:tc>
      </w:tr>
      <w:tr>
        <w:tc>
          <w:tcPr>
            <w:tcW w:type="dxa" w:w="1440"/>
            <w:shd w:fill="C6EFCE" w:val="clear"/>
          </w:tcPr>
          <w:p>
            <w:r>
              <w:rPr>
                <w:sz w:val="17"/>
              </w:rPr>
              <w:t>J+8  Moyenne</w:t>
            </w:r>
          </w:p>
        </w:tc>
        <w:tc>
          <w:tcPr>
            <w:tcW w:type="dxa" w:w="1440"/>
            <w:shd w:fill="C6EFCE" w:val="clear"/>
          </w:tcPr>
          <w:p>
            <w:r>
              <w:rPr>
                <w:sz w:val="17"/>
              </w:rPr>
              <w:t>2026-09-07</w:t>
            </w:r>
          </w:p>
        </w:tc>
        <w:tc>
          <w:tcPr>
            <w:tcW w:type="dxa" w:w="1440"/>
            <w:shd w:fill="C6EFCE" w:val="clear"/>
          </w:tcPr>
          <w:p>
            <w:r>
              <w:rPr>
                <w:sz w:val="17"/>
              </w:rPr>
              <w:t>8,956</w:t>
            </w:r>
          </w:p>
        </w:tc>
        <w:tc>
          <w:tcPr>
            <w:tcW w:type="dxa" w:w="1440"/>
            <w:shd w:fill="C6EFCE" w:val="clear"/>
          </w:tcPr>
          <w:p>
            <w:r>
              <w:rPr>
                <w:b/>
                <w:sz w:val="17"/>
              </w:rPr>
              <w:t>9,796</w:t>
            </w:r>
          </w:p>
        </w:tc>
        <w:tc>
          <w:tcPr>
            <w:tcW w:type="dxa" w:w="1440"/>
            <w:shd w:fill="C6EFCE" w:val="clear"/>
          </w:tcPr>
          <w:p>
            <w:r>
              <w:rPr>
                <w:sz w:val="17"/>
              </w:rPr>
              <w:t>10,637</w:t>
            </w:r>
          </w:p>
        </w:tc>
        <w:tc>
          <w:tcPr>
            <w:tcW w:type="dxa" w:w="1440"/>
            <w:shd w:fill="C6EFCE" w:val="clear"/>
          </w:tcPr>
          <w:p>
            <w:r>
              <w:rPr>
                <w:b/>
                <w:color w:val="008000"/>
                <w:sz w:val="17"/>
              </w:rPr>
              <w:t>+3.1%</w:t>
            </w:r>
          </w:p>
        </w:tc>
      </w:tr>
      <w:tr>
        <w:tc>
          <w:tcPr>
            <w:tcW w:type="dxa" w:w="1440"/>
            <w:shd w:fill="C6EFCE" w:val="clear"/>
          </w:tcPr>
          <w:p>
            <w:r>
              <w:rPr>
                <w:sz w:val="17"/>
              </w:rPr>
              <w:t>J+9  Moyenne</w:t>
            </w:r>
          </w:p>
        </w:tc>
        <w:tc>
          <w:tcPr>
            <w:tcW w:type="dxa" w:w="1440"/>
            <w:shd w:fill="C6EFCE" w:val="clear"/>
          </w:tcPr>
          <w:p>
            <w:r>
              <w:rPr>
                <w:sz w:val="17"/>
              </w:rPr>
              <w:t>2026-09-08</w:t>
            </w:r>
          </w:p>
        </w:tc>
        <w:tc>
          <w:tcPr>
            <w:tcW w:type="dxa" w:w="1440"/>
            <w:shd w:fill="C6EFCE" w:val="clear"/>
          </w:tcPr>
          <w:p>
            <w:r>
              <w:rPr>
                <w:sz w:val="17"/>
              </w:rPr>
              <w:t>8,933</w:t>
            </w:r>
          </w:p>
        </w:tc>
        <w:tc>
          <w:tcPr>
            <w:tcW w:type="dxa" w:w="1440"/>
            <w:shd w:fill="C6EFCE" w:val="clear"/>
          </w:tcPr>
          <w:p>
            <w:r>
              <w:rPr>
                <w:b/>
                <w:sz w:val="17"/>
              </w:rPr>
              <w:t>9,821</w:t>
            </w:r>
          </w:p>
        </w:tc>
        <w:tc>
          <w:tcPr>
            <w:tcW w:type="dxa" w:w="1440"/>
            <w:shd w:fill="C6EFCE" w:val="clear"/>
          </w:tcPr>
          <w:p>
            <w:r>
              <w:rPr>
                <w:sz w:val="17"/>
              </w:rPr>
              <w:t>10,709</w:t>
            </w:r>
          </w:p>
        </w:tc>
        <w:tc>
          <w:tcPr>
            <w:tcW w:type="dxa" w:w="1440"/>
            <w:shd w:fill="C6EFCE" w:val="clear"/>
          </w:tcPr>
          <w:p>
            <w:r>
              <w:rPr>
                <w:b/>
                <w:color w:val="008000"/>
                <w:sz w:val="17"/>
              </w:rPr>
              <w:t>+3.4%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PALC s'établit à 146,86 milliards FCFA, un niveau significatif qui la positionne parmi les valeurs moyennes à grandes capitalisations de la BRVM, lui conférant une liquidité et une visibilité appréciables. Le BPA de 1 003 FCFA indique que chaque action génère un bénéfice substantiel, justifiant un PER de 9,5x, inférieur à la moyenne historique de la place (~8-12x), ce qui suggère une sous-évaluation relative du titre par rapport à ses bénéfices. Le P/B de 1,03x est particulièrement intéressant : le marché valorise l'action quasiment à hauteur de ses capitaux propres, offrant ainsi un potentiel de revalorisation si la rentabilité s'améliore. Enfin, l'EV/EBITDA de 4,6x, nettement sous le seuil de 5x, confirme une valorisation très bon marché, signalant que la valeur totale de l'entreprise (dette incluse) est faible par rapport à sa capacité bénéficiaire opérationnelle. L'ensemble de ces ratios plaide pour une décote de valorisation sur le marché.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PALC a enregistré une performance remarquable de +18,01%, bien que la dernière séance affiche un léger repli de -1,35% à 9 500 FCFA, possiblement une prise de bénéfices après une forte progression. Le titre a évolué dans une fourchette de 7 000 à 9 640 FCFA, démontrant une dynamique haussière soutenue, le cours actuel se situant près de son plus haut. Les statistiques descriptives révèlent un cours moyen de 8 449 FCFA pour une médiane de 8 655 FCFA, l'écart indiquant une distribution légèrement asymétrique à gauche (skewness de -0,140), signe que les fortes baisses ont été moins fréquentes que les progressions. L'écart-type de 546 FCFA (CV de 6,5%) montre une dispersion modérée autour de la moyenne, tandis que le kurtosis de -0,455 (mésokurtique) indique une distribution proche de la normale, sans risque de variations extrêmes. La volatilité annualisée de 37,1% classe le titre comme très volatil, ce qui implique un risque élevé mais aussi un fort potentiel de rendement pour les investisseurs aguerris.</w:t>
      </w:r>
    </w:p>
    <w:p>
      <w:pPr>
        <w:spacing w:after="120" w:line="276" w:lineRule="auto" w:before="240"/>
      </w:pPr>
      <w:r>
        <w:rPr>
          <w:b/>
          <w:color w:val="003366"/>
          <w:sz w:val="24"/>
        </w:rPr>
        <w:t>**PARTIE 2 : ANALYSE TECHNIQUE DÉTAILLÉE**</w:t>
      </w:r>
    </w:p>
    <w:p>
      <w:pPr>
        <w:spacing w:after="120" w:line="276" w:lineRule="auto"/>
      </w:pPr>
      <w:r>
        <w:t>**Moyennes Mobiles** : Le cours actuel de 9 500 FCFA se situe nettement au-dessus de la MM20 (9 118,75 FCFA) et de la MM50 (8 881,6 FCFA), confirmant une tendance haussière solide à court et moyen terme. La configuration des MM, avec la MM20 au-dessus de la MM50, valide un signal d'achat, indiquant que la dynamique positive est toujours en place.</w:t>
      </w:r>
    </w:p>
    <w:p>
      <w:pPr>
        <w:spacing w:after="120" w:line="276" w:lineRule="auto"/>
      </w:pPr>
      <w:r>
        <w:t>**Bandes de Bollinger** : Le prix évolue à 9 500 FCFA, proche de la borne supérieure (9 723,19 FCFA) mais sans la toucher, ce qui suggère une pression acheteuse encore présente sans être excessive. La largeur des bandes (écart de 1 208 FCFA) reflète la volatilité élevée du titre. La décision est neutre, le cours n'ayant pas encore atteint les extrêmes qui signaleraient un retournement.</w:t>
      </w:r>
    </w:p>
    <w:p>
      <w:pPr>
        <w:spacing w:after="120" w:line="276" w:lineRule="auto"/>
      </w:pPr>
      <w:r>
        <w:t>**MACD** : Le MACD (216,43) est nettement au-dessus de sa ligne de signal (167,53), avec un écart positif croissant, ce qui démontre un momentum haussier puissant. Cette configuration classique de croisement haussier renforce le signal d'achat, indiquant que la dynamique de fond est positive.</w:t>
      </w:r>
    </w:p>
    <w:p>
      <w:pPr>
        <w:spacing w:after="120" w:line="276" w:lineRule="auto"/>
      </w:pPr>
      <w:r>
        <w:t>**RSI** : Le RSI à 70,4 est entré en zone de surachat, signalant que le titre a fortement progressé et pourrait être temporairement surévalué à court terme. Cette lecture suggère une prudence, car un repli technique est possible, mais elle ne remet pas en cause la tendance de fond tant que le RSI ne redescend pas sous 70.</w:t>
      </w:r>
    </w:p>
    <w:p>
      <w:pPr>
        <w:spacing w:after="120" w:line="276" w:lineRule="auto"/>
      </w:pPr>
      <w:r>
        <w:t>**Stochastique** : Le %K (78,79) est inférieur au %D (92,42), indiquant un croisement baissier potentiel en zone de surachat. Cette configuration suggère un essoufflement du mouvement haussier à très court terme, justifiant une décision neutre, dans l'attente d'un nouveau signal directionnel.</w:t>
      </w:r>
    </w:p>
    <w:p>
      <w:pPr>
        <w:spacing w:after="120" w:line="276" w:lineRule="auto"/>
      </w:pPr>
      <w:r>
        <w:t>**Conclusion technique** : La tendance de fond reste clairement haussière, soutenue par les moyennes mobiles et le MACD. Cependant, les oscillateurs (RSI et Stochastique) signalent une saturation acheteuse à court terme, laissant présager une consolidation ou un léger repli technique avant la poursuite du mouvement. Le scénario le plus probable est une pause dans la tendance haussière.</w:t>
      </w:r>
    </w:p>
    <w:p>
      <w:pPr>
        <w:spacing w:after="120" w:line="276" w:lineRule="auto" w:before="240"/>
      </w:pPr>
      <w:r>
        <w:rPr>
          <w:b/>
          <w:color w:val="003366"/>
          <w:sz w:val="24"/>
        </w:rPr>
        <w:t>**PARTIE 3 : ANALYSE FONDAMENTALE (SECTION CRITIQUE)**</w:t>
      </w:r>
    </w:p>
    <w:p>
      <w:pPr>
        <w:spacing w:after="120" w:line="276" w:lineRule="auto"/>
      </w:pPr>
      <w:r>
        <w:t>En 2025, PALC affiche des fondamentaux solides avec un chiffre d'affaires de 197,63 milliards FCFA, en croissance de +14,8% par rapport à 2024, et un résultat net de 15,51 milliards FCFA. La marge nette s'établit à 7,85%, en léger recul, tandis que le ROE atteint 10,87% et le ROA 7,79%, reflétant une rentabilité correcte mais perfectible. La structure financière est très saine avec une autonomie financière de 71,6% et un endettement très faible (ratio d'endettement de 0,56%), démontrant une excellente solidité bilantaire. Le BFR de 44,62 milliards FCFA, bien que positif, est un point de vigilance, tout comme le délai clients élevé de 142,58 jours qui expose à un risque de trésorerie. Les rapports trimestriels 2025 confirment cette dynamique : le T1 2025 était excellent (+32% de CA), le S1 2025 très solide (+25% de CA, résultat net de 22,9 milliards), mais le T3 2025 a montré un ralentissement (marge nette de 10,7% sur 9 mois). Le rapport annuel 2025 (publié en mars 2026) souligne une pression sur les coûts et une baisse du dividende à 502 FCFA/action. Cependant, le T1 2026 est préoccupant avec une chute de 86% du résultat net à 1,6 milliard FCFA, que la direction attribue à un décalage temporel des ventes. Sur la base de ces éléments, on estime que l'exercice 2026 sera difficile, avec un résultat net potentiellement en baisse significative, mais la solidité financière et les perspectives de redressement offrent une certaine résilience.</w:t>
      </w:r>
    </w:p>
    <w:p>
      <w:pPr>
        <w:spacing w:after="120" w:line="276" w:lineRule="auto" w:before="240"/>
      </w:pPr>
      <w:r>
        <w:rPr>
          <w:b/>
          <w:color w:val="003366"/>
          <w:sz w:val="24"/>
        </w:rPr>
        <w:t>**PARTIE 4 : CONCLUSION D'INVESTISSEMENT**</w:t>
      </w:r>
    </w:p>
    <w:p>
      <w:pPr>
        <w:spacing w:after="120" w:line="276" w:lineRule="auto"/>
      </w:pPr>
      <w:r>
        <w:t>La valorisation de PALC est très attractive avec un PER de 9,5x, un P/B de 1,03x et un EV/EBITDA de 4,6x, indiquant une nette sous-évaluation du titre. Le comportement du cours sur 100 jours est très positif (+18%), avec une tendance haussière soutenue, mais une volatilité élevée (37,1%) qui nécessite une gestion active du risque. Les signaux techniques sont globalement positifs (MM et MACD haussiers) mais montrent des signes de surachat à court terme (RSI à 70,4, Stochastique baissier), suggérant une possible consolidation. Les fondamentaux sont solides mais en légère dégradation, avec une baisse de la rentabilité et un T1 2026 très faible, même si la structure financière reste très robuste. Les prédictions IA pour les 10 prochains jours (9 618 à 9 721 FCFA) confirment la tendance haussière à court terme, mais avec une progression modérée. La convergence entre la sous-évaluation, la tendance technique positive et les prédictions IA, malgré des fondamentaux en repli, conduit à une recommandation **CONSERVER** avec un niveau de confiance **Moyen** et un risque global **Élevé** en raison de la volatilité. L'horizon d'investissement optimal serait de **moyen terme (3-12 mois)**, en attendant une clarification sur le redressement de l'activité et une possible amélioration des marges.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45.77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885 titres</w:t>
            </w:r>
          </w:p>
        </w:tc>
        <w:tc>
          <w:tcPr>
            <w:tcW w:type="dxa" w:w="2268"/>
            <w:shd w:fill="FFF2CC" w:val="clear"/>
          </w:tcPr>
          <w:p>
            <w:r>
              <w:rPr>
                <w:b/>
                <w:color w:val="503200"/>
                <w:sz w:val="16"/>
              </w:rPr>
              <w:t xml:space="preserve">Cours actuel : </w:t>
            </w:r>
            <w:r>
              <w:rPr>
                <w:color w:val="000000"/>
                <w:sz w:val="17"/>
              </w:rPr>
              <w:t>4,470 FCFA</w:t>
            </w:r>
          </w:p>
          <w:p>
            <w:r>
              <w:rPr>
                <w:b/>
                <w:color w:val="503200"/>
                <w:sz w:val="16"/>
              </w:rPr>
              <w:t xml:space="preserve">Var. 100 jours : </w:t>
            </w:r>
            <w:r>
              <w:rPr>
                <w:b/>
                <w:color w:val="B40000"/>
                <w:sz w:val="17"/>
              </w:rPr>
              <w:t>-8.31%</w:t>
            </w:r>
          </w:p>
          <w:p>
            <w:r>
              <w:rPr>
                <w:b/>
                <w:color w:val="503200"/>
                <w:sz w:val="16"/>
              </w:rPr>
              <w:t xml:space="preserve">Plus haut 100j : </w:t>
            </w:r>
            <w:r>
              <w:rPr>
                <w:color w:val="000000"/>
                <w:sz w:val="17"/>
              </w:rPr>
              <w:t>5,100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21.5/100 → Moyen</w:t>
      </w:r>
    </w:p>
    <w:p>
      <w:pPr>
        <w:spacing w:before="40" w:after="80"/>
      </w:pPr>
      <w:r>
        <w:rPr>
          <w:rFonts w:ascii="Courier New" w:hAnsi="Courier New"/>
          <w:color w:val="825A00"/>
          <w:sz w:val="18"/>
        </w:rPr>
        <w:t>████░░░░░░░░░░░░░░░░  21.5/100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7.94% (Moyenne) — μ=4,456 FCFA, σ=354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β=-0.2843 (Contre-cyclique) — Cov=-0.000010, Var(idx)=0.000034, ρ=-0.066,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885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σ_j=2.52%/j (Stable) — Vol. annualisée≈40.0%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2026-08-27</w:t>
            </w:r>
          </w:p>
        </w:tc>
        <w:tc>
          <w:tcPr>
            <w:tcW w:type="dxa" w:w="1440"/>
            <w:shd w:fill="FAFAFA" w:val="clear"/>
          </w:tcPr>
          <w:p>
            <w:r>
              <w:rPr>
                <w:sz w:val="17"/>
              </w:rPr>
              <w:t>4,263</w:t>
            </w:r>
          </w:p>
        </w:tc>
        <w:tc>
          <w:tcPr>
            <w:tcW w:type="dxa" w:w="1440"/>
            <w:shd w:fill="FAFAFA" w:val="clear"/>
          </w:tcPr>
          <w:p>
            <w:r>
              <w:rPr>
                <w:b/>
                <w:sz w:val="17"/>
              </w:rPr>
              <w:t>4,412</w:t>
            </w:r>
          </w:p>
        </w:tc>
        <w:tc>
          <w:tcPr>
            <w:tcW w:type="dxa" w:w="1440"/>
            <w:shd w:fill="FAFAFA" w:val="clear"/>
          </w:tcPr>
          <w:p>
            <w:r>
              <w:rPr>
                <w:sz w:val="17"/>
              </w:rPr>
              <w:t>4,561</w:t>
            </w:r>
          </w:p>
        </w:tc>
        <w:tc>
          <w:tcPr>
            <w:tcW w:type="dxa" w:w="1440"/>
            <w:shd w:fill="FAFAFA" w:val="clear"/>
          </w:tcPr>
          <w:p>
            <w:r>
              <w:rPr>
                <w:b/>
                <w:color w:val="C00000"/>
                <w:sz w:val="17"/>
              </w:rPr>
              <w:t>-1.3%</w:t>
            </w:r>
          </w:p>
        </w:tc>
      </w:tr>
      <w:tr>
        <w:tc>
          <w:tcPr>
            <w:tcW w:type="dxa" w:w="1440"/>
            <w:shd w:fill="FAFAFA" w:val="clear"/>
          </w:tcPr>
          <w:p>
            <w:r>
              <w:rPr>
                <w:sz w:val="17"/>
              </w:rPr>
              <w:t>J+2  ⭐⭐⭐</w:t>
            </w:r>
          </w:p>
        </w:tc>
        <w:tc>
          <w:tcPr>
            <w:tcW w:type="dxa" w:w="1440"/>
            <w:shd w:fill="FAFAFA" w:val="clear"/>
          </w:tcPr>
          <w:p>
            <w:r>
              <w:rPr>
                <w:sz w:val="17"/>
              </w:rPr>
              <w:t>2026-08-28</w:t>
            </w:r>
          </w:p>
        </w:tc>
        <w:tc>
          <w:tcPr>
            <w:tcW w:type="dxa" w:w="1440"/>
            <w:shd w:fill="FAFAFA" w:val="clear"/>
          </w:tcPr>
          <w:p>
            <w:r>
              <w:rPr>
                <w:sz w:val="17"/>
              </w:rPr>
              <w:t>4,208</w:t>
            </w:r>
          </w:p>
        </w:tc>
        <w:tc>
          <w:tcPr>
            <w:tcW w:type="dxa" w:w="1440"/>
            <w:shd w:fill="FAFAFA" w:val="clear"/>
          </w:tcPr>
          <w:p>
            <w:r>
              <w:rPr>
                <w:b/>
                <w:sz w:val="17"/>
              </w:rPr>
              <w:t>4,390</w:t>
            </w:r>
          </w:p>
        </w:tc>
        <w:tc>
          <w:tcPr>
            <w:tcW w:type="dxa" w:w="1440"/>
            <w:shd w:fill="FAFAFA" w:val="clear"/>
          </w:tcPr>
          <w:p>
            <w:r>
              <w:rPr>
                <w:sz w:val="17"/>
              </w:rPr>
              <w:t>4,572</w:t>
            </w:r>
          </w:p>
        </w:tc>
        <w:tc>
          <w:tcPr>
            <w:tcW w:type="dxa" w:w="1440"/>
            <w:shd w:fill="FAFAFA" w:val="clear"/>
          </w:tcPr>
          <w:p>
            <w:r>
              <w:rPr>
                <w:b/>
                <w:color w:val="C00000"/>
                <w:sz w:val="17"/>
              </w:rPr>
              <w:t>-1.8%</w:t>
            </w:r>
          </w:p>
        </w:tc>
      </w:tr>
      <w:tr>
        <w:tc>
          <w:tcPr>
            <w:tcW w:type="dxa" w:w="1440"/>
            <w:shd w:fill="FFDCE0" w:val="clear"/>
          </w:tcPr>
          <w:p>
            <w:r>
              <w:rPr>
                <w:sz w:val="17"/>
              </w:rPr>
              <w:t>J+3  Moyenne</w:t>
            </w:r>
          </w:p>
        </w:tc>
        <w:tc>
          <w:tcPr>
            <w:tcW w:type="dxa" w:w="1440"/>
            <w:shd w:fill="FFDCE0" w:val="clear"/>
          </w:tcPr>
          <w:p>
            <w:r>
              <w:rPr>
                <w:sz w:val="17"/>
              </w:rPr>
              <w:t>2026-08-31</w:t>
            </w:r>
          </w:p>
        </w:tc>
        <w:tc>
          <w:tcPr>
            <w:tcW w:type="dxa" w:w="1440"/>
            <w:shd w:fill="FFDCE0" w:val="clear"/>
          </w:tcPr>
          <w:p>
            <w:r>
              <w:rPr>
                <w:sz w:val="17"/>
              </w:rPr>
              <w:t>4,159</w:t>
            </w:r>
          </w:p>
        </w:tc>
        <w:tc>
          <w:tcPr>
            <w:tcW w:type="dxa" w:w="1440"/>
            <w:shd w:fill="FFDCE0" w:val="clear"/>
          </w:tcPr>
          <w:p>
            <w:r>
              <w:rPr>
                <w:b/>
                <w:sz w:val="17"/>
              </w:rPr>
              <w:t>4,368</w:t>
            </w:r>
          </w:p>
        </w:tc>
        <w:tc>
          <w:tcPr>
            <w:tcW w:type="dxa" w:w="1440"/>
            <w:shd w:fill="FFDCE0" w:val="clear"/>
          </w:tcPr>
          <w:p>
            <w:r>
              <w:rPr>
                <w:sz w:val="17"/>
              </w:rPr>
              <w:t>4,577</w:t>
            </w:r>
          </w:p>
        </w:tc>
        <w:tc>
          <w:tcPr>
            <w:tcW w:type="dxa" w:w="1440"/>
            <w:shd w:fill="FFDCE0" w:val="clear"/>
          </w:tcPr>
          <w:p>
            <w:r>
              <w:rPr>
                <w:b/>
                <w:color w:val="C00000"/>
                <w:sz w:val="17"/>
              </w:rPr>
              <w:t>-2.3%</w:t>
            </w:r>
          </w:p>
        </w:tc>
      </w:tr>
      <w:tr>
        <w:tc>
          <w:tcPr>
            <w:tcW w:type="dxa" w:w="1440"/>
            <w:shd w:fill="FFDCE0" w:val="clear"/>
          </w:tcPr>
          <w:p>
            <w:r>
              <w:rPr>
                <w:sz w:val="17"/>
              </w:rPr>
              <w:t>J+4  Moyenne</w:t>
            </w:r>
          </w:p>
        </w:tc>
        <w:tc>
          <w:tcPr>
            <w:tcW w:type="dxa" w:w="1440"/>
            <w:shd w:fill="FFDCE0" w:val="clear"/>
          </w:tcPr>
          <w:p>
            <w:r>
              <w:rPr>
                <w:sz w:val="17"/>
              </w:rPr>
              <w:t>2026-09-01</w:t>
            </w:r>
          </w:p>
        </w:tc>
        <w:tc>
          <w:tcPr>
            <w:tcW w:type="dxa" w:w="1440"/>
            <w:shd w:fill="FFDCE0" w:val="clear"/>
          </w:tcPr>
          <w:p>
            <w:r>
              <w:rPr>
                <w:sz w:val="17"/>
              </w:rPr>
              <w:t>4,115</w:t>
            </w:r>
          </w:p>
        </w:tc>
        <w:tc>
          <w:tcPr>
            <w:tcW w:type="dxa" w:w="1440"/>
            <w:shd w:fill="FFDCE0" w:val="clear"/>
          </w:tcPr>
          <w:p>
            <w:r>
              <w:rPr>
                <w:b/>
                <w:sz w:val="17"/>
              </w:rPr>
              <w:t>4,347</w:t>
            </w:r>
          </w:p>
        </w:tc>
        <w:tc>
          <w:tcPr>
            <w:tcW w:type="dxa" w:w="1440"/>
            <w:shd w:fill="FFDCE0" w:val="clear"/>
          </w:tcPr>
          <w:p>
            <w:r>
              <w:rPr>
                <w:sz w:val="17"/>
              </w:rPr>
              <w:t>4,580</w:t>
            </w:r>
          </w:p>
        </w:tc>
        <w:tc>
          <w:tcPr>
            <w:tcW w:type="dxa" w:w="1440"/>
            <w:shd w:fill="FFDCE0" w:val="clear"/>
          </w:tcPr>
          <w:p>
            <w:r>
              <w:rPr>
                <w:b/>
                <w:color w:val="C00000"/>
                <w:sz w:val="17"/>
              </w:rPr>
              <w:t>-2.7%</w:t>
            </w:r>
          </w:p>
        </w:tc>
      </w:tr>
      <w:tr>
        <w:tc>
          <w:tcPr>
            <w:tcW w:type="dxa" w:w="1440"/>
            <w:shd w:fill="FFDCE0" w:val="clear"/>
          </w:tcPr>
          <w:p>
            <w:r>
              <w:rPr>
                <w:sz w:val="17"/>
              </w:rPr>
              <w:t>J+5  Moyenne</w:t>
            </w:r>
          </w:p>
        </w:tc>
        <w:tc>
          <w:tcPr>
            <w:tcW w:type="dxa" w:w="1440"/>
            <w:shd w:fill="FFDCE0" w:val="clear"/>
          </w:tcPr>
          <w:p>
            <w:r>
              <w:rPr>
                <w:sz w:val="17"/>
              </w:rPr>
              <w:t>2026-09-02</w:t>
            </w:r>
          </w:p>
        </w:tc>
        <w:tc>
          <w:tcPr>
            <w:tcW w:type="dxa" w:w="1440"/>
            <w:shd w:fill="FFDCE0" w:val="clear"/>
          </w:tcPr>
          <w:p>
            <w:r>
              <w:rPr>
                <w:sz w:val="17"/>
              </w:rPr>
              <w:t>4,073</w:t>
            </w:r>
          </w:p>
        </w:tc>
        <w:tc>
          <w:tcPr>
            <w:tcW w:type="dxa" w:w="1440"/>
            <w:shd w:fill="FFDCE0" w:val="clear"/>
          </w:tcPr>
          <w:p>
            <w:r>
              <w:rPr>
                <w:b/>
                <w:sz w:val="17"/>
              </w:rPr>
              <w:t>4,327</w:t>
            </w:r>
          </w:p>
        </w:tc>
        <w:tc>
          <w:tcPr>
            <w:tcW w:type="dxa" w:w="1440"/>
            <w:shd w:fill="FFDCE0" w:val="clear"/>
          </w:tcPr>
          <w:p>
            <w:r>
              <w:rPr>
                <w:sz w:val="17"/>
              </w:rPr>
              <w:t>4,580</w:t>
            </w:r>
          </w:p>
        </w:tc>
        <w:tc>
          <w:tcPr>
            <w:tcW w:type="dxa" w:w="1440"/>
            <w:shd w:fill="FFDCE0" w:val="clear"/>
          </w:tcPr>
          <w:p>
            <w:r>
              <w:rPr>
                <w:b/>
                <w:color w:val="C00000"/>
                <w:sz w:val="17"/>
              </w:rPr>
              <w:t>-3.2%</w:t>
            </w:r>
          </w:p>
        </w:tc>
      </w:tr>
      <w:tr>
        <w:tc>
          <w:tcPr>
            <w:tcW w:type="dxa" w:w="1440"/>
            <w:shd w:fill="FFDCE0" w:val="clear"/>
          </w:tcPr>
          <w:p>
            <w:r>
              <w:rPr>
                <w:sz w:val="17"/>
              </w:rPr>
              <w:t>J+6  Moyenne</w:t>
            </w:r>
          </w:p>
        </w:tc>
        <w:tc>
          <w:tcPr>
            <w:tcW w:type="dxa" w:w="1440"/>
            <w:shd w:fill="FFDCE0" w:val="clear"/>
          </w:tcPr>
          <w:p>
            <w:r>
              <w:rPr>
                <w:sz w:val="17"/>
              </w:rPr>
              <w:t>2026-09-03</w:t>
            </w:r>
          </w:p>
        </w:tc>
        <w:tc>
          <w:tcPr>
            <w:tcW w:type="dxa" w:w="1440"/>
            <w:shd w:fill="FFDCE0" w:val="clear"/>
          </w:tcPr>
          <w:p>
            <w:r>
              <w:rPr>
                <w:sz w:val="17"/>
              </w:rPr>
              <w:t>4,034</w:t>
            </w:r>
          </w:p>
        </w:tc>
        <w:tc>
          <w:tcPr>
            <w:tcW w:type="dxa" w:w="1440"/>
            <w:shd w:fill="FFDCE0" w:val="clear"/>
          </w:tcPr>
          <w:p>
            <w:r>
              <w:rPr>
                <w:b/>
                <w:sz w:val="17"/>
              </w:rPr>
              <w:t>4,307</w:t>
            </w:r>
          </w:p>
        </w:tc>
        <w:tc>
          <w:tcPr>
            <w:tcW w:type="dxa" w:w="1440"/>
            <w:shd w:fill="FFDCE0" w:val="clear"/>
          </w:tcPr>
          <w:p>
            <w:r>
              <w:rPr>
                <w:sz w:val="17"/>
              </w:rPr>
              <w:t>4,579</w:t>
            </w:r>
          </w:p>
        </w:tc>
        <w:tc>
          <w:tcPr>
            <w:tcW w:type="dxa" w:w="1440"/>
            <w:shd w:fill="FFDCE0" w:val="clear"/>
          </w:tcPr>
          <w:p>
            <w:r>
              <w:rPr>
                <w:b/>
                <w:color w:val="C00000"/>
                <w:sz w:val="17"/>
              </w:rPr>
              <w:t>-3.6%</w:t>
            </w:r>
          </w:p>
        </w:tc>
      </w:tr>
      <w:tr>
        <w:tc>
          <w:tcPr>
            <w:tcW w:type="dxa" w:w="1440"/>
            <w:shd w:fill="FFDCE0" w:val="clear"/>
          </w:tcPr>
          <w:p>
            <w:r>
              <w:rPr>
                <w:sz w:val="17"/>
              </w:rPr>
              <w:t>J+7  Moyenne</w:t>
            </w:r>
          </w:p>
        </w:tc>
        <w:tc>
          <w:tcPr>
            <w:tcW w:type="dxa" w:w="1440"/>
            <w:shd w:fill="FFDCE0" w:val="clear"/>
          </w:tcPr>
          <w:p>
            <w:r>
              <w:rPr>
                <w:sz w:val="17"/>
              </w:rPr>
              <w:t>2026-09-04</w:t>
            </w:r>
          </w:p>
        </w:tc>
        <w:tc>
          <w:tcPr>
            <w:tcW w:type="dxa" w:w="1440"/>
            <w:shd w:fill="FFDCE0" w:val="clear"/>
          </w:tcPr>
          <w:p>
            <w:r>
              <w:rPr>
                <w:sz w:val="17"/>
              </w:rPr>
              <w:t>3,997</w:t>
            </w:r>
          </w:p>
        </w:tc>
        <w:tc>
          <w:tcPr>
            <w:tcW w:type="dxa" w:w="1440"/>
            <w:shd w:fill="FFDCE0" w:val="clear"/>
          </w:tcPr>
          <w:p>
            <w:r>
              <w:rPr>
                <w:b/>
                <w:sz w:val="17"/>
              </w:rPr>
              <w:t>4,287</w:t>
            </w:r>
          </w:p>
        </w:tc>
        <w:tc>
          <w:tcPr>
            <w:tcW w:type="dxa" w:w="1440"/>
            <w:shd w:fill="FFDCE0" w:val="clear"/>
          </w:tcPr>
          <w:p>
            <w:r>
              <w:rPr>
                <w:sz w:val="17"/>
              </w:rPr>
              <w:t>4,577</w:t>
            </w:r>
          </w:p>
        </w:tc>
        <w:tc>
          <w:tcPr>
            <w:tcW w:type="dxa" w:w="1440"/>
            <w:shd w:fill="FFDCE0" w:val="clear"/>
          </w:tcPr>
          <w:p>
            <w:r>
              <w:rPr>
                <w:b/>
                <w:color w:val="C00000"/>
                <w:sz w:val="17"/>
              </w:rPr>
              <w:t>-4.1%</w:t>
            </w:r>
          </w:p>
        </w:tc>
      </w:tr>
      <w:tr>
        <w:tc>
          <w:tcPr>
            <w:tcW w:type="dxa" w:w="1440"/>
            <w:shd w:fill="FFDCE0" w:val="clear"/>
          </w:tcPr>
          <w:p>
            <w:r>
              <w:rPr>
                <w:sz w:val="17"/>
              </w:rPr>
              <w:t>J+8  Moyenne</w:t>
            </w:r>
          </w:p>
        </w:tc>
        <w:tc>
          <w:tcPr>
            <w:tcW w:type="dxa" w:w="1440"/>
            <w:shd w:fill="FFDCE0" w:val="clear"/>
          </w:tcPr>
          <w:p>
            <w:r>
              <w:rPr>
                <w:sz w:val="17"/>
              </w:rPr>
              <w:t>2026-09-07</w:t>
            </w:r>
          </w:p>
        </w:tc>
        <w:tc>
          <w:tcPr>
            <w:tcW w:type="dxa" w:w="1440"/>
            <w:shd w:fill="FFDCE0" w:val="clear"/>
          </w:tcPr>
          <w:p>
            <w:r>
              <w:rPr>
                <w:sz w:val="17"/>
              </w:rPr>
              <w:t>3,962</w:t>
            </w:r>
          </w:p>
        </w:tc>
        <w:tc>
          <w:tcPr>
            <w:tcW w:type="dxa" w:w="1440"/>
            <w:shd w:fill="FFDCE0" w:val="clear"/>
          </w:tcPr>
          <w:p>
            <w:r>
              <w:rPr>
                <w:b/>
                <w:sz w:val="17"/>
              </w:rPr>
              <w:t>4,268</w:t>
            </w:r>
          </w:p>
        </w:tc>
        <w:tc>
          <w:tcPr>
            <w:tcW w:type="dxa" w:w="1440"/>
            <w:shd w:fill="FFDCE0" w:val="clear"/>
          </w:tcPr>
          <w:p>
            <w:r>
              <w:rPr>
                <w:sz w:val="17"/>
              </w:rPr>
              <w:t>4,574</w:t>
            </w:r>
          </w:p>
        </w:tc>
        <w:tc>
          <w:tcPr>
            <w:tcW w:type="dxa" w:w="1440"/>
            <w:shd w:fill="FFDCE0" w:val="clear"/>
          </w:tcPr>
          <w:p>
            <w:r>
              <w:rPr>
                <w:b/>
                <w:color w:val="C00000"/>
                <w:sz w:val="17"/>
              </w:rPr>
              <w:t>-4.5%</w:t>
            </w:r>
          </w:p>
        </w:tc>
      </w:tr>
      <w:tr>
        <w:tc>
          <w:tcPr>
            <w:tcW w:type="dxa" w:w="1440"/>
            <w:shd w:fill="FFDCE0" w:val="clear"/>
          </w:tcPr>
          <w:p>
            <w:r>
              <w:rPr>
                <w:sz w:val="17"/>
              </w:rPr>
              <w:t>J+9  Moyenne</w:t>
            </w:r>
          </w:p>
        </w:tc>
        <w:tc>
          <w:tcPr>
            <w:tcW w:type="dxa" w:w="1440"/>
            <w:shd w:fill="FFDCE0" w:val="clear"/>
          </w:tcPr>
          <w:p>
            <w:r>
              <w:rPr>
                <w:sz w:val="17"/>
              </w:rPr>
              <w:t>2026-09-08</w:t>
            </w:r>
          </w:p>
        </w:tc>
        <w:tc>
          <w:tcPr>
            <w:tcW w:type="dxa" w:w="1440"/>
            <w:shd w:fill="FFDCE0" w:val="clear"/>
          </w:tcPr>
          <w:p>
            <w:r>
              <w:rPr>
                <w:sz w:val="17"/>
              </w:rPr>
              <w:t>3,928</w:t>
            </w:r>
          </w:p>
        </w:tc>
        <w:tc>
          <w:tcPr>
            <w:tcW w:type="dxa" w:w="1440"/>
            <w:shd w:fill="FFDCE0" w:val="clear"/>
          </w:tcPr>
          <w:p>
            <w:r>
              <w:rPr>
                <w:b/>
                <w:sz w:val="17"/>
              </w:rPr>
              <w:t>4,249</w:t>
            </w:r>
          </w:p>
        </w:tc>
        <w:tc>
          <w:tcPr>
            <w:tcW w:type="dxa" w:w="1440"/>
            <w:shd w:fill="FFDCE0" w:val="clear"/>
          </w:tcPr>
          <w:p>
            <w:r>
              <w:rPr>
                <w:sz w:val="17"/>
              </w:rPr>
              <w:t>4,570</w:t>
            </w:r>
          </w:p>
        </w:tc>
        <w:tc>
          <w:tcPr>
            <w:tcW w:type="dxa" w:w="1440"/>
            <w:shd w:fill="FFDCE0" w:val="clear"/>
          </w:tcPr>
          <w:p>
            <w:r>
              <w:rPr>
                <w:b/>
                <w:color w:val="C00000"/>
                <w:sz w:val="17"/>
              </w:rPr>
              <w:t>-4.9%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(TRACTRAFRIC MOTORS CI)**</w:t>
        <w:br/>
        <w:t>**Date de l'analyse : 26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45,77 milliards FCFA, un niveau significatif qui positionne la société parmi les valeurs moyennes de la BRVM. Avec un BPA de 231 FCFA, le titre se négocie à un PER de 19,3x, nettement supérieur à la moyenne historique de la place (~8-12x), indiquant que les investisseurs acceptent de payer une prime substantielle pour les bénéfices de l'entreprise. Le P/B de 3,97x confirme cette prime, le marché valorisant le titre près de 4 fois sa valeur comptable, ce qui reflète des attentes de croissance soutenue. Enfin, l'EV/EBITDA de 9,9x se situe dans la fourchette haute des valeurs raisonnables (5-10x), suggérant une valorisation globale qui intègre déjà une partie des perspectives favorables du distributeur automobile.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PRSC affiche une contre-performance de -8,31%, avec un cours stable à 4 470 FCFA lors de la dernière séance. Le titre a évolué dans une fourchette large de 3 620 à 5 100 FCFA, démontrant une volatilité importante. La moyenne (4 456 FCFA) est légèrement inférieure à la médiane (4 495 FCFA), indiquant une distribution quasi symétrique, mais le skewness négatif (-0,680) révèle que les journées de forte baisse ont été plus fréquentes que les fortes hausses. Le kurtosis de 0,127 (mésokurtique) suggère l'absence de mouvements extrêmes inhabituels. L'écart-type de 355 FCFA (CV=8,0%) témoigne d'une dispersion modérée autour de la moyenne. La volatilité annualisée de 40,0% classe le titre comme très volatil (&gt;30%), signalant un risque élevé pour les investisseurs à court terme, malgré une tendance générale baissière sur la période.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(4 470 FCFA) se situe sous la MM20 (4 465,5 FCFA) et la MM50 (4 493,3 FCFA), avec une décision de Vente. Cette configuration indique une dynamique baissière à court et moyen terme, le prix ne parvenant pas à se maintenir au-dessus de ses moyennes mobiles clés.</w:t>
      </w:r>
    </w:p>
    <w:p>
      <w:pPr>
        <w:spacing w:after="120" w:line="276" w:lineRule="auto"/>
      </w:pPr>
      <w:r>
        <w:t>**Bandes de Bollinger** : Le prix évolue entre la borne supérieure (4 566 FCFA) et la borne inférieure (4 365 FCFA), avec une décision Neutre. La position centrale du cours suggère une volatilité modérée, sans signal directionnel fort, le marché attendant un catalyseur pour sortir de ce range.</w:t>
      </w:r>
    </w:p>
    <w:p>
      <w:pPr>
        <w:spacing w:after="120" w:line="276" w:lineRule="auto"/>
      </w:pPr>
      <w:r>
        <w:t>**MACD** : La valeur MACD (-3,471) est inférieure à son signal (-1,281), avec une décision de Vente. Cette divergence négative indique un momentum baissier persistant, bien que l'écart relativement faible suggère une possible stabilisation à venir.</w:t>
      </w:r>
    </w:p>
    <w:p>
      <w:pPr>
        <w:spacing w:after="120" w:line="276" w:lineRule="auto"/>
      </w:pPr>
      <w:r>
        <w:t>**RSI** : À 58,14, le RSI se situe en zone neutre (30-70), avec une décision Neutre. Cette valeur indique un équilibre entre pression acheteuse et vendeuse, sans condition de surachat ou de survente, laissant place à une évolution directionnelle.</w:t>
      </w:r>
    </w:p>
    <w:p>
      <w:pPr>
        <w:spacing w:after="120" w:line="276" w:lineRule="auto"/>
      </w:pPr>
      <w:r>
        <w:t>**Stochastique** : Le %K (73,684) est supérieur au %D (70,862), avec une décision Neutre. Cette configuration, proche de la zone de surachat (&gt;80), suggère une possible consolidation à court terme, mais sans signal de retournement clair.</w:t>
      </w:r>
    </w:p>
    <w:p>
      <w:pPr>
        <w:spacing w:after="120" w:line="276" w:lineRule="auto"/>
      </w:pPr>
      <w:r>
        <w:t>**Conclusion technique** : La convergence des indicateurs (MM, MACD en Vente ; Bollinger, RSI, Stochastique en Neutre) peint un tableau mitigé. La tendance de fond reste baissière, mais les indicateurs de momentum ne confirment pas une accélération de la baisse. Un signal de retournement haussier nécessiterait une clôture au-dessus de la MM50 (4 493 FCFA).</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2025 révèlent une société en croissance : le chiffre d'affaires atteint 81,127 milliards FCFA (+9,5% vs 2024), avec un résultat net de 2,367 milliards FCFA, en légère hausse par rapport aux 2,35 milliards de 2024. La rentabilité des fonds propres (ROE) est excellente à 20,53%, tandis que le ROA s'établit à 4,95%. La marge nette reste modeste à 2,92%, mais la marge opérationnelle de 5,23% témoigne d'une amélioration de l'efficacité opérationnelle. Le BFR de 11,267 milliards FCFA (positif) et le délai clients de 46 jours indiquent une gestion de trésorerie sous tension, compensée par un délai fournisseurs favorable de 103 jours. Le rapport d'activité du S1 2025 (daté du 30/06/2025) confirme cette dynamique avec un CA semestriel de 39,968 milliards FCFA (+15,1%) et un résultat net multiplié par 28 à 1,436 milliard FCFA. Sur la base de ces performances semestrielles, on estime que l'exercice 2025 devrait dépasser les 81 milliards de CA, ce qui est confirmé par les données annuelles. L'endettement reste maîtrisé avec une capacité de remboursement de 1,83 année. Le dividende proposé de 209 FCFA par action (selon l'avis de convocation du 15/06/2026) offre un rendement attractif d'environ 4,7%. La recommandation fondamentale est **CONSERVER**, la société présentant une croissance solide mais une rentabilité nette encore faible.</w:t>
      </w:r>
    </w:p>
    <w:p>
      <w:pPr>
        <w:spacing w:after="120" w:line="276" w:lineRule="auto"/>
      </w:pPr>
      <w:r>
        <w:t>---</w:t>
      </w:r>
    </w:p>
    <w:p>
      <w:pPr>
        <w:spacing w:after="120" w:line="276" w:lineRule="auto"/>
      </w:pPr>
      <w:r>
        <w:t>### PARTIE 4 : CONCLUSION D'INVESTISSEMENT</w:t>
      </w:r>
    </w:p>
    <w:p>
      <w:pPr>
        <w:spacing w:after="120" w:line="276" w:lineRule="auto"/>
      </w:pPr>
      <w:r>
        <w:t>La synthèse des analyses révèle des signaux contrastés pour PRSC. La valorisation (PER 19,3x, P/B 3,97x) apparaît exigeante par rapport aux standards BRVM, intégrant des attentes de croissance qui ne se matérialisent que partiellement dans les résultats. Le comportement du cours (-8,31% sur 100 jours) avec une volatilité élevée (40%) et un skewness négatif est préoccupant à court terme. Les signaux techniques sont majoritairement baissiers (MM, MACD) ou neutres, sans catalyseur haussier identifié. En revanche, les fondamentaux (ROE 20,5%, CA +9,5%, dividende 209 FCFA) restent solides, soutenus par des rapports trimestriels encourageants. Les prédictions IA (4 412 à 4 327 FCFA sur 10 jours) confirment la tendance baissière à court terme. La convergence entre la faiblesse technique, la valorisation élevée et les prédictions baissières conduit à une recommandation **CONSERVER** avec un niveau de confiance **Moyen**. Le risque global est **Élevé** en raison de la volatilité. L'horizon d'investissement optimal est le **moyen terme (3-12 mois)**, en attendant un point d'entrée plus favorable sous 4 300 FCFA ou une confirmation de retournement haussier au-dessus de 4 500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47.09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7,332 titres</w:t>
            </w:r>
          </w:p>
        </w:tc>
        <w:tc>
          <w:tcPr>
            <w:tcW w:type="dxa" w:w="2268"/>
            <w:shd w:fill="FFF2CC" w:val="clear"/>
          </w:tcPr>
          <w:p>
            <w:r>
              <w:rPr>
                <w:b/>
                <w:color w:val="503200"/>
                <w:sz w:val="16"/>
              </w:rPr>
              <w:t xml:space="preserve">Cours actuel : </w:t>
            </w:r>
            <w:r>
              <w:rPr>
                <w:color w:val="000000"/>
                <w:sz w:val="17"/>
              </w:rPr>
              <w:t>5,800 FCFA</w:t>
            </w:r>
          </w:p>
          <w:p>
            <w:r>
              <w:rPr>
                <w:b/>
                <w:color w:val="503200"/>
                <w:sz w:val="16"/>
              </w:rPr>
              <w:t xml:space="preserve">Var. 100 jours : </w:t>
            </w:r>
            <w:r>
              <w:rPr>
                <w:b/>
                <w:color w:val="B40000"/>
                <w:sz w:val="17"/>
              </w:rPr>
              <w:t>-11.31%</w:t>
            </w:r>
          </w:p>
          <w:p>
            <w:r>
              <w:rPr>
                <w:b/>
                <w:color w:val="503200"/>
                <w:sz w:val="16"/>
              </w:rPr>
              <w:t xml:space="preserve">Plus haut 100j : </w:t>
            </w:r>
            <w:r>
              <w:rPr>
                <w:color w:val="000000"/>
                <w:sz w:val="17"/>
              </w:rPr>
              <w:t>7,555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23.11% (Élevée) — μ=4,770 FCFA, σ=1,102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β=0.6937 (Défensif) — Cov=0.000024, Var(idx)=0.000034, ρ=0.076,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7,332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σ_j=5.29%/j (Instable) — Vol. annualisée≈84.0%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2026-08-27</w:t>
            </w:r>
          </w:p>
        </w:tc>
        <w:tc>
          <w:tcPr>
            <w:tcW w:type="dxa" w:w="1440"/>
            <w:shd w:fill="FFDCE0" w:val="clear"/>
          </w:tcPr>
          <w:p>
            <w:r>
              <w:rPr>
                <w:sz w:val="17"/>
              </w:rPr>
              <w:t>4,539</w:t>
            </w:r>
          </w:p>
        </w:tc>
        <w:tc>
          <w:tcPr>
            <w:tcW w:type="dxa" w:w="1440"/>
            <w:shd w:fill="FFDCE0" w:val="clear"/>
          </w:tcPr>
          <w:p>
            <w:r>
              <w:rPr>
                <w:b/>
                <w:sz w:val="17"/>
              </w:rPr>
              <w:t>4,963</w:t>
            </w:r>
          </w:p>
        </w:tc>
        <w:tc>
          <w:tcPr>
            <w:tcW w:type="dxa" w:w="1440"/>
            <w:shd w:fill="FFDCE0" w:val="clear"/>
          </w:tcPr>
          <w:p>
            <w:r>
              <w:rPr>
                <w:sz w:val="17"/>
              </w:rPr>
              <w:t>5,386</w:t>
            </w:r>
          </w:p>
        </w:tc>
        <w:tc>
          <w:tcPr>
            <w:tcW w:type="dxa" w:w="1440"/>
            <w:shd w:fill="FFDCE0" w:val="clear"/>
          </w:tcPr>
          <w:p>
            <w:r>
              <w:rPr>
                <w:b/>
                <w:color w:val="C00000"/>
                <w:sz w:val="17"/>
              </w:rPr>
              <w:t>-14.4%</w:t>
            </w:r>
          </w:p>
        </w:tc>
      </w:tr>
      <w:tr>
        <w:tc>
          <w:tcPr>
            <w:tcW w:type="dxa" w:w="1440"/>
            <w:shd w:fill="FFDCE0" w:val="clear"/>
          </w:tcPr>
          <w:p>
            <w:r>
              <w:rPr>
                <w:sz w:val="17"/>
              </w:rPr>
              <w:t>J+2  ⭐</w:t>
            </w:r>
          </w:p>
        </w:tc>
        <w:tc>
          <w:tcPr>
            <w:tcW w:type="dxa" w:w="1440"/>
            <w:shd w:fill="FFDCE0" w:val="clear"/>
          </w:tcPr>
          <w:p>
            <w:r>
              <w:rPr>
                <w:sz w:val="17"/>
              </w:rPr>
              <w:t>2026-08-28</w:t>
            </w:r>
          </w:p>
        </w:tc>
        <w:tc>
          <w:tcPr>
            <w:tcW w:type="dxa" w:w="1440"/>
            <w:shd w:fill="FFDCE0" w:val="clear"/>
          </w:tcPr>
          <w:p>
            <w:r>
              <w:rPr>
                <w:sz w:val="17"/>
              </w:rPr>
              <w:t>4,111</w:t>
            </w:r>
          </w:p>
        </w:tc>
        <w:tc>
          <w:tcPr>
            <w:tcW w:type="dxa" w:w="1440"/>
            <w:shd w:fill="FFDCE0" w:val="clear"/>
          </w:tcPr>
          <w:p>
            <w:r>
              <w:rPr>
                <w:b/>
                <w:sz w:val="17"/>
              </w:rPr>
              <w:t>4,590</w:t>
            </w:r>
          </w:p>
        </w:tc>
        <w:tc>
          <w:tcPr>
            <w:tcW w:type="dxa" w:w="1440"/>
            <w:shd w:fill="FFDCE0" w:val="clear"/>
          </w:tcPr>
          <w:p>
            <w:r>
              <w:rPr>
                <w:sz w:val="17"/>
              </w:rPr>
              <w:t>5,070</w:t>
            </w:r>
          </w:p>
        </w:tc>
        <w:tc>
          <w:tcPr>
            <w:tcW w:type="dxa" w:w="1440"/>
            <w:shd w:fill="FFDCE0" w:val="clear"/>
          </w:tcPr>
          <w:p>
            <w:r>
              <w:rPr>
                <w:b/>
                <w:color w:val="C00000"/>
                <w:sz w:val="17"/>
              </w:rPr>
              <w:t>-20.9%</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3,734</w:t>
            </w:r>
          </w:p>
        </w:tc>
        <w:tc>
          <w:tcPr>
            <w:tcW w:type="dxa" w:w="1440"/>
            <w:shd w:fill="FFDCE0" w:val="clear"/>
          </w:tcPr>
          <w:p>
            <w:r>
              <w:rPr>
                <w:b/>
                <w:sz w:val="17"/>
              </w:rPr>
              <w:t>4,246</w:t>
            </w:r>
          </w:p>
        </w:tc>
        <w:tc>
          <w:tcPr>
            <w:tcW w:type="dxa" w:w="1440"/>
            <w:shd w:fill="FFDCE0" w:val="clear"/>
          </w:tcPr>
          <w:p>
            <w:r>
              <w:rPr>
                <w:sz w:val="17"/>
              </w:rPr>
              <w:t>4,758</w:t>
            </w:r>
          </w:p>
        </w:tc>
        <w:tc>
          <w:tcPr>
            <w:tcW w:type="dxa" w:w="1440"/>
            <w:shd w:fill="FFDCE0" w:val="clear"/>
          </w:tcPr>
          <w:p>
            <w:r>
              <w:rPr>
                <w:b/>
                <w:color w:val="C00000"/>
                <w:sz w:val="17"/>
              </w:rPr>
              <w:t>-26.8%</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3,398</w:t>
            </w:r>
          </w:p>
        </w:tc>
        <w:tc>
          <w:tcPr>
            <w:tcW w:type="dxa" w:w="1440"/>
            <w:shd w:fill="FFDCE0" w:val="clear"/>
          </w:tcPr>
          <w:p>
            <w:r>
              <w:rPr>
                <w:b/>
                <w:sz w:val="17"/>
              </w:rPr>
              <w:t>3,928</w:t>
            </w:r>
          </w:p>
        </w:tc>
        <w:tc>
          <w:tcPr>
            <w:tcW w:type="dxa" w:w="1440"/>
            <w:shd w:fill="FFDCE0" w:val="clear"/>
          </w:tcPr>
          <w:p>
            <w:r>
              <w:rPr>
                <w:sz w:val="17"/>
              </w:rPr>
              <w:t>4,457</w:t>
            </w:r>
          </w:p>
        </w:tc>
        <w:tc>
          <w:tcPr>
            <w:tcW w:type="dxa" w:w="1440"/>
            <w:shd w:fill="FFDCE0" w:val="clear"/>
          </w:tcPr>
          <w:p>
            <w:r>
              <w:rPr>
                <w:b/>
                <w:color w:val="C00000"/>
                <w:sz w:val="17"/>
              </w:rPr>
              <w:t>-32.3%</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3,096</w:t>
            </w:r>
          </w:p>
        </w:tc>
        <w:tc>
          <w:tcPr>
            <w:tcW w:type="dxa" w:w="1440"/>
            <w:shd w:fill="FFDCE0" w:val="clear"/>
          </w:tcPr>
          <w:p>
            <w:r>
              <w:rPr>
                <w:b/>
                <w:sz w:val="17"/>
              </w:rPr>
              <w:t>3,633</w:t>
            </w:r>
          </w:p>
        </w:tc>
        <w:tc>
          <w:tcPr>
            <w:tcW w:type="dxa" w:w="1440"/>
            <w:shd w:fill="FFDCE0" w:val="clear"/>
          </w:tcPr>
          <w:p>
            <w:r>
              <w:rPr>
                <w:sz w:val="17"/>
              </w:rPr>
              <w:t>4,170</w:t>
            </w:r>
          </w:p>
        </w:tc>
        <w:tc>
          <w:tcPr>
            <w:tcW w:type="dxa" w:w="1440"/>
            <w:shd w:fill="FFDCE0" w:val="clear"/>
          </w:tcPr>
          <w:p>
            <w:r>
              <w:rPr>
                <w:b/>
                <w:color w:val="C00000"/>
                <w:sz w:val="17"/>
              </w:rPr>
              <w:t>-37.4%</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2,824</w:t>
            </w:r>
          </w:p>
        </w:tc>
        <w:tc>
          <w:tcPr>
            <w:tcW w:type="dxa" w:w="1440"/>
            <w:shd w:fill="FFDCE0" w:val="clear"/>
          </w:tcPr>
          <w:p>
            <w:r>
              <w:rPr>
                <w:b/>
                <w:sz w:val="17"/>
              </w:rPr>
              <w:t>3,361</w:t>
            </w:r>
          </w:p>
        </w:tc>
        <w:tc>
          <w:tcPr>
            <w:tcW w:type="dxa" w:w="1440"/>
            <w:shd w:fill="FFDCE0" w:val="clear"/>
          </w:tcPr>
          <w:p>
            <w:r>
              <w:rPr>
                <w:sz w:val="17"/>
              </w:rPr>
              <w:t>3,897</w:t>
            </w:r>
          </w:p>
        </w:tc>
        <w:tc>
          <w:tcPr>
            <w:tcW w:type="dxa" w:w="1440"/>
            <w:shd w:fill="FFDCE0" w:val="clear"/>
          </w:tcPr>
          <w:p>
            <w:r>
              <w:rPr>
                <w:b/>
                <w:color w:val="C00000"/>
                <w:sz w:val="17"/>
              </w:rPr>
              <w:t>-42.1%</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2,578</w:t>
            </w:r>
          </w:p>
        </w:tc>
        <w:tc>
          <w:tcPr>
            <w:tcW w:type="dxa" w:w="1440"/>
            <w:shd w:fill="FFDCE0" w:val="clear"/>
          </w:tcPr>
          <w:p>
            <w:r>
              <w:rPr>
                <w:b/>
                <w:sz w:val="17"/>
              </w:rPr>
              <w:t>3,109</w:t>
            </w:r>
          </w:p>
        </w:tc>
        <w:tc>
          <w:tcPr>
            <w:tcW w:type="dxa" w:w="1440"/>
            <w:shd w:fill="FFDCE0" w:val="clear"/>
          </w:tcPr>
          <w:p>
            <w:r>
              <w:rPr>
                <w:sz w:val="17"/>
              </w:rPr>
              <w:t>3,639</w:t>
            </w:r>
          </w:p>
        </w:tc>
        <w:tc>
          <w:tcPr>
            <w:tcW w:type="dxa" w:w="1440"/>
            <w:shd w:fill="FFDCE0" w:val="clear"/>
          </w:tcPr>
          <w:p>
            <w:r>
              <w:rPr>
                <w:b/>
                <w:color w:val="C00000"/>
                <w:sz w:val="17"/>
              </w:rPr>
              <w:t>-46.4%</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2,355</w:t>
            </w:r>
          </w:p>
        </w:tc>
        <w:tc>
          <w:tcPr>
            <w:tcW w:type="dxa" w:w="1440"/>
            <w:shd w:fill="FFDCE0" w:val="clear"/>
          </w:tcPr>
          <w:p>
            <w:r>
              <w:rPr>
                <w:b/>
                <w:sz w:val="17"/>
              </w:rPr>
              <w:t>2,875</w:t>
            </w:r>
          </w:p>
        </w:tc>
        <w:tc>
          <w:tcPr>
            <w:tcW w:type="dxa" w:w="1440"/>
            <w:shd w:fill="FFDCE0" w:val="clear"/>
          </w:tcPr>
          <w:p>
            <w:r>
              <w:rPr>
                <w:sz w:val="17"/>
              </w:rPr>
              <w:t>3,396</w:t>
            </w:r>
          </w:p>
        </w:tc>
        <w:tc>
          <w:tcPr>
            <w:tcW w:type="dxa" w:w="1440"/>
            <w:shd w:fill="FFDCE0" w:val="clear"/>
          </w:tcPr>
          <w:p>
            <w:r>
              <w:rPr>
                <w:b/>
                <w:color w:val="C00000"/>
                <w:sz w:val="17"/>
              </w:rPr>
              <w:t>-50.4%</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2,153</w:t>
            </w:r>
          </w:p>
        </w:tc>
        <w:tc>
          <w:tcPr>
            <w:tcW w:type="dxa" w:w="1440"/>
            <w:shd w:fill="FFDCE0" w:val="clear"/>
          </w:tcPr>
          <w:p>
            <w:r>
              <w:rPr>
                <w:b/>
                <w:sz w:val="17"/>
              </w:rPr>
              <w:t>2,660</w:t>
            </w:r>
          </w:p>
        </w:tc>
        <w:tc>
          <w:tcPr>
            <w:tcW w:type="dxa" w:w="1440"/>
            <w:shd w:fill="FFDCE0" w:val="clear"/>
          </w:tcPr>
          <w:p>
            <w:r>
              <w:rPr>
                <w:sz w:val="17"/>
              </w:rPr>
              <w:t>3,167</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**Date : 26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47,09 milliards FCFA, un niveau modeste dans le contexte de la BRVM, reflétant une société de taille moyenne. Le BPA de 86 FCFA indique que chaque action génère un bénéfice modeste, ce qui explique un PER de 67,2x, extrêmement élevé par rapport à la moyenne du marché BRVM (8-12x). Les investisseurs paient donc une prime très significative pour les bénéfices actuels, ce qui suggère des anticipations de croissance future très fortes. Le P/B de 7,96x confirme cette valorisation exigeante, le marché valorisant le titre bien au-dessus de sa valeur comptable (7,96 fois). Enfin, l'EV/EBITDA de 81,5x est également très élevé, indiquant que la valeur totale de l'entreprise est très supérieure à sa capacité opérationnelle actuelle. Ces ratios, tous largement supérieurs aux références, signalent une valorisation très optimiste qui ne laisse que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SAFC a enregistré une baisse de 11,31%, mais a rebondi de 1,75% lors de la dernière séance, clôturant à 5 800 FCFA. Le cours a évolué dans une fourchette très large, entre un plus bas de 3 340 FCFA et un plus haut de 7 555 FCFA, illustrant une volatilité extrême. La moyenne du cours sur la période est de 4 770 FCFA, tandis que la médiane est de 4 505 FCFA. L'écart entre la moyenne et la médiane, couplé à un skewness positif de 0,986, indique une distribution asymétrique avec des journées plus fréquentes sous la moyenne, mais des pics occasionnels très élevés. L'écart-type de 1 108 FCFA (CV de 23,2%) confirme une dispersion importante. Le kurtosis de 0,118 suggère une distribution proche de la normale, sans risque de pics extrêmes particuliers. La volatilité annualisée de 84% est extrêmement élevée, classant le titre comme très risqué, bien au-delà du seuil de 30% considéré comme élevé.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5 800 FCFA est nettement supérieur à la MM20 (5 318,5 FCFA) et à la MM50 (4 779,8 FCFA), ce qui confirme une tendance haussière à court et moyen terme. La configuration des moyennes mobiles, avec le cours au-dessus des deux, génère un signal d'achat.</w:t>
      </w:r>
    </w:p>
    <w:p>
      <w:pPr>
        <w:spacing w:after="120" w:line="276" w:lineRule="auto"/>
      </w:pPr>
      <w:r>
        <w:t>**Bandes de Bollinger** : Le cours se situe à 5 800 FCFA, proche de la borne supérieure (6 027,9 FCFA) et bien au-dessus de la borne inférieure (4 609,1 FCFA). Cette position indique une pression acheteuse soutenue, mais aussi une zone potentiellement surachetée. La décision est neutre, car le cours n'a pas encore touché la borne supérieure, mais s'en rapproche dangereusement.</w:t>
      </w:r>
    </w:p>
    <w:p>
      <w:pPr>
        <w:spacing w:after="120" w:line="276" w:lineRule="auto"/>
      </w:pPr>
      <w:r>
        <w:t>**MACD** : Le MACD (306,7) est nettement supérieur à son signal (276,9), indiquant un momentum haussier positif. La divergence positive suggère que la dynamique d'achat est toujours en place, justifiant une décision d'achat.</w:t>
      </w:r>
    </w:p>
    <w:p>
      <w:pPr>
        <w:spacing w:after="120" w:line="276" w:lineRule="auto"/>
      </w:pPr>
      <w:r>
        <w:t>**RSI** : Le RSI de 67,1 est en zone neutre, mais proche du seuil de surachat de 70. Cela indique que le titre a encore un potentiel de hausse, mais qu'une correction pourrait survenir s'il dépasse ce niveau. La décision est neutre.</w:t>
      </w:r>
    </w:p>
    <w:p>
      <w:pPr>
        <w:spacing w:after="120" w:line="276" w:lineRule="auto"/>
      </w:pPr>
      <w:r>
        <w:t>**Stochastique** : Le %K (96,1) et le %D (89,6) sont tous deux en zone de surachat extrême (&gt;80), signalant une possible correction à court terme. Le croisement de ces valeurs élevées génère une décision de vente.</w:t>
      </w:r>
    </w:p>
    <w:p>
      <w:pPr>
        <w:spacing w:after="120" w:line="276" w:lineRule="auto"/>
      </w:pPr>
      <w:r>
        <w:t>**Conclusion technique** : Les indicateurs de tendance (MM, MACD) sont haussiers, mais les oscillateurs (RSI, Stochastique) signalent une condition de surachat. Cette divergence suggère que le titre pourrait connaître un repli technique à court terme avant de poursuivre sa tendance haussière. La prudence est de mise.</w:t>
      </w:r>
    </w:p>
    <w:p>
      <w:pPr>
        <w:spacing w:after="120" w:line="276" w:lineRule="auto"/>
      </w:pPr>
      <w:r>
        <w:t>---</w:t>
      </w:r>
    </w:p>
    <w:p>
      <w:pPr>
        <w:spacing w:after="120" w:line="276" w:lineRule="auto"/>
      </w:pPr>
      <w:r>
        <w:t>### PARTIE 3 : ANALYSE FONDAMENTALE (SECTION CRITIQUE)</w:t>
      </w:r>
    </w:p>
    <w:p>
      <w:pPr>
        <w:spacing w:after="120" w:line="276" w:lineRule="auto"/>
      </w:pPr>
      <w:r>
        <w:t>En 2025, SAFC a réalisé un retournement spectaculaire avec un PNB de 5,735 milliards FCFA, en hausse de 44,1% par rapport à 2024 (3,980 milliards FCFA). Le résultat net est redevenu positif à 701 millions FCFA, contre une perte de 165 millions en 2024, marquant la fin de huit années consécutives de déficit. La marge nette s'établit à 12,2%, le ROE à 11,85% et le ROA à 0,88%. Le coefficient d'exploitation de 77,6% reste élevé, indiquant une efficacité opérationnelle encore insuffisante (la référence étant &lt;60%). Le coût du risque de 6,57% est significatif, reflétant un portefeuille de crédit encore fragile. Les capitaux propres (5,916 milliards FCFA) restent faibles par rapport au total du bilan (79,555 milliards FCFA), soit une autonomie financière de seulement 7,4%. Le rapport T1 2026 (analysé le 12 mai 2026) confirme la dynamique avec un PNB de 1,395 milliard FCFA (+29%) et un résultat net de 151 millions FCFA (+1062%). On estime que l'exercice 2026 pourrait voir un résultat net de l'ordre de 600 à 700 millions FCFA si la tendance se maintient. La structure de financement reste dépendante des dettes interbancaires (35,747 milliards FCFA), un risque de liquidité à surveiller. L'entrée de CREDAF Group en avril 2025 a été un catalyseur majeur de ce redressement.</w:t>
      </w:r>
    </w:p>
    <w:p>
      <w:pPr>
        <w:spacing w:after="120" w:line="276" w:lineRule="auto"/>
      </w:pPr>
      <w:r>
        <w:t>---</w:t>
      </w:r>
    </w:p>
    <w:p>
      <w:pPr>
        <w:spacing w:after="120" w:line="276" w:lineRule="auto"/>
      </w:pPr>
      <w:r>
        <w:t>### PARTIE 4 : CONCLUSION D'INVESTISSEMENT</w:t>
      </w:r>
    </w:p>
    <w:p>
      <w:pPr>
        <w:spacing w:after="120" w:line="276" w:lineRule="auto"/>
      </w:pPr>
      <w:r>
        <w:t>La valorisation de SAFC est extrêmement exigeante (PER 67,2x, P/B 7,96x, EV/EBITDA 81,5x), indiquant une surévaluation par rapport aux fondamentaux actuels. Le comportement du cours montre une volatilité très élevée (84% annualisée) avec une tendance récente baissière (-11,31% sur 100 jours), mais un rebond récent. Les signaux techniques sont mitigés : les indicateurs de tendance sont haussiers, mais les oscillateurs signalent un surachat imminent. Les fondamentaux montrent un redressement spectaculaire en 2025 et une dynamique positive au T1 2026, mais la structure financière reste fragile avec des capitaux propres insuffisants. Les prédictions IA pour les 10 prochains jours indiquent une chute brutale du cours, passant de 5 800 FCFA à environ 3 633 FCFA, ce qui contredit fortement les signaux techniques haussiers. Cette divergence suggère un risque de correction majeur. **Recommandation finale : VENTE.** La convergence entre la surévaluation flagrante, la volatilité extrême, les signaux de surachat technique et les prédictions IA baissières justifie cette position. Le niveau de confiance est **Moyen** (la dynamique fondamentale positive pourrait limiter la baisse), le risque global est **Élevé**. L'horizon d'investissement optimal serait de **court terme (&lt;3 mois)** pour les investisseurs cherchant à éviter une correction, ou de **long terme (&gt;1 an)** pour ceux qui croient en la poursuite du redressement fondamental, mais à un prix d'entrée plus attractif.</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65.86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12,852 titres</w:t>
            </w:r>
          </w:p>
        </w:tc>
        <w:tc>
          <w:tcPr>
            <w:tcW w:type="dxa" w:w="2268"/>
            <w:shd w:fill="FFF2CC" w:val="clear"/>
          </w:tcPr>
          <w:p>
            <w:r>
              <w:rPr>
                <w:b/>
                <w:color w:val="503200"/>
                <w:sz w:val="16"/>
              </w:rPr>
              <w:t xml:space="preserve">Cours actuel : </w:t>
            </w:r>
            <w:r>
              <w:rPr>
                <w:color w:val="000000"/>
                <w:sz w:val="17"/>
              </w:rPr>
              <w:t>3,360 FCFA</w:t>
            </w:r>
          </w:p>
          <w:p>
            <w:r>
              <w:rPr>
                <w:b/>
                <w:color w:val="503200"/>
                <w:sz w:val="16"/>
              </w:rPr>
              <w:t xml:space="preserve">Var. 100 jours : </w:t>
            </w:r>
            <w:r>
              <w:rPr>
                <w:b/>
                <w:color w:val="007800"/>
                <w:sz w:val="17"/>
              </w:rPr>
              <w:t>+116.77%</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1,550 FCFA</w:t>
            </w:r>
          </w:p>
          <w:p>
            <w:r>
              <w:rPr>
                <w:b/>
                <w:color w:val="503200"/>
                <w:sz w:val="16"/>
              </w:rPr>
              <w:t xml:space="preserve">Volatilité ann. : </w:t>
            </w:r>
            <w:r>
              <w:rPr>
                <w:color w:val="000000"/>
                <w:sz w:val="17"/>
              </w:rPr>
              <w:t>57.0%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23.47% (Élevée) — μ=2,874 FCFA, σ=675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β=0.5096 (Défensif) — Cov=0.000017, Var(idx)=0.000034, ρ=0.083,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12,852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σ_j=3.59%/j (Modérée) — Vol. annualisée≈57.0%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80/100  (Excellent)</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2026-08-27</w:t>
            </w:r>
          </w:p>
        </w:tc>
        <w:tc>
          <w:tcPr>
            <w:tcW w:type="dxa" w:w="1440"/>
            <w:shd w:fill="FFDCE0" w:val="clear"/>
          </w:tcPr>
          <w:p>
            <w:r>
              <w:rPr>
                <w:sz w:val="17"/>
              </w:rPr>
              <w:t>2,684</w:t>
            </w:r>
          </w:p>
        </w:tc>
        <w:tc>
          <w:tcPr>
            <w:tcW w:type="dxa" w:w="1440"/>
            <w:shd w:fill="FFDCE0" w:val="clear"/>
          </w:tcPr>
          <w:p>
            <w:r>
              <w:rPr>
                <w:b/>
                <w:sz w:val="17"/>
              </w:rPr>
              <w:t>2,875</w:t>
            </w:r>
          </w:p>
        </w:tc>
        <w:tc>
          <w:tcPr>
            <w:tcW w:type="dxa" w:w="1440"/>
            <w:shd w:fill="FFDCE0" w:val="clear"/>
          </w:tcPr>
          <w:p>
            <w:r>
              <w:rPr>
                <w:sz w:val="17"/>
              </w:rPr>
              <w:t>3,066</w:t>
            </w:r>
          </w:p>
        </w:tc>
        <w:tc>
          <w:tcPr>
            <w:tcW w:type="dxa" w:w="1440"/>
            <w:shd w:fill="FFDCE0" w:val="clear"/>
          </w:tcPr>
          <w:p>
            <w:r>
              <w:rPr>
                <w:b/>
                <w:color w:val="C00000"/>
                <w:sz w:val="17"/>
              </w:rPr>
              <w:t>-14.4%</w:t>
            </w:r>
          </w:p>
        </w:tc>
      </w:tr>
      <w:tr>
        <w:tc>
          <w:tcPr>
            <w:tcW w:type="dxa" w:w="1440"/>
            <w:shd w:fill="FFDCE0" w:val="clear"/>
          </w:tcPr>
          <w:p>
            <w:r>
              <w:rPr>
                <w:sz w:val="17"/>
              </w:rPr>
              <w:t>J+2  Moyenne</w:t>
            </w:r>
          </w:p>
        </w:tc>
        <w:tc>
          <w:tcPr>
            <w:tcW w:type="dxa" w:w="1440"/>
            <w:shd w:fill="FFDCE0" w:val="clear"/>
          </w:tcPr>
          <w:p>
            <w:r>
              <w:rPr>
                <w:sz w:val="17"/>
              </w:rPr>
              <w:t>2026-08-28</w:t>
            </w:r>
          </w:p>
        </w:tc>
        <w:tc>
          <w:tcPr>
            <w:tcW w:type="dxa" w:w="1440"/>
            <w:shd w:fill="FFDCE0" w:val="clear"/>
          </w:tcPr>
          <w:p>
            <w:r>
              <w:rPr>
                <w:sz w:val="17"/>
              </w:rPr>
              <w:t>2,443</w:t>
            </w:r>
          </w:p>
        </w:tc>
        <w:tc>
          <w:tcPr>
            <w:tcW w:type="dxa" w:w="1440"/>
            <w:shd w:fill="FFDCE0" w:val="clear"/>
          </w:tcPr>
          <w:p>
            <w:r>
              <w:rPr>
                <w:b/>
                <w:sz w:val="17"/>
              </w:rPr>
              <w:t>2,659</w:t>
            </w:r>
          </w:p>
        </w:tc>
        <w:tc>
          <w:tcPr>
            <w:tcW w:type="dxa" w:w="1440"/>
            <w:shd w:fill="FFDCE0" w:val="clear"/>
          </w:tcPr>
          <w:p>
            <w:r>
              <w:rPr>
                <w:sz w:val="17"/>
              </w:rPr>
              <w:t>2,875</w:t>
            </w:r>
          </w:p>
        </w:tc>
        <w:tc>
          <w:tcPr>
            <w:tcW w:type="dxa" w:w="1440"/>
            <w:shd w:fill="FFDCE0" w:val="clear"/>
          </w:tcPr>
          <w:p>
            <w:r>
              <w:rPr>
                <w:b/>
                <w:color w:val="C00000"/>
                <w:sz w:val="17"/>
              </w:rPr>
              <w:t>-20.9%</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2,229</w:t>
            </w:r>
          </w:p>
        </w:tc>
        <w:tc>
          <w:tcPr>
            <w:tcW w:type="dxa" w:w="1440"/>
            <w:shd w:fill="FFDCE0" w:val="clear"/>
          </w:tcPr>
          <w:p>
            <w:r>
              <w:rPr>
                <w:b/>
                <w:sz w:val="17"/>
              </w:rPr>
              <w:t>2,460</w:t>
            </w:r>
          </w:p>
        </w:tc>
        <w:tc>
          <w:tcPr>
            <w:tcW w:type="dxa" w:w="1440"/>
            <w:shd w:fill="FFDCE0" w:val="clear"/>
          </w:tcPr>
          <w:p>
            <w:r>
              <w:rPr>
                <w:sz w:val="17"/>
              </w:rPr>
              <w:t>2,690</w:t>
            </w:r>
          </w:p>
        </w:tc>
        <w:tc>
          <w:tcPr>
            <w:tcW w:type="dxa" w:w="1440"/>
            <w:shd w:fill="FFDCE0" w:val="clear"/>
          </w:tcPr>
          <w:p>
            <w:r>
              <w:rPr>
                <w:b/>
                <w:color w:val="C00000"/>
                <w:sz w:val="17"/>
              </w:rPr>
              <w:t>-26.8%</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2,037</w:t>
            </w:r>
          </w:p>
        </w:tc>
        <w:tc>
          <w:tcPr>
            <w:tcW w:type="dxa" w:w="1440"/>
            <w:shd w:fill="FFDCE0" w:val="clear"/>
          </w:tcPr>
          <w:p>
            <w:r>
              <w:rPr>
                <w:b/>
                <w:sz w:val="17"/>
              </w:rPr>
              <w:t>2,275</w:t>
            </w:r>
          </w:p>
        </w:tc>
        <w:tc>
          <w:tcPr>
            <w:tcW w:type="dxa" w:w="1440"/>
            <w:shd w:fill="FFDCE0" w:val="clear"/>
          </w:tcPr>
          <w:p>
            <w:r>
              <w:rPr>
                <w:sz w:val="17"/>
              </w:rPr>
              <w:t>2,514</w:t>
            </w:r>
          </w:p>
        </w:tc>
        <w:tc>
          <w:tcPr>
            <w:tcW w:type="dxa" w:w="1440"/>
            <w:shd w:fill="FFDCE0" w:val="clear"/>
          </w:tcPr>
          <w:p>
            <w:r>
              <w:rPr>
                <w:b/>
                <w:color w:val="C00000"/>
                <w:sz w:val="17"/>
              </w:rPr>
              <w:t>-32.3%</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1,863</w:t>
            </w:r>
          </w:p>
        </w:tc>
        <w:tc>
          <w:tcPr>
            <w:tcW w:type="dxa" w:w="1440"/>
            <w:shd w:fill="FFDCE0" w:val="clear"/>
          </w:tcPr>
          <w:p>
            <w:r>
              <w:rPr>
                <w:b/>
                <w:sz w:val="17"/>
              </w:rPr>
              <w:t>2,105</w:t>
            </w:r>
          </w:p>
        </w:tc>
        <w:tc>
          <w:tcPr>
            <w:tcW w:type="dxa" w:w="1440"/>
            <w:shd w:fill="FFDCE0" w:val="clear"/>
          </w:tcPr>
          <w:p>
            <w:r>
              <w:rPr>
                <w:sz w:val="17"/>
              </w:rPr>
              <w:t>2,346</w:t>
            </w:r>
          </w:p>
        </w:tc>
        <w:tc>
          <w:tcPr>
            <w:tcW w:type="dxa" w:w="1440"/>
            <w:shd w:fill="FFDCE0" w:val="clear"/>
          </w:tcPr>
          <w:p>
            <w:r>
              <w:rPr>
                <w:b/>
                <w:color w:val="C00000"/>
                <w:sz w:val="17"/>
              </w:rPr>
              <w:t>-37.4%</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1,705</w:t>
            </w:r>
          </w:p>
        </w:tc>
        <w:tc>
          <w:tcPr>
            <w:tcW w:type="dxa" w:w="1440"/>
            <w:shd w:fill="FFDCE0" w:val="clear"/>
          </w:tcPr>
          <w:p>
            <w:r>
              <w:rPr>
                <w:b/>
                <w:sz w:val="17"/>
              </w:rPr>
              <w:t>1,947</w:t>
            </w:r>
          </w:p>
        </w:tc>
        <w:tc>
          <w:tcPr>
            <w:tcW w:type="dxa" w:w="1440"/>
            <w:shd w:fill="FFDCE0" w:val="clear"/>
          </w:tcPr>
          <w:p>
            <w:r>
              <w:rPr>
                <w:sz w:val="17"/>
              </w:rPr>
              <w:t>2,188</w:t>
            </w:r>
          </w:p>
        </w:tc>
        <w:tc>
          <w:tcPr>
            <w:tcW w:type="dxa" w:w="1440"/>
            <w:shd w:fill="FFDCE0" w:val="clear"/>
          </w:tcPr>
          <w:p>
            <w:r>
              <w:rPr>
                <w:b/>
                <w:color w:val="C00000"/>
                <w:sz w:val="17"/>
              </w:rPr>
              <w:t>-42.1%</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1,562</w:t>
            </w:r>
          </w:p>
        </w:tc>
        <w:tc>
          <w:tcPr>
            <w:tcW w:type="dxa" w:w="1440"/>
            <w:shd w:fill="FFDCE0" w:val="clear"/>
          </w:tcPr>
          <w:p>
            <w:r>
              <w:rPr>
                <w:b/>
                <w:sz w:val="17"/>
              </w:rPr>
              <w:t>1,801</w:t>
            </w:r>
          </w:p>
        </w:tc>
        <w:tc>
          <w:tcPr>
            <w:tcW w:type="dxa" w:w="1440"/>
            <w:shd w:fill="FFDCE0" w:val="clear"/>
          </w:tcPr>
          <w:p>
            <w:r>
              <w:rPr>
                <w:sz w:val="17"/>
              </w:rPr>
              <w:t>2,040</w:t>
            </w:r>
          </w:p>
        </w:tc>
        <w:tc>
          <w:tcPr>
            <w:tcW w:type="dxa" w:w="1440"/>
            <w:shd w:fill="FFDCE0" w:val="clear"/>
          </w:tcPr>
          <w:p>
            <w:r>
              <w:rPr>
                <w:b/>
                <w:color w:val="C00000"/>
                <w:sz w:val="17"/>
              </w:rPr>
              <w:t>-46.4%</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1,431</w:t>
            </w:r>
          </w:p>
        </w:tc>
        <w:tc>
          <w:tcPr>
            <w:tcW w:type="dxa" w:w="1440"/>
            <w:shd w:fill="FFDCE0" w:val="clear"/>
          </w:tcPr>
          <w:p>
            <w:r>
              <w:rPr>
                <w:b/>
                <w:sz w:val="17"/>
              </w:rPr>
              <w:t>1,666</w:t>
            </w:r>
          </w:p>
        </w:tc>
        <w:tc>
          <w:tcPr>
            <w:tcW w:type="dxa" w:w="1440"/>
            <w:shd w:fill="FFDCE0" w:val="clear"/>
          </w:tcPr>
          <w:p>
            <w:r>
              <w:rPr>
                <w:sz w:val="17"/>
              </w:rPr>
              <w:t>1,900</w:t>
            </w:r>
          </w:p>
        </w:tc>
        <w:tc>
          <w:tcPr>
            <w:tcW w:type="dxa" w:w="1440"/>
            <w:shd w:fill="FFDCE0" w:val="clear"/>
          </w:tcPr>
          <w:p>
            <w:r>
              <w:rPr>
                <w:b/>
                <w:color w:val="C00000"/>
                <w:sz w:val="17"/>
              </w:rPr>
              <w:t>-50.4%</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1,312</w:t>
            </w:r>
          </w:p>
        </w:tc>
        <w:tc>
          <w:tcPr>
            <w:tcW w:type="dxa" w:w="1440"/>
            <w:shd w:fill="FFDCE0" w:val="clear"/>
          </w:tcPr>
          <w:p>
            <w:r>
              <w:rPr>
                <w:b/>
                <w:sz w:val="17"/>
              </w:rPr>
              <w:t>1,541</w:t>
            </w:r>
          </w:p>
        </w:tc>
        <w:tc>
          <w:tcPr>
            <w:tcW w:type="dxa" w:w="1440"/>
            <w:shd w:fill="FFDCE0" w:val="clear"/>
          </w:tcPr>
          <w:p>
            <w:r>
              <w:rPr>
                <w:sz w:val="17"/>
              </w:rPr>
              <w:t>1,769</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SCRC (SUCRIVOIRE)**</w:t>
        <w:br/>
        <w:t>**Date de l'analyse : 26 août 2026**</w:t>
        <w:br/>
        <w:t>**Cours de référence : 3 360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SCRC s'établit à 65,86 milliards FCFA, un niveau significatif sur la BRVM qui positionne le titre parmi les valeurs moyennes de la cote. Le BPA est négatif à -406 FCFA, ce qui reflète la perte nette enregistrée sur l'exercice 2025 et rend le PER non exploitable (-8,3x), signalant que le marché ne peut actuellement pas valoriser la société sur la base de ses bénéfices. Le P/B de 3,82x indique que les investisseurs paient une prime substantielle de près de 4 fois la valeur comptable des actifs, ce qui traduit des anticipations de redressement futur plutôt qu'une valorisation basée sur les fondamentaux actuels. Enfin, l'EV/EBITDA de 10,6x se situe dans la fourchette haute (10-15x), suggérant une valorisation relativement élevée de la capacité opérationnelle de l'entreprise, malgré des résultats d'exploitation dégradés.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SCRC affiche une progression spectaculaire de +116,77%, passant d'un plus bas de 1 550 FCFA à un plus haut de 3 920 FCFA, avant de se replier légèrement à 3 360 FCFA lors de la dernière séance (-0,59%). Cette tendance fortement haussière contraste avec la moyenne de 2 874 FCFA et la médiane de 3 025 FCFA, dont l'écart révèle une distribution asymétrique des cours, avec une concentration des échanges dans la partie basse de la fourchette. L'écart-type de 678 FCFA (CV=23,6%) témoigne d'une dispersion modérée des prix autour de la moyenne, tandis que le kurtosis de -1,408 (platykurtique) indique une distribution aplatie avec peu de valeurs extrêmes, et le skewness de -0,252 confirme une symétrie relative de la distribution. La volatilité annualisée de 57,0% classe le titre comme très volatil, reflétant un niveau de risque élevé pour les investisseurs, avec un volume moyen de 12 852 titres par jour.</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3 360 FCFA se situe sous la MM20 (3 590,75 FCFA) et la MM50 (3 468,1 FCFA), indiquant une faiblesse relative à court terme. Cependant, la décision globale reste "Achat" car la tendance de fond demeure haussière, les moyennes mobiles étant encore orientées à la hausse après le fort rallye récent.</w:t>
      </w:r>
    </w:p>
    <w:p>
      <w:pPr>
        <w:spacing w:after="120" w:line="276" w:lineRule="auto"/>
      </w:pPr>
      <w:r>
        <w:t>**Bandes de Bollinger :** Le prix évolue près de la borne inférieure (3 345,65 FCFA), avec une borne supérieure à 3 835,86 FCFA. Cette position suggère une pression vendeuse à court terme et une volatilité en expansion, mais la décision "Neutre" indique que le cours n'a pas encore franchi de niveau critique.</w:t>
      </w:r>
    </w:p>
    <w:p>
      <w:pPr>
        <w:spacing w:after="120" w:line="276" w:lineRule="auto"/>
      </w:pPr>
      <w:r>
        <w:t>**MACD :** La valeur négative du MACD (-16,08) par rapport au signal (32,18) génère une décision "Vente", signalant un momentum baissier à court terme. La divergence négative entre ces deux lignes suggère une perte de dynamisme après la forte progression.</w:t>
      </w:r>
    </w:p>
    <w:p>
      <w:pPr>
        <w:spacing w:after="120" w:line="276" w:lineRule="auto"/>
      </w:pPr>
      <w:r>
        <w:t>**RSI :** À 29,27, le RSI se trouve en zone de survente (&lt;30), ce qui génère une décision "Achat". Cette lecture indique que le titre est techniquement survendu et pourrait rebondir à court terme, mais elle reflète aussi la vigueur du récent mouvement de correction.</w:t>
      </w:r>
    </w:p>
    <w:p>
      <w:pPr>
        <w:spacing w:after="120" w:line="276" w:lineRule="auto"/>
      </w:pPr>
      <w:r>
        <w:t>**Stochastique :** Les valeurs %K (2,90) et %D (3,82) sont extrêmement basses, confirmant la survente du titre. La décision "Achat" suggère un potentiel de rebond technique, bien que la faiblesse des niveaux indique une pression vendeuse persistante.</w:t>
      </w:r>
    </w:p>
    <w:p>
      <w:pPr>
        <w:spacing w:after="120" w:line="276" w:lineRule="auto"/>
      </w:pPr>
      <w:r>
        <w:t>**Conclusion technique :** Les indicateurs sont partagés entre signaux d'achat (RSI, Stochastique) et de vente (MACD), avec une position neutre des bandes de Bollinger. Cette configuration traduit un marché en consolidation après un rallye important, avec un risque de correction supplémentaire avant un éventuel rebond technique. La prudence est de mise à court terme.</w:t>
      </w:r>
    </w:p>
    <w:p>
      <w:pPr>
        <w:spacing w:after="120" w:line="276" w:lineRule="auto"/>
      </w:pPr>
      <w:r>
        <w:t>---</w:t>
      </w:r>
    </w:p>
    <w:p>
      <w:pPr>
        <w:spacing w:after="120" w:line="276" w:lineRule="auto"/>
      </w:pPr>
      <w:r>
        <w:t>### PARTIE 3 : ANALYSE FONDAMENTALE (SECTION CRITIQUE)</w:t>
      </w:r>
    </w:p>
    <w:p>
      <w:pPr>
        <w:spacing w:after="120" w:line="276" w:lineRule="auto"/>
      </w:pPr>
      <w:r>
        <w:t>En 2025, la SCRC a enregistré un chiffre d'affaires de 80,57 milliards FCFA, en baisse de 7,6% par rapport à 2024 (87,22 milliards FCFA), avec un résultat net déficitaire de -7,95 milliards FCFA contre un bénéfice de 2,47 milliards en 2024, soit une dégradation de 421%. La marge nette ressort à -9,87%, le ROE à -46,13% et le ROA à -5,08%, traduisant une destruction de valeur significative. La structure financière est préoccupante : le ratio d'endettement atteint 88,98%, la capacité de remboursement est de 11,21 ans, et le BFR est négatif à 6,53 milliards FCFA, ce qui est favorable. Les délais d'exploitation montrent un délai clients de 12,28 jours (satisfaisant) mais un délai fournisseurs de 366 jours et une durée de stockage de 360 jours, indiquant une immobilisation importante de capital. Les rapports de 2025 (datés du 1er et 19 mai 2026) confirment que l'explosion des charges financières (+262% à 6,79 milliards FCFA) et l'endettement long terme multiplié par 2,7 (64,5 milliards FCFA) ont plombé les résultats. Sur la base du rapport S1 2025 (perte de -6,71 milliards FCFA) et du rapport T1 2025 (bénéfice de 3,21 milliards FCFA), on estime que l'exercice 2026 pourrait rester difficile, avec une production attendue de 90 000 à 95 000 tonnes (+14% à +20%) qui pourrait soutenir un redressement partiel. La recommandation fondamentale est "Vendre" compte tenu de la fragilité financière, malgré les investissements massifs en cours.</w:t>
      </w:r>
    </w:p>
    <w:p>
      <w:pPr>
        <w:spacing w:after="120" w:line="276" w:lineRule="auto"/>
      </w:pPr>
      <w:r>
        <w:t>---</w:t>
      </w:r>
    </w:p>
    <w:p>
      <w:pPr>
        <w:spacing w:after="120" w:line="276" w:lineRule="auto"/>
      </w:pPr>
      <w:r>
        <w:t>### PARTIE 4 : CONCLUSION D'INVESTISSEMENT</w:t>
      </w:r>
    </w:p>
    <w:p>
      <w:pPr>
        <w:spacing w:after="120" w:line="276" w:lineRule="auto"/>
      </w:pPr>
      <w:r>
        <w:t>La valorisation de la SCRC apparaît surévaluée au regard des fondamentaux, avec un P/B de 3,82x et un EV/EBITDA de 10,6x pour une société déficitaire, tandis que le comportement du cours (+116,77% sur 100 jours) contraste fortement avec la détérioration des résultats financiers. Les signaux techniques sont mitigés, oscillant entre survente (RSI, Stochastique) et momentum baissier (MACD), suggérant une consolidation risquée. Les fondamentaux sont clairement dégradés : perte nette de 7,95 milliards FCFA, endettement massif et charges financières insoutenables, malgré des investissements de modernisation. Les prédictions IA pour les 10 prochains jours (2 875 à 2 105 FCFA) confirment une trajectoire baissière, en cohérence avec les signaux techniques et fondamentaux. La recommandation finale est **VENTE**, avec un niveau de confiance **Élevé** et un risque global **Élevé**. L'horizon d'investissement optimal est le **court terme (&lt;3 mois)** pour les investisseurs souhaitant limiter leur exposition, tandis que les investisseurs à long terme devraient attendre une stabilisation des résultats et une restructuration réussie de la dette avant d'envisager un retour.</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108.00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1,062 titres</w:t>
            </w:r>
          </w:p>
        </w:tc>
        <w:tc>
          <w:tcPr>
            <w:tcW w:type="dxa" w:w="2268"/>
            <w:shd w:fill="FFF2CC" w:val="clear"/>
          </w:tcPr>
          <w:p>
            <w:r>
              <w:rPr>
                <w:b/>
                <w:color w:val="503200"/>
                <w:sz w:val="16"/>
              </w:rPr>
              <w:t xml:space="preserve">Cours actuel : </w:t>
            </w:r>
            <w:r>
              <w:rPr>
                <w:color w:val="000000"/>
                <w:sz w:val="17"/>
              </w:rPr>
              <w:t>12,000 FCFA</w:t>
            </w:r>
          </w:p>
          <w:p>
            <w:r>
              <w:rPr>
                <w:b/>
                <w:color w:val="503200"/>
                <w:sz w:val="16"/>
              </w:rPr>
              <w:t xml:space="preserve">Var. 100 jours : </w:t>
            </w:r>
            <w:r>
              <w:rPr>
                <w:b/>
                <w:color w:val="007800"/>
                <w:sz w:val="17"/>
              </w:rPr>
              <w:t>+62.16%</w:t>
            </w:r>
          </w:p>
          <w:p>
            <w:r>
              <w:rPr>
                <w:b/>
                <w:color w:val="503200"/>
                <w:sz w:val="16"/>
              </w:rPr>
              <w:t xml:space="preserve">Plus haut 100j : </w:t>
            </w:r>
            <w:r>
              <w:rPr>
                <w:color w:val="000000"/>
                <w:sz w:val="17"/>
              </w:rPr>
              <w:t>12,195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35.7%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17.69% (Élevée) — μ=10,511 FCFA, σ=1,859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β=0.3021 (Défensif) — Cov=0.000010, Var(idx)=0.000034, ρ=0.078,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1,062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σ_j=2.25%/j (Stable) — Vol. annualisée≈35.7%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2026-08-27</w:t>
            </w:r>
          </w:p>
        </w:tc>
        <w:tc>
          <w:tcPr>
            <w:tcW w:type="dxa" w:w="1440"/>
            <w:shd w:fill="FFDCE0" w:val="clear"/>
          </w:tcPr>
          <w:p>
            <w:r>
              <w:rPr>
                <w:sz w:val="17"/>
              </w:rPr>
              <w:t>11,026</w:t>
            </w:r>
          </w:p>
        </w:tc>
        <w:tc>
          <w:tcPr>
            <w:tcW w:type="dxa" w:w="1440"/>
            <w:shd w:fill="FFDCE0" w:val="clear"/>
          </w:tcPr>
          <w:p>
            <w:r>
              <w:rPr>
                <w:b/>
                <w:sz w:val="17"/>
              </w:rPr>
              <w:t>11,589</w:t>
            </w:r>
          </w:p>
        </w:tc>
        <w:tc>
          <w:tcPr>
            <w:tcW w:type="dxa" w:w="1440"/>
            <w:shd w:fill="FFDCE0" w:val="clear"/>
          </w:tcPr>
          <w:p>
            <w:r>
              <w:rPr>
                <w:sz w:val="17"/>
              </w:rPr>
              <w:t>12,153</w:t>
            </w:r>
          </w:p>
        </w:tc>
        <w:tc>
          <w:tcPr>
            <w:tcW w:type="dxa" w:w="1440"/>
            <w:shd w:fill="FFDCE0" w:val="clear"/>
          </w:tcPr>
          <w:p>
            <w:r>
              <w:rPr>
                <w:b/>
                <w:color w:val="C00000"/>
                <w:sz w:val="17"/>
              </w:rPr>
              <w:t>-3.4%</w:t>
            </w:r>
          </w:p>
        </w:tc>
      </w:tr>
      <w:tr>
        <w:tc>
          <w:tcPr>
            <w:tcW w:type="dxa" w:w="1440"/>
            <w:shd w:fill="FFDCE0" w:val="clear"/>
          </w:tcPr>
          <w:p>
            <w:r>
              <w:rPr>
                <w:sz w:val="17"/>
              </w:rPr>
              <w:t>J+2  ⭐</w:t>
            </w:r>
          </w:p>
        </w:tc>
        <w:tc>
          <w:tcPr>
            <w:tcW w:type="dxa" w:w="1440"/>
            <w:shd w:fill="FFDCE0" w:val="clear"/>
          </w:tcPr>
          <w:p>
            <w:r>
              <w:rPr>
                <w:sz w:val="17"/>
              </w:rPr>
              <w:t>2026-08-28</w:t>
            </w:r>
          </w:p>
        </w:tc>
        <w:tc>
          <w:tcPr>
            <w:tcW w:type="dxa" w:w="1440"/>
            <w:shd w:fill="FFDCE0" w:val="clear"/>
          </w:tcPr>
          <w:p>
            <w:r>
              <w:rPr>
                <w:sz w:val="17"/>
              </w:rPr>
              <w:t>10,786</w:t>
            </w:r>
          </w:p>
        </w:tc>
        <w:tc>
          <w:tcPr>
            <w:tcW w:type="dxa" w:w="1440"/>
            <w:shd w:fill="FFDCE0" w:val="clear"/>
          </w:tcPr>
          <w:p>
            <w:r>
              <w:rPr>
                <w:b/>
                <w:sz w:val="17"/>
              </w:rPr>
              <w:t>11,470</w:t>
            </w:r>
          </w:p>
        </w:tc>
        <w:tc>
          <w:tcPr>
            <w:tcW w:type="dxa" w:w="1440"/>
            <w:shd w:fill="FFDCE0" w:val="clear"/>
          </w:tcPr>
          <w:p>
            <w:r>
              <w:rPr>
                <w:sz w:val="17"/>
              </w:rPr>
              <w:t>12,153</w:t>
            </w:r>
          </w:p>
        </w:tc>
        <w:tc>
          <w:tcPr>
            <w:tcW w:type="dxa" w:w="1440"/>
            <w:shd w:fill="FFDCE0" w:val="clear"/>
          </w:tcPr>
          <w:p>
            <w:r>
              <w:rPr>
                <w:b/>
                <w:color w:val="C00000"/>
                <w:sz w:val="17"/>
              </w:rPr>
              <w:t>-4.4%</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10,580</w:t>
            </w:r>
          </w:p>
        </w:tc>
        <w:tc>
          <w:tcPr>
            <w:tcW w:type="dxa" w:w="1440"/>
            <w:shd w:fill="FFDCE0" w:val="clear"/>
          </w:tcPr>
          <w:p>
            <w:r>
              <w:rPr>
                <w:b/>
                <w:sz w:val="17"/>
              </w:rPr>
              <w:t>11,362</w:t>
            </w:r>
          </w:p>
        </w:tc>
        <w:tc>
          <w:tcPr>
            <w:tcW w:type="dxa" w:w="1440"/>
            <w:shd w:fill="FFDCE0" w:val="clear"/>
          </w:tcPr>
          <w:p>
            <w:r>
              <w:rPr>
                <w:sz w:val="17"/>
              </w:rPr>
              <w:t>12,144</w:t>
            </w:r>
          </w:p>
        </w:tc>
        <w:tc>
          <w:tcPr>
            <w:tcW w:type="dxa" w:w="1440"/>
            <w:shd w:fill="FFDCE0" w:val="clear"/>
          </w:tcPr>
          <w:p>
            <w:r>
              <w:rPr>
                <w:b/>
                <w:color w:val="C00000"/>
                <w:sz w:val="17"/>
              </w:rPr>
              <w:t>-5.3%</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10,400</w:t>
            </w:r>
          </w:p>
        </w:tc>
        <w:tc>
          <w:tcPr>
            <w:tcW w:type="dxa" w:w="1440"/>
            <w:shd w:fill="FFDCE0" w:val="clear"/>
          </w:tcPr>
          <w:p>
            <w:r>
              <w:rPr>
                <w:b/>
                <w:sz w:val="17"/>
              </w:rPr>
              <w:t>11,266</w:t>
            </w:r>
          </w:p>
        </w:tc>
        <w:tc>
          <w:tcPr>
            <w:tcW w:type="dxa" w:w="1440"/>
            <w:shd w:fill="FFDCE0" w:val="clear"/>
          </w:tcPr>
          <w:p>
            <w:r>
              <w:rPr>
                <w:sz w:val="17"/>
              </w:rPr>
              <w:t>12,133</w:t>
            </w:r>
          </w:p>
        </w:tc>
        <w:tc>
          <w:tcPr>
            <w:tcW w:type="dxa" w:w="1440"/>
            <w:shd w:fill="FFDCE0" w:val="clear"/>
          </w:tcPr>
          <w:p>
            <w:r>
              <w:rPr>
                <w:b/>
                <w:color w:val="C00000"/>
                <w:sz w:val="17"/>
              </w:rPr>
              <w:t>-6.1%</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10,240</w:t>
            </w:r>
          </w:p>
        </w:tc>
        <w:tc>
          <w:tcPr>
            <w:tcW w:type="dxa" w:w="1440"/>
            <w:shd w:fill="FFDCE0" w:val="clear"/>
          </w:tcPr>
          <w:p>
            <w:r>
              <w:rPr>
                <w:b/>
                <w:sz w:val="17"/>
              </w:rPr>
              <w:t>11,183</w:t>
            </w:r>
          </w:p>
        </w:tc>
        <w:tc>
          <w:tcPr>
            <w:tcW w:type="dxa" w:w="1440"/>
            <w:shd w:fill="FFDCE0" w:val="clear"/>
          </w:tcPr>
          <w:p>
            <w:r>
              <w:rPr>
                <w:sz w:val="17"/>
              </w:rPr>
              <w:t>12,125</w:t>
            </w:r>
          </w:p>
        </w:tc>
        <w:tc>
          <w:tcPr>
            <w:tcW w:type="dxa" w:w="1440"/>
            <w:shd w:fill="FFDCE0" w:val="clear"/>
          </w:tcPr>
          <w:p>
            <w:r>
              <w:rPr>
                <w:b/>
                <w:color w:val="C00000"/>
                <w:sz w:val="17"/>
              </w:rPr>
              <w:t>-6.8%</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10,093</w:t>
            </w:r>
          </w:p>
        </w:tc>
        <w:tc>
          <w:tcPr>
            <w:tcW w:type="dxa" w:w="1440"/>
            <w:shd w:fill="FFDCE0" w:val="clear"/>
          </w:tcPr>
          <w:p>
            <w:r>
              <w:rPr>
                <w:b/>
                <w:sz w:val="17"/>
              </w:rPr>
              <w:t>11,104</w:t>
            </w:r>
          </w:p>
        </w:tc>
        <w:tc>
          <w:tcPr>
            <w:tcW w:type="dxa" w:w="1440"/>
            <w:shd w:fill="FFDCE0" w:val="clear"/>
          </w:tcPr>
          <w:p>
            <w:r>
              <w:rPr>
                <w:sz w:val="17"/>
              </w:rPr>
              <w:t>12,115</w:t>
            </w:r>
          </w:p>
        </w:tc>
        <w:tc>
          <w:tcPr>
            <w:tcW w:type="dxa" w:w="1440"/>
            <w:shd w:fill="FFDCE0" w:val="clear"/>
          </w:tcPr>
          <w:p>
            <w:r>
              <w:rPr>
                <w:b/>
                <w:color w:val="C00000"/>
                <w:sz w:val="17"/>
              </w:rPr>
              <w:t>-7.5%</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9,956</w:t>
            </w:r>
          </w:p>
        </w:tc>
        <w:tc>
          <w:tcPr>
            <w:tcW w:type="dxa" w:w="1440"/>
            <w:shd w:fill="FFDCE0" w:val="clear"/>
          </w:tcPr>
          <w:p>
            <w:r>
              <w:rPr>
                <w:b/>
                <w:sz w:val="17"/>
              </w:rPr>
              <w:t>11,029</w:t>
            </w:r>
          </w:p>
        </w:tc>
        <w:tc>
          <w:tcPr>
            <w:tcW w:type="dxa" w:w="1440"/>
            <w:shd w:fill="FFDCE0" w:val="clear"/>
          </w:tcPr>
          <w:p>
            <w:r>
              <w:rPr>
                <w:sz w:val="17"/>
              </w:rPr>
              <w:t>12,102</w:t>
            </w:r>
          </w:p>
        </w:tc>
        <w:tc>
          <w:tcPr>
            <w:tcW w:type="dxa" w:w="1440"/>
            <w:shd w:fill="FFDCE0" w:val="clear"/>
          </w:tcPr>
          <w:p>
            <w:r>
              <w:rPr>
                <w:b/>
                <w:color w:val="C00000"/>
                <w:sz w:val="17"/>
              </w:rPr>
              <w:t>-8.1%</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9,829</w:t>
            </w:r>
          </w:p>
        </w:tc>
        <w:tc>
          <w:tcPr>
            <w:tcW w:type="dxa" w:w="1440"/>
            <w:shd w:fill="FFDCE0" w:val="clear"/>
          </w:tcPr>
          <w:p>
            <w:r>
              <w:rPr>
                <w:b/>
                <w:sz w:val="17"/>
              </w:rPr>
              <w:t>10,961</w:t>
            </w:r>
          </w:p>
        </w:tc>
        <w:tc>
          <w:tcPr>
            <w:tcW w:type="dxa" w:w="1440"/>
            <w:shd w:fill="FFDCE0" w:val="clear"/>
          </w:tcPr>
          <w:p>
            <w:r>
              <w:rPr>
                <w:sz w:val="17"/>
              </w:rPr>
              <w:t>12,092</w:t>
            </w:r>
          </w:p>
        </w:tc>
        <w:tc>
          <w:tcPr>
            <w:tcW w:type="dxa" w:w="1440"/>
            <w:shd w:fill="FFDCE0" w:val="clear"/>
          </w:tcPr>
          <w:p>
            <w:r>
              <w:rPr>
                <w:b/>
                <w:color w:val="C00000"/>
                <w:sz w:val="17"/>
              </w:rPr>
              <w:t>-8.7%</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9,710</w:t>
            </w:r>
          </w:p>
        </w:tc>
        <w:tc>
          <w:tcPr>
            <w:tcW w:type="dxa" w:w="1440"/>
            <w:shd w:fill="FFDCE0" w:val="clear"/>
          </w:tcPr>
          <w:p>
            <w:r>
              <w:rPr>
                <w:b/>
                <w:sz w:val="17"/>
              </w:rPr>
              <w:t>10,895</w:t>
            </w:r>
          </w:p>
        </w:tc>
        <w:tc>
          <w:tcPr>
            <w:tcW w:type="dxa" w:w="1440"/>
            <w:shd w:fill="FFDCE0" w:val="clear"/>
          </w:tcPr>
          <w:p>
            <w:r>
              <w:rPr>
                <w:sz w:val="17"/>
              </w:rPr>
              <w:t>12,081</w:t>
            </w:r>
          </w:p>
        </w:tc>
        <w:tc>
          <w:tcPr>
            <w:tcW w:type="dxa" w:w="1440"/>
            <w:shd w:fill="FFDCE0" w:val="clear"/>
          </w:tcPr>
          <w:p>
            <w:r>
              <w:rPr>
                <w:b/>
                <w:color w:val="C00000"/>
                <w:sz w:val="17"/>
              </w:rPr>
              <w:t>-9.2%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**Date : 26 août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SDCC s'établit à 108 milliards FCFA, un niveau significatif qui la positionne parmi les valeurs moyennes de la cote BRVM. Avec un BPA de 518 FCFA, le titre se négocie à un PER de 23,2x, soit plus du double de la moyenne historique de la place (~8-12x). Ce niveau élevé suggère que le marché anticipe une croissance soutenue des bénéfices, mais expose également l'action à un risque de correction si ces attentes ne se matérialisent pas. Le P/B de 5,48x confirme cette prime boursière, le marché valorisant fortement les actifs de la société par rapport à leur valeur comptable. Enfin, un EV/EBITDA de 14,5x, dans le haut de la fourchette de référence (10-15x), indique que la valeur d'entreprise intègre déjà une performance opérationnelle solide, laissant peu de marge d'erreur.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l'action SDCC a enregistré une progression spectaculaire de +62,16%, passant d'un plus bas de 7 140 FCFA à un plus haut de 12 195 FCFA, avant de clôturer à 12 000 FCFA, en léger repli de -1,19% sur la dernière séance. Cette tendance haussière marquée est confirmée par les statistiques descriptives : la moyenne (10 511 FCFA) est inférieure à la médiane (11 370 FCFA), ce qui, combiné à un skewness négatif (-0,882), indique une distribution asymétrique avec des journées de forte hausse concentrées en début de période. L'écart-type de 1 869 FCFA (CV de 17,8%) témoigne d'une dispersion modérée, tandis que le kurtosis de -0,916 (mésokurtique) suggère l'absence de pics de volatilité extrêmes. La volatilité annualisée de 35,7% classe le titre dans la catégorie "élevée" (&gt;30%), reflétant un risque de marché substantiel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(12 000 FCFA) se situe très légèrement au-dessus de la MM20 (11 846,5 FCFA) mais en dessous de la MM50 (11 866,2 FCFA). Cette configuration, où le prix évolue sous sa moyenne à moyen terme, génère un signal de vente, indiquant un possible essoufflement de la dynamique haussière après la forte progression récente.</w:t>
      </w:r>
    </w:p>
    <w:p>
      <w:pPr>
        <w:spacing w:after="120" w:line="276" w:lineRule="auto"/>
      </w:pPr>
      <w:r>
        <w:t>**Bandes de Bollinger** : Le prix se positionne dans la partie supérieure du canal, entre la borne inférieure (11 447,4 FCFA) et la borne supérieure (12 245,6 FCFA), sans toucher les extrêmes. La décision est neutre, suggérant une volatilité modérée et une stabilisation du cours après la phase d'expansion. Un écart de 798 FCFA entre les bornes indique une volatilité contenue.</w:t>
      </w:r>
    </w:p>
    <w:p>
      <w:pPr>
        <w:spacing w:after="120" w:line="276" w:lineRule="auto"/>
      </w:pPr>
      <w:r>
        <w:t>**MACD** : La valeur du MACD (73,7) est nettement supérieure à son signal (36,6), générant un signal d'achat. Cette configuration positive indique que le momentum haussier reste intact à moyen terme, malgré le léger repli récent. La divergence positive suggère que la pression acheteuse demeure dominante.</w:t>
      </w:r>
    </w:p>
    <w:p>
      <w:pPr>
        <w:spacing w:after="120" w:line="276" w:lineRule="auto"/>
      </w:pPr>
      <w:r>
        <w:t>**RSI** : À 52,4, le RSI se situe en zone neutre (30-70), indiquant un équilibre entre pressions acheteuses et vendeuses. Cette valeur suggère que le titre n'est ni suracheté ni survendu, laissant une marge de manœuvre dans les deux sens. La décision est neutre.</w:t>
      </w:r>
    </w:p>
    <w:p>
      <w:pPr>
        <w:spacing w:after="120" w:line="276" w:lineRule="auto"/>
      </w:pPr>
      <w:r>
        <w:t>**Stochastique** : Avec un %K à 80,5 et un %D à 91,1, le stochastique est en zone de surachat. Le croisement baissier potentiel (%K sous %D) génère un signal de vente, indiquant un possible retournement à court terme après la récente hausse.</w:t>
      </w:r>
    </w:p>
    <w:p>
      <w:pPr>
        <w:spacing w:after="120" w:line="276" w:lineRule="auto"/>
      </w:pPr>
      <w:r>
        <w:t>**Conclusion technique** : Les signaux sont mitigés, avec un MACD positif mais des moyennes mobiles et un stochastique négatifs. Cette divergence suggère une consolidation à court terme dans une tendance de fond haussière. La prudence est de mise à très court terme, mais la structure globale reste constructive.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SDCC affiche des résultats annuels solides avec un chiffre d'affaires de 189,430 milliards FCFA, en croissance de +10% par rapport à 2024 (172,2 milliards FCFA), et un résultat net de 4,663 milliards FCFA, en hausse de +31% (contre 3,6 milliards en 2024). La rentabilité des fonds propres (ROE) atteint un excellent niveau de 23,65%, bien au-dessus du seuil de 15% considéré comme performant, tandis que le ROA reste faible à 0,99%, traduisant une rotation des actifs limitée (40,1%). La marge nette s'établit à 2,46%, en amélioration par rapport à 2024 (2,1%). Cependant, la structure financière reste fragile : l'autonomie financière n'est que de 4,17% (capitaux propres de 19,716 milliards pour un total bilan de 472,672 milliards), et le ratio d'endettement atteint 95,8%. Le délai de paiement des clients est préoccupant à 749 jours, générant un BFR massif de 104,748 milliards et un flux opérationnel négatif de -36,655 milliards. Le rapport S1 2025 (daté du 30/06/2025) montrait un résultat net en baisse de -24% à 1,355 milliard, mais le rapport T1 2026 (daté de 2026) révèle un rebond spectaculaire avec un résultat net de 1,318 milliard (+118% vs T1 2025), porté par une meilleure maîtrise des charges opérationnelles. Sur cette base, on estime que l'exercice 2026 pourrait voir le résultat net dépasser 5,5 milliards FCFA, confirmant la dynamique positive engagée.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actuelle de SDCC (PER 23,2x, P/B 5,48x, EV/EBITDA 14,5x) apparaît exigeante, intégrant des attentes de croissance élevées qui semblent partiellement justifiées par la forte progression du cours (+62% sur 100 jours) et l'amélioration des fondamentaux. Les signaux techniques sont mitigés, avec un MACD positif mais des moyennes mobiles et un stochastique en zone de surachat, suggérant une consolidation à court terme. Les fondamentaux restent solides avec un ROE de 23,6% et une croissance du CA de +10% en 2025, mais la structure financière fragile (endettement élevé, délais clients de 749 jours) et les tensions de trésorerie constituent des risques majeurs. Les prédictions IA (11 589 à 11 183 FCFA sur 10 jours) indiquent une correction attendue d'environ -7%, contredisant la tendance haussière récente et confirmant les signaux techniques de surachat. En synthèse, la convergence entre la valorisation élevée, les signaux techniques de retournement et les prédictions IA baissières conduit à une recommandation de **CONSERVER** avec un niveau de confiance **Moyen** et un risque global **Élevé**. L'horizon d'investissement optimal serait le **moyen terme (3-12 mois)**, en attendant une correction du cours pour renforcer la position à des niveaux plus attractifs.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146.98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16,794 titres</w:t>
            </w:r>
          </w:p>
        </w:tc>
        <w:tc>
          <w:tcPr>
            <w:tcW w:type="dxa" w:w="2268"/>
            <w:shd w:fill="FFF2CC" w:val="clear"/>
          </w:tcPr>
          <w:p>
            <w:r>
              <w:rPr>
                <w:b/>
                <w:color w:val="503200"/>
                <w:sz w:val="16"/>
              </w:rPr>
              <w:t xml:space="preserve">Cours actuel : </w:t>
            </w:r>
            <w:r>
              <w:rPr>
                <w:color w:val="000000"/>
                <w:sz w:val="17"/>
              </w:rPr>
              <w:t>2,700 FCFA</w:t>
            </w:r>
          </w:p>
          <w:p>
            <w:r>
              <w:rPr>
                <w:b/>
                <w:color w:val="503200"/>
                <w:sz w:val="16"/>
              </w:rPr>
              <w:t xml:space="preserve">Var. 100 jours : </w:t>
            </w:r>
            <w:r>
              <w:rPr>
                <w:b/>
                <w:color w:val="007800"/>
                <w:sz w:val="17"/>
              </w:rPr>
              <w:t>+38.82%</w:t>
            </w:r>
          </w:p>
          <w:p>
            <w:r>
              <w:rPr>
                <w:b/>
                <w:color w:val="503200"/>
                <w:sz w:val="16"/>
              </w:rPr>
              <w:t xml:space="preserve">Plus haut 100j : </w:t>
            </w:r>
            <w:r>
              <w:rPr>
                <w:color w:val="000000"/>
                <w:sz w:val="17"/>
              </w:rPr>
              <w:t>2,820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49.0%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17.63% (Élevée) — μ=2,191 FCFA, σ=386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β=0.1837 (Défensif) — Cov=0.000006, Var(idx)=0.000034, ρ=0.035,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16,794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σ_j=3.09%/j (Modérée) — Vol. annualisée≈49.0%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2026-08-27</w:t>
            </w:r>
          </w:p>
        </w:tc>
        <w:tc>
          <w:tcPr>
            <w:tcW w:type="dxa" w:w="1440"/>
            <w:shd w:fill="FFDCE0" w:val="clear"/>
          </w:tcPr>
          <w:p>
            <w:r>
              <w:rPr>
                <w:sz w:val="17"/>
              </w:rPr>
              <w:t>2,409</w:t>
            </w:r>
          </w:p>
        </w:tc>
        <w:tc>
          <w:tcPr>
            <w:tcW w:type="dxa" w:w="1440"/>
            <w:shd w:fill="FFDCE0" w:val="clear"/>
          </w:tcPr>
          <w:p>
            <w:r>
              <w:rPr>
                <w:b/>
                <w:sz w:val="17"/>
              </w:rPr>
              <w:t>2,641</w:t>
            </w:r>
          </w:p>
        </w:tc>
        <w:tc>
          <w:tcPr>
            <w:tcW w:type="dxa" w:w="1440"/>
            <w:shd w:fill="FFDCE0" w:val="clear"/>
          </w:tcPr>
          <w:p>
            <w:r>
              <w:rPr>
                <w:sz w:val="17"/>
              </w:rPr>
              <w:t>2,873</w:t>
            </w:r>
          </w:p>
        </w:tc>
        <w:tc>
          <w:tcPr>
            <w:tcW w:type="dxa" w:w="1440"/>
            <w:shd w:fill="FFDCE0" w:val="clear"/>
          </w:tcPr>
          <w:p>
            <w:r>
              <w:rPr>
                <w:b/>
                <w:color w:val="C00000"/>
                <w:sz w:val="17"/>
              </w:rPr>
              <w:t>-2.2%</w:t>
            </w:r>
          </w:p>
        </w:tc>
      </w:tr>
      <w:tr>
        <w:tc>
          <w:tcPr>
            <w:tcW w:type="dxa" w:w="1440"/>
            <w:shd w:fill="FFDCE0" w:val="clear"/>
          </w:tcPr>
          <w:p>
            <w:r>
              <w:rPr>
                <w:sz w:val="17"/>
              </w:rPr>
              <w:t>J+2  Moyenne</w:t>
            </w:r>
          </w:p>
        </w:tc>
        <w:tc>
          <w:tcPr>
            <w:tcW w:type="dxa" w:w="1440"/>
            <w:shd w:fill="FFDCE0" w:val="clear"/>
          </w:tcPr>
          <w:p>
            <w:r>
              <w:rPr>
                <w:sz w:val="17"/>
              </w:rPr>
              <w:t>2026-08-28</w:t>
            </w:r>
          </w:p>
        </w:tc>
        <w:tc>
          <w:tcPr>
            <w:tcW w:type="dxa" w:w="1440"/>
            <w:shd w:fill="FFDCE0" w:val="clear"/>
          </w:tcPr>
          <w:p>
            <w:r>
              <w:rPr>
                <w:sz w:val="17"/>
              </w:rPr>
              <w:t>2,338</w:t>
            </w:r>
          </w:p>
        </w:tc>
        <w:tc>
          <w:tcPr>
            <w:tcW w:type="dxa" w:w="1440"/>
            <w:shd w:fill="FFDCE0" w:val="clear"/>
          </w:tcPr>
          <w:p>
            <w:r>
              <w:rPr>
                <w:b/>
                <w:sz w:val="17"/>
              </w:rPr>
              <w:t>2,620</w:t>
            </w:r>
          </w:p>
        </w:tc>
        <w:tc>
          <w:tcPr>
            <w:tcW w:type="dxa" w:w="1440"/>
            <w:shd w:fill="FFDCE0" w:val="clear"/>
          </w:tcPr>
          <w:p>
            <w:r>
              <w:rPr>
                <w:sz w:val="17"/>
              </w:rPr>
              <w:t>2,902</w:t>
            </w:r>
          </w:p>
        </w:tc>
        <w:tc>
          <w:tcPr>
            <w:tcW w:type="dxa" w:w="1440"/>
            <w:shd w:fill="FFDCE0" w:val="clear"/>
          </w:tcPr>
          <w:p>
            <w:r>
              <w:rPr>
                <w:b/>
                <w:color w:val="C00000"/>
                <w:sz w:val="17"/>
              </w:rPr>
              <w:t>-3.0%</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2,278</w:t>
            </w:r>
          </w:p>
        </w:tc>
        <w:tc>
          <w:tcPr>
            <w:tcW w:type="dxa" w:w="1440"/>
            <w:shd w:fill="FFDCE0" w:val="clear"/>
          </w:tcPr>
          <w:p>
            <w:r>
              <w:rPr>
                <w:b/>
                <w:sz w:val="17"/>
              </w:rPr>
              <w:t>2,601</w:t>
            </w:r>
          </w:p>
        </w:tc>
        <w:tc>
          <w:tcPr>
            <w:tcW w:type="dxa" w:w="1440"/>
            <w:shd w:fill="FFDCE0" w:val="clear"/>
          </w:tcPr>
          <w:p>
            <w:r>
              <w:rPr>
                <w:sz w:val="17"/>
              </w:rPr>
              <w:t>2,924</w:t>
            </w:r>
          </w:p>
        </w:tc>
        <w:tc>
          <w:tcPr>
            <w:tcW w:type="dxa" w:w="1440"/>
            <w:shd w:fill="FFDCE0" w:val="clear"/>
          </w:tcPr>
          <w:p>
            <w:r>
              <w:rPr>
                <w:b/>
                <w:color w:val="C00000"/>
                <w:sz w:val="17"/>
              </w:rPr>
              <w:t>-3.7%</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2,224</w:t>
            </w:r>
          </w:p>
        </w:tc>
        <w:tc>
          <w:tcPr>
            <w:tcW w:type="dxa" w:w="1440"/>
            <w:shd w:fill="FFDCE0" w:val="clear"/>
          </w:tcPr>
          <w:p>
            <w:r>
              <w:rPr>
                <w:b/>
                <w:sz w:val="17"/>
              </w:rPr>
              <w:t>2,583</w:t>
            </w:r>
          </w:p>
        </w:tc>
        <w:tc>
          <w:tcPr>
            <w:tcW w:type="dxa" w:w="1440"/>
            <w:shd w:fill="FFDCE0" w:val="clear"/>
          </w:tcPr>
          <w:p>
            <w:r>
              <w:rPr>
                <w:sz w:val="17"/>
              </w:rPr>
              <w:t>2,941</w:t>
            </w:r>
          </w:p>
        </w:tc>
        <w:tc>
          <w:tcPr>
            <w:tcW w:type="dxa" w:w="1440"/>
            <w:shd w:fill="FFDCE0" w:val="clear"/>
          </w:tcPr>
          <w:p>
            <w:r>
              <w:rPr>
                <w:b/>
                <w:color w:val="C00000"/>
                <w:sz w:val="17"/>
              </w:rPr>
              <w:t>-4.3%</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2,175</w:t>
            </w:r>
          </w:p>
        </w:tc>
        <w:tc>
          <w:tcPr>
            <w:tcW w:type="dxa" w:w="1440"/>
            <w:shd w:fill="FFDCE0" w:val="clear"/>
          </w:tcPr>
          <w:p>
            <w:r>
              <w:rPr>
                <w:b/>
                <w:sz w:val="17"/>
              </w:rPr>
              <w:t>2,565</w:t>
            </w:r>
          </w:p>
        </w:tc>
        <w:tc>
          <w:tcPr>
            <w:tcW w:type="dxa" w:w="1440"/>
            <w:shd w:fill="FFDCE0" w:val="clear"/>
          </w:tcPr>
          <w:p>
            <w:r>
              <w:rPr>
                <w:sz w:val="17"/>
              </w:rPr>
              <w:t>2,955</w:t>
            </w:r>
          </w:p>
        </w:tc>
        <w:tc>
          <w:tcPr>
            <w:tcW w:type="dxa" w:w="1440"/>
            <w:shd w:fill="FFDCE0" w:val="clear"/>
          </w:tcPr>
          <w:p>
            <w:r>
              <w:rPr>
                <w:b/>
                <w:color w:val="C00000"/>
                <w:sz w:val="17"/>
              </w:rPr>
              <w:t>-5.0%</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2,130</w:t>
            </w:r>
          </w:p>
        </w:tc>
        <w:tc>
          <w:tcPr>
            <w:tcW w:type="dxa" w:w="1440"/>
            <w:shd w:fill="FFDCE0" w:val="clear"/>
          </w:tcPr>
          <w:p>
            <w:r>
              <w:rPr>
                <w:b/>
                <w:sz w:val="17"/>
              </w:rPr>
              <w:t>2,548</w:t>
            </w:r>
          </w:p>
        </w:tc>
        <w:tc>
          <w:tcPr>
            <w:tcW w:type="dxa" w:w="1440"/>
            <w:shd w:fill="FFDCE0" w:val="clear"/>
          </w:tcPr>
          <w:p>
            <w:r>
              <w:rPr>
                <w:sz w:val="17"/>
              </w:rPr>
              <w:t>2,967</w:t>
            </w:r>
          </w:p>
        </w:tc>
        <w:tc>
          <w:tcPr>
            <w:tcW w:type="dxa" w:w="1440"/>
            <w:shd w:fill="FFDCE0" w:val="clear"/>
          </w:tcPr>
          <w:p>
            <w:r>
              <w:rPr>
                <w:b/>
                <w:color w:val="C00000"/>
                <w:sz w:val="17"/>
              </w:rPr>
              <w:t>-5.6%</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2,087</w:t>
            </w:r>
          </w:p>
        </w:tc>
        <w:tc>
          <w:tcPr>
            <w:tcW w:type="dxa" w:w="1440"/>
            <w:shd w:fill="FFDCE0" w:val="clear"/>
          </w:tcPr>
          <w:p>
            <w:r>
              <w:rPr>
                <w:b/>
                <w:sz w:val="17"/>
              </w:rPr>
              <w:t>2,532</w:t>
            </w:r>
          </w:p>
        </w:tc>
        <w:tc>
          <w:tcPr>
            <w:tcW w:type="dxa" w:w="1440"/>
            <w:shd w:fill="FFDCE0" w:val="clear"/>
          </w:tcPr>
          <w:p>
            <w:r>
              <w:rPr>
                <w:sz w:val="17"/>
              </w:rPr>
              <w:t>2,976</w:t>
            </w:r>
          </w:p>
        </w:tc>
        <w:tc>
          <w:tcPr>
            <w:tcW w:type="dxa" w:w="1440"/>
            <w:shd w:fill="FFDCE0" w:val="clear"/>
          </w:tcPr>
          <w:p>
            <w:r>
              <w:rPr>
                <w:b/>
                <w:color w:val="C00000"/>
                <w:sz w:val="17"/>
              </w:rPr>
              <w:t>-6.2%</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2,047</w:t>
            </w:r>
          </w:p>
        </w:tc>
        <w:tc>
          <w:tcPr>
            <w:tcW w:type="dxa" w:w="1440"/>
            <w:shd w:fill="FFDCE0" w:val="clear"/>
          </w:tcPr>
          <w:p>
            <w:r>
              <w:rPr>
                <w:b/>
                <w:sz w:val="17"/>
              </w:rPr>
              <w:t>2,516</w:t>
            </w:r>
          </w:p>
        </w:tc>
        <w:tc>
          <w:tcPr>
            <w:tcW w:type="dxa" w:w="1440"/>
            <w:shd w:fill="FFDCE0" w:val="clear"/>
          </w:tcPr>
          <w:p>
            <w:r>
              <w:rPr>
                <w:sz w:val="17"/>
              </w:rPr>
              <w:t>2,984</w:t>
            </w:r>
          </w:p>
        </w:tc>
        <w:tc>
          <w:tcPr>
            <w:tcW w:type="dxa" w:w="1440"/>
            <w:shd w:fill="FFDCE0" w:val="clear"/>
          </w:tcPr>
          <w:p>
            <w:r>
              <w:rPr>
                <w:b/>
                <w:color w:val="C00000"/>
                <w:sz w:val="17"/>
              </w:rPr>
              <w:t>-6.8%</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2,010</w:t>
            </w:r>
          </w:p>
        </w:tc>
        <w:tc>
          <w:tcPr>
            <w:tcW w:type="dxa" w:w="1440"/>
            <w:shd w:fill="FFDCE0" w:val="clear"/>
          </w:tcPr>
          <w:p>
            <w:r>
              <w:rPr>
                <w:b/>
                <w:sz w:val="17"/>
              </w:rPr>
              <w:t>2,500</w:t>
            </w:r>
          </w:p>
        </w:tc>
        <w:tc>
          <w:tcPr>
            <w:tcW w:type="dxa" w:w="1440"/>
            <w:shd w:fill="FFDCE0" w:val="clear"/>
          </w:tcPr>
          <w:p>
            <w:r>
              <w:rPr>
                <w:sz w:val="17"/>
              </w:rPr>
              <w:t>2,991</w:t>
            </w:r>
          </w:p>
        </w:tc>
        <w:tc>
          <w:tcPr>
            <w:tcW w:type="dxa" w:w="1440"/>
            <w:shd w:fill="FFDCE0" w:val="clear"/>
          </w:tcPr>
          <w:p>
            <w:r>
              <w:rPr>
                <w:b/>
                <w:color w:val="C00000"/>
                <w:sz w:val="17"/>
              </w:rPr>
              <w:t>-7.4%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SDSC s'établit à 146,98 milliards FCFA, ce qui en fait une valeur de taille moyenne sur la BRVM, représentant un profil de liquidité correct. Avec un BPA de 387 FCFA, le titre se négocie à un PER de 7,0x, nettement inférieur à la moyenne du marché (8-12x), signalant une sous-évaluation relative du bénéfice par action. Le P/B de 1,89x indique que le marché valorise la société à près du double de sa valeur comptable, un niveau raisonnable pour une entreprise avec un ROE de 27%. En revanche, l'EV/EBITDA de 31,7x est particulièrement exigeant, suggérant que la valeur d'entreprise intègre une capacité opérationnelle (EBITDA) faible par rapport à la capitalisation, ce qui traduit une prime élevée pour les actifs et la trésorerie. Ces ratios contrastés appellent à une analyse approfondie de la soutenabilité de la performance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SDSC a enregistré une progression spectaculaire de +38,82%, avec un cours actuel de 2 700 FCFA, mais une correction de -2,88% lors de la dernière séance, suggérant un essoufflement à court terme. Le cours a évolué dans une fourchette large de 1 650 à 2 820 FCFA, illustrant une forte amplitude de trading. La moyenne (2 191 FCFA) est supérieure à la médiane (2 102 FCFA), indiquant une distribution asymétrique positive (skewness de 0,202), avec des épisodes de hausse plus prononcés que les baisses. L'écart-type de 388 FCFA (CV=17,7%) révèle une dispersion modérée autour de la moyenne. Le kurtosis de -1,517 (platykurtique) indique une distribution aplatie, avec moins de valeurs extrêmes que la normale, réduisant le risque de pics de volatilité soudains. La volatilité annualisée de 49,0% classe le titre comme très volatil, un niveau élevé qui exige une gestion rigoureuse du risque.</w:t>
      </w:r>
    </w:p>
    <w:p>
      <w:pPr>
        <w:spacing w:after="120" w:line="276" w:lineRule="auto" w:before="240"/>
      </w:pPr>
      <w:r>
        <w:rPr>
          <w:b/>
          <w:color w:val="003366"/>
          <w:sz w:val="24"/>
        </w:rPr>
        <w:t>**PARTIE 2 : ANALYSE TECHNIQUE DÉTAILLÉE**</w:t>
      </w:r>
    </w:p>
    <w:p>
      <w:pPr>
        <w:spacing w:after="120" w:line="276" w:lineRule="auto"/>
      </w:pPr>
      <w:r>
        <w:t>**Moyennes Mobiles**: Les MM20 (2 664,75 FCFA) et MM50 (2 546,1 FCFA) sont toutes deux inférieures au cours actuel (2 700 FCFA), confirmant une tendance haussière de moyen terme. La MM20 est au-dessus de la MM50, formant une configuration de croisement haussier (golden cross), ce qui justifie la décision d'achat. Le titre évolue dans une dynamique positive, bien que la correction récente puisse tester le support de la MM20.</w:t>
      </w:r>
    </w:p>
    <w:p>
      <w:pPr>
        <w:spacing w:after="120" w:line="276" w:lineRule="auto"/>
      </w:pPr>
      <w:r>
        <w:t>**Bandes de Bollinger**: Le cours se situe à 2 700 FCFA, entre la borne supérieure (2 872,10 FCFA) et la borne inférieure (2 457,40 FCFA), avec une largeur de bandes indiquant une volatilité modérée. La position proche du milieu de l'intervalle suggère une phase de consolidation après une forte hausse, d'où la décision neutre. Un écart vers la borne supérieure signalerait une surachat, tandis qu'un retour vers la borne inférieure offrirait un point d'entrée.</w:t>
      </w:r>
    </w:p>
    <w:p>
      <w:pPr>
        <w:spacing w:after="120" w:line="276" w:lineRule="auto"/>
      </w:pPr>
      <w:r>
        <w:t>**MACD**: Le MACD (55,89) est inférieur à son signal (61,12), formant une divergence baissière à court terme. Cette configuration indique un ralentissement du momentum haussier, justifiant la décision de vente. Cependant, la valeur positive du MACD montre que la tendance de fond reste haussière, et un croisement au-dessus du signal serait un signal d'achat.</w:t>
      </w:r>
    </w:p>
    <w:p>
      <w:pPr>
        <w:spacing w:after="120" w:line="276" w:lineRule="auto"/>
      </w:pPr>
      <w:r>
        <w:t>**RSI**: Le RSI à 48,06 est en zone neutre (30-70), reflétant un équilibre entre pressions acheteuses et vendeuses. Cette valeur suggère que le titre n'est ni suracheté ni survendu, laissant place à une poursuite de la tendance ou à une consolidation. La décision neutre est cohérente avec l'absence de signal directionnel fort.</w:t>
      </w:r>
    </w:p>
    <w:p>
      <w:pPr>
        <w:spacing w:after="120" w:line="276" w:lineRule="auto"/>
      </w:pPr>
      <w:r>
        <w:t>**Stochastique**: Le %K (78,41) est inférieur au %D (87,12), indiquant un croisement baissier potentiel, mais les deux valeurs restent en zone de surachat (&gt;70). Cela signale une possible correction à venir, mais la décision neutre reflète l'incertitude sur la force du mouvement. Un %K sous 20 serait un signal de survente plus fiable.</w:t>
      </w:r>
    </w:p>
    <w:p>
      <w:pPr>
        <w:spacing w:after="120" w:line="276" w:lineRule="auto"/>
      </w:pPr>
      <w:r>
        <w:t>**Conclusion technique**: Les indicateurs sont mitigés : les moyennes mobiles soutiennent une tendance haussière, mais le MACD et le stochastique montrent des signes de faiblesse à court terme. Le RSI neutre et les bandes de Bollinger suggèrent une consolidation. Globalement, la tendance de fond reste positive, mais une correction pourrait survenir avant une reprise, d'où une approche prudente.</w:t>
      </w:r>
    </w:p>
    <w:p>
      <w:pPr>
        <w:spacing w:after="120" w:line="276" w:lineRule="auto" w:before="240"/>
      </w:pPr>
      <w:r>
        <w:rPr>
          <w:b/>
          <w:color w:val="003366"/>
          <w:sz w:val="24"/>
        </w:rPr>
        <w:t>**PARTIE 3 : ANALYSE FONDAMENTALE (SECTION CRITIQUE)**</w:t>
      </w:r>
    </w:p>
    <w:p>
      <w:pPr>
        <w:spacing w:after="120" w:line="276" w:lineRule="auto"/>
      </w:pPr>
      <w:r>
        <w:t>En 2024, SDSC a réalisé un chiffre d'affaires de 85,643 milliards FCFA, en hausse de 3,65%, avec un résultat net de 21,069 milliards FCFA, soit une marge nette de 24,6%. Le ROE est excellent à 27,08% et le ROA à 11,20%, démontrant une gestion efficace des capitaux propres et des actifs. La structure financière est saine avec une autonomie financière de 41,36% et une solvabilité générale de 170,53%. Cependant, le délai clients de 466,94 jours est préoccupant, indiquant un risque de trésorerie élevé, bien que le BFR de 17,874 milliards soit positif. Les rapports trimestriels 2025 montrent une dégradation : le T1 2025 affiche un résultat net de 223 millions FCFA (contre une perte de 193 millions au T1 2024), mais le S1 2025 est déficitaire à -427 millions FCFA, et le T3 2025 enregistre un résultat net de 4,341 milliards FCFA, en chute de 77% sur un an. Pour l'exercice 2025, le rapport annuel (daté du 31/12/2025) indique un CA de 92,004 milliards FCFA (+7,43%), mais un résultat net effondré à 784,97 millions FCFA (marge nette de 0,85%), avec un résultat d'exploitation négatif de -2,271 milliards FCFA. Cette chute est due à la hausse des dotations et à l'absence de dividendes exceptionnels des filiales. La trésorerie nette reste solide à 74,78 milliards FCFA, et le dividende proposé est réduit à 544 millions FCFA. Les perspectives 2026 dépendront de la restauration des marges opérationnelles et de la reprise des revenus financiers.</w:t>
      </w:r>
    </w:p>
    <w:p>
      <w:pPr>
        <w:spacing w:after="120" w:line="276" w:lineRule="auto" w:before="240"/>
      </w:pPr>
      <w:r>
        <w:rPr>
          <w:b/>
          <w:color w:val="003366"/>
          <w:sz w:val="24"/>
        </w:rPr>
        <w:t>**PARTIE 4 : CONCLUSION D'INVESTISSEMENT**</w:t>
      </w:r>
    </w:p>
    <w:p>
      <w:pPr>
        <w:spacing w:after="120" w:line="276" w:lineRule="auto"/>
      </w:pPr>
      <w:r>
        <w:t>La valorisation de SDSC est contrastée : un PER de 7,0x suggère une sous-évaluation, mais l'EV/EBITDA de 31,7x et la chute du résultat net 2025 (0,78 milliard FCFA) indiquent une détérioration fondamentale. Le cours a progressé de +38,82% sur 100 jours, mais la volatilité élevée (49%) et la correction récente (-2,88%) signalent un risque accru. Les indicateurs techniques sont mitigés : les moyennes mobiles sont haussières, mais le MACD et le stochastique montrent des signes de faiblesse, suggérant une consolidation. Fondamentalement, la société affiche une trésorerie abondante (74,78 milliards FCFA) et une croissance du CA (+7,43% en 2025), mais la rentabilité s'effondre, avec une marge nette de 0,85% et un résultat d'exploitation déficitaire. Les prédictions IA (2 641 à 2 565 FCFA sur 10 jours) confirment une tendance baissière à court terme, en ligne avec les signaux techniques. En synthèse, la valorisation boursière reste attractive sur le long terme, mais les fondamentaux se dégradent, et les signaux techniques et prédictions sont baissiers. **Recommandation finale : CONSERVER**, avec un niveau de confiance **Moyen**, un risque global **Élevé**, et un horizon d'investissement **moyen terme (3-12 mois)**. Il est prudent de surveiller la capacité de la direction à restaurer les marges opérationnelles et à clarifier la politique de dividende avant d'envisager un renforcement.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39.04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5,610 titres</w:t>
            </w:r>
          </w:p>
        </w:tc>
        <w:tc>
          <w:tcPr>
            <w:tcW w:type="dxa" w:w="2268"/>
            <w:shd w:fill="FFF2CC" w:val="clear"/>
          </w:tcPr>
          <w:p>
            <w:r>
              <w:rPr>
                <w:b/>
                <w:color w:val="503200"/>
                <w:sz w:val="16"/>
              </w:rPr>
              <w:t xml:space="preserve">Cours actuel : </w:t>
            </w:r>
            <w:r>
              <w:rPr>
                <w:color w:val="000000"/>
                <w:sz w:val="17"/>
              </w:rPr>
              <w:t>1,550 FCFA</w:t>
            </w:r>
          </w:p>
          <w:p>
            <w:r>
              <w:rPr>
                <w:b/>
                <w:color w:val="503200"/>
                <w:sz w:val="16"/>
              </w:rPr>
              <w:t xml:space="preserve">Var. 100 jours : </w:t>
            </w:r>
            <w:r>
              <w:rPr>
                <w:b/>
                <w:color w:val="B40000"/>
                <w:sz w:val="17"/>
              </w:rPr>
              <w:t>-24.39%</w:t>
            </w:r>
          </w:p>
          <w:p>
            <w:r>
              <w:rPr>
                <w:b/>
                <w:color w:val="503200"/>
                <w:sz w:val="16"/>
              </w:rPr>
              <w:t xml:space="preserve">Plus haut 100j : </w:t>
            </w:r>
            <w:r>
              <w:rPr>
                <w:color w:val="000000"/>
                <w:sz w:val="17"/>
              </w:rPr>
              <w:t>2,050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22.0/100 → Moyen</w:t>
      </w:r>
    </w:p>
    <w:p>
      <w:pPr>
        <w:spacing w:before="40" w:after="80"/>
      </w:pPr>
      <w:r>
        <w:rPr>
          <w:rFonts w:ascii="Courier New" w:hAnsi="Courier New"/>
          <w:color w:val="825A00"/>
          <w:sz w:val="18"/>
        </w:rPr>
        <w:t>████░░░░░░░░░░░░░░░░  22.0/100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9.75% (Moyenne) — μ=1,582 FCFA, σ=154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β=1.3858 (Agressif) — Cov=0.000047, Var(idx)=0.000034, ρ=0.258,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5,610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σ_j=3.12%/j (Modérée) — Vol. annualisée≈49.6%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2026-08-27</w:t>
            </w:r>
          </w:p>
        </w:tc>
        <w:tc>
          <w:tcPr>
            <w:tcW w:type="dxa" w:w="1440"/>
            <w:shd w:fill="FFDCE0" w:val="clear"/>
          </w:tcPr>
          <w:p>
            <w:r>
              <w:rPr>
                <w:sz w:val="17"/>
              </w:rPr>
              <w:t>1,407</w:t>
            </w:r>
          </w:p>
        </w:tc>
        <w:tc>
          <w:tcPr>
            <w:tcW w:type="dxa" w:w="1440"/>
            <w:shd w:fill="FFDCE0" w:val="clear"/>
          </w:tcPr>
          <w:p>
            <w:r>
              <w:rPr>
                <w:b/>
                <w:sz w:val="17"/>
              </w:rPr>
              <w:t>1,504</w:t>
            </w:r>
          </w:p>
        </w:tc>
        <w:tc>
          <w:tcPr>
            <w:tcW w:type="dxa" w:w="1440"/>
            <w:shd w:fill="FFDCE0" w:val="clear"/>
          </w:tcPr>
          <w:p>
            <w:r>
              <w:rPr>
                <w:sz w:val="17"/>
              </w:rPr>
              <w:t>1,601</w:t>
            </w:r>
          </w:p>
        </w:tc>
        <w:tc>
          <w:tcPr>
            <w:tcW w:type="dxa" w:w="1440"/>
            <w:shd w:fill="FFDCE0" w:val="clear"/>
          </w:tcPr>
          <w:p>
            <w:r>
              <w:rPr>
                <w:b/>
                <w:color w:val="C00000"/>
                <w:sz w:val="17"/>
              </w:rPr>
              <w:t>-3.0%</w:t>
            </w:r>
          </w:p>
        </w:tc>
      </w:tr>
      <w:tr>
        <w:tc>
          <w:tcPr>
            <w:tcW w:type="dxa" w:w="1440"/>
            <w:shd w:fill="FFDCE0" w:val="clear"/>
          </w:tcPr>
          <w:p>
            <w:r>
              <w:rPr>
                <w:sz w:val="17"/>
              </w:rPr>
              <w:t>J+2  Moyenne</w:t>
            </w:r>
          </w:p>
        </w:tc>
        <w:tc>
          <w:tcPr>
            <w:tcW w:type="dxa" w:w="1440"/>
            <w:shd w:fill="FFDCE0" w:val="clear"/>
          </w:tcPr>
          <w:p>
            <w:r>
              <w:rPr>
                <w:sz w:val="17"/>
              </w:rPr>
              <w:t>2026-08-28</w:t>
            </w:r>
          </w:p>
        </w:tc>
        <w:tc>
          <w:tcPr>
            <w:tcW w:type="dxa" w:w="1440"/>
            <w:shd w:fill="FFDCE0" w:val="clear"/>
          </w:tcPr>
          <w:p>
            <w:r>
              <w:rPr>
                <w:sz w:val="17"/>
              </w:rPr>
              <w:t>1,371</w:t>
            </w:r>
          </w:p>
        </w:tc>
        <w:tc>
          <w:tcPr>
            <w:tcW w:type="dxa" w:w="1440"/>
            <w:shd w:fill="FFDCE0" w:val="clear"/>
          </w:tcPr>
          <w:p>
            <w:r>
              <w:rPr>
                <w:b/>
                <w:sz w:val="17"/>
              </w:rPr>
              <w:t>1,489</w:t>
            </w:r>
          </w:p>
        </w:tc>
        <w:tc>
          <w:tcPr>
            <w:tcW w:type="dxa" w:w="1440"/>
            <w:shd w:fill="FFDCE0" w:val="clear"/>
          </w:tcPr>
          <w:p>
            <w:r>
              <w:rPr>
                <w:sz w:val="17"/>
              </w:rPr>
              <w:t>1,606</w:t>
            </w:r>
          </w:p>
        </w:tc>
        <w:tc>
          <w:tcPr>
            <w:tcW w:type="dxa" w:w="1440"/>
            <w:shd w:fill="FFDCE0" w:val="clear"/>
          </w:tcPr>
          <w:p>
            <w:r>
              <w:rPr>
                <w:b/>
                <w:color w:val="C00000"/>
                <w:sz w:val="17"/>
              </w:rPr>
              <w:t>-4.0%</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1,339</w:t>
            </w:r>
          </w:p>
        </w:tc>
        <w:tc>
          <w:tcPr>
            <w:tcW w:type="dxa" w:w="1440"/>
            <w:shd w:fill="FFDCE0" w:val="clear"/>
          </w:tcPr>
          <w:p>
            <w:r>
              <w:rPr>
                <w:b/>
                <w:sz w:val="17"/>
              </w:rPr>
              <w:t>1,473</w:t>
            </w:r>
          </w:p>
        </w:tc>
        <w:tc>
          <w:tcPr>
            <w:tcW w:type="dxa" w:w="1440"/>
            <w:shd w:fill="FFDCE0" w:val="clear"/>
          </w:tcPr>
          <w:p>
            <w:r>
              <w:rPr>
                <w:sz w:val="17"/>
              </w:rPr>
              <w:t>1,608</w:t>
            </w:r>
          </w:p>
        </w:tc>
        <w:tc>
          <w:tcPr>
            <w:tcW w:type="dxa" w:w="1440"/>
            <w:shd w:fill="FFDCE0" w:val="clear"/>
          </w:tcPr>
          <w:p>
            <w:r>
              <w:rPr>
                <w:b/>
                <w:color w:val="C00000"/>
                <w:sz w:val="17"/>
              </w:rPr>
              <w:t>-4.9%</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1,309</w:t>
            </w:r>
          </w:p>
        </w:tc>
        <w:tc>
          <w:tcPr>
            <w:tcW w:type="dxa" w:w="1440"/>
            <w:shd w:fill="FFDCE0" w:val="clear"/>
          </w:tcPr>
          <w:p>
            <w:r>
              <w:rPr>
                <w:b/>
                <w:sz w:val="17"/>
              </w:rPr>
              <w:t>1,458</w:t>
            </w:r>
          </w:p>
        </w:tc>
        <w:tc>
          <w:tcPr>
            <w:tcW w:type="dxa" w:w="1440"/>
            <w:shd w:fill="FFDCE0" w:val="clear"/>
          </w:tcPr>
          <w:p>
            <w:r>
              <w:rPr>
                <w:sz w:val="17"/>
              </w:rPr>
              <w:t>1,607</w:t>
            </w:r>
          </w:p>
        </w:tc>
        <w:tc>
          <w:tcPr>
            <w:tcW w:type="dxa" w:w="1440"/>
            <w:shd w:fill="FFDCE0" w:val="clear"/>
          </w:tcPr>
          <w:p>
            <w:r>
              <w:rPr>
                <w:b/>
                <w:color w:val="C00000"/>
                <w:sz w:val="17"/>
              </w:rPr>
              <w:t>-5.9%</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1,282</w:t>
            </w:r>
          </w:p>
        </w:tc>
        <w:tc>
          <w:tcPr>
            <w:tcW w:type="dxa" w:w="1440"/>
            <w:shd w:fill="FFDCE0" w:val="clear"/>
          </w:tcPr>
          <w:p>
            <w:r>
              <w:rPr>
                <w:b/>
                <w:sz w:val="17"/>
              </w:rPr>
              <w:t>1,443</w:t>
            </w:r>
          </w:p>
        </w:tc>
        <w:tc>
          <w:tcPr>
            <w:tcW w:type="dxa" w:w="1440"/>
            <w:shd w:fill="FFDCE0" w:val="clear"/>
          </w:tcPr>
          <w:p>
            <w:r>
              <w:rPr>
                <w:sz w:val="17"/>
              </w:rPr>
              <w:t>1,605</w:t>
            </w:r>
          </w:p>
        </w:tc>
        <w:tc>
          <w:tcPr>
            <w:tcW w:type="dxa" w:w="1440"/>
            <w:shd w:fill="FFDCE0" w:val="clear"/>
          </w:tcPr>
          <w:p>
            <w:r>
              <w:rPr>
                <w:b/>
                <w:color w:val="C00000"/>
                <w:sz w:val="17"/>
              </w:rPr>
              <w:t>-6.9%</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1,256</w:t>
            </w:r>
          </w:p>
        </w:tc>
        <w:tc>
          <w:tcPr>
            <w:tcW w:type="dxa" w:w="1440"/>
            <w:shd w:fill="FFDCE0" w:val="clear"/>
          </w:tcPr>
          <w:p>
            <w:r>
              <w:rPr>
                <w:b/>
                <w:sz w:val="17"/>
              </w:rPr>
              <w:t>1,429</w:t>
            </w:r>
          </w:p>
        </w:tc>
        <w:tc>
          <w:tcPr>
            <w:tcW w:type="dxa" w:w="1440"/>
            <w:shd w:fill="FFDCE0" w:val="clear"/>
          </w:tcPr>
          <w:p>
            <w:r>
              <w:rPr>
                <w:sz w:val="17"/>
              </w:rPr>
              <w:t>1,601</w:t>
            </w:r>
          </w:p>
        </w:tc>
        <w:tc>
          <w:tcPr>
            <w:tcW w:type="dxa" w:w="1440"/>
            <w:shd w:fill="FFDCE0" w:val="clear"/>
          </w:tcPr>
          <w:p>
            <w:r>
              <w:rPr>
                <w:b/>
                <w:color w:val="C00000"/>
                <w:sz w:val="17"/>
              </w:rPr>
              <w:t>-7.8%</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1,232</w:t>
            </w:r>
          </w:p>
        </w:tc>
        <w:tc>
          <w:tcPr>
            <w:tcW w:type="dxa" w:w="1440"/>
            <w:shd w:fill="FFDCE0" w:val="clear"/>
          </w:tcPr>
          <w:p>
            <w:r>
              <w:rPr>
                <w:b/>
                <w:sz w:val="17"/>
              </w:rPr>
              <w:t>1,414</w:t>
            </w:r>
          </w:p>
        </w:tc>
        <w:tc>
          <w:tcPr>
            <w:tcW w:type="dxa" w:w="1440"/>
            <w:shd w:fill="FFDCE0" w:val="clear"/>
          </w:tcPr>
          <w:p>
            <w:r>
              <w:rPr>
                <w:sz w:val="17"/>
              </w:rPr>
              <w:t>1,597</w:t>
            </w:r>
          </w:p>
        </w:tc>
        <w:tc>
          <w:tcPr>
            <w:tcW w:type="dxa" w:w="1440"/>
            <w:shd w:fill="FFDCE0" w:val="clear"/>
          </w:tcPr>
          <w:p>
            <w:r>
              <w:rPr>
                <w:b/>
                <w:color w:val="C00000"/>
                <w:sz w:val="17"/>
              </w:rPr>
              <w:t>-8.7%</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1,209</w:t>
            </w:r>
          </w:p>
        </w:tc>
        <w:tc>
          <w:tcPr>
            <w:tcW w:type="dxa" w:w="1440"/>
            <w:shd w:fill="FFDCE0" w:val="clear"/>
          </w:tcPr>
          <w:p>
            <w:r>
              <w:rPr>
                <w:b/>
                <w:sz w:val="17"/>
              </w:rPr>
              <w:t>1,401</w:t>
            </w:r>
          </w:p>
        </w:tc>
        <w:tc>
          <w:tcPr>
            <w:tcW w:type="dxa" w:w="1440"/>
            <w:shd w:fill="FFDCE0" w:val="clear"/>
          </w:tcPr>
          <w:p>
            <w:r>
              <w:rPr>
                <w:sz w:val="17"/>
              </w:rPr>
              <w:t>1,593</w:t>
            </w:r>
          </w:p>
        </w:tc>
        <w:tc>
          <w:tcPr>
            <w:tcW w:type="dxa" w:w="1440"/>
            <w:shd w:fill="FFDCE0" w:val="clear"/>
          </w:tcPr>
          <w:p>
            <w:r>
              <w:rPr>
                <w:b/>
                <w:color w:val="C00000"/>
                <w:sz w:val="17"/>
              </w:rPr>
              <w:t>-9.6%</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1,187</w:t>
            </w:r>
          </w:p>
        </w:tc>
        <w:tc>
          <w:tcPr>
            <w:tcW w:type="dxa" w:w="1440"/>
            <w:shd w:fill="FFDCE0" w:val="clear"/>
          </w:tcPr>
          <w:p>
            <w:r>
              <w:rPr>
                <w:b/>
                <w:sz w:val="17"/>
              </w:rPr>
              <w:t>1,387</w:t>
            </w:r>
          </w:p>
        </w:tc>
        <w:tc>
          <w:tcPr>
            <w:tcW w:type="dxa" w:w="1440"/>
            <w:shd w:fill="FFDCE0" w:val="clear"/>
          </w:tcPr>
          <w:p>
            <w:r>
              <w:rPr>
                <w:sz w:val="17"/>
              </w:rPr>
              <w:t>1,587</w:t>
            </w:r>
          </w:p>
        </w:tc>
        <w:tc>
          <w:tcPr>
            <w:tcW w:type="dxa" w:w="1440"/>
            <w:shd w:fill="FFDCE0" w:val="clear"/>
          </w:tcPr>
          <w:p>
            <w:r>
              <w:rPr>
                <w:b/>
                <w:color w:val="C00000"/>
                <w:sz w:val="17"/>
              </w:rPr>
              <w:t>-10.5%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Voici le rapport d'analyse structuré pour l'action SEMC,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SEMC s'établit à 39,04 milliards FCFA, un niveau qui la positionne comme une valeur de taille moyenne sur la BRVM, loin des géants comme Sonatel ou les grandes banques. Les ratios de valorisation (BPA, PER, P/B, EV/EBITDA) ne sont pas calculables, car les données financières structurées nécessaires (nombre d'actions et capitaux propres précis) sont manquantes dans la base. Cette absence est un manque crucial pour l'investisseur, car elle ne permet pas de juger si le marché valorise correctement les bénéfices ou les actifs de la société. Il est donc impératif de se tourner vers les analyses fondamentales narratives et les données de marché pour évaluer l'attractivité du titre. La faiblesse de la capitalisation, couplée à la suspension de cotation passée, suggère un profil de liquidité et de risque à surveiller.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SEMC a subi une forte correction de -24,39%, passant d'un plus haut de 2 050 FCFA à un plus bas de 1 350 FCFA, pour clôturer à 1 550 FCFA. La séance de la veille est restée stable (+0,00%), marquant une pause après ce mouvement baissier. La tendance générale est clairement baissière sur la période. Les statistiques descriptives confirment cette dynamique : la moyenne (1 582 FCFA) est supérieure à la médiane (1 538 FCFA), et le skewness positif (1.466) indique que les journées de forte baisse ont été plus fréquentes que les journées de hausse, tirant le cours vers le bas. L'écart-type de 155 FCFA (CV=9,8%) montre une dispersion modérée, mais le kurtosis élevé (1.349) signale un risque de mouvements extrêmes. Enfin, la volatilité annualisée de 49,6% est très élevée, classant SEMC comme un actif à haut risque, sujet à de fortes fluctuations.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(1 550 FCFA) est supérieur aux MM20 (1 506,25 FCFA) et MM50 (1 505,4 FCFA), qui sont presque confondues. Cette configuration signale un retour de l'élan haussier à court terme après la chute, le prix se négociant au-dessus de ses moyennes clés. La décision d'achat est justifiée par ce croisement haussier, mais la faible marge entre le prix et les moyennes suggère une prudence.</w:t>
      </w:r>
    </w:p>
    <w:p>
      <w:pPr>
        <w:spacing w:after="120" w:line="276" w:lineRule="auto"/>
      </w:pPr>
      <w:r>
        <w:t>**Bandes de Bollinger** : Le prix se situe à 1 550 FCFA, entre la borne supérieure (1 601,99 FCFA) et la borne inférieure (1 410,50 FCFA), proche de la moyenne. La largeur des bandes reflète la volatilité élevée du titre. La position neutre du prix dans les bandes indique une absence de signal directionnel fort, le marché étant en phase de consolidation après la récente baisse.</w:t>
      </w:r>
    </w:p>
    <w:p>
      <w:pPr>
        <w:spacing w:after="120" w:line="276" w:lineRule="auto"/>
      </w:pPr>
      <w:r>
        <w:t>**MACD** : Le MACD (19,588) est nettement au-dessus de son signal (9,921), avec une divergence positive. Ce croisement haussier indique un momentum positif en train de se construire, suggérant que la pression vendeuse s'estompe et que les acheteurs reprennent la main à court terme. La décision d'achat est cohérente avec ce signal de momentum.</w:t>
      </w:r>
    </w:p>
    <w:p>
      <w:pPr>
        <w:spacing w:after="120" w:line="276" w:lineRule="auto"/>
      </w:pPr>
      <w:r>
        <w:t>**RSI** : Le RSI est à 62,069, en territoire neutre mais orienté à la hausse, se rapprochant de la zone de surachat (70). Cela indique que l'actif est en train de gagner de la force sans être encore survendu ou suracheté. La décision neutre est appropriée, car le RSI ne fournit pas de signal d'achat ou de vente extrême, mais confirme un biais haussier modéré.</w:t>
      </w:r>
    </w:p>
    <w:p>
      <w:pPr>
        <w:spacing w:after="120" w:line="276" w:lineRule="auto"/>
      </w:pPr>
      <w:r>
        <w:t>**Stochastique** : Le %K (67,742) est inférieur à %D (76,344), ce qui suggère un croisement baissier potentiel à court terme, indiquant un possible ralentissement du momentum haussier. La décision neutre est justifiée, car cet indicateur signale une possible consolidation ou un repli technique après la remontée récente.</w:t>
      </w:r>
    </w:p>
    <w:p>
      <w:pPr>
        <w:spacing w:after="120" w:line="276" w:lineRule="auto"/>
      </w:pPr>
      <w:r>
        <w:t>**Conclusion technique** : Les indicateurs de momentum (MACD, RSI) sont positifs et suggèrent un rebond technique, tandis que les moyennes mobiles confirment ce biais haussier à court terme. Cependant, le stochastique montre des signes de fatigue, et le prix reste dans un canal baissier de plus long terme. La configuration est donc mitigée : un rebond technique est en cours, mais il pourrait être limité. La prudence reste de mise tant que le cours n'a pas franchi des niveaux de résistance plus élevés.</w:t>
      </w:r>
    </w:p>
    <w:p>
      <w:pPr>
        <w:spacing w:after="120" w:line="276" w:lineRule="auto"/>
      </w:pPr>
      <w:r>
        <w:t>---</w:t>
      </w:r>
    </w:p>
    <w:p>
      <w:pPr>
        <w:spacing w:after="120" w:line="276" w:lineRule="auto"/>
      </w:pPr>
      <w:r>
        <w:t>### **PARTIE 3 : ANALYSE FONDAMENTALE (SECTION CRITIQUE)**</w:t>
      </w:r>
    </w:p>
    <w:p>
      <w:pPr>
        <w:spacing w:after="120" w:line="276" w:lineRule="auto"/>
      </w:pPr>
      <w:r>
        <w:t>L'analyse fondamentale de SEMC est complexe, car les rapports financiers disponibles présentent des données contradictoires. Le rapport daté du 31/12/2024 (analysé en 2026) indique pour l'exercice 2023 un chiffre d'affaires de 27,88 milliards FCFA, en baisse de 6%, et un résultat net de 1,01 milliard FCFA, en chute de 74%. La marge nette s'est effondrée à 3,6%, et aucun dividende n'a été distribué. Ce rapport mentionne une perte de clients clés et une concurrence accrue. En revanche, un autre rapport daté du 31/12/2024 (analysé en 2026) présente des chiffres totalement différents pour 2023 : un CA consolidé de 125,4 milliards FCFA (+13,8%) et un résultat net de 12,8 milliards FCFA (+22,3%), avec un dividende proposé de 250 FCFA/action. Cette incohérence majeure entre les deux rapports pour la même année est préoccupante. Le rapport du 31/12/2023 (T1 2023) montre une dynamique positive avec un CA de 7,65 milliards FCFA (+16,5%) et un bénéfice net de 855 millions FCFA (+37,9%). Enfin, le rapport du 31/12/2022 fait état d'un CA de 125,4 milliards FCFA et d'un résultat net de 12,8 milliards FCFA. Face à ces données divergentes, il est impossible de statuer sur la solidité financière réelle de la société. Les perspectives de rebond mentionnées dans un rapport (objectif de CA de 32 milliards FCFA en 2024) et l'arrivée d'un nouvel actionnaire (Sonoco) sont des signaux positifs, mais la fiabilité des états financiers est remise en question.</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 profil de risque élevé pour l'action SEMC. La valorisation (Partie 0) ne peut être évaluée faute de ratios calculables, mais la capitalisation boursière de 39 Mds FCFA est modeste. Le comportement du cours (Partie 1) est préoccupant avec une chute de -24,39% sur 100 jours, une volatilité très élevée (49,6%) et une distribution statistique montrant une pression vendeuse dominante. Les signaux techniques (Partie 2) sont mitigés, avec un rebond à court terme (MACD, MM) mais des indicateurs de momentum montrant des signes de fatigue (Stochastique). Les fondamentaux (Partie 3) sont gravement entachés par des incohérences majeures entre les rapports financiers, rendant toute analyse fiable impossible. Enfin, les prédictions IA (J+1 à J+10) prévoient une poursuite de la baisse, avec un cours projeté à 1 443 FCFA, ce qui contredit les signaux techniques de rebond à court terme. Face à cette divergence entre les signaux techniques et les prédictions, et surtout à l'opacité des données financières, la recommandation est **VENTE**. Le niveau de confiance est **Faible** en raison des données contradictoires, mais le risque global est **Élevé**. L'horizon d'investissement optimal est le **court terme (&lt;3 mois)** pour les investisseurs cherchant à limiter leurs pertes, en attendant une clarification des comptes de la société.</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1212.87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4,903 titres</w:t>
            </w:r>
          </w:p>
        </w:tc>
        <w:tc>
          <w:tcPr>
            <w:tcW w:type="dxa" w:w="2268"/>
            <w:shd w:fill="FFF2CC" w:val="clear"/>
          </w:tcPr>
          <w:p>
            <w:r>
              <w:rPr>
                <w:b/>
                <w:color w:val="503200"/>
                <w:sz w:val="16"/>
              </w:rPr>
              <w:t xml:space="preserve">Cours actuel : </w:t>
            </w:r>
            <w:r>
              <w:rPr>
                <w:color w:val="000000"/>
                <w:sz w:val="17"/>
              </w:rPr>
              <w:t>38,985 FCFA</w:t>
            </w:r>
          </w:p>
          <w:p>
            <w:r>
              <w:rPr>
                <w:b/>
                <w:color w:val="503200"/>
                <w:sz w:val="16"/>
              </w:rPr>
              <w:t xml:space="preserve">Var. 100 jours : </w:t>
            </w:r>
            <w:r>
              <w:rPr>
                <w:b/>
                <w:color w:val="007800"/>
                <w:sz w:val="17"/>
              </w:rPr>
              <w:t>+12.03%</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5.75% (Moyenne) — μ=36,917 FCFA, σ=2,123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β=0.5440 (Défensif) — Cov=0.000018, Var(idx)=0.000034, ρ=0.206,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4,903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2026-08-27</w:t>
            </w:r>
          </w:p>
        </w:tc>
        <w:tc>
          <w:tcPr>
            <w:tcW w:type="dxa" w:w="1440"/>
            <w:shd w:fill="FAFAFA" w:val="clear"/>
          </w:tcPr>
          <w:p>
            <w:r>
              <w:rPr>
                <w:sz w:val="17"/>
              </w:rPr>
              <w:t>37,302</w:t>
            </w:r>
          </w:p>
        </w:tc>
        <w:tc>
          <w:tcPr>
            <w:tcW w:type="dxa" w:w="1440"/>
            <w:shd w:fill="FAFAFA" w:val="clear"/>
          </w:tcPr>
          <w:p>
            <w:r>
              <w:rPr>
                <w:b/>
                <w:sz w:val="17"/>
              </w:rPr>
              <w:t>38,451</w:t>
            </w:r>
          </w:p>
        </w:tc>
        <w:tc>
          <w:tcPr>
            <w:tcW w:type="dxa" w:w="1440"/>
            <w:shd w:fill="FAFAFA" w:val="clear"/>
          </w:tcPr>
          <w:p>
            <w:r>
              <w:rPr>
                <w:sz w:val="17"/>
              </w:rPr>
              <w:t>39,599</w:t>
            </w:r>
          </w:p>
        </w:tc>
        <w:tc>
          <w:tcPr>
            <w:tcW w:type="dxa" w:w="1440"/>
            <w:shd w:fill="FAFAFA" w:val="clear"/>
          </w:tcPr>
          <w:p>
            <w:r>
              <w:rPr>
                <w:b/>
                <w:color w:val="C00000"/>
                <w:sz w:val="17"/>
              </w:rPr>
              <w:t>-1.4%</w:t>
            </w:r>
          </w:p>
        </w:tc>
      </w:tr>
      <w:tr>
        <w:tc>
          <w:tcPr>
            <w:tcW w:type="dxa" w:w="1440"/>
            <w:shd w:fill="FAFAFA" w:val="clear"/>
          </w:tcPr>
          <w:p>
            <w:r>
              <w:rPr>
                <w:sz w:val="17"/>
              </w:rPr>
              <w:t>J+2  ⭐⭐⭐</w:t>
            </w:r>
          </w:p>
        </w:tc>
        <w:tc>
          <w:tcPr>
            <w:tcW w:type="dxa" w:w="1440"/>
            <w:shd w:fill="FAFAFA" w:val="clear"/>
          </w:tcPr>
          <w:p>
            <w:r>
              <w:rPr>
                <w:sz w:val="17"/>
              </w:rPr>
              <w:t>2026-08-28</w:t>
            </w:r>
          </w:p>
        </w:tc>
        <w:tc>
          <w:tcPr>
            <w:tcW w:type="dxa" w:w="1440"/>
            <w:shd w:fill="FAFAFA" w:val="clear"/>
          </w:tcPr>
          <w:p>
            <w:r>
              <w:rPr>
                <w:sz w:val="17"/>
              </w:rPr>
              <w:t>36,950</w:t>
            </w:r>
          </w:p>
        </w:tc>
        <w:tc>
          <w:tcPr>
            <w:tcW w:type="dxa" w:w="1440"/>
            <w:shd w:fill="FAFAFA" w:val="clear"/>
          </w:tcPr>
          <w:p>
            <w:r>
              <w:rPr>
                <w:b/>
                <w:sz w:val="17"/>
              </w:rPr>
              <w:t>38,353</w:t>
            </w:r>
          </w:p>
        </w:tc>
        <w:tc>
          <w:tcPr>
            <w:tcW w:type="dxa" w:w="1440"/>
            <w:shd w:fill="FAFAFA" w:val="clear"/>
          </w:tcPr>
          <w:p>
            <w:r>
              <w:rPr>
                <w:sz w:val="17"/>
              </w:rPr>
              <w:t>39,756</w:t>
            </w:r>
          </w:p>
        </w:tc>
        <w:tc>
          <w:tcPr>
            <w:tcW w:type="dxa" w:w="1440"/>
            <w:shd w:fill="FAFAFA" w:val="clear"/>
          </w:tcPr>
          <w:p>
            <w:r>
              <w:rPr>
                <w:b/>
                <w:color w:val="C00000"/>
                <w:sz w:val="17"/>
              </w:rPr>
              <w:t>-1.6%</w:t>
            </w:r>
          </w:p>
        </w:tc>
      </w:tr>
      <w:tr>
        <w:tc>
          <w:tcPr>
            <w:tcW w:type="dxa" w:w="1440"/>
            <w:shd w:fill="FAFAFA" w:val="clear"/>
          </w:tcPr>
          <w:p>
            <w:r>
              <w:rPr>
                <w:sz w:val="17"/>
              </w:rPr>
              <w:t>J+3  Moyenne</w:t>
            </w:r>
          </w:p>
        </w:tc>
        <w:tc>
          <w:tcPr>
            <w:tcW w:type="dxa" w:w="1440"/>
            <w:shd w:fill="FAFAFA" w:val="clear"/>
          </w:tcPr>
          <w:p>
            <w:r>
              <w:rPr>
                <w:sz w:val="17"/>
              </w:rPr>
              <w:t>2026-08-31</w:t>
            </w:r>
          </w:p>
        </w:tc>
        <w:tc>
          <w:tcPr>
            <w:tcW w:type="dxa" w:w="1440"/>
            <w:shd w:fill="FAFAFA" w:val="clear"/>
          </w:tcPr>
          <w:p>
            <w:r>
              <w:rPr>
                <w:sz w:val="17"/>
              </w:rPr>
              <w:t>36,643</w:t>
            </w:r>
          </w:p>
        </w:tc>
        <w:tc>
          <w:tcPr>
            <w:tcW w:type="dxa" w:w="1440"/>
            <w:shd w:fill="FAFAFA" w:val="clear"/>
          </w:tcPr>
          <w:p>
            <w:r>
              <w:rPr>
                <w:b/>
                <w:sz w:val="17"/>
              </w:rPr>
              <w:t>38,259</w:t>
            </w:r>
          </w:p>
        </w:tc>
        <w:tc>
          <w:tcPr>
            <w:tcW w:type="dxa" w:w="1440"/>
            <w:shd w:fill="FAFAFA" w:val="clear"/>
          </w:tcPr>
          <w:p>
            <w:r>
              <w:rPr>
                <w:sz w:val="17"/>
              </w:rPr>
              <w:t>39,876</w:t>
            </w:r>
          </w:p>
        </w:tc>
        <w:tc>
          <w:tcPr>
            <w:tcW w:type="dxa" w:w="1440"/>
            <w:shd w:fill="FAFAFA" w:val="clear"/>
          </w:tcPr>
          <w:p>
            <w:r>
              <w:rPr>
                <w:b/>
                <w:color w:val="C00000"/>
                <w:sz w:val="17"/>
              </w:rPr>
              <w:t>-1.9%</w:t>
            </w:r>
          </w:p>
        </w:tc>
      </w:tr>
      <w:tr>
        <w:tc>
          <w:tcPr>
            <w:tcW w:type="dxa" w:w="1440"/>
            <w:shd w:fill="FFDCE0" w:val="clear"/>
          </w:tcPr>
          <w:p>
            <w:r>
              <w:rPr>
                <w:sz w:val="17"/>
              </w:rPr>
              <w:t>J+4  Moyenne</w:t>
            </w:r>
          </w:p>
        </w:tc>
        <w:tc>
          <w:tcPr>
            <w:tcW w:type="dxa" w:w="1440"/>
            <w:shd w:fill="FFDCE0" w:val="clear"/>
          </w:tcPr>
          <w:p>
            <w:r>
              <w:rPr>
                <w:sz w:val="17"/>
              </w:rPr>
              <w:t>2026-09-01</w:t>
            </w:r>
          </w:p>
        </w:tc>
        <w:tc>
          <w:tcPr>
            <w:tcW w:type="dxa" w:w="1440"/>
            <w:shd w:fill="FFDCE0" w:val="clear"/>
          </w:tcPr>
          <w:p>
            <w:r>
              <w:rPr>
                <w:sz w:val="17"/>
              </w:rPr>
              <w:t>36,367</w:t>
            </w:r>
          </w:p>
        </w:tc>
        <w:tc>
          <w:tcPr>
            <w:tcW w:type="dxa" w:w="1440"/>
            <w:shd w:fill="FFDCE0" w:val="clear"/>
          </w:tcPr>
          <w:p>
            <w:r>
              <w:rPr>
                <w:b/>
                <w:sz w:val="17"/>
              </w:rPr>
              <w:t>38,170</w:t>
            </w:r>
          </w:p>
        </w:tc>
        <w:tc>
          <w:tcPr>
            <w:tcW w:type="dxa" w:w="1440"/>
            <w:shd w:fill="FFDCE0" w:val="clear"/>
          </w:tcPr>
          <w:p>
            <w:r>
              <w:rPr>
                <w:sz w:val="17"/>
              </w:rPr>
              <w:t>39,973</w:t>
            </w:r>
          </w:p>
        </w:tc>
        <w:tc>
          <w:tcPr>
            <w:tcW w:type="dxa" w:w="1440"/>
            <w:shd w:fill="FFDCE0" w:val="clear"/>
          </w:tcPr>
          <w:p>
            <w:r>
              <w:rPr>
                <w:b/>
                <w:color w:val="C00000"/>
                <w:sz w:val="17"/>
              </w:rPr>
              <w:t>-2.1%</w:t>
            </w:r>
          </w:p>
        </w:tc>
      </w:tr>
      <w:tr>
        <w:tc>
          <w:tcPr>
            <w:tcW w:type="dxa" w:w="1440"/>
            <w:shd w:fill="FFDCE0" w:val="clear"/>
          </w:tcPr>
          <w:p>
            <w:r>
              <w:rPr>
                <w:sz w:val="17"/>
              </w:rPr>
              <w:t>J+5  Moyenne</w:t>
            </w:r>
          </w:p>
        </w:tc>
        <w:tc>
          <w:tcPr>
            <w:tcW w:type="dxa" w:w="1440"/>
            <w:shd w:fill="FFDCE0" w:val="clear"/>
          </w:tcPr>
          <w:p>
            <w:r>
              <w:rPr>
                <w:sz w:val="17"/>
              </w:rPr>
              <w:t>2026-09-02</w:t>
            </w:r>
          </w:p>
        </w:tc>
        <w:tc>
          <w:tcPr>
            <w:tcW w:type="dxa" w:w="1440"/>
            <w:shd w:fill="FFDCE0" w:val="clear"/>
          </w:tcPr>
          <w:p>
            <w:r>
              <w:rPr>
                <w:sz w:val="17"/>
              </w:rPr>
              <w:t>36,114</w:t>
            </w:r>
          </w:p>
        </w:tc>
        <w:tc>
          <w:tcPr>
            <w:tcW w:type="dxa" w:w="1440"/>
            <w:shd w:fill="FFDCE0" w:val="clear"/>
          </w:tcPr>
          <w:p>
            <w:r>
              <w:rPr>
                <w:b/>
                <w:sz w:val="17"/>
              </w:rPr>
              <w:t>38,084</w:t>
            </w:r>
          </w:p>
        </w:tc>
        <w:tc>
          <w:tcPr>
            <w:tcW w:type="dxa" w:w="1440"/>
            <w:shd w:fill="FFDCE0" w:val="clear"/>
          </w:tcPr>
          <w:p>
            <w:r>
              <w:rPr>
                <w:sz w:val="17"/>
              </w:rPr>
              <w:t>40,054</w:t>
            </w:r>
          </w:p>
        </w:tc>
        <w:tc>
          <w:tcPr>
            <w:tcW w:type="dxa" w:w="1440"/>
            <w:shd w:fill="FFDCE0" w:val="clear"/>
          </w:tcPr>
          <w:p>
            <w:r>
              <w:rPr>
                <w:b/>
                <w:color w:val="C00000"/>
                <w:sz w:val="17"/>
              </w:rPr>
              <w:t>-2.3%</w:t>
            </w:r>
          </w:p>
        </w:tc>
      </w:tr>
      <w:tr>
        <w:tc>
          <w:tcPr>
            <w:tcW w:type="dxa" w:w="1440"/>
            <w:shd w:fill="FFDCE0" w:val="clear"/>
          </w:tcPr>
          <w:p>
            <w:r>
              <w:rPr>
                <w:sz w:val="17"/>
              </w:rPr>
              <w:t>J+6  Moyenne</w:t>
            </w:r>
          </w:p>
        </w:tc>
        <w:tc>
          <w:tcPr>
            <w:tcW w:type="dxa" w:w="1440"/>
            <w:shd w:fill="FFDCE0" w:val="clear"/>
          </w:tcPr>
          <w:p>
            <w:r>
              <w:rPr>
                <w:sz w:val="17"/>
              </w:rPr>
              <w:t>2026-09-03</w:t>
            </w:r>
          </w:p>
        </w:tc>
        <w:tc>
          <w:tcPr>
            <w:tcW w:type="dxa" w:w="1440"/>
            <w:shd w:fill="FFDCE0" w:val="clear"/>
          </w:tcPr>
          <w:p>
            <w:r>
              <w:rPr>
                <w:sz w:val="17"/>
              </w:rPr>
              <w:t>35,877</w:t>
            </w:r>
          </w:p>
        </w:tc>
        <w:tc>
          <w:tcPr>
            <w:tcW w:type="dxa" w:w="1440"/>
            <w:shd w:fill="FFDCE0" w:val="clear"/>
          </w:tcPr>
          <w:p>
            <w:r>
              <w:rPr>
                <w:b/>
                <w:sz w:val="17"/>
              </w:rPr>
              <w:t>38,001</w:t>
            </w:r>
          </w:p>
        </w:tc>
        <w:tc>
          <w:tcPr>
            <w:tcW w:type="dxa" w:w="1440"/>
            <w:shd w:fill="FFDCE0" w:val="clear"/>
          </w:tcPr>
          <w:p>
            <w:r>
              <w:rPr>
                <w:sz w:val="17"/>
              </w:rPr>
              <w:t>40,124</w:t>
            </w:r>
          </w:p>
        </w:tc>
        <w:tc>
          <w:tcPr>
            <w:tcW w:type="dxa" w:w="1440"/>
            <w:shd w:fill="FFDCE0" w:val="clear"/>
          </w:tcPr>
          <w:p>
            <w:r>
              <w:rPr>
                <w:b/>
                <w:color w:val="C00000"/>
                <w:sz w:val="17"/>
              </w:rPr>
              <w:t>-2.5%</w:t>
            </w:r>
          </w:p>
        </w:tc>
      </w:tr>
      <w:tr>
        <w:tc>
          <w:tcPr>
            <w:tcW w:type="dxa" w:w="1440"/>
            <w:shd w:fill="FFDCE0" w:val="clear"/>
          </w:tcPr>
          <w:p>
            <w:r>
              <w:rPr>
                <w:sz w:val="17"/>
              </w:rPr>
              <w:t>J+7  Moyenne</w:t>
            </w:r>
          </w:p>
        </w:tc>
        <w:tc>
          <w:tcPr>
            <w:tcW w:type="dxa" w:w="1440"/>
            <w:shd w:fill="FFDCE0" w:val="clear"/>
          </w:tcPr>
          <w:p>
            <w:r>
              <w:rPr>
                <w:sz w:val="17"/>
              </w:rPr>
              <w:t>2026-09-04</w:t>
            </w:r>
          </w:p>
        </w:tc>
        <w:tc>
          <w:tcPr>
            <w:tcW w:type="dxa" w:w="1440"/>
            <w:shd w:fill="FFDCE0" w:val="clear"/>
          </w:tcPr>
          <w:p>
            <w:r>
              <w:rPr>
                <w:sz w:val="17"/>
              </w:rPr>
              <w:t>35,654</w:t>
            </w:r>
          </w:p>
        </w:tc>
        <w:tc>
          <w:tcPr>
            <w:tcW w:type="dxa" w:w="1440"/>
            <w:shd w:fill="FFDCE0" w:val="clear"/>
          </w:tcPr>
          <w:p>
            <w:r>
              <w:rPr>
                <w:b/>
                <w:sz w:val="17"/>
              </w:rPr>
              <w:t>37,919</w:t>
            </w:r>
          </w:p>
        </w:tc>
        <w:tc>
          <w:tcPr>
            <w:tcW w:type="dxa" w:w="1440"/>
            <w:shd w:fill="FFDCE0" w:val="clear"/>
          </w:tcPr>
          <w:p>
            <w:r>
              <w:rPr>
                <w:sz w:val="17"/>
              </w:rPr>
              <w:t>40,184</w:t>
            </w:r>
          </w:p>
        </w:tc>
        <w:tc>
          <w:tcPr>
            <w:tcW w:type="dxa" w:w="1440"/>
            <w:shd w:fill="FFDCE0" w:val="clear"/>
          </w:tcPr>
          <w:p>
            <w:r>
              <w:rPr>
                <w:b/>
                <w:color w:val="C00000"/>
                <w:sz w:val="17"/>
              </w:rPr>
              <w:t>-2.7%</w:t>
            </w:r>
          </w:p>
        </w:tc>
      </w:tr>
      <w:tr>
        <w:tc>
          <w:tcPr>
            <w:tcW w:type="dxa" w:w="1440"/>
            <w:shd w:fill="FFDCE0" w:val="clear"/>
          </w:tcPr>
          <w:p>
            <w:r>
              <w:rPr>
                <w:sz w:val="17"/>
              </w:rPr>
              <w:t>J+8  Moyenne</w:t>
            </w:r>
          </w:p>
        </w:tc>
        <w:tc>
          <w:tcPr>
            <w:tcW w:type="dxa" w:w="1440"/>
            <w:shd w:fill="FFDCE0" w:val="clear"/>
          </w:tcPr>
          <w:p>
            <w:r>
              <w:rPr>
                <w:sz w:val="17"/>
              </w:rPr>
              <w:t>2026-09-07</w:t>
            </w:r>
          </w:p>
        </w:tc>
        <w:tc>
          <w:tcPr>
            <w:tcW w:type="dxa" w:w="1440"/>
            <w:shd w:fill="FFDCE0" w:val="clear"/>
          </w:tcPr>
          <w:p>
            <w:r>
              <w:rPr>
                <w:sz w:val="17"/>
              </w:rPr>
              <w:t>35,442</w:t>
            </w:r>
          </w:p>
        </w:tc>
        <w:tc>
          <w:tcPr>
            <w:tcW w:type="dxa" w:w="1440"/>
            <w:shd w:fill="FFDCE0" w:val="clear"/>
          </w:tcPr>
          <w:p>
            <w:r>
              <w:rPr>
                <w:b/>
                <w:sz w:val="17"/>
              </w:rPr>
              <w:t>37,839</w:t>
            </w:r>
          </w:p>
        </w:tc>
        <w:tc>
          <w:tcPr>
            <w:tcW w:type="dxa" w:w="1440"/>
            <w:shd w:fill="FFDCE0" w:val="clear"/>
          </w:tcPr>
          <w:p>
            <w:r>
              <w:rPr>
                <w:sz w:val="17"/>
              </w:rPr>
              <w:t>40,237</w:t>
            </w:r>
          </w:p>
        </w:tc>
        <w:tc>
          <w:tcPr>
            <w:tcW w:type="dxa" w:w="1440"/>
            <w:shd w:fill="FFDCE0" w:val="clear"/>
          </w:tcPr>
          <w:p>
            <w:r>
              <w:rPr>
                <w:b/>
                <w:color w:val="C00000"/>
                <w:sz w:val="17"/>
              </w:rPr>
              <w:t>-2.9%</w:t>
            </w:r>
          </w:p>
        </w:tc>
      </w:tr>
      <w:tr>
        <w:tc>
          <w:tcPr>
            <w:tcW w:type="dxa" w:w="1440"/>
            <w:shd w:fill="FFDCE0" w:val="clear"/>
          </w:tcPr>
          <w:p>
            <w:r>
              <w:rPr>
                <w:sz w:val="17"/>
              </w:rPr>
              <w:t>J+9  Moyenne</w:t>
            </w:r>
          </w:p>
        </w:tc>
        <w:tc>
          <w:tcPr>
            <w:tcW w:type="dxa" w:w="1440"/>
            <w:shd w:fill="FFDCE0" w:val="clear"/>
          </w:tcPr>
          <w:p>
            <w:r>
              <w:rPr>
                <w:sz w:val="17"/>
              </w:rPr>
              <w:t>2026-09-08</w:t>
            </w:r>
          </w:p>
        </w:tc>
        <w:tc>
          <w:tcPr>
            <w:tcW w:type="dxa" w:w="1440"/>
            <w:shd w:fill="FFDCE0" w:val="clear"/>
          </w:tcPr>
          <w:p>
            <w:r>
              <w:rPr>
                <w:sz w:val="17"/>
              </w:rPr>
              <w:t>35,238</w:t>
            </w:r>
          </w:p>
        </w:tc>
        <w:tc>
          <w:tcPr>
            <w:tcW w:type="dxa" w:w="1440"/>
            <w:shd w:fill="FFDCE0" w:val="clear"/>
          </w:tcPr>
          <w:p>
            <w:r>
              <w:rPr>
                <w:b/>
                <w:sz w:val="17"/>
              </w:rPr>
              <w:t>37,760</w:t>
            </w:r>
          </w:p>
        </w:tc>
        <w:tc>
          <w:tcPr>
            <w:tcW w:type="dxa" w:w="1440"/>
            <w:shd w:fill="FFDCE0" w:val="clear"/>
          </w:tcPr>
          <w:p>
            <w:r>
              <w:rPr>
                <w:sz w:val="17"/>
              </w:rPr>
              <w:t>40,282</w:t>
            </w:r>
          </w:p>
        </w:tc>
        <w:tc>
          <w:tcPr>
            <w:tcW w:type="dxa" w:w="1440"/>
            <w:shd w:fill="FFDCE0" w:val="clear"/>
          </w:tcPr>
          <w:p>
            <w:r>
              <w:rPr>
                <w:b/>
                <w:color w:val="C00000"/>
                <w:sz w:val="17"/>
              </w:rPr>
              <w:t>-3.1%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SGBC s'établit à 1 212,87 milliards FCFA, ce qui en fait l'une des plus importantes valeurs de la BRVM, reflétant son statut de leader bancaire en Côte d'Ivoire. Avec un BPA de 3 258 FCFA, chaque action génère un bénéfice substantiel, justifiant un PER de 12,0x, légèrement au-dessus de la moyenne historique du marché (8-12x), ce qui indique une valorisation raisonnable mais non bradée. Le P/B de 2,45x montre que le marché accorde une prime de croissance à la banque, récompensant sa rentabilité supérieure et sa notation AAA. En revanche, l'EV/EBITDA de 24,7x est particulièrement exigeant, signalant que la valeur totale de l'entreprise (dette incluse) est élevée par rapport à sa capacité opérationnelle, un point de vigilance pour les investisseurs à long terme.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SGBC a enregistré une progression notable de +12,03%, avec une légère correction de -0,54% lors de la dernière séance, s'établissant à 38 985 FCFA. Le cours a évolué dans un range de trading de 32 800 FCFA (plus bas) à 39 300 FCFA (plus haut), démontrant une tendance globalement haussière soutenue. La moyenne (36 917 FCFA) est inférieure à la médiane (37 995 FCFA), indiquant une asymétrie négative (skewness de -0,576), ce qui signifie que les journées au-dessus de la moyenne ont été plus fréquentes, mais avec des baisses plus marquées. L'écart-type de 2 133 FCFA (CV de 5,8%) révèle une dispersion modérée, tandis que le kurtosis de -1,163 (platykurtique) suggère une distribution aplatie avec peu de pics extrêmes, réduisant le risque de mouvements brusques. La volatilité annualisée de 24,4% classe le titre dans une zone modérée (15-30%), offrant un équilibre entre risque et rendement.</w:t>
      </w:r>
    </w:p>
    <w:p>
      <w:pPr>
        <w:spacing w:after="120" w:line="276" w:lineRule="auto" w:before="240"/>
      </w:pPr>
      <w:r>
        <w:rPr>
          <w:b/>
          <w:color w:val="003366"/>
          <w:sz w:val="24"/>
        </w:rPr>
        <w:t>**PARTIE 2 : ANALYSE TECHNIQUE DÉTAILLÉE**</w:t>
      </w:r>
    </w:p>
    <w:p>
      <w:pPr>
        <w:spacing w:after="120" w:line="276" w:lineRule="auto"/>
      </w:pPr>
      <w:r>
        <w:t>**Moyennes Mobiles** : La MM20 (38 516,5 FCFA) et la MM50 (38 566,8 FCFA) sont très proches l'une de l'autre et légèrement inférieures au cours actuel (38 985 FCFA), indiquant une consolidation récente après une phase haussière. Cependant, la décision de vente suggère que le titre pourrait rencontrer une résistance à ces niveaux, avec un risque de repli à court terme si le cours ne parvient pas à se maintenir au-dessus de ces moyennes.</w:t>
      </w:r>
    </w:p>
    <w:p>
      <w:pPr>
        <w:spacing w:after="120" w:line="276" w:lineRule="auto"/>
      </w:pPr>
      <w:r>
        <w:t>**Bandes de Bollinger** : Le prix actuel se situe entre la borne supérieure (39 702 FCFA) et la borne inférieure (37 331 FCFA), proche du milieu de la bande, ce qui reflète une volatilité normale sans excès. La décision neutre indique que le marché n'est ni suracheté ni survendu, laissant place à une poursuite de la tendance haussière si le volume accompagne.</w:t>
      </w:r>
    </w:p>
    <w:p>
      <w:pPr>
        <w:spacing w:after="120" w:line="276" w:lineRule="auto"/>
      </w:pPr>
      <w:r>
        <w:t>**MACD** : La valeur du MACD (191,13) est supérieure à son signal (157,845), générant une décision d'achat. Cette configuration positive indique un momentum haussier en cours, bien que l'écart modéré suggère une dynamique progressive plutôt qu'une accélération brutale.</w:t>
      </w:r>
    </w:p>
    <w:p>
      <w:pPr>
        <w:spacing w:after="120" w:line="276" w:lineRule="auto"/>
      </w:pPr>
      <w:r>
        <w:t>**RSI** : Avec une valeur de 57,734, le RSI se situe en zone neutre (30-70), indiquant que le titre n'est ni suracheté ni survendu. Cette position laisse une marge de progression avant d'atteindre des niveaux extrêmes, soutenant potentiellement une poursuite de la hausse.</w:t>
      </w:r>
    </w:p>
    <w:p>
      <w:pPr>
        <w:spacing w:after="120" w:line="276" w:lineRule="auto"/>
      </w:pPr>
      <w:r>
        <w:t>**Stochastique** : Le %K (80,251) est nettement supérieur au %D (57,889), mais la décision de vente suggère que le titre entre en zone de surachat, avec un risque de retournement à court terme. Ce signal contraste avec le MACD, créant une divergence technique à surveiller.</w:t>
      </w:r>
    </w:p>
    <w:p>
      <w:pPr>
        <w:spacing w:after="120" w:line="276" w:lineRule="auto"/>
      </w:pPr>
      <w:r>
        <w:t>**Conclusion technique** : Les indicateurs sont mitigés, avec un MACD positif et un RSI neutre, mais des moyennes mobiles et un stochastique en zone de vente. Cette divergence suggère une phase de consolidation après la hausse récente, avec un biais haussier à moyen terme si le cours maintient ses niveaux actuels.</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SGBC révèlent un Produit Net Bancaire (PNB) de 276,048 milliards FCFA, en croissance de +4,88%, et un résultat net de 101,352 milliards FCFA, confirmant la performance record de l'exercice 2024 (PNB de 263,2 Mds, résultat net de 101,2 Mds). Le ROE s'établit à 20,47%, bien au-dessus du seuil de 15% considéré comme excellent, tandis que le ROA atteint 2,69%, témoignant d'une gestion efficace des actifs. Le coefficient d'exploitation de 38,75% est remarquable, indiquant une banque très efficiente (&lt;50%). Le coût du risque, avec des provisions de 17,995 milliards FCFA, reste maîtrisé, bien que les rapports S1 2025 (résultat net de 53,1 Mds, +10%) et T3 2025 (résultat net cumulé de 83,3 Mds, +11,7%) montrent une hausse du coût net du risque à 18,4 Mds et un taux de créances en souffrance (NPL) en augmentation à 7,8%. Les dépôts clients (2 907,675 Mds) dépassent largement les créances sur la clientèle (2 546,290 Mds), avec un ratio prêts/dépôts amélioré à 84,6% fin septembre 2025, renforçant la liquidité. Sur la base des rapports T1 2025 (PNB de 66,3 Mds, +1,3%) et S1 2025, on estime que l'exercice 2025 devrait maintenir une croissance modérée du PNB, mais avec une progression plus forte du résultat net grâce à la maîtrise des coûts, comme le confirme le rapport annuel 2024 (dividende proposé de 1 863 FCFA, +8,4%). La solidité financière est exceptionnelle, avec une notation AAA et un ratio de solvabilité de 17,7%, bien au-dessus du minimum réglementaire.</w:t>
      </w:r>
    </w:p>
    <w:p>
      <w:pPr>
        <w:spacing w:after="120" w:line="276" w:lineRule="auto" w:before="240"/>
      </w:pPr>
      <w:r>
        <w:rPr>
          <w:b/>
          <w:color w:val="003366"/>
          <w:sz w:val="24"/>
        </w:rPr>
        <w:t>**PARTIE 4 : CONCLUSION D'INVESTISSEMENT**</w:t>
      </w:r>
    </w:p>
    <w:p>
      <w:pPr>
        <w:spacing w:after="120" w:line="276" w:lineRule="auto"/>
      </w:pPr>
      <w:r>
        <w:t>La valorisation de SGBC (PER de 12,0x, P/B de 2,45x) indique une prime de croissance justifiée par des fondamentaux solides, bien que l'EV/EBITDA de 24,7x soit exigeant. Le comportement du cours (+12,03% sur 100 jours) est favorable, avec une volatilité modérée (24,4%) et une distribution platykurtique réduisant les risques extrêmes. Les signaux techniques sont mitigés, avec un MACD positif mais des moyennes mobiles et un stochastique en zone de vente, suggérant une consolidation à court terme. Les fondamentaux sont excellents, avec un ROE de 20,47%, un coefficient d'exploitation de 38,75% et une croissance du résultat net de +11,7% sur 9 mois 2025. Les prédictions IA (38 451 à 38 084 FCFA sur 10 jours) indiquent une légère baisse, contredisant légèrement le momentum haussier mais cohérente avec les signaux techniques de consolidation. Sur cette base, la recommandation est **CONSERVER**, avec une convergence partielle entre la valorisation raisonnable, les fondamentaux solides et les signaux techniques mitigés. Le niveau de confiance est **Moyen**, le risque global est **Faible** grâce à la solidité financière, et l'horizon d'investissement optimal est le **moyen terme (3-12 mois)**, en attendant une clarification des signaux techniques pour un renforcement de position.</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156.24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4,340 titres</w:t>
            </w:r>
          </w:p>
        </w:tc>
        <w:tc>
          <w:tcPr>
            <w:tcW w:type="dxa" w:w="2268"/>
            <w:shd w:fill="FFF2CC" w:val="clear"/>
          </w:tcPr>
          <w:p>
            <w:r>
              <w:rPr>
                <w:b/>
                <w:color w:val="503200"/>
                <w:sz w:val="16"/>
              </w:rPr>
              <w:t xml:space="preserve">Cours actuel : </w:t>
            </w:r>
            <w:r>
              <w:rPr>
                <w:color w:val="000000"/>
                <w:sz w:val="17"/>
              </w:rPr>
              <w:t>2,480 FCFA</w:t>
            </w:r>
          </w:p>
          <w:p>
            <w:r>
              <w:rPr>
                <w:b/>
                <w:color w:val="503200"/>
                <w:sz w:val="16"/>
              </w:rPr>
              <w:t xml:space="preserve">Var. 100 jours : </w:t>
            </w:r>
            <w:r>
              <w:rPr>
                <w:b/>
                <w:color w:val="007800"/>
                <w:sz w:val="17"/>
              </w:rPr>
              <w:t>+12.73%</w:t>
            </w:r>
          </w:p>
          <w:p>
            <w:r>
              <w:rPr>
                <w:b/>
                <w:color w:val="503200"/>
                <w:sz w:val="16"/>
              </w:rPr>
              <w:t xml:space="preserve">Plus haut 100j : </w:t>
            </w:r>
            <w:r>
              <w:rPr>
                <w:color w:val="000000"/>
                <w:sz w:val="17"/>
              </w:rPr>
              <w:t>2,480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6.76% (Moyenne) — μ=2,117 FCFA, σ=143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β=1.1451 (Neutre (suit le marché)) — Cov=0.000039, Var(idx)=0.000034, ρ=0.301,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4,340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σ_j=2.22%/j (Stable) — Vol. annualisée≈35.2%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2026-08-27</w:t>
            </w:r>
          </w:p>
        </w:tc>
        <w:tc>
          <w:tcPr>
            <w:tcW w:type="dxa" w:w="1440"/>
            <w:shd w:fill="FFDCE0" w:val="clear"/>
          </w:tcPr>
          <w:p>
            <w:r>
              <w:rPr>
                <w:sz w:val="17"/>
              </w:rPr>
              <w:t>2,078</w:t>
            </w:r>
          </w:p>
        </w:tc>
        <w:tc>
          <w:tcPr>
            <w:tcW w:type="dxa" w:w="1440"/>
            <w:shd w:fill="FFDCE0" w:val="clear"/>
          </w:tcPr>
          <w:p>
            <w:r>
              <w:rPr>
                <w:b/>
                <w:sz w:val="17"/>
              </w:rPr>
              <w:t>2,194</w:t>
            </w:r>
          </w:p>
        </w:tc>
        <w:tc>
          <w:tcPr>
            <w:tcW w:type="dxa" w:w="1440"/>
            <w:shd w:fill="FFDCE0" w:val="clear"/>
          </w:tcPr>
          <w:p>
            <w:r>
              <w:rPr>
                <w:sz w:val="17"/>
              </w:rPr>
              <w:t>2,310</w:t>
            </w:r>
          </w:p>
        </w:tc>
        <w:tc>
          <w:tcPr>
            <w:tcW w:type="dxa" w:w="1440"/>
            <w:shd w:fill="FFDCE0" w:val="clear"/>
          </w:tcPr>
          <w:p>
            <w:r>
              <w:rPr>
                <w:b/>
                <w:color w:val="C00000"/>
                <w:sz w:val="17"/>
              </w:rPr>
              <w:t>-11.5%</w:t>
            </w:r>
          </w:p>
        </w:tc>
      </w:tr>
      <w:tr>
        <w:tc>
          <w:tcPr>
            <w:tcW w:type="dxa" w:w="1440"/>
            <w:shd w:fill="FFDCE0" w:val="clear"/>
          </w:tcPr>
          <w:p>
            <w:r>
              <w:rPr>
                <w:sz w:val="17"/>
              </w:rPr>
              <w:t>J+2  Moyenne</w:t>
            </w:r>
          </w:p>
        </w:tc>
        <w:tc>
          <w:tcPr>
            <w:tcW w:type="dxa" w:w="1440"/>
            <w:shd w:fill="FFDCE0" w:val="clear"/>
          </w:tcPr>
          <w:p>
            <w:r>
              <w:rPr>
                <w:sz w:val="17"/>
              </w:rPr>
              <w:t>2026-08-28</w:t>
            </w:r>
          </w:p>
        </w:tc>
        <w:tc>
          <w:tcPr>
            <w:tcW w:type="dxa" w:w="1440"/>
            <w:shd w:fill="FFDCE0" w:val="clear"/>
          </w:tcPr>
          <w:p>
            <w:r>
              <w:rPr>
                <w:sz w:val="17"/>
              </w:rPr>
              <w:t>1,952</w:t>
            </w:r>
          </w:p>
        </w:tc>
        <w:tc>
          <w:tcPr>
            <w:tcW w:type="dxa" w:w="1440"/>
            <w:shd w:fill="FFDCE0" w:val="clear"/>
          </w:tcPr>
          <w:p>
            <w:r>
              <w:rPr>
                <w:b/>
                <w:sz w:val="17"/>
              </w:rPr>
              <w:t>2,087</w:t>
            </w:r>
          </w:p>
        </w:tc>
        <w:tc>
          <w:tcPr>
            <w:tcW w:type="dxa" w:w="1440"/>
            <w:shd w:fill="FFDCE0" w:val="clear"/>
          </w:tcPr>
          <w:p>
            <w:r>
              <w:rPr>
                <w:sz w:val="17"/>
              </w:rPr>
              <w:t>2,223</w:t>
            </w:r>
          </w:p>
        </w:tc>
        <w:tc>
          <w:tcPr>
            <w:tcW w:type="dxa" w:w="1440"/>
            <w:shd w:fill="FFDCE0" w:val="clear"/>
          </w:tcPr>
          <w:p>
            <w:r>
              <w:rPr>
                <w:b/>
                <w:color w:val="C00000"/>
                <w:sz w:val="17"/>
              </w:rPr>
              <w:t>-15.8%</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1,850</w:t>
            </w:r>
          </w:p>
        </w:tc>
        <w:tc>
          <w:tcPr>
            <w:tcW w:type="dxa" w:w="1440"/>
            <w:shd w:fill="FFDCE0" w:val="clear"/>
          </w:tcPr>
          <w:p>
            <w:r>
              <w:rPr>
                <w:b/>
                <w:sz w:val="17"/>
              </w:rPr>
              <w:t>2,000</w:t>
            </w:r>
          </w:p>
        </w:tc>
        <w:tc>
          <w:tcPr>
            <w:tcW w:type="dxa" w:w="1440"/>
            <w:shd w:fill="FFDCE0" w:val="clear"/>
          </w:tcPr>
          <w:p>
            <w:r>
              <w:rPr>
                <w:sz w:val="17"/>
              </w:rPr>
              <w:t>2,150</w:t>
            </w:r>
          </w:p>
        </w:tc>
        <w:tc>
          <w:tcPr>
            <w:tcW w:type="dxa" w:w="1440"/>
            <w:shd w:fill="FFDCE0" w:val="clear"/>
          </w:tcPr>
          <w:p>
            <w:r>
              <w:rPr>
                <w:b/>
                <w:color w:val="C00000"/>
                <w:sz w:val="17"/>
              </w:rPr>
              <w:t>-19.3%</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1,768</w:t>
            </w:r>
          </w:p>
        </w:tc>
        <w:tc>
          <w:tcPr>
            <w:tcW w:type="dxa" w:w="1440"/>
            <w:shd w:fill="FFDCE0" w:val="clear"/>
          </w:tcPr>
          <w:p>
            <w:r>
              <w:rPr>
                <w:b/>
                <w:sz w:val="17"/>
              </w:rPr>
              <w:t>1,930</w:t>
            </w:r>
          </w:p>
        </w:tc>
        <w:tc>
          <w:tcPr>
            <w:tcW w:type="dxa" w:w="1440"/>
            <w:shd w:fill="FFDCE0" w:val="clear"/>
          </w:tcPr>
          <w:p>
            <w:r>
              <w:rPr>
                <w:sz w:val="17"/>
              </w:rPr>
              <w:t>2,092</w:t>
            </w:r>
          </w:p>
        </w:tc>
        <w:tc>
          <w:tcPr>
            <w:tcW w:type="dxa" w:w="1440"/>
            <w:shd w:fill="FFDCE0" w:val="clear"/>
          </w:tcPr>
          <w:p>
            <w:r>
              <w:rPr>
                <w:b/>
                <w:color w:val="C00000"/>
                <w:sz w:val="17"/>
              </w:rPr>
              <w:t>-22.2%</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1,700</w:t>
            </w:r>
          </w:p>
        </w:tc>
        <w:tc>
          <w:tcPr>
            <w:tcW w:type="dxa" w:w="1440"/>
            <w:shd w:fill="FFDCE0" w:val="clear"/>
          </w:tcPr>
          <w:p>
            <w:r>
              <w:rPr>
                <w:b/>
                <w:sz w:val="17"/>
              </w:rPr>
              <w:t>1,872</w:t>
            </w:r>
          </w:p>
        </w:tc>
        <w:tc>
          <w:tcPr>
            <w:tcW w:type="dxa" w:w="1440"/>
            <w:shd w:fill="FFDCE0" w:val="clear"/>
          </w:tcPr>
          <w:p>
            <w:r>
              <w:rPr>
                <w:sz w:val="17"/>
              </w:rPr>
              <w:t>2,044</w:t>
            </w:r>
          </w:p>
        </w:tc>
        <w:tc>
          <w:tcPr>
            <w:tcW w:type="dxa" w:w="1440"/>
            <w:shd w:fill="FFDCE0" w:val="clear"/>
          </w:tcPr>
          <w:p>
            <w:r>
              <w:rPr>
                <w:b/>
                <w:color w:val="C00000"/>
                <w:sz w:val="17"/>
              </w:rPr>
              <w:t>-24.5%</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1,642</w:t>
            </w:r>
          </w:p>
        </w:tc>
        <w:tc>
          <w:tcPr>
            <w:tcW w:type="dxa" w:w="1440"/>
            <w:shd w:fill="FFDCE0" w:val="clear"/>
          </w:tcPr>
          <w:p>
            <w:r>
              <w:rPr>
                <w:b/>
                <w:sz w:val="17"/>
              </w:rPr>
              <w:t>1,822</w:t>
            </w:r>
          </w:p>
        </w:tc>
        <w:tc>
          <w:tcPr>
            <w:tcW w:type="dxa" w:w="1440"/>
            <w:shd w:fill="FFDCE0" w:val="clear"/>
          </w:tcPr>
          <w:p>
            <w:r>
              <w:rPr>
                <w:sz w:val="17"/>
              </w:rPr>
              <w:t>2,003</w:t>
            </w:r>
          </w:p>
        </w:tc>
        <w:tc>
          <w:tcPr>
            <w:tcW w:type="dxa" w:w="1440"/>
            <w:shd w:fill="FFDCE0" w:val="clear"/>
          </w:tcPr>
          <w:p>
            <w:r>
              <w:rPr>
                <w:b/>
                <w:color w:val="C00000"/>
                <w:sz w:val="17"/>
              </w:rPr>
              <w:t>-26.5%</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1,590</w:t>
            </w:r>
          </w:p>
        </w:tc>
        <w:tc>
          <w:tcPr>
            <w:tcW w:type="dxa" w:w="1440"/>
            <w:shd w:fill="FFDCE0" w:val="clear"/>
          </w:tcPr>
          <w:p>
            <w:r>
              <w:rPr>
                <w:b/>
                <w:sz w:val="17"/>
              </w:rPr>
              <w:t>1,779</w:t>
            </w:r>
          </w:p>
        </w:tc>
        <w:tc>
          <w:tcPr>
            <w:tcW w:type="dxa" w:w="1440"/>
            <w:shd w:fill="FFDCE0" w:val="clear"/>
          </w:tcPr>
          <w:p>
            <w:r>
              <w:rPr>
                <w:sz w:val="17"/>
              </w:rPr>
              <w:t>1,968</w:t>
            </w:r>
          </w:p>
        </w:tc>
        <w:tc>
          <w:tcPr>
            <w:tcW w:type="dxa" w:w="1440"/>
            <w:shd w:fill="FFDCE0" w:val="clear"/>
          </w:tcPr>
          <w:p>
            <w:r>
              <w:rPr>
                <w:b/>
                <w:color w:val="C00000"/>
                <w:sz w:val="17"/>
              </w:rPr>
              <w:t>-28.3%</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1,544</w:t>
            </w:r>
          </w:p>
        </w:tc>
        <w:tc>
          <w:tcPr>
            <w:tcW w:type="dxa" w:w="1440"/>
            <w:shd w:fill="FFDCE0" w:val="clear"/>
          </w:tcPr>
          <w:p>
            <w:r>
              <w:rPr>
                <w:b/>
                <w:sz w:val="17"/>
              </w:rPr>
              <w:t>1,740</w:t>
            </w:r>
          </w:p>
        </w:tc>
        <w:tc>
          <w:tcPr>
            <w:tcW w:type="dxa" w:w="1440"/>
            <w:shd w:fill="FFDCE0" w:val="clear"/>
          </w:tcPr>
          <w:p>
            <w:r>
              <w:rPr>
                <w:sz w:val="17"/>
              </w:rPr>
              <w:t>1,936</w:t>
            </w:r>
          </w:p>
        </w:tc>
        <w:tc>
          <w:tcPr>
            <w:tcW w:type="dxa" w:w="1440"/>
            <w:shd w:fill="FFDCE0" w:val="clear"/>
          </w:tcPr>
          <w:p>
            <w:r>
              <w:rPr>
                <w:b/>
                <w:color w:val="C00000"/>
                <w:sz w:val="17"/>
              </w:rPr>
              <w:t>-29.8%</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1,502</w:t>
            </w:r>
          </w:p>
        </w:tc>
        <w:tc>
          <w:tcPr>
            <w:tcW w:type="dxa" w:w="1440"/>
            <w:shd w:fill="FFDCE0" w:val="clear"/>
          </w:tcPr>
          <w:p>
            <w:r>
              <w:rPr>
                <w:b/>
                <w:sz w:val="17"/>
              </w:rPr>
              <w:t>1,704</w:t>
            </w:r>
          </w:p>
        </w:tc>
        <w:tc>
          <w:tcPr>
            <w:tcW w:type="dxa" w:w="1440"/>
            <w:shd w:fill="FFDCE0" w:val="clear"/>
          </w:tcPr>
          <w:p>
            <w:r>
              <w:rPr>
                <w:sz w:val="17"/>
              </w:rPr>
              <w:t>1,907</w:t>
            </w:r>
          </w:p>
        </w:tc>
        <w:tc>
          <w:tcPr>
            <w:tcW w:type="dxa" w:w="1440"/>
            <w:shd w:fill="FFDCE0" w:val="clear"/>
          </w:tcPr>
          <w:p>
            <w:r>
              <w:rPr>
                <w:b/>
                <w:color w:val="C00000"/>
                <w:sz w:val="17"/>
              </w:rPr>
              <w:t>-31.3%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**RAPPORT D'ANALYSE FINANCIÈRE — SHEC (VIVO ENERGY CÔTE D'IVOIRE)**</w:t>
        <w:br/>
        <w:t>**Date de l'analyse : 26 août 2026**</w:t>
        <w:br/>
        <w:t>**Cours de référence : 2 480 FCFA**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SHEC s'établit à 156,24 milliards FCFA, un niveau substantiel qui la positionne parmi les valeurs moyennes à grandes capitalisations de la BRVM. Avec un BPA de 96 FCFA, le titre se négocie à un PER de 25,9x, nettement supérieur à la moyenne historique du marché régional (8-12x), signe que les investisseurs intègrent des anticipations de croissance élevées ou que le titre est surévalué. Le P/B de 5,75x confirme cette prime, le marché valorisant le titre près de six fois sa valeur comptable, ce qui reflète une forte confiance dans la marque et ses actifs, mais laisse peu de marge d'erreur. Enfin, un EV/EBITDA de 13,6x, dans la fourchette haute de 10-15x, indique que la valeur d'entreprise (dette incluse) est élevée par rapport à la capacité opérationnelle, renforçant le caractère exigeant de la valorisation actuelle.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SHEC a enregistré une progression totale de +12,73%, avec une dernière séance en hausse de +0,81% à 2 480 FCFA, son plus haut niveau sur la période, contre un plus bas de 1 840 FCFA. Cette tendance est clairement haussière, le cours se situant dans le haut de sa fourchette de trading. La moyenne du cours sur la période (2 117 FCFA) est inférieure à la médiane (2 160 FCFA), ce qui suggère une distribution légèrement asymétrique avec des valeurs extrêmes basses ayant tiré la moyenne vers le bas, bien que le skewness positif (0.172) indique une queue de distribution orientée vers les hausses récentes. L'écart-type de 144 FCFA (CV=6,8%) montre une dispersion modérée autour de la moyenne. Le kurtosis négatif (-0.414) indique une distribution mésokurtique, avec un risque de variations extrêmes plus faible que la normale. La volatilité annualisée de 35,2% classe le titre dans la catégorie des valeurs à forte volatilité, ce qui implique un risque de marché élevé mais aussi un potentiel de gains substantiels.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de 2 480 FCFA se situe nettement au-dessus de la MM20 (2 293 FCFA) et de la MM50 (2 219,2 FCFA). Cette configuration, avec un cours supérieur aux deux moyennes, confirme une dynamique haussière solide à court et moyen terme. La décision d'achat est justifiée par cette tendance positive et l'écart croissant entre les moyennes, indiquant un momentum favorable.</w:t>
      </w:r>
    </w:p>
    <w:p>
      <w:pPr>
        <w:spacing w:after="120" w:line="276" w:lineRule="auto"/>
      </w:pPr>
      <w:r>
        <w:t>**Bandes de Bollinger** : Le prix évolue près de la borne supérieure (2 506 FCFA), après avoir touché la borne inférieure (2 079 FCFA) il y a quelques semaines. Cette position reflète une volatilité élevée et une pression acheteuse marquée. La décision neutre s'explique par le fait que le cours, bien qu'en zone de surachat potentiel, ne l'a pas encore touchée, laissant une possibilité de poursuite de la hausse avant un éventuel retournement.</w:t>
      </w:r>
    </w:p>
    <w:p>
      <w:pPr>
        <w:spacing w:after="120" w:line="276" w:lineRule="auto"/>
      </w:pPr>
      <w:r>
        <w:t>**MACD** : La valeur du MACD (67,768) est supérieure à sa ligne de signal (47,692), avec un écart positif et croissant. Cette configuration est un signal d'achat classique, indiquant que le momentum haussier se renforce. La dynamique positive du MACD confirme la tendance haussière en cours, soutenue par des volumes d'échange suffisants.</w:t>
      </w:r>
    </w:p>
    <w:p>
      <w:pPr>
        <w:spacing w:after="120" w:line="276" w:lineRule="auto"/>
      </w:pPr>
      <w:r>
        <w:t>**RSI** : Le RSI à 69,136 est en zone neutre, mais proche du seuil de surachat (70). Cette valeur indique que le titre a fortement monté récemment et que la pression acheteuse est intense. La décision neutre suggère que le marché n'est pas encore en situation de surachat extrême, mais une vigilance est de mise car un dépassement des 70 pourrait déclencher une correction technique.</w:t>
      </w:r>
    </w:p>
    <w:p>
      <w:pPr>
        <w:spacing w:after="120" w:line="276" w:lineRule="auto"/>
      </w:pPr>
      <w:r>
        <w:t>**Stochastique** : Le %K et le %D sont tous deux à 100, un niveau extrême de surachat. Cette configuration signale que le titre est très survendu à la hausse et qu'une correction est hautement probable à très court terme. La décision de vente est justifiée par ce niveau extrême, qui précède souvent un repli technique.</w:t>
      </w:r>
    </w:p>
    <w:p>
      <w:pPr>
        <w:spacing w:after="120" w:line="276" w:lineRule="auto"/>
      </w:pPr>
      <w:r>
        <w:t>**Conclusion technique** : Les indicateurs de tendance (MM, MACD) sont positifs et confirment une dynamique haussière, mais les oscillateurs de momentum (RSI, Stochastique) sont en zone de surachat, signalant un risque imminent de correction. La configuration est donc contrastée : la tendance de fond reste haussière, mais le potentiel de hausse à court terme est limité, avec une probabilité élevée de consolidation ou de repli technique.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SHEC (VIVO ENERGY CI) a réalisé un chiffre d'affaires de 604,978 milliards FCFA, en légère hausse de +0,71% par rapport à 2024 (600,708 milliards FCFA). Le résultat net s'établit à 6,028 milliards FCFA, en progression de +12,6% (contre 5,354 milliards FCFA en 2024), grâce à une amélioration de la valeur ajoutée (+15%) et une baisse des charges financières (-17,7%). La marge nette reste très faible à 1,0%, mais le ROE est excellent à 22,2%, témoignant d'une bonne création de valeur pour les actionnaires, tandis que le ROA est de 3,1%. La structure financière est préoccupante : la trésorerie nette est fortement négative à -65,26 milliards FCFA, avec un endettement élevé (dettes fournisseurs de 53,43 milliards FCFA) et un BFR positif de 15,3 milliards FCFA. Les délais clients (23 jours) et fournisseurs (35 jours) sont relativement courts, mais la liquidité immédiate est très faible (5,97%). Les rapports trimestriels 2025 montrent une amélioration progressive : le T3 2025 affichait un résultat net en hausse de +45% sur 9 mois, mais le T1 2026 a enregistré une baisse du CA de -9% (141,6 milliards FCFA), avec un résultat net stable à 1,295 milliard FCFA. Le rapport S1 2026 (publié en juillet 2026) confirme une baisse du CA de -1% à 305 milliards FCFA, mais une hausse du résultat d'exploitation de +17% à 6,13 milliards FCFA, portée par le butane. Le dividende proposé pour 2025 est de 6,09 milliards FCFA, soit un taux de distribution de 101%, ce qui fragilise la capacité d'autofinancement. La recommandation fondamentale est de conserver le titre, la société étant bénéficiaire mais confrontée à des tensions de trésorerie et une rentabilité fragile.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SHEC est exigeante (PER 25,9x, P/B 5,75x), indiquant une surévaluation relative par rapport aux bénéfices et aux actifs. Le comportement du cours est haussier (+12,73% sur 100 jours) mais avec une volatilité élevée (35,2%), et les statistiques montrent une distribution relativement normale. Les signaux techniques sont mitigés : les indicateurs de tendance (MM, MACD) sont positifs, mais les oscillateurs (RSI proche de 70, Stochastique à 100) signalent un surachat imminent. Les fondamentaux sont solides en termes de rentabilité (ROE 22,2%) mais fragiles en raison d'une trésorerie nette très négative et d'une marge nette de 1%, avec une croissance du CA atone. Les prédictions IA pour les 10 prochains jours prévoient une forte baisse du cours, de 2 480 FCFA à 1 872 FCFA, ce qui contredit la tendance haussière récente et suggère une correction technique imminente. En synthèse, la convergence entre la surévaluation, les signaux de surachat technique et les prédictions IA baissières conduit à une recommandation de **VENTE** à court terme, avec un niveau de confiance **Moyen** et un risque global **Élevé**. L'horizon d'investissement optimal serait de moyen terme (3-12 mois) pour observer une correction du cours et une amélioration de la structure financière avant d'envisager un réinvestissement.</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9,052 titres</w:t>
            </w:r>
          </w:p>
        </w:tc>
        <w:tc>
          <w:tcPr>
            <w:tcW w:type="dxa" w:w="2268"/>
            <w:shd w:fill="FFF2CC" w:val="clear"/>
          </w:tcPr>
          <w:p>
            <w:r>
              <w:rPr>
                <w:b/>
                <w:color w:val="503200"/>
                <w:sz w:val="16"/>
              </w:rPr>
              <w:t xml:space="preserve">Cours actuel : </w:t>
            </w:r>
            <w:r>
              <w:rPr>
                <w:color w:val="000000"/>
                <w:sz w:val="17"/>
              </w:rPr>
              <w:t>9,100 FCFA</w:t>
            </w:r>
          </w:p>
          <w:p>
            <w:r>
              <w:rPr>
                <w:b/>
                <w:color w:val="503200"/>
                <w:sz w:val="16"/>
              </w:rPr>
              <w:t xml:space="preserve">Var. 100 jours : </w:t>
            </w:r>
            <w:r>
              <w:rPr>
                <w:b/>
                <w:color w:val="007800"/>
                <w:sz w:val="17"/>
              </w:rPr>
              <w:t>+30.00%</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10.77% (Moyenne) — μ=8,241 FCFA, σ=888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β=0.3369 (Défensif) — Cov=0.000011, Var(idx)=0.000034, ρ=0.109,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9,052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2026-08-27</w:t>
            </w:r>
          </w:p>
        </w:tc>
        <w:tc>
          <w:tcPr>
            <w:tcW w:type="dxa" w:w="1440"/>
            <w:shd w:fill="FFDCE0" w:val="clear"/>
          </w:tcPr>
          <w:p>
            <w:r>
              <w:rPr>
                <w:sz w:val="17"/>
              </w:rPr>
              <w:t>8,125</w:t>
            </w:r>
          </w:p>
        </w:tc>
        <w:tc>
          <w:tcPr>
            <w:tcW w:type="dxa" w:w="1440"/>
            <w:shd w:fill="FFDCE0" w:val="clear"/>
          </w:tcPr>
          <w:p>
            <w:r>
              <w:rPr>
                <w:b/>
                <w:sz w:val="17"/>
              </w:rPr>
              <w:t>8,505</w:t>
            </w:r>
          </w:p>
        </w:tc>
        <w:tc>
          <w:tcPr>
            <w:tcW w:type="dxa" w:w="1440"/>
            <w:shd w:fill="FFDCE0" w:val="clear"/>
          </w:tcPr>
          <w:p>
            <w:r>
              <w:rPr>
                <w:sz w:val="17"/>
              </w:rPr>
              <w:t>8,886</w:t>
            </w:r>
          </w:p>
        </w:tc>
        <w:tc>
          <w:tcPr>
            <w:tcW w:type="dxa" w:w="1440"/>
            <w:shd w:fill="FFDCE0" w:val="clear"/>
          </w:tcPr>
          <w:p>
            <w:r>
              <w:rPr>
                <w:b/>
                <w:color w:val="C00000"/>
                <w:sz w:val="17"/>
              </w:rPr>
              <w:t>-6.5%</w:t>
            </w:r>
          </w:p>
        </w:tc>
      </w:tr>
      <w:tr>
        <w:tc>
          <w:tcPr>
            <w:tcW w:type="dxa" w:w="1440"/>
            <w:shd w:fill="FFDCE0" w:val="clear"/>
          </w:tcPr>
          <w:p>
            <w:r>
              <w:rPr>
                <w:sz w:val="17"/>
              </w:rPr>
              <w:t>J+2  ⭐⭐⭐</w:t>
            </w:r>
          </w:p>
        </w:tc>
        <w:tc>
          <w:tcPr>
            <w:tcW w:type="dxa" w:w="1440"/>
            <w:shd w:fill="FFDCE0" w:val="clear"/>
          </w:tcPr>
          <w:p>
            <w:r>
              <w:rPr>
                <w:sz w:val="17"/>
              </w:rPr>
              <w:t>2026-08-28</w:t>
            </w:r>
          </w:p>
        </w:tc>
        <w:tc>
          <w:tcPr>
            <w:tcW w:type="dxa" w:w="1440"/>
            <w:shd w:fill="FFDCE0" w:val="clear"/>
          </w:tcPr>
          <w:p>
            <w:r>
              <w:rPr>
                <w:sz w:val="17"/>
              </w:rPr>
              <w:t>7,796</w:t>
            </w:r>
          </w:p>
        </w:tc>
        <w:tc>
          <w:tcPr>
            <w:tcW w:type="dxa" w:w="1440"/>
            <w:shd w:fill="FFDCE0" w:val="clear"/>
          </w:tcPr>
          <w:p>
            <w:r>
              <w:rPr>
                <w:b/>
                <w:sz w:val="17"/>
              </w:rPr>
              <w:t>8,248</w:t>
            </w:r>
          </w:p>
        </w:tc>
        <w:tc>
          <w:tcPr>
            <w:tcW w:type="dxa" w:w="1440"/>
            <w:shd w:fill="FFDCE0" w:val="clear"/>
          </w:tcPr>
          <w:p>
            <w:r>
              <w:rPr>
                <w:sz w:val="17"/>
              </w:rPr>
              <w:t>8,700</w:t>
            </w:r>
          </w:p>
        </w:tc>
        <w:tc>
          <w:tcPr>
            <w:tcW w:type="dxa" w:w="1440"/>
            <w:shd w:fill="FFDCE0" w:val="clear"/>
          </w:tcPr>
          <w:p>
            <w:r>
              <w:rPr>
                <w:b/>
                <w:color w:val="C00000"/>
                <w:sz w:val="17"/>
              </w:rPr>
              <w:t>-9.4%</w:t>
            </w:r>
          </w:p>
        </w:tc>
      </w:tr>
      <w:tr>
        <w:tc>
          <w:tcPr>
            <w:tcW w:type="dxa" w:w="1440"/>
            <w:shd w:fill="FFDCE0" w:val="clear"/>
          </w:tcPr>
          <w:p>
            <w:r>
              <w:rPr>
                <w:sz w:val="17"/>
              </w:rPr>
              <w:t>J+3  Moyenne</w:t>
            </w:r>
          </w:p>
        </w:tc>
        <w:tc>
          <w:tcPr>
            <w:tcW w:type="dxa" w:w="1440"/>
            <w:shd w:fill="FFDCE0" w:val="clear"/>
          </w:tcPr>
          <w:p>
            <w:r>
              <w:rPr>
                <w:sz w:val="17"/>
              </w:rPr>
              <w:t>2026-08-31</w:t>
            </w:r>
          </w:p>
        </w:tc>
        <w:tc>
          <w:tcPr>
            <w:tcW w:type="dxa" w:w="1440"/>
            <w:shd w:fill="FFDCE0" w:val="clear"/>
          </w:tcPr>
          <w:p>
            <w:r>
              <w:rPr>
                <w:sz w:val="17"/>
              </w:rPr>
              <w:t>7,519</w:t>
            </w:r>
          </w:p>
        </w:tc>
        <w:tc>
          <w:tcPr>
            <w:tcW w:type="dxa" w:w="1440"/>
            <w:shd w:fill="FFDCE0" w:val="clear"/>
          </w:tcPr>
          <w:p>
            <w:r>
              <w:rPr>
                <w:b/>
                <w:sz w:val="17"/>
              </w:rPr>
              <w:t>8,027</w:t>
            </w:r>
          </w:p>
        </w:tc>
        <w:tc>
          <w:tcPr>
            <w:tcW w:type="dxa" w:w="1440"/>
            <w:shd w:fill="FFDCE0" w:val="clear"/>
          </w:tcPr>
          <w:p>
            <w:r>
              <w:rPr>
                <w:sz w:val="17"/>
              </w:rPr>
              <w:t>8,535</w:t>
            </w:r>
          </w:p>
        </w:tc>
        <w:tc>
          <w:tcPr>
            <w:tcW w:type="dxa" w:w="1440"/>
            <w:shd w:fill="FFDCE0" w:val="clear"/>
          </w:tcPr>
          <w:p>
            <w:r>
              <w:rPr>
                <w:b/>
                <w:color w:val="C00000"/>
                <w:sz w:val="17"/>
              </w:rPr>
              <w:t>-11.8%</w:t>
            </w:r>
          </w:p>
        </w:tc>
      </w:tr>
      <w:tr>
        <w:tc>
          <w:tcPr>
            <w:tcW w:type="dxa" w:w="1440"/>
            <w:shd w:fill="FFDCE0" w:val="clear"/>
          </w:tcPr>
          <w:p>
            <w:r>
              <w:rPr>
                <w:sz w:val="17"/>
              </w:rPr>
              <w:t>J+4  Moyenne</w:t>
            </w:r>
          </w:p>
        </w:tc>
        <w:tc>
          <w:tcPr>
            <w:tcW w:type="dxa" w:w="1440"/>
            <w:shd w:fill="FFDCE0" w:val="clear"/>
          </w:tcPr>
          <w:p>
            <w:r>
              <w:rPr>
                <w:sz w:val="17"/>
              </w:rPr>
              <w:t>2026-09-01</w:t>
            </w:r>
          </w:p>
        </w:tc>
        <w:tc>
          <w:tcPr>
            <w:tcW w:type="dxa" w:w="1440"/>
            <w:shd w:fill="FFDCE0" w:val="clear"/>
          </w:tcPr>
          <w:p>
            <w:r>
              <w:rPr>
                <w:sz w:val="17"/>
              </w:rPr>
              <w:t>7,285</w:t>
            </w:r>
          </w:p>
        </w:tc>
        <w:tc>
          <w:tcPr>
            <w:tcW w:type="dxa" w:w="1440"/>
            <w:shd w:fill="FFDCE0" w:val="clear"/>
          </w:tcPr>
          <w:p>
            <w:r>
              <w:rPr>
                <w:b/>
                <w:sz w:val="17"/>
              </w:rPr>
              <w:t>7,840</w:t>
            </w:r>
          </w:p>
        </w:tc>
        <w:tc>
          <w:tcPr>
            <w:tcW w:type="dxa" w:w="1440"/>
            <w:shd w:fill="FFDCE0" w:val="clear"/>
          </w:tcPr>
          <w:p>
            <w:r>
              <w:rPr>
                <w:sz w:val="17"/>
              </w:rPr>
              <w:t>8,394</w:t>
            </w:r>
          </w:p>
        </w:tc>
        <w:tc>
          <w:tcPr>
            <w:tcW w:type="dxa" w:w="1440"/>
            <w:shd w:fill="FFDCE0" w:val="clear"/>
          </w:tcPr>
          <w:p>
            <w:r>
              <w:rPr>
                <w:b/>
                <w:color w:val="C00000"/>
                <w:sz w:val="17"/>
              </w:rPr>
              <w:t>-13.8%</w:t>
            </w:r>
          </w:p>
        </w:tc>
      </w:tr>
      <w:tr>
        <w:tc>
          <w:tcPr>
            <w:tcW w:type="dxa" w:w="1440"/>
            <w:shd w:fill="FFDCE0" w:val="clear"/>
          </w:tcPr>
          <w:p>
            <w:r>
              <w:rPr>
                <w:sz w:val="17"/>
              </w:rPr>
              <w:t>J+5  Moyenne</w:t>
            </w:r>
          </w:p>
        </w:tc>
        <w:tc>
          <w:tcPr>
            <w:tcW w:type="dxa" w:w="1440"/>
            <w:shd w:fill="FFDCE0" w:val="clear"/>
          </w:tcPr>
          <w:p>
            <w:r>
              <w:rPr>
                <w:sz w:val="17"/>
              </w:rPr>
              <w:t>2026-09-02</w:t>
            </w:r>
          </w:p>
        </w:tc>
        <w:tc>
          <w:tcPr>
            <w:tcW w:type="dxa" w:w="1440"/>
            <w:shd w:fill="FFDCE0" w:val="clear"/>
          </w:tcPr>
          <w:p>
            <w:r>
              <w:rPr>
                <w:sz w:val="17"/>
              </w:rPr>
              <w:t>7,083</w:t>
            </w:r>
          </w:p>
        </w:tc>
        <w:tc>
          <w:tcPr>
            <w:tcW w:type="dxa" w:w="1440"/>
            <w:shd w:fill="FFDCE0" w:val="clear"/>
          </w:tcPr>
          <w:p>
            <w:r>
              <w:rPr>
                <w:b/>
                <w:sz w:val="17"/>
              </w:rPr>
              <w:t>7,678</w:t>
            </w:r>
          </w:p>
        </w:tc>
        <w:tc>
          <w:tcPr>
            <w:tcW w:type="dxa" w:w="1440"/>
            <w:shd w:fill="FFDCE0" w:val="clear"/>
          </w:tcPr>
          <w:p>
            <w:r>
              <w:rPr>
                <w:sz w:val="17"/>
              </w:rPr>
              <w:t>8,273</w:t>
            </w:r>
          </w:p>
        </w:tc>
        <w:tc>
          <w:tcPr>
            <w:tcW w:type="dxa" w:w="1440"/>
            <w:shd w:fill="FFDCE0" w:val="clear"/>
          </w:tcPr>
          <w:p>
            <w:r>
              <w:rPr>
                <w:b/>
                <w:color w:val="C00000"/>
                <w:sz w:val="17"/>
              </w:rPr>
              <w:t>-15.6%</w:t>
            </w:r>
          </w:p>
        </w:tc>
      </w:tr>
      <w:tr>
        <w:tc>
          <w:tcPr>
            <w:tcW w:type="dxa" w:w="1440"/>
            <w:shd w:fill="FFDCE0" w:val="clear"/>
          </w:tcPr>
          <w:p>
            <w:r>
              <w:rPr>
                <w:sz w:val="17"/>
              </w:rPr>
              <w:t>J+6  Moyenne</w:t>
            </w:r>
          </w:p>
        </w:tc>
        <w:tc>
          <w:tcPr>
            <w:tcW w:type="dxa" w:w="1440"/>
            <w:shd w:fill="FFDCE0" w:val="clear"/>
          </w:tcPr>
          <w:p>
            <w:r>
              <w:rPr>
                <w:sz w:val="17"/>
              </w:rPr>
              <w:t>2026-09-03</w:t>
            </w:r>
          </w:p>
        </w:tc>
        <w:tc>
          <w:tcPr>
            <w:tcW w:type="dxa" w:w="1440"/>
            <w:shd w:fill="FFDCE0" w:val="clear"/>
          </w:tcPr>
          <w:p>
            <w:r>
              <w:rPr>
                <w:sz w:val="17"/>
              </w:rPr>
              <w:t>6,905</w:t>
            </w:r>
          </w:p>
        </w:tc>
        <w:tc>
          <w:tcPr>
            <w:tcW w:type="dxa" w:w="1440"/>
            <w:shd w:fill="FFDCE0" w:val="clear"/>
          </w:tcPr>
          <w:p>
            <w:r>
              <w:rPr>
                <w:b/>
                <w:sz w:val="17"/>
              </w:rPr>
              <w:t>7,536</w:t>
            </w:r>
          </w:p>
        </w:tc>
        <w:tc>
          <w:tcPr>
            <w:tcW w:type="dxa" w:w="1440"/>
            <w:shd w:fill="FFDCE0" w:val="clear"/>
          </w:tcPr>
          <w:p>
            <w:r>
              <w:rPr>
                <w:sz w:val="17"/>
              </w:rPr>
              <w:t>8,167</w:t>
            </w:r>
          </w:p>
        </w:tc>
        <w:tc>
          <w:tcPr>
            <w:tcW w:type="dxa" w:w="1440"/>
            <w:shd w:fill="FFDCE0" w:val="clear"/>
          </w:tcPr>
          <w:p>
            <w:r>
              <w:rPr>
                <w:b/>
                <w:color w:val="C00000"/>
                <w:sz w:val="17"/>
              </w:rPr>
              <w:t>-17.2%</w:t>
            </w:r>
          </w:p>
        </w:tc>
      </w:tr>
      <w:tr>
        <w:tc>
          <w:tcPr>
            <w:tcW w:type="dxa" w:w="1440"/>
            <w:shd w:fill="FFDCE0" w:val="clear"/>
          </w:tcPr>
          <w:p>
            <w:r>
              <w:rPr>
                <w:sz w:val="17"/>
              </w:rPr>
              <w:t>J+7  Moyenne</w:t>
            </w:r>
          </w:p>
        </w:tc>
        <w:tc>
          <w:tcPr>
            <w:tcW w:type="dxa" w:w="1440"/>
            <w:shd w:fill="FFDCE0" w:val="clear"/>
          </w:tcPr>
          <w:p>
            <w:r>
              <w:rPr>
                <w:sz w:val="17"/>
              </w:rPr>
              <w:t>2026-09-04</w:t>
            </w:r>
          </w:p>
        </w:tc>
        <w:tc>
          <w:tcPr>
            <w:tcW w:type="dxa" w:w="1440"/>
            <w:shd w:fill="FFDCE0" w:val="clear"/>
          </w:tcPr>
          <w:p>
            <w:r>
              <w:rPr>
                <w:sz w:val="17"/>
              </w:rPr>
              <w:t>6,746</w:t>
            </w:r>
          </w:p>
        </w:tc>
        <w:tc>
          <w:tcPr>
            <w:tcW w:type="dxa" w:w="1440"/>
            <w:shd w:fill="FFDCE0" w:val="clear"/>
          </w:tcPr>
          <w:p>
            <w:r>
              <w:rPr>
                <w:b/>
                <w:sz w:val="17"/>
              </w:rPr>
              <w:t>7,409</w:t>
            </w:r>
          </w:p>
        </w:tc>
        <w:tc>
          <w:tcPr>
            <w:tcW w:type="dxa" w:w="1440"/>
            <w:shd w:fill="FFDCE0" w:val="clear"/>
          </w:tcPr>
          <w:p>
            <w:r>
              <w:rPr>
                <w:sz w:val="17"/>
              </w:rPr>
              <w:t>8,073</w:t>
            </w:r>
          </w:p>
        </w:tc>
        <w:tc>
          <w:tcPr>
            <w:tcW w:type="dxa" w:w="1440"/>
            <w:shd w:fill="FFDCE0" w:val="clear"/>
          </w:tcPr>
          <w:p>
            <w:r>
              <w:rPr>
                <w:b/>
                <w:color w:val="C00000"/>
                <w:sz w:val="17"/>
              </w:rPr>
              <w:t>-18.6%</w:t>
            </w:r>
          </w:p>
        </w:tc>
      </w:tr>
      <w:tr>
        <w:tc>
          <w:tcPr>
            <w:tcW w:type="dxa" w:w="1440"/>
            <w:shd w:fill="FFDCE0" w:val="clear"/>
          </w:tcPr>
          <w:p>
            <w:r>
              <w:rPr>
                <w:sz w:val="17"/>
              </w:rPr>
              <w:t>J+8  Moyenne</w:t>
            </w:r>
          </w:p>
        </w:tc>
        <w:tc>
          <w:tcPr>
            <w:tcW w:type="dxa" w:w="1440"/>
            <w:shd w:fill="FFDCE0" w:val="clear"/>
          </w:tcPr>
          <w:p>
            <w:r>
              <w:rPr>
                <w:sz w:val="17"/>
              </w:rPr>
              <w:t>2026-09-07</w:t>
            </w:r>
          </w:p>
        </w:tc>
        <w:tc>
          <w:tcPr>
            <w:tcW w:type="dxa" w:w="1440"/>
            <w:shd w:fill="FFDCE0" w:val="clear"/>
          </w:tcPr>
          <w:p>
            <w:r>
              <w:rPr>
                <w:sz w:val="17"/>
              </w:rPr>
              <w:t>6,602</w:t>
            </w:r>
          </w:p>
        </w:tc>
        <w:tc>
          <w:tcPr>
            <w:tcW w:type="dxa" w:w="1440"/>
            <w:shd w:fill="FFDCE0" w:val="clear"/>
          </w:tcPr>
          <w:p>
            <w:r>
              <w:rPr>
                <w:b/>
                <w:sz w:val="17"/>
              </w:rPr>
              <w:t>7,295</w:t>
            </w:r>
          </w:p>
        </w:tc>
        <w:tc>
          <w:tcPr>
            <w:tcW w:type="dxa" w:w="1440"/>
            <w:shd w:fill="FFDCE0" w:val="clear"/>
          </w:tcPr>
          <w:p>
            <w:r>
              <w:rPr>
                <w:sz w:val="17"/>
              </w:rPr>
              <w:t>7,987</w:t>
            </w:r>
          </w:p>
        </w:tc>
        <w:tc>
          <w:tcPr>
            <w:tcW w:type="dxa" w:w="1440"/>
            <w:shd w:fill="FFDCE0" w:val="clear"/>
          </w:tcPr>
          <w:p>
            <w:r>
              <w:rPr>
                <w:b/>
                <w:color w:val="C00000"/>
                <w:sz w:val="17"/>
              </w:rPr>
              <w:t>-19.8%</w:t>
            </w:r>
          </w:p>
        </w:tc>
      </w:tr>
      <w:tr>
        <w:tc>
          <w:tcPr>
            <w:tcW w:type="dxa" w:w="1440"/>
            <w:shd w:fill="FFDCE0" w:val="clear"/>
          </w:tcPr>
          <w:p>
            <w:r>
              <w:rPr>
                <w:sz w:val="17"/>
              </w:rPr>
              <w:t>J+9  Moyenne</w:t>
            </w:r>
          </w:p>
        </w:tc>
        <w:tc>
          <w:tcPr>
            <w:tcW w:type="dxa" w:w="1440"/>
            <w:shd w:fill="FFDCE0" w:val="clear"/>
          </w:tcPr>
          <w:p>
            <w:r>
              <w:rPr>
                <w:sz w:val="17"/>
              </w:rPr>
              <w:t>2026-09-08</w:t>
            </w:r>
          </w:p>
        </w:tc>
        <w:tc>
          <w:tcPr>
            <w:tcW w:type="dxa" w:w="1440"/>
            <w:shd w:fill="FFDCE0" w:val="clear"/>
          </w:tcPr>
          <w:p>
            <w:r>
              <w:rPr>
                <w:sz w:val="17"/>
              </w:rPr>
              <w:t>6,470</w:t>
            </w:r>
          </w:p>
        </w:tc>
        <w:tc>
          <w:tcPr>
            <w:tcW w:type="dxa" w:w="1440"/>
            <w:shd w:fill="FFDCE0" w:val="clear"/>
          </w:tcPr>
          <w:p>
            <w:r>
              <w:rPr>
                <w:b/>
                <w:sz w:val="17"/>
              </w:rPr>
              <w:t>7,190</w:t>
            </w:r>
          </w:p>
        </w:tc>
        <w:tc>
          <w:tcPr>
            <w:tcW w:type="dxa" w:w="1440"/>
            <w:shd w:fill="FFDCE0" w:val="clear"/>
          </w:tcPr>
          <w:p>
            <w:r>
              <w:rPr>
                <w:sz w:val="17"/>
              </w:rPr>
              <w:t>7,909</w:t>
            </w:r>
          </w:p>
        </w:tc>
        <w:tc>
          <w:tcPr>
            <w:tcW w:type="dxa" w:w="1440"/>
            <w:shd w:fill="FFDCE0" w:val="clear"/>
          </w:tcPr>
          <w:p>
            <w:r>
              <w:rPr>
                <w:b/>
                <w:color w:val="C00000"/>
                <w:sz w:val="17"/>
              </w:rPr>
              <w:t>-21.0%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la SIBC s'établit à 910 milliards FCFA, ce qui en fait l'une des valeurs les plus significatives de la BRVM, reflétant son statut de banque systémique en Côte d'Ivoire. Avec un BPA de 556 FCFA, chaque action génère un bénéfice substantiel, mais le PER de 16,4x indique que les investisseurs paient une prime notable par rapport à la moyenne historique du marché (8-12x), traduisant des attentes de croissance élevées. Le P/B de 4,44x confirme cette prime, le marché valorisant la banque à plus de quatre fois sa valeur comptable, signe d'une forte création de valeur mais aussi d'une valorisation exigeante. L'EV/EBITDA de 15,2x, bien que supérieur au seuil de 15x considéré comme élevé, reste cohérent avec les marges opérationnelles exceptionnelles de la banque. Ces ratios suggèrent que le marché intègre déjà une partie des bonnes performances futures, laissant peu de marge d'erreur.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SIBC affiche une progression remarquable de +30%, passant d'un plus bas de 6 805 FCFA à un cours actuel de 9 100 FCFA, avec un plus haut à 9 500 FCFA. La dernière séance confirme cette dynamique avec une hausse de +1,11%. La moyenne du cours sur la période (8 241 FCFA) est inférieure à la médiane (8 730 FCFA), indiquant une distribution asymétrique avec une concentration des valeurs vers le haut, ce que confirme le skewness négatif de -0,449. L'écart-type de 892 FCFA (CV=10,8%) révèle une dispersion modérée des cours, tandis que le kurtosis de -1,537 (platykurtique) suggère une distribution aplatie avec peu de pics extrêmes, donc un risque de mouvements brusques limité. La volatilité annualisée de 28,5% positionne le titre dans une zone modérée à élevée, typique des valeurs bancaires de croissance sur ce marché, indiquant un risque mesurable mais acceptable pour les investisseurs tolérants.</w:t>
      </w:r>
    </w:p>
    <w:p>
      <w:pPr>
        <w:spacing w:after="120" w:line="276" w:lineRule="auto" w:before="240"/>
      </w:pPr>
      <w:r>
        <w:rPr>
          <w:b/>
          <w:color w:val="003366"/>
          <w:sz w:val="24"/>
        </w:rPr>
        <w:t>**PARTIE 2 : ANALYSE TECHNIQUE DÉTAILLÉE**</w:t>
      </w:r>
    </w:p>
    <w:p>
      <w:pPr>
        <w:spacing w:after="120" w:line="276" w:lineRule="auto"/>
      </w:pPr>
      <w:r>
        <w:t>**Moyennes Mobiles** : Le cours actuel de 9 100 FCFA se positionne au-dessus de la MM20 (9 131,5 FCFA) et de la MM50 (8 963,6 FCFA), avec une MM20 supérieure à la MM50, configuration typique d'une tendance haussière. La proximité du cours avec la MM20 suggère un léger essoufflement à court terme, mais la structure globale reste positive, justifiant la décision d'achat.</w:t>
      </w:r>
    </w:p>
    <w:p>
      <w:pPr>
        <w:spacing w:after="120" w:line="276" w:lineRule="auto"/>
      </w:pPr>
      <w:r>
        <w:t>**Bandes de Bollinger** : Le cours se situe à 9 100 FCFA, entre la borne supérieure (9 515 FCFA) et la borne inférieure (8 748 FCFA), proche du milieu de la bande. Cette position neutre indique une volatilité modérée sans excès, le marché cherchant une direction après la forte hausse récente. La largeur des bandes suggère une volatilité en contraction, pouvant précéder un mouvement directionnel.</w:t>
      </w:r>
    </w:p>
    <w:p>
      <w:pPr>
        <w:spacing w:after="120" w:line="276" w:lineRule="auto"/>
      </w:pPr>
      <w:r>
        <w:t>**MACD** : La valeur MACD (67,0) reste positive mais se situe sous le signal (95,8), indiquant un momentum baissier à court terme malgré la tendance haussière de fond. Cette divergence entre la valeur et le signal suggère une consolidation en cours, le marché digérant les gains récents avant une éventuelle reprise.</w:t>
      </w:r>
    </w:p>
    <w:p>
      <w:pPr>
        <w:spacing w:after="120" w:line="276" w:lineRule="auto"/>
      </w:pPr>
      <w:r>
        <w:t>**RSI** : À 58,3, le RSI se positionne en zone neutre, sans signal de surachat ni de survente. Cette valeur indique que le titre dispose encore d'espace pour progresser sans être techniquement surchauffé, laissant place à un potentiel haussier supplémentaire.</w:t>
      </w:r>
    </w:p>
    <w:p>
      <w:pPr>
        <w:spacing w:after="120" w:line="276" w:lineRule="auto"/>
      </w:pPr>
      <w:r>
        <w:t>**Stochastique** : Le %K (20,0) sous le %D (30,5) indique une dynamique baissière à court terme, le marché étant en phase de correction après la hausse. Cette configuration suggère une prudence à très court terme, mais sans signal de retournement majeur.</w:t>
      </w:r>
    </w:p>
    <w:p>
      <w:pPr>
        <w:spacing w:after="120" w:line="276" w:lineRule="auto"/>
      </w:pPr>
      <w:r>
        <w:t>**Conclusion technique** : La convergence des indicateurs montre une tendance haussière de fond (MM, structure) avec un essoufflement à court terme (MACD, Stochastique). Le RSI neutre et les bandes de Bollinger stables suggèrent une consolidation saine avant une possible reprise. La décision globale reste positive mais avec une prudence à court terme.</w:t>
      </w:r>
    </w:p>
    <w:p>
      <w:pPr>
        <w:spacing w:after="120" w:line="276" w:lineRule="auto" w:before="240"/>
      </w:pPr>
      <w:r>
        <w:rPr>
          <w:b/>
          <w:color w:val="003366"/>
          <w:sz w:val="24"/>
        </w:rPr>
        <w:t>**PARTIE 3 : ANALYSE FONDAMENTALE (SECTION CRITIQUE)**</w:t>
      </w:r>
    </w:p>
    <w:p>
      <w:pPr>
        <w:spacing w:after="120" w:line="276" w:lineRule="auto"/>
      </w:pPr>
      <w:r>
        <w:t>En 2025, la SIBC affiche des fondamentaux solides avec un PNB de 108,663 milliards FCFA et un résultat net de 55,623 milliards FCFA, démontrant une marge nette exceptionnelle de 51,2%. Le ROE de 27,2% et le ROA de 2,96% confirment une rentabilité parmi les meilleures du secteur bancaire régional, bien au-dessus des seuils d'excellence. Le coefficient d'exploitation de 38,6% témoigne d'une efficacité opérationnelle remarquable, tandis que le coût du risque élevé (provisions de 14,124 milliards) mérite une surveillance. Les dépôts clientèle (1 503 milliards) représentent 1,23x les créances clientèle (1 227 milliards), indiquant une transformation saine. Les rapports trimestriels 2025 confirment cette dynamique : T1 (PNB +12%, RN +10%), S1 (PNB +9%, RN +15%), T3 (PNB +8%, RN +11%). Le rapport T1 2026 (PNB 27,7 milliards, RN 15,2 milliards, +11%) suggère une poursuite de la croissance, permettant d'estimer un PNB annuel 2026 autour de 115-118 milliards et un résultat net de 58-60 milliards. Le rapport annuel 2024 (PNB 102,8 milliards, RN 50,2 milliards, ROE 30,6%) et le T3 2024 (PNB 75,7 milliards, RN 38,6 milliards) montrent une progression constante depuis 2021 (RN 34 milliards). La banque bénéficie d'une solidité financière avec une solvabilité générale de 112,2% et un ratio de couverture des intérêts de 408,9%.</w:t>
      </w:r>
    </w:p>
    <w:p>
      <w:pPr>
        <w:spacing w:after="120" w:line="276" w:lineRule="auto" w:before="240"/>
      </w:pPr>
      <w:r>
        <w:rPr>
          <w:b/>
          <w:color w:val="003366"/>
          <w:sz w:val="24"/>
        </w:rPr>
        <w:t>**PARTIE 4 : CONCLUSION D'INVESTISSEMENT**</w:t>
      </w:r>
    </w:p>
    <w:p>
      <w:pPr>
        <w:spacing w:after="120" w:line="276" w:lineRule="auto"/>
      </w:pPr>
      <w:r>
        <w:t>La synthèse globale révèle une convergence positive entre les fondamentaux et la tendance du cours. La valorisation (PER 16,4x, P/B 4,44x) est exigeante mais justifiée par une rentabilité exceptionnelle (ROE 27,2%, marge nette 51,2%) et une croissance soutenue du PNB (+5,7% en 2025, +4% au T1 2026). Le comportement du cours (+30% sur 100 jours) avec une volatilité modérée (28,5%) et une distribution stable (kurtosis platykurtique) suggère une progression maîtrisée. Les signaux techniques sont mitigés à court terme (MACD vente, Stochastique neutre) mais positifs à moyen terme (MM achat, RSI neutre avec marge). Les fondamentaux solides et les perspectives de croissance (plan IMPULSION 2028, digitalisation) soutiennent une vision positive. Cependant, les prédictions IA (8 505 à 7 678 FCFA sur 10 jours) suggèrent une correction de 6-16%, contredisant la tendance récente et indiquant un possible essoufflement à court terme. Cette divergence entre les fondamentaux solides et la prédiction technique à court terme justifie une approche prudente. **Recommandation : CONSERVER** pour les investisseurs déjà positionnés, avec un niveau de confiance Moyen et un risque global Moyen. Horizon d'investissement optimal : moyen terme (3-12 mois), en attendant une correction potentielle pour renforcer la position ou une confirmation de la poursuite de la hausse après consolidation.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4.80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8,005 FCFA</w:t>
            </w:r>
          </w:p>
          <w:p>
            <w:r>
              <w:rPr>
                <w:b/>
                <w:color w:val="503200"/>
                <w:sz w:val="16"/>
              </w:rPr>
              <w:t xml:space="preserve">Var. 100 jours : </w:t>
            </w:r>
            <w:r>
              <w:rPr>
                <w:b/>
                <w:color w:val="007800"/>
                <w:sz w:val="17"/>
              </w:rPr>
              <w:t>+97.65%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60.6%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29.97% (Élevée) — μ=5,184 FCFA, σ=1,554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β=-0.8350 (Contre-cyclique) — Cov=-0.000028, Var(idx)=0.000034, ρ=-0.128,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σ_j=3.82%/j (Modérée) — Vol. annualisée≈60.6%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61697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2026-08-27</w:t>
            </w:r>
          </w:p>
        </w:tc>
        <w:tc>
          <w:tcPr>
            <w:tcW w:type="dxa" w:w="1440"/>
            <w:shd w:fill="FFDCE0" w:val="clear"/>
          </w:tcPr>
          <w:p>
            <w:r>
              <w:rPr>
                <w:sz w:val="17"/>
              </w:rPr>
              <w:t>6,622</w:t>
            </w:r>
          </w:p>
        </w:tc>
        <w:tc>
          <w:tcPr>
            <w:tcW w:type="dxa" w:w="1440"/>
            <w:shd w:fill="FFDCE0" w:val="clear"/>
          </w:tcPr>
          <w:p>
            <w:r>
              <w:rPr>
                <w:b/>
                <w:sz w:val="17"/>
              </w:rPr>
              <w:t>7,531</w:t>
            </w:r>
          </w:p>
        </w:tc>
        <w:tc>
          <w:tcPr>
            <w:tcW w:type="dxa" w:w="1440"/>
            <w:shd w:fill="FFDCE0" w:val="clear"/>
          </w:tcPr>
          <w:p>
            <w:r>
              <w:rPr>
                <w:sz w:val="17"/>
              </w:rPr>
              <w:t>8,439</w:t>
            </w:r>
          </w:p>
        </w:tc>
        <w:tc>
          <w:tcPr>
            <w:tcW w:type="dxa" w:w="1440"/>
            <w:shd w:fill="FFDCE0" w:val="clear"/>
          </w:tcPr>
          <w:p>
            <w:r>
              <w:rPr>
                <w:b/>
                <w:color w:val="C00000"/>
                <w:sz w:val="17"/>
              </w:rPr>
              <w:t>-5.9%</w:t>
            </w:r>
          </w:p>
        </w:tc>
      </w:tr>
      <w:tr>
        <w:tc>
          <w:tcPr>
            <w:tcW w:type="dxa" w:w="1440"/>
            <w:shd w:fill="FFDCE0" w:val="clear"/>
          </w:tcPr>
          <w:p>
            <w:r>
              <w:rPr>
                <w:sz w:val="17"/>
              </w:rPr>
              <w:t>J+2  ⭐</w:t>
            </w:r>
          </w:p>
        </w:tc>
        <w:tc>
          <w:tcPr>
            <w:tcW w:type="dxa" w:w="1440"/>
            <w:shd w:fill="FFDCE0" w:val="clear"/>
          </w:tcPr>
          <w:p>
            <w:r>
              <w:rPr>
                <w:sz w:val="17"/>
              </w:rPr>
              <w:t>2026-08-28</w:t>
            </w:r>
          </w:p>
        </w:tc>
        <w:tc>
          <w:tcPr>
            <w:tcW w:type="dxa" w:w="1440"/>
            <w:shd w:fill="FFDCE0" w:val="clear"/>
          </w:tcPr>
          <w:p>
            <w:r>
              <w:rPr>
                <w:sz w:val="17"/>
              </w:rPr>
              <w:t>6,220</w:t>
            </w:r>
          </w:p>
        </w:tc>
        <w:tc>
          <w:tcPr>
            <w:tcW w:type="dxa" w:w="1440"/>
            <w:shd w:fill="FFDCE0" w:val="clear"/>
          </w:tcPr>
          <w:p>
            <w:r>
              <w:rPr>
                <w:b/>
                <w:sz w:val="17"/>
              </w:rPr>
              <w:t>7,298</w:t>
            </w:r>
          </w:p>
        </w:tc>
        <w:tc>
          <w:tcPr>
            <w:tcW w:type="dxa" w:w="1440"/>
            <w:shd w:fill="FFDCE0" w:val="clear"/>
          </w:tcPr>
          <w:p>
            <w:r>
              <w:rPr>
                <w:sz w:val="17"/>
              </w:rPr>
              <w:t>8,377</w:t>
            </w:r>
          </w:p>
        </w:tc>
        <w:tc>
          <w:tcPr>
            <w:tcW w:type="dxa" w:w="1440"/>
            <w:shd w:fill="FFDCE0" w:val="clear"/>
          </w:tcPr>
          <w:p>
            <w:r>
              <w:rPr>
                <w:b/>
                <w:color w:val="C00000"/>
                <w:sz w:val="17"/>
              </w:rPr>
              <w:t>-8.8%</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5,888</w:t>
            </w:r>
          </w:p>
        </w:tc>
        <w:tc>
          <w:tcPr>
            <w:tcW w:type="dxa" w:w="1440"/>
            <w:shd w:fill="FFDCE0" w:val="clear"/>
          </w:tcPr>
          <w:p>
            <w:r>
              <w:rPr>
                <w:b/>
                <w:sz w:val="17"/>
              </w:rPr>
              <w:t>7,099</w:t>
            </w:r>
          </w:p>
        </w:tc>
        <w:tc>
          <w:tcPr>
            <w:tcW w:type="dxa" w:w="1440"/>
            <w:shd w:fill="FFDCE0" w:val="clear"/>
          </w:tcPr>
          <w:p>
            <w:r>
              <w:rPr>
                <w:sz w:val="17"/>
              </w:rPr>
              <w:t>8,311</w:t>
            </w:r>
          </w:p>
        </w:tc>
        <w:tc>
          <w:tcPr>
            <w:tcW w:type="dxa" w:w="1440"/>
            <w:shd w:fill="FFDCE0" w:val="clear"/>
          </w:tcPr>
          <w:p>
            <w:r>
              <w:rPr>
                <w:b/>
                <w:color w:val="C00000"/>
                <w:sz w:val="17"/>
              </w:rPr>
              <w:t>-11.3%</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5,602</w:t>
            </w:r>
          </w:p>
        </w:tc>
        <w:tc>
          <w:tcPr>
            <w:tcW w:type="dxa" w:w="1440"/>
            <w:shd w:fill="FFDCE0" w:val="clear"/>
          </w:tcPr>
          <w:p>
            <w:r>
              <w:rPr>
                <w:b/>
                <w:sz w:val="17"/>
              </w:rPr>
              <w:t>6,923</w:t>
            </w:r>
          </w:p>
        </w:tc>
        <w:tc>
          <w:tcPr>
            <w:tcW w:type="dxa" w:w="1440"/>
            <w:shd w:fill="FFDCE0" w:val="clear"/>
          </w:tcPr>
          <w:p>
            <w:r>
              <w:rPr>
                <w:sz w:val="17"/>
              </w:rPr>
              <w:t>8,244</w:t>
            </w:r>
          </w:p>
        </w:tc>
        <w:tc>
          <w:tcPr>
            <w:tcW w:type="dxa" w:w="1440"/>
            <w:shd w:fill="FFDCE0" w:val="clear"/>
          </w:tcPr>
          <w:p>
            <w:r>
              <w:rPr>
                <w:b/>
                <w:color w:val="C00000"/>
                <w:sz w:val="17"/>
              </w:rPr>
              <w:t>-13.5%</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5,351</w:t>
            </w:r>
          </w:p>
        </w:tc>
        <w:tc>
          <w:tcPr>
            <w:tcW w:type="dxa" w:w="1440"/>
            <w:shd w:fill="FFDCE0" w:val="clear"/>
          </w:tcPr>
          <w:p>
            <w:r>
              <w:rPr>
                <w:b/>
                <w:sz w:val="17"/>
              </w:rPr>
              <w:t>6,765</w:t>
            </w:r>
          </w:p>
        </w:tc>
        <w:tc>
          <w:tcPr>
            <w:tcW w:type="dxa" w:w="1440"/>
            <w:shd w:fill="FFDCE0" w:val="clear"/>
          </w:tcPr>
          <w:p>
            <w:r>
              <w:rPr>
                <w:sz w:val="17"/>
              </w:rPr>
              <w:t>8,179</w:t>
            </w:r>
          </w:p>
        </w:tc>
        <w:tc>
          <w:tcPr>
            <w:tcW w:type="dxa" w:w="1440"/>
            <w:shd w:fill="FFDCE0" w:val="clear"/>
          </w:tcPr>
          <w:p>
            <w:r>
              <w:rPr>
                <w:b/>
                <w:color w:val="C00000"/>
                <w:sz w:val="17"/>
              </w:rPr>
              <w:t>-15.5%</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5,127</w:t>
            </w:r>
          </w:p>
        </w:tc>
        <w:tc>
          <w:tcPr>
            <w:tcW w:type="dxa" w:w="1440"/>
            <w:shd w:fill="FFDCE0" w:val="clear"/>
          </w:tcPr>
          <w:p>
            <w:r>
              <w:rPr>
                <w:b/>
                <w:sz w:val="17"/>
              </w:rPr>
              <w:t>6,622</w:t>
            </w:r>
          </w:p>
        </w:tc>
        <w:tc>
          <w:tcPr>
            <w:tcW w:type="dxa" w:w="1440"/>
            <w:shd w:fill="FFDCE0" w:val="clear"/>
          </w:tcPr>
          <w:p>
            <w:r>
              <w:rPr>
                <w:sz w:val="17"/>
              </w:rPr>
              <w:t>8,117</w:t>
            </w:r>
          </w:p>
        </w:tc>
        <w:tc>
          <w:tcPr>
            <w:tcW w:type="dxa" w:w="1440"/>
            <w:shd w:fill="FFDCE0" w:val="clear"/>
          </w:tcPr>
          <w:p>
            <w:r>
              <w:rPr>
                <w:b/>
                <w:color w:val="C00000"/>
                <w:sz w:val="17"/>
              </w:rPr>
              <w:t>-17.3%</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4,925</w:t>
            </w:r>
          </w:p>
        </w:tc>
        <w:tc>
          <w:tcPr>
            <w:tcW w:type="dxa" w:w="1440"/>
            <w:shd w:fill="FFDCE0" w:val="clear"/>
          </w:tcPr>
          <w:p>
            <w:r>
              <w:rPr>
                <w:b/>
                <w:sz w:val="17"/>
              </w:rPr>
              <w:t>6,492</w:t>
            </w:r>
          </w:p>
        </w:tc>
        <w:tc>
          <w:tcPr>
            <w:tcW w:type="dxa" w:w="1440"/>
            <w:shd w:fill="FFDCE0" w:val="clear"/>
          </w:tcPr>
          <w:p>
            <w:r>
              <w:rPr>
                <w:sz w:val="17"/>
              </w:rPr>
              <w:t>8,059</w:t>
            </w:r>
          </w:p>
        </w:tc>
        <w:tc>
          <w:tcPr>
            <w:tcW w:type="dxa" w:w="1440"/>
            <w:shd w:fill="FFDCE0" w:val="clear"/>
          </w:tcPr>
          <w:p>
            <w:r>
              <w:rPr>
                <w:b/>
                <w:color w:val="C00000"/>
                <w:sz w:val="17"/>
              </w:rPr>
              <w:t>-18.9%</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4,741</w:t>
            </w:r>
          </w:p>
        </w:tc>
        <w:tc>
          <w:tcPr>
            <w:tcW w:type="dxa" w:w="1440"/>
            <w:shd w:fill="FFDCE0" w:val="clear"/>
          </w:tcPr>
          <w:p>
            <w:r>
              <w:rPr>
                <w:b/>
                <w:sz w:val="17"/>
              </w:rPr>
              <w:t>6,372</w:t>
            </w:r>
          </w:p>
        </w:tc>
        <w:tc>
          <w:tcPr>
            <w:tcW w:type="dxa" w:w="1440"/>
            <w:shd w:fill="FFDCE0" w:val="clear"/>
          </w:tcPr>
          <w:p>
            <w:r>
              <w:rPr>
                <w:sz w:val="17"/>
              </w:rPr>
              <w:t>8,003</w:t>
            </w:r>
          </w:p>
        </w:tc>
        <w:tc>
          <w:tcPr>
            <w:tcW w:type="dxa" w:w="1440"/>
            <w:shd w:fill="FFDCE0" w:val="clear"/>
          </w:tcPr>
          <w:p>
            <w:r>
              <w:rPr>
                <w:b/>
                <w:color w:val="C00000"/>
                <w:sz w:val="17"/>
              </w:rPr>
              <w:t>-20.4%</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4,572</w:t>
            </w:r>
          </w:p>
        </w:tc>
        <w:tc>
          <w:tcPr>
            <w:tcW w:type="dxa" w:w="1440"/>
            <w:shd w:fill="FFDCE0" w:val="clear"/>
          </w:tcPr>
          <w:p>
            <w:r>
              <w:rPr>
                <w:b/>
                <w:sz w:val="17"/>
              </w:rPr>
              <w:t>6,261</w:t>
            </w:r>
          </w:p>
        </w:tc>
        <w:tc>
          <w:tcPr>
            <w:tcW w:type="dxa" w:w="1440"/>
            <w:shd w:fill="FFDCE0" w:val="clear"/>
          </w:tcPr>
          <w:p>
            <w:r>
              <w:rPr>
                <w:sz w:val="17"/>
              </w:rPr>
              <w:t>7,951</w:t>
            </w:r>
          </w:p>
        </w:tc>
        <w:tc>
          <w:tcPr>
            <w:tcW w:type="dxa" w:w="1440"/>
            <w:shd w:fill="FFDCE0" w:val="clear"/>
          </w:tcPr>
          <w:p>
            <w:r>
              <w:rPr>
                <w:b/>
                <w:color w:val="C00000"/>
                <w:sz w:val="17"/>
              </w:rPr>
              <w:t>-21.8%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SICOR (BRVM)**</w:t>
        <w:br/>
        <w:t>**Date de l'analyse : 26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SICOR s'établit à 4,80 milliards FCFA, un niveau modeste qui la positionne comme une valeur de seconde ligne sur la BRVM, loin des grandes capitalisations du marché. Le Bénéfice Par Action (BPA) et le PER ne sont pas calculables en l'absence de données financières structurées récentes dans la base, mais sur la base du dernier résultat net connu (19,25 millions FCFA en 2023) et du nombre d'actions (600 000 titres), le BPA ressortirait à environ 32 FCFA, ce qui impliquerait un PER théorique d'environ 250x, extrêmement élevé par rapport à la moyenne BRVM (8-12x). Le P/B et l'EV/EBITDA ne peuvent pas être déterminés faute de capitaux propres et d'EBITDA actualisés. Cette absence de ratios fiables traduit une valorisation purement spéculative du titre, déconnectée des fondamentaux historiques de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Le titre SICOR a connu une progression spectaculaire de +97,65% sur les 100 derniers jours, passant d'un plus bas de 3 765 FCFA à un plus haut de 10 200 FCFA, avant de clôturer à 8 005 FCFA, soit une baisse de -7,46% lors de la dernière séance. Cette tendance fortement haussière s'accompagne d'une volatilité annualisée de 60,6%, classant le titre dans la catégorie des valeurs à très haut risque. Les statistiques descriptives révèlent une distribution asymétrique positive (skewness de 1,891), indiquant que le cours a passé la majorité de la période sous sa moyenne de 5 184 FCFA, avec des pics récents exceptionnels. Le kurtosis élevé (2,642) confirme un risque de mouvements extrêmes, tandis que l'écart-type de 1 561 FCFA (CV=30,1%) témoigne d'une dispersion importante autour de la moyenne. La médiane de 4 485 FCFA, nettement inférieure au cours actuel, suggère que le titre a connu une accélération brutale en fin de période, potentiellement spéculative.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8 005 FCFA se positionne au-dessus de la MM20 (7 879,75 FCFA) et très nettement au-dessus de la MM50 (6 100,4 FCFA), confirmant une dynamique haussière de moyen terme. La décision d'achat est justifiée par cette configuration positive, bien que l'écart croissant entre le cours et la MM50 suggère une possible correction à venir.</w:t>
      </w:r>
    </w:p>
    <w:p>
      <w:pPr>
        <w:spacing w:after="120" w:line="276" w:lineRule="auto"/>
      </w:pPr>
      <w:r>
        <w:t>**Bandes de Bollinger** : Le prix se situe dans la partie médiane-haute des bandes, entre la borne inférieure (4 816,64 FCFA) et la borne supérieure (10 942,86 FCFA). La décision neutre s'explique par le fait que le cours a reflué de la borne supérieure après avoir touché des niveaux extrêmes, indiquant un essoufflement temporaire de la tendance haussière.</w:t>
      </w:r>
    </w:p>
    <w:p>
      <w:pPr>
        <w:spacing w:after="120" w:line="276" w:lineRule="auto"/>
      </w:pPr>
      <w:r>
        <w:t>**MACD** : La valeur du MACD (946,23) est inférieure à son signal (1 001,44), générant une décision de vente. Ce croisement baissier, bien que récent, signale un affaiblissement du momentum haussier et pourrait précéder une correction plus profonde.</w:t>
      </w:r>
    </w:p>
    <w:p>
      <w:pPr>
        <w:spacing w:after="120" w:line="276" w:lineRule="auto"/>
      </w:pPr>
      <w:r>
        <w:t>**RSI** : À 62,08, le RSI se situe en zone neutre, en dessous du seuil de surachat de 70. Cette valeur indique que le titre n'est pas encore survendu ni suracheté, laissant une marge de manœuvre avant une éventuelle zone d'épuisement.</w:t>
      </w:r>
    </w:p>
    <w:p>
      <w:pPr>
        <w:spacing w:after="120" w:line="276" w:lineRule="auto"/>
      </w:pPr>
      <w:r>
        <w:t>**Stochastique** : Le %K (29,54) est inférieur au %D (54,70), formant un croisement baissier qui suggère une perte de dynamisme. La décision neutre reflète l'incertitude sur la poursuite du mouvement haussier.</w:t>
      </w:r>
    </w:p>
    <w:p>
      <w:pPr>
        <w:spacing w:after="120" w:line="276" w:lineRule="auto"/>
      </w:pPr>
      <w:r>
        <w:t>**Conclusion technique** : Les indicateurs sont mitigés, avec des signaux contradictoires entre les moyennes mobiles (achat) et le MACD (vente). La récente baisse de -7,46% et le croisement baissier du stochastique suggèrent une phase de consolidation après une forte hausse. La prudence est de mise à court terme.</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disponibles, issues des rapports officiels datant du 31 décembre 2024 (analysés en mars 2026), couvrent les exercices 2022 et 2023. En 2023, le chiffre d'affaires s'est établi à 701,09 millions FCFA, en forte baisse de -38,4% par rapport à 2022 (1 138,17 millions FCFA). Malgré cette contraction, l'entreprise a renoué avec la profitabilité, affichant un résultat net positif de +19,25 millions FCFA contre une perte de -39,95 millions FCFA en 2022, soit une amélioration de 59,2 millions FCFA. La marge nette reste faible à 2,75%, inférieure aux standards sectoriels (5-10%). Les charges totales ont été drastiquement réduites de -43,68%, notamment grâce au transfert de 50% du personnel vers la SIPAL. Le rapport 2023 souligne que les pertes cumulées s'élèvent à 689,86 millions FCFA, interdisant toute distribution de dividende conformément à l'OHADA. Les rapports historiques (2015-2020) montrent une entreprise cyclique avec des résultats très volatils : bénéfice de 434,87 millions FCFA en 2015, perte en 2022, puis retour à l'équilibre en 2023. La trésorerie reste tendue avec des découverts bancaires multipliés par 14 en 2023. Sur la base de ces données anciennes et de l'absence de rapports trimestriels récents, on estime que l'exercice 2024-2025 devrait poursuivre le redressement opérationnel, mais la rentabilité demeure fragile et dépendante de la maîtrise des coûts et de la reprise des volumes. La convocation à l'AG du 22 mai 2026 pour l'approbation des comptes 2024 suggère une continuité d'exploitation, mais les fondamentaux restent structurellement faibles.</w:t>
      </w:r>
    </w:p>
    <w:p>
      <w:pPr>
        <w:spacing w:after="120" w:line="276" w:lineRule="auto"/>
      </w:pPr>
      <w:r>
        <w:t>---</w:t>
      </w:r>
    </w:p>
    <w:p>
      <w:pPr>
        <w:spacing w:after="120" w:line="276" w:lineRule="auto"/>
      </w:pPr>
      <w:r>
        <w:t>### PARTIE 4 : CONCLUSION D'INVESTISSEMENT</w:t>
      </w:r>
    </w:p>
    <w:p>
      <w:pPr>
        <w:spacing w:after="120" w:line="276" w:lineRule="auto"/>
      </w:pPr>
      <w:r>
        <w:t>La valorisation de SICOR apparaît extrêmement spéculative, avec un PER théorique supérieur à 200x, très au-dessus de la moyenne BRVM, indiquant une surévaluation manifeste par rapport aux bénéfices réels. Le comportement du cours, avec une hausse de +97,65% en 100 jours et une volatilité de 60,6%, reflète un mouvement spéculatif intense, renforcé par un kurtosis élevé signalant un risque de retournement brutal. Les signaux techniques sont divergents : les moyennes mobiles restent positives mais le MACD et le stochastique suggèrent un essoufflement, avec une baisse de -7,46% à la dernière séance. Les fondamentaux, basés sur des rapports datant de fin 2024, montrent une entreprise fragile, à peine rentable, sans perspective de dividende à court terme. Les prédictions IA pour les 10 prochains jours (7 531 à 6 765 FCFA) confirment une trajectoire baissière, anticipant une correction de -15% par rapport au cours actuel. Cette convergence entre la surévaluation, les signaux techniques baissiers et les prédictions IA conduit à une recommandation de **VENTE**, avec un niveau de confiance **Moyen** et un risque global **Élevé**. L'horizon d'investissement optimal serait le court terme (&lt;3 mois) pour les investisseurs cherchant à sécuriser leurs gains, tandis que les nouveaux entrants devraient éviter ce titre spéculatif.</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"Bon exercice, rentable, avec une génération de cash solide (CAFG 278 M). Mais report à nouveau encore négatif interdisant tout dividende et trésorerie nette négative. À conserver."}</w:t>
      </w:r>
    </w:p>
    <w:p>
      <w:pPr>
        <w:spacing w:before="40"/>
        <w:ind w:left="400"/>
      </w:pPr>
      <w:r>
        <w:rPr>
          <w:sz w:val="18"/>
        </w:rPr>
        <w:t>SICOR réalise un bon exercice 2020 : bénéfice net de 109,8 M FCFA, en forte hausse par rapport aux 2,35 M de 2019. Le chiffre d'affaires progresse de 27 % à 2,36 Md, l'EBE grimpe à 281 M et le résultat financier redevient positif (+0,8 M). Le report à nouveau reste négatif (-879 M) mais s'améliore légèrement. La trésorerie nette demeure négative (-47 M) tout en se redressant. Exercice de redressement opérationnel confirmé.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'278 millions FCFA', 'resultat_exploitation': '109 millions FCFA', 'excedent_brut_exploitation': '281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4,65 %</w:t>
            </w:r>
          </w:p>
        </w:tc>
        <w:tc>
          <w:tcPr>
            <w:tcW w:type="dxa" w:w="2160"/>
          </w:tcPr>
          <w:p>
            <w:pPr>
              <w:ind w:left="100"/>
            </w:pPr>
            <w:r/>
            <w:r>
              <w:rPr>
                <w:b/>
                <w:sz w:val="16"/>
              </w:rPr>
              <w:t>total_actif</w:t>
              <w:br/>
            </w:r>
            <w:r>
              <w:rPr>
                <w:sz w:val="18"/>
              </w:rPr>
              <w:t>4,09 milliards FCFA</w:t>
            </w:r>
          </w:p>
        </w:tc>
      </w:tr>
      <w:tr>
        <w:tc>
          <w:tcPr>
            <w:tcW w:type="dxa" w:w="2160"/>
          </w:tcPr>
          <w:p>
            <w:r/>
            <w:r>
              <w:rPr>
                <w:b/>
                <w:sz w:val="16"/>
              </w:rPr>
              <w:t>resultat_net</w:t>
              <w:br/>
            </w:r>
            <w:r>
              <w:rPr>
                <w:sz w:val="18"/>
              </w:rPr>
              <w:t>109,8 millions FCFA (bénéfice)</w:t>
            </w:r>
          </w:p>
        </w:tc>
        <w:tc>
          <w:tcPr>
            <w:tcW w:type="dxa" w:w="2160"/>
          </w:tcPr>
          <w:p>
            <w:r/>
            <w:r>
              <w:rPr>
                <w:b/>
                <w:sz w:val="16"/>
              </w:rPr>
              <w:t>capitaux_propres</w:t>
              <w:br/>
            </w:r>
            <w:r>
              <w:rPr>
                <w:sz w:val="18"/>
              </w:rPr>
              <w:t>3,01 milliards FCFA</w:t>
            </w:r>
          </w:p>
        </w:tc>
        <w:tc>
          <w:tcPr>
            <w:tcW w:type="dxa" w:w="2160"/>
          </w:tcPr>
          <w:p>
            <w:r/>
            <w:r>
              <w:rPr>
                <w:b/>
                <w:sz w:val="16"/>
              </w:rPr>
              <w:t>chiffre_affaires</w:t>
              <w:br/>
            </w:r>
            <w:r>
              <w:rPr>
                <w:sz w:val="18"/>
              </w:rPr>
              <w:t>2,36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2,36 Md FCFA (+27 %)</w:t>
      </w:r>
    </w:p>
    <w:p>
      <w:pPr>
        <w:pStyle w:val="ListBullet"/>
        <w:spacing w:before="20" w:after="20"/>
        <w:ind w:left="700"/>
      </w:pPr>
      <w:r>
        <w:rPr>
          <w:sz w:val="18"/>
        </w:rPr>
        <w:t>EBE 281 M FCFA, en nette progression</w:t>
      </w:r>
    </w:p>
    <w:p>
      <w:pPr>
        <w:pStyle w:val="ListBullet"/>
        <w:spacing w:before="20" w:after="20"/>
        <w:ind w:left="700"/>
      </w:pPr>
      <w:r>
        <w:rPr>
          <w:sz w:val="18"/>
        </w:rPr>
        <w:t>Bénéfice net 109,8 M FCFA (contre 2,35 M en 2019)</w:t>
      </w:r>
    </w:p>
    <w:p>
      <w:pPr>
        <w:pStyle w:val="ListBullet"/>
        <w:spacing w:before="20" w:after="20"/>
        <w:ind w:left="700"/>
      </w:pPr>
      <w:r>
        <w:rPr>
          <w:sz w:val="18"/>
        </w:rPr>
        <w:t>Résultat financier redevenu positif (+0,8 M)</w:t>
      </w:r>
    </w:p>
    <w:p>
      <w:pPr>
        <w:pStyle w:val="ListBullet"/>
        <w:spacing w:before="20" w:after="20"/>
        <w:ind w:left="700"/>
      </w:pPr>
      <w:r>
        <w:rPr>
          <w:sz w:val="18"/>
        </w:rPr>
        <w:t>Report à nouveau encore négatif (-879 M), en légère amélioration</w:t>
      </w:r>
    </w:p>
    <w:p>
      <w:pPr>
        <w:pStyle w:val="ListBullet"/>
        <w:spacing w:before="20" w:after="20"/>
        <w:ind w:left="700"/>
      </w:pPr>
      <w:r>
        <w:rPr>
          <w:sz w:val="18"/>
        </w:rPr>
        <w:t>Trésorerie nette négative (-47 M) mais en amélioration</w:t>
      </w:r>
    </w:p>
    <w:p>
      <w:pPr>
        <w:spacing w:before="40"/>
        <w:ind w:left="400"/>
      </w:pPr>
      <w:r>
        <w:rPr>
          <w:b/>
          <w:color w:val="C05000"/>
          <w:sz w:val="18"/>
        </w:rPr>
        <w:t xml:space="preserve">⚠️ Risques : </w:t>
      </w:r>
      <w:r>
        <w:rPr>
          <w:sz w:val="18"/>
        </w:rPr>
        <w:t>["Report à nouveau toujours négatif (-879 M)", "Trésorerie nette négative (-47 M)", "Dépendance à un chiffre d'affaires volatil dans une activité agro-industrielle (coco)", "Pas de distribution possible tant que les pertes cumulées subsistent"]</w:t>
      </w:r>
    </w:p>
    <w:p>
      <w:pPr>
        <w:spacing w:before="40"/>
        <w:ind w:left="400"/>
      </w:pPr>
      <w:r>
        <w:rPr>
          <w:b/>
          <w:color w:val="0064A0"/>
          <w:sz w:val="18"/>
        </w:rPr>
        <w:t xml:space="preserve">🔮 Perspectives : </w:t>
      </w:r>
      <w:r>
        <w:rPr>
          <w:sz w:val="18"/>
        </w:rPr>
        <w:t>La forte génération de trésorerie (CAFG 278 M) et le retour à un résultat financier positif consolident le redressement. Si la dynamique se maintient, l'apurement progressif du report à nouveau devient envisageable.</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20.79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5,401 titres</w:t>
            </w:r>
          </w:p>
        </w:tc>
        <w:tc>
          <w:tcPr>
            <w:tcW w:type="dxa" w:w="2268"/>
            <w:shd w:fill="FFF2CC" w:val="clear"/>
          </w:tcPr>
          <w:p>
            <w:r>
              <w:rPr>
                <w:b/>
                <w:color w:val="503200"/>
                <w:sz w:val="16"/>
              </w:rPr>
              <w:t xml:space="preserve">Cours actuel : </w:t>
            </w:r>
            <w:r>
              <w:rPr>
                <w:color w:val="000000"/>
                <w:sz w:val="17"/>
              </w:rPr>
              <w:t>2,380 FCFA</w:t>
            </w:r>
          </w:p>
          <w:p>
            <w:r>
              <w:rPr>
                <w:b/>
                <w:color w:val="503200"/>
                <w:sz w:val="16"/>
              </w:rPr>
              <w:t xml:space="preserve">Var. 100 jours : </w:t>
            </w:r>
            <w:r>
              <w:rPr>
                <w:b/>
                <w:color w:val="B40000"/>
                <w:sz w:val="17"/>
              </w:rPr>
              <w:t>-20.00%</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50.7%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11.24% (Moyenne) — μ=2,613 FCFA, σ=294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β=0.2384 (Défensif) — Cov=0.000008, Var(idx)=0.000034, ρ=0.043,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5,401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σ_j=3.19%/j (Modérée) — Vol. annualisée≈50.7%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2026-08-27</w:t>
            </w:r>
          </w:p>
        </w:tc>
        <w:tc>
          <w:tcPr>
            <w:tcW w:type="dxa" w:w="1440"/>
            <w:shd w:fill="FFDCE0" w:val="clear"/>
          </w:tcPr>
          <w:p>
            <w:r>
              <w:rPr>
                <w:sz w:val="17"/>
              </w:rPr>
              <w:t>2,004</w:t>
            </w:r>
          </w:p>
        </w:tc>
        <w:tc>
          <w:tcPr>
            <w:tcW w:type="dxa" w:w="1440"/>
            <w:shd w:fill="FFDCE0" w:val="clear"/>
          </w:tcPr>
          <w:p>
            <w:r>
              <w:rPr>
                <w:b/>
                <w:sz w:val="17"/>
              </w:rPr>
              <w:t>2,193</w:t>
            </w:r>
          </w:p>
        </w:tc>
        <w:tc>
          <w:tcPr>
            <w:tcW w:type="dxa" w:w="1440"/>
            <w:shd w:fill="FFDCE0" w:val="clear"/>
          </w:tcPr>
          <w:p>
            <w:r>
              <w:rPr>
                <w:sz w:val="17"/>
              </w:rPr>
              <w:t>2,381</w:t>
            </w:r>
          </w:p>
        </w:tc>
        <w:tc>
          <w:tcPr>
            <w:tcW w:type="dxa" w:w="1440"/>
            <w:shd w:fill="FFDCE0" w:val="clear"/>
          </w:tcPr>
          <w:p>
            <w:r>
              <w:rPr>
                <w:b/>
                <w:color w:val="C00000"/>
                <w:sz w:val="17"/>
              </w:rPr>
              <w:t>-7.9%</w:t>
            </w:r>
          </w:p>
        </w:tc>
      </w:tr>
      <w:tr>
        <w:tc>
          <w:tcPr>
            <w:tcW w:type="dxa" w:w="1440"/>
            <w:shd w:fill="FFDCE0" w:val="clear"/>
          </w:tcPr>
          <w:p>
            <w:r>
              <w:rPr>
                <w:sz w:val="17"/>
              </w:rPr>
              <w:t>J+2  ⭐</w:t>
            </w:r>
          </w:p>
        </w:tc>
        <w:tc>
          <w:tcPr>
            <w:tcW w:type="dxa" w:w="1440"/>
            <w:shd w:fill="FFDCE0" w:val="clear"/>
          </w:tcPr>
          <w:p>
            <w:r>
              <w:rPr>
                <w:sz w:val="17"/>
              </w:rPr>
              <w:t>2026-08-28</w:t>
            </w:r>
          </w:p>
        </w:tc>
        <w:tc>
          <w:tcPr>
            <w:tcW w:type="dxa" w:w="1440"/>
            <w:shd w:fill="FFDCE0" w:val="clear"/>
          </w:tcPr>
          <w:p>
            <w:r>
              <w:rPr>
                <w:sz w:val="17"/>
              </w:rPr>
              <w:t>1,919</w:t>
            </w:r>
          </w:p>
        </w:tc>
        <w:tc>
          <w:tcPr>
            <w:tcW w:type="dxa" w:w="1440"/>
            <w:shd w:fill="FFDCE0" w:val="clear"/>
          </w:tcPr>
          <w:p>
            <w:r>
              <w:rPr>
                <w:b/>
                <w:sz w:val="17"/>
              </w:rPr>
              <w:t>2,145</w:t>
            </w:r>
          </w:p>
        </w:tc>
        <w:tc>
          <w:tcPr>
            <w:tcW w:type="dxa" w:w="1440"/>
            <w:shd w:fill="FFDCE0" w:val="clear"/>
          </w:tcPr>
          <w:p>
            <w:r>
              <w:rPr>
                <w:sz w:val="17"/>
              </w:rPr>
              <w:t>2,371</w:t>
            </w:r>
          </w:p>
        </w:tc>
        <w:tc>
          <w:tcPr>
            <w:tcW w:type="dxa" w:w="1440"/>
            <w:shd w:fill="FFDCE0" w:val="clear"/>
          </w:tcPr>
          <w:p>
            <w:r>
              <w:rPr>
                <w:b/>
                <w:color w:val="C00000"/>
                <w:sz w:val="17"/>
              </w:rPr>
              <w:t>-9.9%</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1,841</w:t>
            </w:r>
          </w:p>
        </w:tc>
        <w:tc>
          <w:tcPr>
            <w:tcW w:type="dxa" w:w="1440"/>
            <w:shd w:fill="FFDCE0" w:val="clear"/>
          </w:tcPr>
          <w:p>
            <w:r>
              <w:rPr>
                <w:b/>
                <w:sz w:val="17"/>
              </w:rPr>
              <w:t>2,096</w:t>
            </w:r>
          </w:p>
        </w:tc>
        <w:tc>
          <w:tcPr>
            <w:tcW w:type="dxa" w:w="1440"/>
            <w:shd w:fill="FFDCE0" w:val="clear"/>
          </w:tcPr>
          <w:p>
            <w:r>
              <w:rPr>
                <w:sz w:val="17"/>
              </w:rPr>
              <w:t>2,351</w:t>
            </w:r>
          </w:p>
        </w:tc>
        <w:tc>
          <w:tcPr>
            <w:tcW w:type="dxa" w:w="1440"/>
            <w:shd w:fill="FFDCE0" w:val="clear"/>
          </w:tcPr>
          <w:p>
            <w:r>
              <w:rPr>
                <w:b/>
                <w:color w:val="C00000"/>
                <w:sz w:val="17"/>
              </w:rPr>
              <w:t>-11.9%</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1,769</w:t>
            </w:r>
          </w:p>
        </w:tc>
        <w:tc>
          <w:tcPr>
            <w:tcW w:type="dxa" w:w="1440"/>
            <w:shd w:fill="FFDCE0" w:val="clear"/>
          </w:tcPr>
          <w:p>
            <w:r>
              <w:rPr>
                <w:b/>
                <w:sz w:val="17"/>
              </w:rPr>
              <w:t>2,048</w:t>
            </w:r>
          </w:p>
        </w:tc>
        <w:tc>
          <w:tcPr>
            <w:tcW w:type="dxa" w:w="1440"/>
            <w:shd w:fill="FFDCE0" w:val="clear"/>
          </w:tcPr>
          <w:p>
            <w:r>
              <w:rPr>
                <w:sz w:val="17"/>
              </w:rPr>
              <w:t>2,327</w:t>
            </w:r>
          </w:p>
        </w:tc>
        <w:tc>
          <w:tcPr>
            <w:tcW w:type="dxa" w:w="1440"/>
            <w:shd w:fill="FFDCE0" w:val="clear"/>
          </w:tcPr>
          <w:p>
            <w:r>
              <w:rPr>
                <w:b/>
                <w:color w:val="C00000"/>
                <w:sz w:val="17"/>
              </w:rPr>
              <w:t>-14.0%</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1,703</w:t>
            </w:r>
          </w:p>
        </w:tc>
        <w:tc>
          <w:tcPr>
            <w:tcW w:type="dxa" w:w="1440"/>
            <w:shd w:fill="FFDCE0" w:val="clear"/>
          </w:tcPr>
          <w:p>
            <w:r>
              <w:rPr>
                <w:b/>
                <w:sz w:val="17"/>
              </w:rPr>
              <w:t>2,002</w:t>
            </w:r>
          </w:p>
        </w:tc>
        <w:tc>
          <w:tcPr>
            <w:tcW w:type="dxa" w:w="1440"/>
            <w:shd w:fill="FFDCE0" w:val="clear"/>
          </w:tcPr>
          <w:p>
            <w:r>
              <w:rPr>
                <w:sz w:val="17"/>
              </w:rPr>
              <w:t>2,300</w:t>
            </w:r>
          </w:p>
        </w:tc>
        <w:tc>
          <w:tcPr>
            <w:tcW w:type="dxa" w:w="1440"/>
            <w:shd w:fill="FFDCE0" w:val="clear"/>
          </w:tcPr>
          <w:p>
            <w:r>
              <w:rPr>
                <w:b/>
                <w:color w:val="C00000"/>
                <w:sz w:val="17"/>
              </w:rPr>
              <w:t>-15.9%</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1,642</w:t>
            </w:r>
          </w:p>
        </w:tc>
        <w:tc>
          <w:tcPr>
            <w:tcW w:type="dxa" w:w="1440"/>
            <w:shd w:fill="FFDCE0" w:val="clear"/>
          </w:tcPr>
          <w:p>
            <w:r>
              <w:rPr>
                <w:b/>
                <w:sz w:val="17"/>
              </w:rPr>
              <w:t>1,957</w:t>
            </w:r>
          </w:p>
        </w:tc>
        <w:tc>
          <w:tcPr>
            <w:tcW w:type="dxa" w:w="1440"/>
            <w:shd w:fill="FFDCE0" w:val="clear"/>
          </w:tcPr>
          <w:p>
            <w:r>
              <w:rPr>
                <w:sz w:val="17"/>
              </w:rPr>
              <w:t>2,272</w:t>
            </w:r>
          </w:p>
        </w:tc>
        <w:tc>
          <w:tcPr>
            <w:tcW w:type="dxa" w:w="1440"/>
            <w:shd w:fill="FFDCE0" w:val="clear"/>
          </w:tcPr>
          <w:p>
            <w:r>
              <w:rPr>
                <w:b/>
                <w:color w:val="C00000"/>
                <w:sz w:val="17"/>
              </w:rPr>
              <w:t>-17.8%</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1,584</w:t>
            </w:r>
          </w:p>
        </w:tc>
        <w:tc>
          <w:tcPr>
            <w:tcW w:type="dxa" w:w="1440"/>
            <w:shd w:fill="FFDCE0" w:val="clear"/>
          </w:tcPr>
          <w:p>
            <w:r>
              <w:rPr>
                <w:b/>
                <w:sz w:val="17"/>
              </w:rPr>
              <w:t>1,914</w:t>
            </w:r>
          </w:p>
        </w:tc>
        <w:tc>
          <w:tcPr>
            <w:tcW w:type="dxa" w:w="1440"/>
            <w:shd w:fill="FFDCE0" w:val="clear"/>
          </w:tcPr>
          <w:p>
            <w:r>
              <w:rPr>
                <w:sz w:val="17"/>
              </w:rPr>
              <w:t>2,243</w:t>
            </w:r>
          </w:p>
        </w:tc>
        <w:tc>
          <w:tcPr>
            <w:tcW w:type="dxa" w:w="1440"/>
            <w:shd w:fill="FFDCE0" w:val="clear"/>
          </w:tcPr>
          <w:p>
            <w:r>
              <w:rPr>
                <w:b/>
                <w:color w:val="C00000"/>
                <w:sz w:val="17"/>
              </w:rPr>
              <w:t>-19.6%</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1,530</w:t>
            </w:r>
          </w:p>
        </w:tc>
        <w:tc>
          <w:tcPr>
            <w:tcW w:type="dxa" w:w="1440"/>
            <w:shd w:fill="FFDCE0" w:val="clear"/>
          </w:tcPr>
          <w:p>
            <w:r>
              <w:rPr>
                <w:b/>
                <w:sz w:val="17"/>
              </w:rPr>
              <w:t>1,872</w:t>
            </w:r>
          </w:p>
        </w:tc>
        <w:tc>
          <w:tcPr>
            <w:tcW w:type="dxa" w:w="1440"/>
            <w:shd w:fill="FFDCE0" w:val="clear"/>
          </w:tcPr>
          <w:p>
            <w:r>
              <w:rPr>
                <w:sz w:val="17"/>
              </w:rPr>
              <w:t>2,214</w:t>
            </w:r>
          </w:p>
        </w:tc>
        <w:tc>
          <w:tcPr>
            <w:tcW w:type="dxa" w:w="1440"/>
            <w:shd w:fill="FFDCE0" w:val="clear"/>
          </w:tcPr>
          <w:p>
            <w:r>
              <w:rPr>
                <w:b/>
                <w:color w:val="C00000"/>
                <w:sz w:val="17"/>
              </w:rPr>
              <w:t>-21.4%</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1,479</w:t>
            </w:r>
          </w:p>
        </w:tc>
        <w:tc>
          <w:tcPr>
            <w:tcW w:type="dxa" w:w="1440"/>
            <w:shd w:fill="FFDCE0" w:val="clear"/>
          </w:tcPr>
          <w:p>
            <w:r>
              <w:rPr>
                <w:b/>
                <w:sz w:val="17"/>
              </w:rPr>
              <w:t>1,832</w:t>
            </w:r>
          </w:p>
        </w:tc>
        <w:tc>
          <w:tcPr>
            <w:tcW w:type="dxa" w:w="1440"/>
            <w:shd w:fill="FFDCE0" w:val="clear"/>
          </w:tcPr>
          <w:p>
            <w:r>
              <w:rPr>
                <w:sz w:val="17"/>
              </w:rPr>
              <w:t>2,184</w:t>
            </w:r>
          </w:p>
        </w:tc>
        <w:tc>
          <w:tcPr>
            <w:tcW w:type="dxa" w:w="1440"/>
            <w:shd w:fill="FFDCE0" w:val="clear"/>
          </w:tcPr>
          <w:p>
            <w:r>
              <w:rPr>
                <w:b/>
                <w:color w:val="C00000"/>
                <w:sz w:val="17"/>
              </w:rPr>
              <w:t>-23.0%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Absolument. Voici votre rapport d'analyse financière structuré pour l'action SIVC (désormais ERIUM CI).</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20,79 milliards FCFA positionne SIVC comme une valeur de taille moyenne sur la BRVM. Le BPA de 43 FCFA est faible, ce qui explique un PER de 55,1x, très supérieur à la moyenne du marché (8-12x). Les investisseurs paient donc un prix extrêmement élevé pour chaque franc de bénéfice, signe d'une valorisation très exigeante. Le P/B de 6,35x confirme cette tendance, le marché valorisant l'actif net comptable plus de six fois au-dessus de sa valeur. Enfin, un EV/EBITDA de 17,3x indique que la valeur totale de l'entreprise (dette incluse) représente plus de 17 fois sa capacité opérationnelle brute, un niveau de prime considérable qui laisse peu de place à l'erreur.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SIVC a subi une forte correction de -20%, passant d'un plus haut de 3 215 FCFA à un plus bas de 1 920 FCFA, avant de clôturer à 2 380 FCFA. La légère hausse de +0,42% lors de la dernière séance ne compense pas une tendance de fond clairement baissière. La moyenne du cours (2 613 FCFA) est inférieure à la médiane (2 710 FCFA), ce qui, combiné à un skewness négatif (-0.392), indique une distribution asymétrique avec des baisses plus fréquentes et plus marquées. L'écart-type de 295 FCFA (CV de 11,3%) montre une dispersion modérée, tandis que le kurtosis de -0.958 (mésokurtique) suggère l'absence de variations extrêmes et imprévisibles. La volatilité annualisée de 50,7% est très élevée, classant ce titre comme risqué et sujet à de fortes fluctuations.</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(2 380 FCFA) est supérieur à la MM20 (2 290) mais inférieur à la MM50 (2 371,2). Cette configuration en "croix de la mort" sur le moyen terme, avec un cours sous la MM50, confirme la tendance baissière de fond. La décision de "Vente" est justifiée, car la dynamique de moyen terme reste négative malgré un rebond à court terme.</w:t>
      </w:r>
    </w:p>
    <w:p>
      <w:pPr>
        <w:spacing w:after="120" w:line="276" w:lineRule="auto"/>
      </w:pPr>
      <w:r>
        <w:t>**Bandes de Bollinger**: Le prix se situe dans la partie supérieure du canal, entre la borne inférieure (2 057,7) et la borne supérieure (2 522,3). La décision "Neutre" est cohérente : le cours évolue dans une zone médiane, indiquant une volatilité modérée et une absence de signal directionnel fort. Un dépassement de la borne supérieure serait un signal haussier, tandis qu'une cassure sous la borne inférieure confirmerait la tendance baissière.</w:t>
      </w:r>
    </w:p>
    <w:p>
      <w:pPr>
        <w:spacing w:after="120" w:line="276" w:lineRule="auto"/>
      </w:pPr>
      <w:r>
        <w:t>**MACD**: Le MACD (15.196) est passé au-dessus de sa ligne de signal (-4.045), générant un signal d'achat. Cette configuration indique un momentum haussier à court terme, suggérant que la pression vendeuse s'atténue et qu'un rebond technique est en cours. Cependant, ce signal est à relativiser face à la tendance baissière de fond.</w:t>
      </w:r>
    </w:p>
    <w:p>
      <w:pPr>
        <w:spacing w:after="120" w:line="276" w:lineRule="auto"/>
      </w:pPr>
      <w:r>
        <w:t>**RSI**: Le RSI à 63.43 se situe en zone neutre (entre 30 et 70), indiquant que le titre n'est ni suracheté ni survendu. La décision "Neutre" est appropriée. Le RSI laisse de la place pour une poursuite du rebond avant d'atteindre la zone de surachat (70), mais ne confirme pas une force directionnelle particulière.</w:t>
      </w:r>
    </w:p>
    <w:p>
      <w:pPr>
        <w:spacing w:after="120" w:line="276" w:lineRule="auto"/>
      </w:pPr>
      <w:r>
        <w:t>**Stochastique**: Le %K (85.9) et le %D (85.0) sont tous deux en zone de surachat (au-dessus de 80). La décision de "Vente" est justifiée, car ce niveau indique que le mouvement haussier récent est peut-être arrivé à son terme. Un croisement baissier du %K sous le %D serait un signal de retournement à court terme.</w:t>
      </w:r>
    </w:p>
    <w:p>
      <w:pPr>
        <w:spacing w:after="120" w:line="276" w:lineRule="auto"/>
      </w:pPr>
      <w:r>
        <w:t>**Conclusion technique** : Les signaux sont mitigés. Le MACD et la position du prix au-dessus de la MM20 suggèrent un rebond à court terme, mais la tendance de fond (prix sous MM50) et les indicateurs de surachat (Stochastique) plaident pour une poursuite de la prudence. La configuration est typique d'un marché en consolidation baissière, avec un potentiel de rebond technique limité avant une possible reprise de la tendance baissière.</w:t>
      </w:r>
    </w:p>
    <w:p>
      <w:pPr>
        <w:spacing w:after="120" w:line="276" w:lineRule="auto"/>
      </w:pPr>
      <w:r>
        <w:t>---</w:t>
      </w:r>
    </w:p>
    <w:p>
      <w:pPr>
        <w:spacing w:after="120" w:line="276" w:lineRule="auto"/>
      </w:pPr>
      <w:r>
        <w:t>### **PARTIE 3 : ANALYSE FONDAMENTALE (SECTION CRITIQUE)**</w:t>
      </w:r>
    </w:p>
    <w:p>
      <w:pPr>
        <w:spacing w:after="120" w:line="276" w:lineRule="auto"/>
      </w:pPr>
      <w:r>
        <w:t>En 2024, les données structurées indiquent un PNB de 9,283 milliards FCFA, un résultat net de 376,96 millions FCFA et un ROE de 11,52%. Le coefficient d'exploitation est très dégradé à 95,83%, indiquant une mauvaise maîtrise des charges, et le coût du risque est élevé (3,10%). Les rapports narratifs de 2025 montrent une tendance contrastée. Le rapport du 3e trimestre 2025 (publié en 2026) fait état d'un chiffre d'affaires cumulé de 7 584,7 millions FCFA (+13%) et d'un résultat net de 832,5 millions FCFA (+58%), suggérant une amélioration spectaculaire de la rentabilité. Cependant, le rapport annuel pour l'exercice clos au 31 décembre 2025, analysé par DeepSeek, révèle une réalité plus sombre : malgré un CA en hausse de 8,5% à 10,07 milliards FCFA, le résultat net a chuté de 52% à 179,3 millions FCFA, avec une marge nette tombée à 1,78%. Cette dégradation est due à une forte augmentation des charges et à un résultat financier négatif. La trésorerie nette reste négative (-1,66 milliard FCFA), et l'endettement financier a augmenté à 4,16 milliards FCFA. Sur la base du rapport S1 2025 (résultat net de 512,9 millions FCFA), on estime que le second semestre a été fortement déficitaire pour aboutir à ce résultat annuel. La situation financière est donc fragile, marquée par une rentabilité en chute libre et un endettement croissant.</w:t>
      </w:r>
    </w:p>
    <w:p>
      <w:pPr>
        <w:spacing w:after="120" w:line="276" w:lineRule="auto"/>
      </w:pPr>
      <w:r>
        <w:t>---</w:t>
      </w:r>
    </w:p>
    <w:p>
      <w:pPr>
        <w:spacing w:after="120" w:line="276" w:lineRule="auto"/>
      </w:pPr>
      <w:r>
        <w:t>### **PARTIE 4 : CONCLUSION D'INVESTISSEMENT**</w:t>
      </w:r>
    </w:p>
    <w:p>
      <w:pPr>
        <w:spacing w:after="120" w:line="276" w:lineRule="auto"/>
      </w:pPr>
      <w:r>
        <w:t>La valorisation de SIVC est extrêmement exigeante (PER 55x, P/B 6.35x), ce qui est injustifié au regard de la chute de la rentabilité en 2025. Le comportement du cours (-20% sur 100 jours) avec une volatilité très élevée (50,7%) reflète cette défiance. Les signaux techniques sont mitigés, avec un rebond à court terme (MACD) mais une tendance de fond baissière (MM50) et des indicateurs de surachat (Stochastique). Les fondamentaux sont préoccupants : la croissance du chiffre d'affaires ne se traduit pas en profit, la marge nette s'est effondrée et la structure financière se dégrade. Les prédictions IA sur 10 jours (baisse de 2 193 à 2 002 FCFA) confirment la poursuite de la tendance baissière. En synthèse, tous les signaux, à l'exception d'un léger rebond technique, convergent vers une sous-performance. Par conséquent, la recommandation est **VENTE**. Le niveau de confiance est **Élevé** et le risque global est **Élevé**. L'horizon d'investissement optimal est le **court terme (&lt;3 mois)** pour tout investisseur cherchant à sortir, ou une attente de correction plus profonde pour un point d'entrée futur.</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618.10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1,127 titres</w:t>
            </w:r>
          </w:p>
        </w:tc>
        <w:tc>
          <w:tcPr>
            <w:tcW w:type="dxa" w:w="2268"/>
            <w:shd w:fill="FFF2CC" w:val="clear"/>
          </w:tcPr>
          <w:p>
            <w:r>
              <w:rPr>
                <w:b/>
                <w:color w:val="503200"/>
                <w:sz w:val="16"/>
              </w:rPr>
              <w:t xml:space="preserve">Cours actuel : </w:t>
            </w:r>
            <w:r>
              <w:rPr>
                <w:color w:val="000000"/>
                <w:sz w:val="17"/>
              </w:rPr>
              <w:t>37,550 FCFA</w:t>
            </w:r>
          </w:p>
          <w:p>
            <w:r>
              <w:rPr>
                <w:b/>
                <w:color w:val="503200"/>
                <w:sz w:val="16"/>
              </w:rPr>
              <w:t xml:space="preserve">Var. 100 jours : </w:t>
            </w:r>
            <w:r>
              <w:rPr>
                <w:b/>
                <w:color w:val="B40000"/>
                <w:sz w:val="17"/>
              </w:rPr>
              <w:t>-2.97%</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2.48% (Faible) — μ=38,365 FCFA, σ=952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β=0.1824 (Défensif) — Cov=0.000006, Var(idx)=0.000034, ρ=0.057,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1,127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σ_j=1.87%/j (Stable) — Vol. annualisée≈29.6%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2026-08-27</w:t>
            </w:r>
          </w:p>
        </w:tc>
        <w:tc>
          <w:tcPr>
            <w:tcW w:type="dxa" w:w="1440"/>
            <w:shd w:fill="FAFAFA" w:val="clear"/>
          </w:tcPr>
          <w:p>
            <w:r>
              <w:rPr>
                <w:sz w:val="17"/>
              </w:rPr>
              <w:t>35,551</w:t>
            </w:r>
          </w:p>
        </w:tc>
        <w:tc>
          <w:tcPr>
            <w:tcW w:type="dxa" w:w="1440"/>
            <w:shd w:fill="FAFAFA" w:val="clear"/>
          </w:tcPr>
          <w:p>
            <w:r>
              <w:rPr>
                <w:b/>
                <w:sz w:val="17"/>
              </w:rPr>
              <w:t>37,303</w:t>
            </w:r>
          </w:p>
        </w:tc>
        <w:tc>
          <w:tcPr>
            <w:tcW w:type="dxa" w:w="1440"/>
            <w:shd w:fill="FAFAFA" w:val="clear"/>
          </w:tcPr>
          <w:p>
            <w:r>
              <w:rPr>
                <w:sz w:val="17"/>
              </w:rPr>
              <w:t>39,055</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2026-08-28</w:t>
            </w:r>
          </w:p>
        </w:tc>
        <w:tc>
          <w:tcPr>
            <w:tcW w:type="dxa" w:w="1440"/>
            <w:shd w:fill="FAFAFA" w:val="clear"/>
          </w:tcPr>
          <w:p>
            <w:r>
              <w:rPr>
                <w:sz w:val="17"/>
              </w:rPr>
              <w:t>35,127</w:t>
            </w:r>
          </w:p>
        </w:tc>
        <w:tc>
          <w:tcPr>
            <w:tcW w:type="dxa" w:w="1440"/>
            <w:shd w:fill="FAFAFA" w:val="clear"/>
          </w:tcPr>
          <w:p>
            <w:r>
              <w:rPr>
                <w:b/>
                <w:sz w:val="17"/>
              </w:rPr>
              <w:t>37,272</w:t>
            </w:r>
          </w:p>
        </w:tc>
        <w:tc>
          <w:tcPr>
            <w:tcW w:type="dxa" w:w="1440"/>
            <w:shd w:fill="FAFAFA" w:val="clear"/>
          </w:tcPr>
          <w:p>
            <w:r>
              <w:rPr>
                <w:sz w:val="17"/>
              </w:rPr>
              <w:t>39,416</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2026-08-31</w:t>
            </w:r>
          </w:p>
        </w:tc>
        <w:tc>
          <w:tcPr>
            <w:tcW w:type="dxa" w:w="1440"/>
            <w:shd w:fill="FAFAFA" w:val="clear"/>
          </w:tcPr>
          <w:p>
            <w:r>
              <w:rPr>
                <w:sz w:val="17"/>
              </w:rPr>
              <w:t>34,766</w:t>
            </w:r>
          </w:p>
        </w:tc>
        <w:tc>
          <w:tcPr>
            <w:tcW w:type="dxa" w:w="1440"/>
            <w:shd w:fill="FAFAFA" w:val="clear"/>
          </w:tcPr>
          <w:p>
            <w:r>
              <w:rPr>
                <w:b/>
                <w:sz w:val="17"/>
              </w:rPr>
              <w:t>37,240</w:t>
            </w:r>
          </w:p>
        </w:tc>
        <w:tc>
          <w:tcPr>
            <w:tcW w:type="dxa" w:w="1440"/>
            <w:shd w:fill="FAFAFA" w:val="clear"/>
          </w:tcPr>
          <w:p>
            <w:r>
              <w:rPr>
                <w:sz w:val="17"/>
              </w:rPr>
              <w:t>39,714</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2026-09-01</w:t>
            </w:r>
          </w:p>
        </w:tc>
        <w:tc>
          <w:tcPr>
            <w:tcW w:type="dxa" w:w="1440"/>
            <w:shd w:fill="FAFAFA" w:val="clear"/>
          </w:tcPr>
          <w:p>
            <w:r>
              <w:rPr>
                <w:sz w:val="17"/>
              </w:rPr>
              <w:t>34,444</w:t>
            </w:r>
          </w:p>
        </w:tc>
        <w:tc>
          <w:tcPr>
            <w:tcW w:type="dxa" w:w="1440"/>
            <w:shd w:fill="FAFAFA" w:val="clear"/>
          </w:tcPr>
          <w:p>
            <w:r>
              <w:rPr>
                <w:b/>
                <w:sz w:val="17"/>
              </w:rPr>
              <w:t>37,208</w:t>
            </w:r>
          </w:p>
        </w:tc>
        <w:tc>
          <w:tcPr>
            <w:tcW w:type="dxa" w:w="1440"/>
            <w:shd w:fill="FAFAFA" w:val="clear"/>
          </w:tcPr>
          <w:p>
            <w:r>
              <w:rPr>
                <w:sz w:val="17"/>
              </w:rPr>
              <w:t>39,972</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2026-09-02</w:t>
            </w:r>
          </w:p>
        </w:tc>
        <w:tc>
          <w:tcPr>
            <w:tcW w:type="dxa" w:w="1440"/>
            <w:shd w:fill="FAFAFA" w:val="clear"/>
          </w:tcPr>
          <w:p>
            <w:r>
              <w:rPr>
                <w:sz w:val="17"/>
              </w:rPr>
              <w:t>34,151</w:t>
            </w:r>
          </w:p>
        </w:tc>
        <w:tc>
          <w:tcPr>
            <w:tcW w:type="dxa" w:w="1440"/>
            <w:shd w:fill="FAFAFA" w:val="clear"/>
          </w:tcPr>
          <w:p>
            <w:r>
              <w:rPr>
                <w:b/>
                <w:sz w:val="17"/>
              </w:rPr>
              <w:t>37,176</w:t>
            </w:r>
          </w:p>
        </w:tc>
        <w:tc>
          <w:tcPr>
            <w:tcW w:type="dxa" w:w="1440"/>
            <w:shd w:fill="FAFAFA" w:val="clear"/>
          </w:tcPr>
          <w:p>
            <w:r>
              <w:rPr>
                <w:sz w:val="17"/>
              </w:rPr>
              <w:t>40,201</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2026-09-03</w:t>
            </w:r>
          </w:p>
        </w:tc>
        <w:tc>
          <w:tcPr>
            <w:tcW w:type="dxa" w:w="1440"/>
            <w:shd w:fill="FAFAFA" w:val="clear"/>
          </w:tcPr>
          <w:p>
            <w:r>
              <w:rPr>
                <w:sz w:val="17"/>
              </w:rPr>
              <w:t>33,880</w:t>
            </w:r>
          </w:p>
        </w:tc>
        <w:tc>
          <w:tcPr>
            <w:tcW w:type="dxa" w:w="1440"/>
            <w:shd w:fill="FAFAFA" w:val="clear"/>
          </w:tcPr>
          <w:p>
            <w:r>
              <w:rPr>
                <w:b/>
                <w:sz w:val="17"/>
              </w:rPr>
              <w:t>37,144</w:t>
            </w:r>
          </w:p>
        </w:tc>
        <w:tc>
          <w:tcPr>
            <w:tcW w:type="dxa" w:w="1440"/>
            <w:shd w:fill="FAFAFA" w:val="clear"/>
          </w:tcPr>
          <w:p>
            <w:r>
              <w:rPr>
                <w:sz w:val="17"/>
              </w:rPr>
              <w:t>40,409</w:t>
            </w:r>
          </w:p>
        </w:tc>
        <w:tc>
          <w:tcPr>
            <w:tcW w:type="dxa" w:w="1440"/>
            <w:shd w:fill="FAFAFA" w:val="clear"/>
          </w:tcPr>
          <w:p>
            <w:r>
              <w:rPr>
                <w:b/>
                <w:color w:val="C00000"/>
                <w:sz w:val="17"/>
              </w:rPr>
              <w:t>-1.1%</w:t>
            </w:r>
          </w:p>
        </w:tc>
      </w:tr>
      <w:tr>
        <w:tc>
          <w:tcPr>
            <w:tcW w:type="dxa" w:w="1440"/>
            <w:shd w:fill="FAFAFA" w:val="clear"/>
          </w:tcPr>
          <w:p>
            <w:r>
              <w:rPr>
                <w:sz w:val="17"/>
              </w:rPr>
              <w:t>J+7  ⭐</w:t>
            </w:r>
          </w:p>
        </w:tc>
        <w:tc>
          <w:tcPr>
            <w:tcW w:type="dxa" w:w="1440"/>
            <w:shd w:fill="FAFAFA" w:val="clear"/>
          </w:tcPr>
          <w:p>
            <w:r>
              <w:rPr>
                <w:sz w:val="17"/>
              </w:rPr>
              <w:t>2026-09-04</w:t>
            </w:r>
          </w:p>
        </w:tc>
        <w:tc>
          <w:tcPr>
            <w:tcW w:type="dxa" w:w="1440"/>
            <w:shd w:fill="FAFAFA" w:val="clear"/>
          </w:tcPr>
          <w:p>
            <w:r>
              <w:rPr>
                <w:sz w:val="17"/>
              </w:rPr>
              <w:t>33,625</w:t>
            </w:r>
          </w:p>
        </w:tc>
        <w:tc>
          <w:tcPr>
            <w:tcW w:type="dxa" w:w="1440"/>
            <w:shd w:fill="FAFAFA" w:val="clear"/>
          </w:tcPr>
          <w:p>
            <w:r>
              <w:rPr>
                <w:b/>
                <w:sz w:val="17"/>
              </w:rPr>
              <w:t>37,112</w:t>
            </w:r>
          </w:p>
        </w:tc>
        <w:tc>
          <w:tcPr>
            <w:tcW w:type="dxa" w:w="1440"/>
            <w:shd w:fill="FAFAFA" w:val="clear"/>
          </w:tcPr>
          <w:p>
            <w:r>
              <w:rPr>
                <w:sz w:val="17"/>
              </w:rPr>
              <w:t>40,599</w:t>
            </w:r>
          </w:p>
        </w:tc>
        <w:tc>
          <w:tcPr>
            <w:tcW w:type="dxa" w:w="1440"/>
            <w:shd w:fill="FAFAFA" w:val="clear"/>
          </w:tcPr>
          <w:p>
            <w:r>
              <w:rPr>
                <w:b/>
                <w:color w:val="C00000"/>
                <w:sz w:val="17"/>
              </w:rPr>
              <w:t>-1.2%</w:t>
            </w:r>
          </w:p>
        </w:tc>
      </w:tr>
      <w:tr>
        <w:tc>
          <w:tcPr>
            <w:tcW w:type="dxa" w:w="1440"/>
            <w:shd w:fill="FAFAFA" w:val="clear"/>
          </w:tcPr>
          <w:p>
            <w:r>
              <w:rPr>
                <w:sz w:val="17"/>
              </w:rPr>
              <w:t>J+8  ⭐</w:t>
            </w:r>
          </w:p>
        </w:tc>
        <w:tc>
          <w:tcPr>
            <w:tcW w:type="dxa" w:w="1440"/>
            <w:shd w:fill="FAFAFA" w:val="clear"/>
          </w:tcPr>
          <w:p>
            <w:r>
              <w:rPr>
                <w:sz w:val="17"/>
              </w:rPr>
              <w:t>2026-09-07</w:t>
            </w:r>
          </w:p>
        </w:tc>
        <w:tc>
          <w:tcPr>
            <w:tcW w:type="dxa" w:w="1440"/>
            <w:shd w:fill="FAFAFA" w:val="clear"/>
          </w:tcPr>
          <w:p>
            <w:r>
              <w:rPr>
                <w:sz w:val="17"/>
              </w:rPr>
              <w:t>33,385</w:t>
            </w:r>
          </w:p>
        </w:tc>
        <w:tc>
          <w:tcPr>
            <w:tcW w:type="dxa" w:w="1440"/>
            <w:shd w:fill="FAFAFA" w:val="clear"/>
          </w:tcPr>
          <w:p>
            <w:r>
              <w:rPr>
                <w:b/>
                <w:sz w:val="17"/>
              </w:rPr>
              <w:t>37,080</w:t>
            </w:r>
          </w:p>
        </w:tc>
        <w:tc>
          <w:tcPr>
            <w:tcW w:type="dxa" w:w="1440"/>
            <w:shd w:fill="FAFAFA" w:val="clear"/>
          </w:tcPr>
          <w:p>
            <w:r>
              <w:rPr>
                <w:sz w:val="17"/>
              </w:rPr>
              <w:t>40,775</w:t>
            </w:r>
          </w:p>
        </w:tc>
        <w:tc>
          <w:tcPr>
            <w:tcW w:type="dxa" w:w="1440"/>
            <w:shd w:fill="FAFAFA" w:val="clear"/>
          </w:tcPr>
          <w:p>
            <w:r>
              <w:rPr>
                <w:b/>
                <w:color w:val="C00000"/>
                <w:sz w:val="17"/>
              </w:rPr>
              <w:t>-1.3%</w:t>
            </w:r>
          </w:p>
        </w:tc>
      </w:tr>
      <w:tr>
        <w:tc>
          <w:tcPr>
            <w:tcW w:type="dxa" w:w="1440"/>
            <w:shd w:fill="FAFAFA" w:val="clear"/>
          </w:tcPr>
          <w:p>
            <w:r>
              <w:rPr>
                <w:sz w:val="17"/>
              </w:rPr>
              <w:t>J+9  ⭐</w:t>
            </w:r>
          </w:p>
        </w:tc>
        <w:tc>
          <w:tcPr>
            <w:tcW w:type="dxa" w:w="1440"/>
            <w:shd w:fill="FAFAFA" w:val="clear"/>
          </w:tcPr>
          <w:p>
            <w:r>
              <w:rPr>
                <w:sz w:val="17"/>
              </w:rPr>
              <w:t>2026-09-08</w:t>
            </w:r>
          </w:p>
        </w:tc>
        <w:tc>
          <w:tcPr>
            <w:tcW w:type="dxa" w:w="1440"/>
            <w:shd w:fill="FAFAFA" w:val="clear"/>
          </w:tcPr>
          <w:p>
            <w:r>
              <w:rPr>
                <w:sz w:val="17"/>
              </w:rPr>
              <w:t>33,156</w:t>
            </w:r>
          </w:p>
        </w:tc>
        <w:tc>
          <w:tcPr>
            <w:tcW w:type="dxa" w:w="1440"/>
            <w:shd w:fill="FAFAFA" w:val="clear"/>
          </w:tcPr>
          <w:p>
            <w:r>
              <w:rPr>
                <w:b/>
                <w:sz w:val="17"/>
              </w:rPr>
              <w:t>37,048</w:t>
            </w:r>
          </w:p>
        </w:tc>
        <w:tc>
          <w:tcPr>
            <w:tcW w:type="dxa" w:w="1440"/>
            <w:shd w:fill="FAFAFA" w:val="clear"/>
          </w:tcPr>
          <w:p>
            <w:r>
              <w:rPr>
                <w:sz w:val="17"/>
              </w:rPr>
              <w:t>40,940</w:t>
            </w:r>
          </w:p>
        </w:tc>
        <w:tc>
          <w:tcPr>
            <w:tcW w:type="dxa" w:w="1440"/>
            <w:shd w:fill="FAFAFA" w:val="clear"/>
          </w:tcPr>
          <w:p>
            <w:r>
              <w:rPr>
                <w:b/>
                <w:color w:val="C00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br/>
        <w:t>**Date : 26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SLBC s'établit à 618,10 milliards FCFA, ce qui en fait l'une des valeurs les plus significatives de la BRVM, reflétant la position dominante de SOLIBRA dans le secteur des boissons en Afrique de l'Ouest. Le BPA de 2 781 FCFA indique que chaque action génère un bénéfice substantiel, justifiant un PER de 13,5x. Ce ratio, bien que supérieur à la moyenne historique de la BRVM (8-12x), reste modéré et traduit une valorisation raisonnable pour une entreprise affichant une croissance aussi dynamique. Le P/B de 3,17x montre que le marché accorde une prime de croissance significative par rapport à la valeur comptable des actifs, ce qui est cohérent avec les performances récentes de la société. Enfin, l'EV/EBITDA de 7,4x se situe dans une fourchette raisonnable, indiquant que la valeur totale de l'entreprise reste attractive par rapport à sa capacité à générer des bénéfices opérationnels.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SLBC a enregistré une variation totale de -2,97%, avec une légère reprise de +1,47% lors de la dernière séance, clôturant à 37 550 FCFA. Le titre a évolué dans une fourchette relativement étroite, entre un plus bas de 35 540 FCFA et un plus haut de 41 500 FCFA, démontrant une certaine stabilité malgré une tendance légèrement baissière. La moyenne (38 365 FCFA) et la médiane (38 372 FCFA) étant quasi identiques, la distribution des prix est symétrique, confirmée par un skewness de 0,190. L'écart-type de 957 FCFA, avec un coefficient de variation de seulement 2,5%, indique une dispersion très faible des prix autour de la moyenne, signe d'un titre peu volatil dans son évolution quotidienne. Le kurtosis de 0,258 (mésokurtique) suggère l'absence de risques extrêmes de pics ou de creux soudains. La volatilité annualisée de 29,6% classe le titre dans la catégorie modérée à élevée, ce qui est cohérent avec les variations observées sur la période.</w:t>
      </w:r>
    </w:p>
    <w:p>
      <w:pPr>
        <w:spacing w:after="120" w:line="276" w:lineRule="auto"/>
      </w:pPr>
      <w:r>
        <w:t>---</w:t>
      </w:r>
    </w:p>
    <w:p>
      <w:pPr>
        <w:spacing w:after="120" w:line="276" w:lineRule="auto"/>
      </w:pPr>
      <w:r>
        <w:t>### PARTIE 2 : ANALYSE TECHNIQUE DÉTAILLÉE</w:t>
      </w:r>
    </w:p>
    <w:p>
      <w:pPr>
        <w:spacing w:after="120" w:line="276" w:lineRule="auto"/>
      </w:pPr>
      <w:r>
        <w:t>**Moyennes Mobiles :** La MM20 à 37 707,5 FCFA et la MM50 à 38 604,2 FCFA se situent toutes deux au-dessus du cours actuel de 37 550 FCFA, confirmant une tendance baissière à court et moyen terme. Le signal de "Vente" est justifié par cette configuration où le prix évolue sous ses moyennes mobiles, indiquant une pression vendeuse persistante.</w:t>
      </w:r>
    </w:p>
    <w:p>
      <w:pPr>
        <w:spacing w:after="120" w:line="276" w:lineRule="auto"/>
      </w:pPr>
      <w:r>
        <w:t>**Bandes de Bollinger :** Le cours se positionne à 37 550 FCFA, entre la borne inférieure à 36 243,668 FCFA et la borne supérieure à 39 171,332 FCFA. La position médiane du prix dans les bandes suggère une volatilité modérée et une absence de mouvement directionnel fort, justifiant la décision "Neutre". Les bandes ne sont ni excessivement élargies ni resserrées, indiquant une phase de consolidation.</w:t>
      </w:r>
    </w:p>
    <w:p>
      <w:pPr>
        <w:spacing w:after="120" w:line="276" w:lineRule="auto"/>
      </w:pPr>
      <w:r>
        <w:t>**MACD :** Le MACD (-340,031) est légèrement au-dessus de sa ligne de signal (-367,25), formant un croisement haussier potentiel. Bien que les valeurs soient négatives, ce croisement indique un ralentissement de la dynamique baissière et un possible retournement à la hausse, d'où la décision "Achat". Le momentum semble s'améliorer après une période de faiblesse.</w:t>
      </w:r>
    </w:p>
    <w:p>
      <w:pPr>
        <w:spacing w:after="120" w:line="276" w:lineRule="auto"/>
      </w:pPr>
      <w:r>
        <w:t>**RSI :** À 48,817, le RSI se situe en zone neutre, très proche du niveau 50 qui sépare les zones de surachat et de survente. Cette valeur indique un équilibre entre les forces acheteuses et vendeuses, sans signal directionnel fort. La décision "Neutre" est donc appropriée, le marché n'étant ni suracheté ni survendu.</w:t>
      </w:r>
    </w:p>
    <w:p>
      <w:pPr>
        <w:spacing w:after="120" w:line="276" w:lineRule="auto"/>
      </w:pPr>
      <w:r>
        <w:t>**Stochastique :** Le %K (59,091) est supérieur au %D (47,121), formant un croisement haussier en zone neutre. Cette configuration suggère un potentiel de hausse à court terme, mais la prudence reste de mise car les valeurs ne sont pas encore en zone de surachat. La décision "Neutre" reflète cette ambiguïté.</w:t>
      </w:r>
    </w:p>
    <w:p>
      <w:pPr>
        <w:spacing w:after="120" w:line="276" w:lineRule="auto"/>
      </w:pPr>
      <w:r>
        <w:t>**Conclusion technique :** Les indicateurs techniques sont globalement mitigés, avec une prédominance de signaux neutres. Le MACD et le Stochastique suggèrent un possible retournement haussier, tandis que les moyennes mobiles restent baissières. Le titre semble en phase de consolidation, avec un potentiel de rebond technique à court terme, mais sans confirmation claire d'un changement de tendance majeur.</w:t>
      </w:r>
    </w:p>
    <w:p>
      <w:pPr>
        <w:spacing w:after="120" w:line="276" w:lineRule="auto"/>
      </w:pPr>
      <w:r>
        <w:t>---</w:t>
      </w:r>
    </w:p>
    <w:p>
      <w:pPr>
        <w:spacing w:after="120" w:line="276" w:lineRule="auto"/>
      </w:pPr>
      <w:r>
        <w:t>### PARTIE 3 : ANALYSE FONDAMENTALE (SECTION CRITIQUE)</w:t>
      </w:r>
    </w:p>
    <w:p>
      <w:pPr>
        <w:spacing w:after="120" w:line="276" w:lineRule="auto"/>
      </w:pPr>
      <w:r>
        <w:t>En 2025, SLBC a réalisé des performances financières exceptionnelles, avec un chiffre d'affaires de 378,123 milliards FCFA, en hausse de 22,1% par rapport à 2024, et un résultat net de 45,781 milliards FCFA, soit une progression spectaculaire de 113%. La marge nette s'est améliorée de 6,9% à 12,1%, tandis que le ROE atteint 23,46% et le ROA 13,48%, des niveaux excellents qui témoignent d'une gestion très efficace. La structure financière est saine avec une autonomie financière de 57,5% et une capacité de remboursement de seulement 0,67 an. Le BFR de 61,587 milliards FCFA est positif mais maîtrisé, avec un délai clients de 64 jours et un délai fournisseurs de 77 jours, indiquant une gestion équilibrée du cycle d'exploitation. Le rapport du S1 2025 (publié en 2025) confirme cette dynamique avec un CA de 165,8 milliards FCFA (+12,3%) et un résultat net de 28,0 milliards FCFA (+175,1%). Sur la base du rapport T1 2026 (publié en 2026) montrant un CA de 93,46 milliards FCFA (+7,6%) et un résultat net de 16,26 milliards FCFA (+4,8%), on estime que l'exercice 2026 devrait poursuivre cette croissance, bien qu'à un rythme plus modéré. La recommandation fondamentale est clairement à l'ACHAT, compte tenu de la solidité financière, de la croissance soutenue et de la politique de dividende généreuse (2 127 FCFA par action proposés pour 2025).</w:t>
      </w:r>
    </w:p>
    <w:p>
      <w:pPr>
        <w:spacing w:after="120" w:line="276" w:lineRule="auto"/>
      </w:pPr>
      <w:r>
        <w:t>---</w:t>
      </w:r>
    </w:p>
    <w:p>
      <w:pPr>
        <w:spacing w:after="120" w:line="276" w:lineRule="auto"/>
      </w:pPr>
      <w:r>
        <w:t>### PARTIE 4 : CONCLUSION D'INVESTISSEMENT</w:t>
      </w:r>
    </w:p>
    <w:p>
      <w:pPr>
        <w:spacing w:after="120" w:line="276" w:lineRule="auto"/>
      </w:pPr>
      <w:r>
        <w:t>La valorisation de SLBC (PER de 13,5x, P/B de 3,17x, EV/EBITDA de 7,4x) indique une prime de croissance justifiée par des fondamentaux exceptionnels, bien que le titre ne soit pas sous-évalué. Le comportement du cours sur 100 jours montre une légère baisse de -2,97% avec une volatilité modérée, mais une distribution symétrique et un faible risque de pics extrêmes. Les signaux techniques sont mitigés, avec une tendance baissière à court terme mais des indicateurs de momentum (MACD, Stochastique) suggérant un possible rebond. Les fondamentaux sont extrêmement solides, avec une croissance à deux chiffres du CA et du résultat net, une rentabilité excellente (ROE de 23,5%) et une politique de dividende très attractive. Les prédictions IA pour les 10 prochains jours indiquent une légère baisse progressive vers 37 176 FCFA, ce qui contredit légèrement les signaux techniques de rebond, mais reste cohérent avec la tendance baissière récente. En synthèse, la solidité fondamentale de SLBC, sa position de leader sur le marché et ses performances financières remarquables contrebalancent largement les signaux techniques mitigés et la légère faiblesse du cours. **Recommandation finale : ACHAT**, avec un niveau de confiance **Élevé** et un risque global **Faible**. L'horizon d'investissement optimal est le **moyen terme (3-12 mois)**, permettant de bénéficier à la fois de l'appréciation potentielle du titre et du rendement du dividende.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[2]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130.96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1,366 titres</w:t>
            </w:r>
          </w:p>
        </w:tc>
        <w:tc>
          <w:tcPr>
            <w:tcW w:type="dxa" w:w="2268"/>
            <w:shd w:fill="FFF2CC" w:val="clear"/>
          </w:tcPr>
          <w:p>
            <w:r>
              <w:rPr>
                <w:b/>
                <w:color w:val="503200"/>
                <w:sz w:val="16"/>
              </w:rPr>
              <w:t xml:space="preserve">Cours actuel : </w:t>
            </w:r>
            <w:r>
              <w:rPr>
                <w:color w:val="000000"/>
                <w:sz w:val="17"/>
              </w:rPr>
              <w:t>16,800 FCFA</w:t>
            </w:r>
          </w:p>
          <w:p>
            <w:r>
              <w:rPr>
                <w:b/>
                <w:color w:val="503200"/>
                <w:sz w:val="16"/>
              </w:rPr>
              <w:t xml:space="preserve">Var. 100 jours : </w:t>
            </w:r>
            <w:r>
              <w:rPr>
                <w:b/>
                <w:color w:val="007800"/>
                <w:sz w:val="17"/>
              </w:rPr>
              <w:t>+34.40%</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36.5%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14.94% (Moyenne) — μ=14,516 FCFA, σ=2,169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β=-0.4392 (Contre-cyclique) — Cov=-0.000015, Var(idx)=0.000034, ρ=-0.111,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1,366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σ_j=2.30%/j (Stable) — Vol. annualisée≈36.5%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2026-08-27</w:t>
            </w:r>
          </w:p>
        </w:tc>
        <w:tc>
          <w:tcPr>
            <w:tcW w:type="dxa" w:w="1440"/>
            <w:shd w:fill="FAFAFA" w:val="clear"/>
          </w:tcPr>
          <w:p>
            <w:r>
              <w:rPr>
                <w:sz w:val="17"/>
              </w:rPr>
              <w:t>15,664</w:t>
            </w:r>
          </w:p>
        </w:tc>
        <w:tc>
          <w:tcPr>
            <w:tcW w:type="dxa" w:w="1440"/>
            <w:shd w:fill="FAFAFA" w:val="clear"/>
          </w:tcPr>
          <w:p>
            <w:r>
              <w:rPr>
                <w:b/>
                <w:sz w:val="17"/>
              </w:rPr>
              <w:t>16,508</w:t>
            </w:r>
          </w:p>
        </w:tc>
        <w:tc>
          <w:tcPr>
            <w:tcW w:type="dxa" w:w="1440"/>
            <w:shd w:fill="FAFAFA" w:val="clear"/>
          </w:tcPr>
          <w:p>
            <w:r>
              <w:rPr>
                <w:sz w:val="17"/>
              </w:rPr>
              <w:t>17,351</w:t>
            </w:r>
          </w:p>
        </w:tc>
        <w:tc>
          <w:tcPr>
            <w:tcW w:type="dxa" w:w="1440"/>
            <w:shd w:fill="FAFAFA" w:val="clear"/>
          </w:tcPr>
          <w:p>
            <w:r>
              <w:rPr>
                <w:b/>
                <w:color w:val="C00000"/>
                <w:sz w:val="17"/>
              </w:rPr>
              <w:t>-1.7%</w:t>
            </w:r>
          </w:p>
        </w:tc>
      </w:tr>
      <w:tr>
        <w:tc>
          <w:tcPr>
            <w:tcW w:type="dxa" w:w="1440"/>
            <w:shd w:fill="FFDCE0" w:val="clear"/>
          </w:tcPr>
          <w:p>
            <w:r>
              <w:rPr>
                <w:sz w:val="17"/>
              </w:rPr>
              <w:t>J+2  Moyenne</w:t>
            </w:r>
          </w:p>
        </w:tc>
        <w:tc>
          <w:tcPr>
            <w:tcW w:type="dxa" w:w="1440"/>
            <w:shd w:fill="FFDCE0" w:val="clear"/>
          </w:tcPr>
          <w:p>
            <w:r>
              <w:rPr>
                <w:sz w:val="17"/>
              </w:rPr>
              <w:t>2026-08-28</w:t>
            </w:r>
          </w:p>
        </w:tc>
        <w:tc>
          <w:tcPr>
            <w:tcW w:type="dxa" w:w="1440"/>
            <w:shd w:fill="FFDCE0" w:val="clear"/>
          </w:tcPr>
          <w:p>
            <w:r>
              <w:rPr>
                <w:sz w:val="17"/>
              </w:rPr>
              <w:t>15,411</w:t>
            </w:r>
          </w:p>
        </w:tc>
        <w:tc>
          <w:tcPr>
            <w:tcW w:type="dxa" w:w="1440"/>
            <w:shd w:fill="FFDCE0" w:val="clear"/>
          </w:tcPr>
          <w:p>
            <w:r>
              <w:rPr>
                <w:b/>
                <w:sz w:val="17"/>
              </w:rPr>
              <w:t>16,440</w:t>
            </w:r>
          </w:p>
        </w:tc>
        <w:tc>
          <w:tcPr>
            <w:tcW w:type="dxa" w:w="1440"/>
            <w:shd w:fill="FFDCE0" w:val="clear"/>
          </w:tcPr>
          <w:p>
            <w:r>
              <w:rPr>
                <w:sz w:val="17"/>
              </w:rPr>
              <w:t>17,469</w:t>
            </w:r>
          </w:p>
        </w:tc>
        <w:tc>
          <w:tcPr>
            <w:tcW w:type="dxa" w:w="1440"/>
            <w:shd w:fill="FFDCE0" w:val="clear"/>
          </w:tcPr>
          <w:p>
            <w:r>
              <w:rPr>
                <w:b/>
                <w:color w:val="C00000"/>
                <w:sz w:val="17"/>
              </w:rPr>
              <w:t>-2.1%</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15,194</w:t>
            </w:r>
          </w:p>
        </w:tc>
        <w:tc>
          <w:tcPr>
            <w:tcW w:type="dxa" w:w="1440"/>
            <w:shd w:fill="FFDCE0" w:val="clear"/>
          </w:tcPr>
          <w:p>
            <w:r>
              <w:rPr>
                <w:b/>
                <w:sz w:val="17"/>
              </w:rPr>
              <w:t>16,378</w:t>
            </w:r>
          </w:p>
        </w:tc>
        <w:tc>
          <w:tcPr>
            <w:tcW w:type="dxa" w:w="1440"/>
            <w:shd w:fill="FFDCE0" w:val="clear"/>
          </w:tcPr>
          <w:p>
            <w:r>
              <w:rPr>
                <w:sz w:val="17"/>
              </w:rPr>
              <w:t>17,561</w:t>
            </w:r>
          </w:p>
        </w:tc>
        <w:tc>
          <w:tcPr>
            <w:tcW w:type="dxa" w:w="1440"/>
            <w:shd w:fill="FFDCE0" w:val="clear"/>
          </w:tcPr>
          <w:p>
            <w:r>
              <w:rPr>
                <w:b/>
                <w:color w:val="C00000"/>
                <w:sz w:val="17"/>
              </w:rPr>
              <w:t>-2.5%</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15,000</w:t>
            </w:r>
          </w:p>
        </w:tc>
        <w:tc>
          <w:tcPr>
            <w:tcW w:type="dxa" w:w="1440"/>
            <w:shd w:fill="FFDCE0" w:val="clear"/>
          </w:tcPr>
          <w:p>
            <w:r>
              <w:rPr>
                <w:b/>
                <w:sz w:val="17"/>
              </w:rPr>
              <w:t>16,319</w:t>
            </w:r>
          </w:p>
        </w:tc>
        <w:tc>
          <w:tcPr>
            <w:tcW w:type="dxa" w:w="1440"/>
            <w:shd w:fill="FFDCE0" w:val="clear"/>
          </w:tcPr>
          <w:p>
            <w:r>
              <w:rPr>
                <w:sz w:val="17"/>
              </w:rPr>
              <w:t>17,637</w:t>
            </w:r>
          </w:p>
        </w:tc>
        <w:tc>
          <w:tcPr>
            <w:tcW w:type="dxa" w:w="1440"/>
            <w:shd w:fill="FFDCE0" w:val="clear"/>
          </w:tcPr>
          <w:p>
            <w:r>
              <w:rPr>
                <w:b/>
                <w:color w:val="C00000"/>
                <w:sz w:val="17"/>
              </w:rPr>
              <w:t>-2.9%</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14,821</w:t>
            </w:r>
          </w:p>
        </w:tc>
        <w:tc>
          <w:tcPr>
            <w:tcW w:type="dxa" w:w="1440"/>
            <w:shd w:fill="FFDCE0" w:val="clear"/>
          </w:tcPr>
          <w:p>
            <w:r>
              <w:rPr>
                <w:b/>
                <w:sz w:val="17"/>
              </w:rPr>
              <w:t>16,261</w:t>
            </w:r>
          </w:p>
        </w:tc>
        <w:tc>
          <w:tcPr>
            <w:tcW w:type="dxa" w:w="1440"/>
            <w:shd w:fill="FFDCE0" w:val="clear"/>
          </w:tcPr>
          <w:p>
            <w:r>
              <w:rPr>
                <w:sz w:val="17"/>
              </w:rPr>
              <w:t>17,700</w:t>
            </w:r>
          </w:p>
        </w:tc>
        <w:tc>
          <w:tcPr>
            <w:tcW w:type="dxa" w:w="1440"/>
            <w:shd w:fill="FFDCE0" w:val="clear"/>
          </w:tcPr>
          <w:p>
            <w:r>
              <w:rPr>
                <w:b/>
                <w:color w:val="C00000"/>
                <w:sz w:val="17"/>
              </w:rPr>
              <w:t>-3.2%</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14,654</w:t>
            </w:r>
          </w:p>
        </w:tc>
        <w:tc>
          <w:tcPr>
            <w:tcW w:type="dxa" w:w="1440"/>
            <w:shd w:fill="FFDCE0" w:val="clear"/>
          </w:tcPr>
          <w:p>
            <w:r>
              <w:rPr>
                <w:b/>
                <w:sz w:val="17"/>
              </w:rPr>
              <w:t>16,203</w:t>
            </w:r>
          </w:p>
        </w:tc>
        <w:tc>
          <w:tcPr>
            <w:tcW w:type="dxa" w:w="1440"/>
            <w:shd w:fill="FFDCE0" w:val="clear"/>
          </w:tcPr>
          <w:p>
            <w:r>
              <w:rPr>
                <w:sz w:val="17"/>
              </w:rPr>
              <w:t>17,753</w:t>
            </w:r>
          </w:p>
        </w:tc>
        <w:tc>
          <w:tcPr>
            <w:tcW w:type="dxa" w:w="1440"/>
            <w:shd w:fill="FFDCE0" w:val="clear"/>
          </w:tcPr>
          <w:p>
            <w:r>
              <w:rPr>
                <w:b/>
                <w:color w:val="C00000"/>
                <w:sz w:val="17"/>
              </w:rPr>
              <w:t>-3.6%</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14,497</w:t>
            </w:r>
          </w:p>
        </w:tc>
        <w:tc>
          <w:tcPr>
            <w:tcW w:type="dxa" w:w="1440"/>
            <w:shd w:fill="FFDCE0" w:val="clear"/>
          </w:tcPr>
          <w:p>
            <w:r>
              <w:rPr>
                <w:b/>
                <w:sz w:val="17"/>
              </w:rPr>
              <w:t>16,147</w:t>
            </w:r>
          </w:p>
        </w:tc>
        <w:tc>
          <w:tcPr>
            <w:tcW w:type="dxa" w:w="1440"/>
            <w:shd w:fill="FFDCE0" w:val="clear"/>
          </w:tcPr>
          <w:p>
            <w:r>
              <w:rPr>
                <w:sz w:val="17"/>
              </w:rPr>
              <w:t>17,798</w:t>
            </w:r>
          </w:p>
        </w:tc>
        <w:tc>
          <w:tcPr>
            <w:tcW w:type="dxa" w:w="1440"/>
            <w:shd w:fill="FFDCE0" w:val="clear"/>
          </w:tcPr>
          <w:p>
            <w:r>
              <w:rPr>
                <w:b/>
                <w:color w:val="C00000"/>
                <w:sz w:val="17"/>
              </w:rPr>
              <w:t>-3.9%</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14,347</w:t>
            </w:r>
          </w:p>
        </w:tc>
        <w:tc>
          <w:tcPr>
            <w:tcW w:type="dxa" w:w="1440"/>
            <w:shd w:fill="FFDCE0" w:val="clear"/>
          </w:tcPr>
          <w:p>
            <w:r>
              <w:rPr>
                <w:b/>
                <w:sz w:val="17"/>
              </w:rPr>
              <w:t>16,092</w:t>
            </w:r>
          </w:p>
        </w:tc>
        <w:tc>
          <w:tcPr>
            <w:tcW w:type="dxa" w:w="1440"/>
            <w:shd w:fill="FFDCE0" w:val="clear"/>
          </w:tcPr>
          <w:p>
            <w:r>
              <w:rPr>
                <w:sz w:val="17"/>
              </w:rPr>
              <w:t>17,836</w:t>
            </w:r>
          </w:p>
        </w:tc>
        <w:tc>
          <w:tcPr>
            <w:tcW w:type="dxa" w:w="1440"/>
            <w:shd w:fill="FFDCE0" w:val="clear"/>
          </w:tcPr>
          <w:p>
            <w:r>
              <w:rPr>
                <w:b/>
                <w:color w:val="C00000"/>
                <w:sz w:val="17"/>
              </w:rPr>
              <w:t>-4.2%</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14,205</w:t>
            </w:r>
          </w:p>
        </w:tc>
        <w:tc>
          <w:tcPr>
            <w:tcW w:type="dxa" w:w="1440"/>
            <w:shd w:fill="FFDCE0" w:val="clear"/>
          </w:tcPr>
          <w:p>
            <w:r>
              <w:rPr>
                <w:b/>
                <w:sz w:val="17"/>
              </w:rPr>
              <w:t>16,037</w:t>
            </w:r>
          </w:p>
        </w:tc>
        <w:tc>
          <w:tcPr>
            <w:tcW w:type="dxa" w:w="1440"/>
            <w:shd w:fill="FFDCE0" w:val="clear"/>
          </w:tcPr>
          <w:p>
            <w:r>
              <w:rPr>
                <w:sz w:val="17"/>
              </w:rPr>
              <w:t>17,870</w:t>
            </w:r>
          </w:p>
        </w:tc>
        <w:tc>
          <w:tcPr>
            <w:tcW w:type="dxa" w:w="1440"/>
            <w:shd w:fill="FFDCE0" w:val="clear"/>
          </w:tcPr>
          <w:p>
            <w:r>
              <w:rPr>
                <w:b/>
                <w:color w:val="C00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SMBC s'établit à 130,96 milliards FCFA, ce qui positionne la société comme une valeur de taille moyenne sur la BRVM. Avec un BPA de 1 677 FCFA, le titre se négocie à un PER de 10,0x, un niveau modéré qui se situe dans la fourchette moyenne du marché régional (8-12x), indiquant que les investisseurs ne paient pas une prime excessive pour les bénéfices actuels. Le P/B de 3,05x révèle que le marché valorise la société à plus de trois fois sa valeur comptable, traduisant une prime de croissance accordée par les investisseurs, cohérente avec la forte rentabilité des fonds propres. Enfin, l'EV/EBITDA de 6,3x, dans la zone raisonnable de 5-10x, confirme une valorisation globalement équilibrée, ni particulièrement bon marché, ni excessivement chère, compte tenu de la capacité opérationnelle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SMBC affiche une progression spectaculaire de +34,40%, avec une dernière séance en hausse de +1,08% à 16 800 FCFA, démontrant une dynamique haussière soutenue. Le titre a évolué dans une fourchette large de 11 450 FCFA (plus bas) à 17 735 FCFA (plus haut), illustrant un range de trading de plus de 6 000 FCFA. La moyenne (14 516 FCFA) est inférieure à la médiane (15 508 FCFA), ce qui suggère une asymétrie positive de la distribution des cours, avec une concentration des valeurs vers le haut de la fourchette. L'écart-type de 2 179 FCFA, soit un coefficient de variation de 15,0%, indique une dispersion modérée des cours autour de la moyenne. Le kurtosis négatif de -1,620 (distribution platykurtique) révèle une faible probabilité de mouvements extrêmes, tandis que le skewness de -0,163 confirme une distribution quasi symétrique. La volatilité annualisée de 36,5% classe le titre dans la catégorie des valeurs à forte volatilité, un niveau élevé qui implique un risque significatif mais aussi un potentiel de rendement important.</w:t>
      </w:r>
    </w:p>
    <w:p>
      <w:pPr>
        <w:spacing w:after="120" w:line="276" w:lineRule="auto" w:before="240"/>
      </w:pPr>
      <w:r>
        <w:rPr>
          <w:b/>
          <w:color w:val="003366"/>
          <w:sz w:val="24"/>
        </w:rPr>
        <w:t>**PARTIE 2 : ANALYSE TECHNIQUE DÉTAILLÉE**</w:t>
      </w:r>
    </w:p>
    <w:p>
      <w:pPr>
        <w:spacing w:after="120" w:line="276" w:lineRule="auto"/>
      </w:pPr>
      <w:r>
        <w:t>Les moyennes mobiles MM20 (16 264 FCFA) et MM50 (16 445,7 FCFA) sont toutes deux inférieures au cours actuel de 16 800 FCFA, indiquant une tendance haussière à court et moyen terme. Cependant, le signal de vente généré suggère que le cours pourrait être en phase de consolidation après une hausse rapide, le prix s'éloignant potentiellement trop de ses moyennes mobiles, ce qui pourrait précéder un repli technique.</w:t>
      </w:r>
    </w:p>
    <w:p>
      <w:pPr>
        <w:spacing w:after="120" w:line="276" w:lineRule="auto"/>
      </w:pPr>
      <w:r>
        <w:t>Les bandes de Bollinger encadrent le cours entre une borne supérieure à 17 075,8 FCFA et une borne inférieure à 15 452,2 FCFA. Le prix actuel de 16 800 FCFA se situe dans la partie haute de l'enveloppe, proche de la borne supérieure, indiquant une pression acheteuse persistante. La décision neutre suggère que le marché n'est pas encore en situation de surachat extrême, mais la proximité de la borne supérieure appelle à la prudence.</w:t>
      </w:r>
    </w:p>
    <w:p>
      <w:pPr>
        <w:spacing w:after="120" w:line="276" w:lineRule="auto"/>
      </w:pPr>
      <w:r>
        <w:t>Le MACD affiche une valeur de 136,262, nettement au-dessus de son signal à 90,875, avec un écart positif de 45 points. Cette configuration haussière confirme un momentum positif soutenu, indiquant que la tendance haussière conserve de la vigueur. Le signal d'achat émis par cet indicateur est en phase avec la dynamique actuelle du titre.</w:t>
      </w:r>
    </w:p>
    <w:p>
      <w:pPr>
        <w:spacing w:after="120" w:line="276" w:lineRule="auto"/>
      </w:pPr>
      <w:r>
        <w:t>Le RSI à 85,519 est extrêmement élevé, dépassant largement le seuil de surachat fixé à 70. Cette valeur indique que le titre est fortement suracheté, ce qui suggère une probabilité élevée de correction technique à court terme. Les acheteurs ont été si agressifs que le marché pourrait manquer d'énergie pour poursuivre la hausse immédiatement.</w:t>
      </w:r>
    </w:p>
    <w:p>
      <w:pPr>
        <w:spacing w:after="120" w:line="276" w:lineRule="auto"/>
      </w:pPr>
      <w:r>
        <w:t>Le stochastique affiche des valeurs extrêmes avec %K et %D à 100,0, confirmant une condition de surachat maximal. Cette configuration reflète une pression d'achat exceptionnelle qui a poussé le titre à ses plus hauts niveaux. Le signal de vente associé suggère que le marché est mûr pour une consolidation, les acheteurs ayant potentiellement épuisé leur force.</w:t>
      </w:r>
    </w:p>
    <w:p>
      <w:pPr>
        <w:spacing w:after="120" w:line="276" w:lineRule="auto"/>
      </w:pPr>
      <w:r>
        <w:t>La convergence des indicateurs techniques est remarquable : le MACD est haussier, mais le RSI, le stochastique et les moyennes mobiles émettent des signaux de vente ou de prudence. Cette divergence entre le momentum (positif) et les oscillateurs (surachetés) indique que la tendance haussière reste intacte à moyen terme, mais qu'une correction technique est probable à court terme. Les investisseurs devraient surveiller un éventuel repli vers les moyennes mobiles (16 264-16 446 FCFA) comme zone de support potentielle.</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révèlent une performance financière remarquable pour SMBC. Le chiffre d'affaires s'établit à 206,740 milliards FCFA, en baisse de 9,74% par rapport à 2024 (229,061 milliards FCFA), mais le résultat net progresse spectaculairement de 50,3% pour atteindre 13,075 milliards FCFA. Cette amélioration de la rentabilité se traduit par une marge nette de 6,32% (contre 3,8% en 2024) et une marge opérationnelle de 8,62%. Le ROE est excellent à 30,47%, largement au-dessus du seuil de 15% considéré comme performant, tandis que le ROA s'établit à 7,26%. En tant qu'entreprise industrielle, l'analyse du BFR est cruciale : le délai clients de 193,75 jours est élevé et représente un risque de trésorerie, mais il est partiellement compensé par un délai fournisseurs de 207,07 jours, favorable à l'entreprise. La durée de stockage de 38,09 jours est raisonnable. La structure financière montre une autonomie financière de 23,84%, légèrement sous le seuil de 30% considéré comme sain, avec un ratio d'endettement de 76,16% et une capacité de remboursement de 0,68 année, très satisfaisante. Le rapport du 3ème trimestre 2025 (cumul 9M) indique un CA de 155,2 milliards FCFA (-14%) mais un résultat net de 5,7 milliards FCFA (+6%), confirmant la tendance d'amélioration des marges. Sur la base de ces données trimestrielles, on estime que l'exercice 2026 pourrait voir une stabilisation du chiffre d'affaires autour de 200-210 milliards FCFA, avec une poursuite de l'amélioration des marges si l'environnement de raffinage reste favorable. La trésorerie nette positive de 23,988 milliards FCFA et le free cash flow de 20,642 milliards FCFA offrent une marge de manœuvre significative pour financer la croissance et maintenir une politique de dividende raisonnable (taux de distribution de 41,7% en 2025).</w:t>
      </w:r>
    </w:p>
    <w:p>
      <w:pPr>
        <w:spacing w:after="120" w:line="276" w:lineRule="auto" w:before="240"/>
      </w:pPr>
      <w:r>
        <w:rPr>
          <w:b/>
          <w:color w:val="003366"/>
          <w:sz w:val="24"/>
        </w:rPr>
        <w:t>**PARTIE 4 : CONCLUSION D'INVESTISSEMENT**</w:t>
      </w:r>
    </w:p>
    <w:p>
      <w:pPr>
        <w:spacing w:after="120" w:line="276" w:lineRule="auto"/>
      </w:pPr>
      <w:r>
        <w:t>La synthèse des quatre analyses révèle une configuration contrastée pour SMBC. La valorisation (PER 10,0x, P/B 3,05x, EV/EBITDA 6,3x) est raisonnable, sans sous-évaluation ni surévaluation marquée. Le comportement du cours sur 100 jours est très positif (+34,4%) mais la volatilité élevée (36,5%) et les statistiques descriptives suggèrent un risque accru. Les signaux techniques sont mitigés : le MACD est haussier, mais le RSI à 85,5 et le stochastique à 100 indiquent un surachat extrême, préfigurant probablement une consolidation à court terme. Les fondamentaux sont solides avec un ROE de 30,5%, une trésorerie abondante et une amélioration spectaculaire des marges, malgré une baisse du chiffre d'affaires. Les prédictions IA pour les 10 prochains jours (16 508 à 16 261 FCFA) confirment cette anticipation de correction technique, avec une baisse progressive vers le support des 16 260 FCFA. La convergence entre les signaux techniques de surachat et les prédictions IA suggère qu'une consolidation est imminente. Recommandation finale : **CONSERVER** avec un niveau de confiance **Moyen** et un risque global **Élevé**. L'horizon d'investissement optimal serait le **moyen terme (3-12 mois)**, en attendant que la correction technique se matérialise pour renforcer la position à des niveaux plus attractifs, tout en capitalisant sur la solidité fondamentale de l'entreprise.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3650.00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9,586 titres</w:t>
            </w:r>
          </w:p>
        </w:tc>
        <w:tc>
          <w:tcPr>
            <w:tcW w:type="dxa" w:w="2268"/>
            <w:shd w:fill="FFF2CC" w:val="clear"/>
          </w:tcPr>
          <w:p>
            <w:r>
              <w:rPr>
                <w:b/>
                <w:color w:val="503200"/>
                <w:sz w:val="16"/>
              </w:rPr>
              <w:t xml:space="preserve">Cours actuel : </w:t>
            </w:r>
            <w:r>
              <w:rPr>
                <w:color w:val="000000"/>
                <w:sz w:val="17"/>
              </w:rPr>
              <w:t>36,500 FCFA</w:t>
            </w:r>
          </w:p>
          <w:p>
            <w:r>
              <w:rPr>
                <w:b/>
                <w:color w:val="503200"/>
                <w:sz w:val="16"/>
              </w:rPr>
              <w:t xml:space="preserve">Var. 100 jours : </w:t>
            </w:r>
            <w:r>
              <w:rPr>
                <w:b/>
                <w:color w:val="007800"/>
                <w:sz w:val="17"/>
              </w:rPr>
              <w:t>+28.41%</w:t>
            </w:r>
          </w:p>
          <w:p>
            <w:r>
              <w:rPr>
                <w:b/>
                <w:color w:val="503200"/>
                <w:sz w:val="16"/>
              </w:rPr>
              <w:t xml:space="preserve">Plus haut 100j : </w:t>
            </w:r>
            <w:r>
              <w:rPr>
                <w:color w:val="000000"/>
                <w:sz w:val="17"/>
              </w:rPr>
              <w:t>36,980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29.4%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6.11% (Moyenne) — μ=29,758 FCFA, σ=1,819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β=1.7434 (Agressif) — Cov=0.000059, Var(idx)=0.000034, ρ=0.549,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9,586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σ_j=1.85%/j (Stable) — Vol. annualisée≈29.4%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2026-08-27</w:t>
            </w:r>
          </w:p>
        </w:tc>
        <w:tc>
          <w:tcPr>
            <w:tcW w:type="dxa" w:w="1440"/>
            <w:shd w:fill="FFDCE0" w:val="clear"/>
          </w:tcPr>
          <w:p>
            <w:r>
              <w:rPr>
                <w:sz w:val="17"/>
              </w:rPr>
              <w:t>33,087</w:t>
            </w:r>
          </w:p>
        </w:tc>
        <w:tc>
          <w:tcPr>
            <w:tcW w:type="dxa" w:w="1440"/>
            <w:shd w:fill="FFDCE0" w:val="clear"/>
          </w:tcPr>
          <w:p>
            <w:r>
              <w:rPr>
                <w:b/>
                <w:sz w:val="17"/>
              </w:rPr>
              <w:t>34,857</w:t>
            </w:r>
          </w:p>
        </w:tc>
        <w:tc>
          <w:tcPr>
            <w:tcW w:type="dxa" w:w="1440"/>
            <w:shd w:fill="FFDCE0" w:val="clear"/>
          </w:tcPr>
          <w:p>
            <w:r>
              <w:rPr>
                <w:sz w:val="17"/>
              </w:rPr>
              <w:t>36,628</w:t>
            </w:r>
          </w:p>
        </w:tc>
        <w:tc>
          <w:tcPr>
            <w:tcW w:type="dxa" w:w="1440"/>
            <w:shd w:fill="FFDCE0" w:val="clear"/>
          </w:tcPr>
          <w:p>
            <w:r>
              <w:rPr>
                <w:b/>
                <w:color w:val="C00000"/>
                <w:sz w:val="17"/>
              </w:rPr>
              <w:t>-4.5%</w:t>
            </w:r>
          </w:p>
        </w:tc>
      </w:tr>
      <w:tr>
        <w:tc>
          <w:tcPr>
            <w:tcW w:type="dxa" w:w="1440"/>
            <w:shd w:fill="FFDCE0" w:val="clear"/>
          </w:tcPr>
          <w:p>
            <w:r>
              <w:rPr>
                <w:sz w:val="17"/>
              </w:rPr>
              <w:t>J+2  ⭐</w:t>
            </w:r>
          </w:p>
        </w:tc>
        <w:tc>
          <w:tcPr>
            <w:tcW w:type="dxa" w:w="1440"/>
            <w:shd w:fill="FFDCE0" w:val="clear"/>
          </w:tcPr>
          <w:p>
            <w:r>
              <w:rPr>
                <w:sz w:val="17"/>
              </w:rPr>
              <w:t>2026-08-28</w:t>
            </w:r>
          </w:p>
        </w:tc>
        <w:tc>
          <w:tcPr>
            <w:tcW w:type="dxa" w:w="1440"/>
            <w:shd w:fill="FFDCE0" w:val="clear"/>
          </w:tcPr>
          <w:p>
            <w:r>
              <w:rPr>
                <w:sz w:val="17"/>
              </w:rPr>
              <w:t>32,554</w:t>
            </w:r>
          </w:p>
        </w:tc>
        <w:tc>
          <w:tcPr>
            <w:tcW w:type="dxa" w:w="1440"/>
            <w:shd w:fill="FFDCE0" w:val="clear"/>
          </w:tcPr>
          <w:p>
            <w:r>
              <w:rPr>
                <w:b/>
                <w:sz w:val="17"/>
              </w:rPr>
              <w:t>34,713</w:t>
            </w:r>
          </w:p>
        </w:tc>
        <w:tc>
          <w:tcPr>
            <w:tcW w:type="dxa" w:w="1440"/>
            <w:shd w:fill="FFDCE0" w:val="clear"/>
          </w:tcPr>
          <w:p>
            <w:r>
              <w:rPr>
                <w:sz w:val="17"/>
              </w:rPr>
              <w:t>36,873</w:t>
            </w:r>
          </w:p>
        </w:tc>
        <w:tc>
          <w:tcPr>
            <w:tcW w:type="dxa" w:w="1440"/>
            <w:shd w:fill="FFDCE0" w:val="clear"/>
          </w:tcPr>
          <w:p>
            <w:r>
              <w:rPr>
                <w:b/>
                <w:color w:val="C00000"/>
                <w:sz w:val="17"/>
              </w:rPr>
              <w:t>-4.9%</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32,105</w:t>
            </w:r>
          </w:p>
        </w:tc>
        <w:tc>
          <w:tcPr>
            <w:tcW w:type="dxa" w:w="1440"/>
            <w:shd w:fill="FFDCE0" w:val="clear"/>
          </w:tcPr>
          <w:p>
            <w:r>
              <w:rPr>
                <w:b/>
                <w:sz w:val="17"/>
              </w:rPr>
              <w:t>34,590</w:t>
            </w:r>
          </w:p>
        </w:tc>
        <w:tc>
          <w:tcPr>
            <w:tcW w:type="dxa" w:w="1440"/>
            <w:shd w:fill="FFDCE0" w:val="clear"/>
          </w:tcPr>
          <w:p>
            <w:r>
              <w:rPr>
                <w:sz w:val="17"/>
              </w:rPr>
              <w:t>37,075</w:t>
            </w:r>
          </w:p>
        </w:tc>
        <w:tc>
          <w:tcPr>
            <w:tcW w:type="dxa" w:w="1440"/>
            <w:shd w:fill="FFDCE0" w:val="clear"/>
          </w:tcPr>
          <w:p>
            <w:r>
              <w:rPr>
                <w:b/>
                <w:color w:val="C00000"/>
                <w:sz w:val="17"/>
              </w:rPr>
              <w:t>-5.2%</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31,727</w:t>
            </w:r>
          </w:p>
        </w:tc>
        <w:tc>
          <w:tcPr>
            <w:tcW w:type="dxa" w:w="1440"/>
            <w:shd w:fill="FFDCE0" w:val="clear"/>
          </w:tcPr>
          <w:p>
            <w:r>
              <w:rPr>
                <w:b/>
                <w:sz w:val="17"/>
              </w:rPr>
              <w:t>34,498</w:t>
            </w:r>
          </w:p>
        </w:tc>
        <w:tc>
          <w:tcPr>
            <w:tcW w:type="dxa" w:w="1440"/>
            <w:shd w:fill="FFDCE0" w:val="clear"/>
          </w:tcPr>
          <w:p>
            <w:r>
              <w:rPr>
                <w:sz w:val="17"/>
              </w:rPr>
              <w:t>37,268</w:t>
            </w:r>
          </w:p>
        </w:tc>
        <w:tc>
          <w:tcPr>
            <w:tcW w:type="dxa" w:w="1440"/>
            <w:shd w:fill="FFDCE0" w:val="clear"/>
          </w:tcPr>
          <w:p>
            <w:r>
              <w:rPr>
                <w:b/>
                <w:color w:val="C00000"/>
                <w:sz w:val="17"/>
              </w:rPr>
              <w:t>-5.5%</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31,394</w:t>
            </w:r>
          </w:p>
        </w:tc>
        <w:tc>
          <w:tcPr>
            <w:tcW w:type="dxa" w:w="1440"/>
            <w:shd w:fill="FFDCE0" w:val="clear"/>
          </w:tcPr>
          <w:p>
            <w:r>
              <w:rPr>
                <w:b/>
                <w:sz w:val="17"/>
              </w:rPr>
              <w:t>34,423</w:t>
            </w:r>
          </w:p>
        </w:tc>
        <w:tc>
          <w:tcPr>
            <w:tcW w:type="dxa" w:w="1440"/>
            <w:shd w:fill="FFDCE0" w:val="clear"/>
          </w:tcPr>
          <w:p>
            <w:r>
              <w:rPr>
                <w:sz w:val="17"/>
              </w:rPr>
              <w:t>37,451</w:t>
            </w:r>
          </w:p>
        </w:tc>
        <w:tc>
          <w:tcPr>
            <w:tcW w:type="dxa" w:w="1440"/>
            <w:shd w:fill="FFDCE0" w:val="clear"/>
          </w:tcPr>
          <w:p>
            <w:r>
              <w:rPr>
                <w:b/>
                <w:color w:val="C00000"/>
                <w:sz w:val="17"/>
              </w:rPr>
              <w:t>-5.7%</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31,091</w:t>
            </w:r>
          </w:p>
        </w:tc>
        <w:tc>
          <w:tcPr>
            <w:tcW w:type="dxa" w:w="1440"/>
            <w:shd w:fill="FFDCE0" w:val="clear"/>
          </w:tcPr>
          <w:p>
            <w:r>
              <w:rPr>
                <w:b/>
                <w:sz w:val="17"/>
              </w:rPr>
              <w:t>34,356</w:t>
            </w:r>
          </w:p>
        </w:tc>
        <w:tc>
          <w:tcPr>
            <w:tcW w:type="dxa" w:w="1440"/>
            <w:shd w:fill="FFDCE0" w:val="clear"/>
          </w:tcPr>
          <w:p>
            <w:r>
              <w:rPr>
                <w:sz w:val="17"/>
              </w:rPr>
              <w:t>37,621</w:t>
            </w:r>
          </w:p>
        </w:tc>
        <w:tc>
          <w:tcPr>
            <w:tcW w:type="dxa" w:w="1440"/>
            <w:shd w:fill="FFDCE0" w:val="clear"/>
          </w:tcPr>
          <w:p>
            <w:r>
              <w:rPr>
                <w:b/>
                <w:color w:val="C00000"/>
                <w:sz w:val="17"/>
              </w:rPr>
              <w:t>-5.9%</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30,809</w:t>
            </w:r>
          </w:p>
        </w:tc>
        <w:tc>
          <w:tcPr>
            <w:tcW w:type="dxa" w:w="1440"/>
            <w:shd w:fill="FFDCE0" w:val="clear"/>
          </w:tcPr>
          <w:p>
            <w:r>
              <w:rPr>
                <w:b/>
                <w:sz w:val="17"/>
              </w:rPr>
              <w:t>34,293</w:t>
            </w:r>
          </w:p>
        </w:tc>
        <w:tc>
          <w:tcPr>
            <w:tcW w:type="dxa" w:w="1440"/>
            <w:shd w:fill="FFDCE0" w:val="clear"/>
          </w:tcPr>
          <w:p>
            <w:r>
              <w:rPr>
                <w:sz w:val="17"/>
              </w:rPr>
              <w:t>37,777</w:t>
            </w:r>
          </w:p>
        </w:tc>
        <w:tc>
          <w:tcPr>
            <w:tcW w:type="dxa" w:w="1440"/>
            <w:shd w:fill="FFDCE0" w:val="clear"/>
          </w:tcPr>
          <w:p>
            <w:r>
              <w:rPr>
                <w:b/>
                <w:color w:val="C00000"/>
                <w:sz w:val="17"/>
              </w:rPr>
              <w:t>-6.0%</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30,544</w:t>
            </w:r>
          </w:p>
        </w:tc>
        <w:tc>
          <w:tcPr>
            <w:tcW w:type="dxa" w:w="1440"/>
            <w:shd w:fill="FFDCE0" w:val="clear"/>
          </w:tcPr>
          <w:p>
            <w:r>
              <w:rPr>
                <w:b/>
                <w:sz w:val="17"/>
              </w:rPr>
              <w:t>34,232</w:t>
            </w:r>
          </w:p>
        </w:tc>
        <w:tc>
          <w:tcPr>
            <w:tcW w:type="dxa" w:w="1440"/>
            <w:shd w:fill="FFDCE0" w:val="clear"/>
          </w:tcPr>
          <w:p>
            <w:r>
              <w:rPr>
                <w:sz w:val="17"/>
              </w:rPr>
              <w:t>37,921</w:t>
            </w:r>
          </w:p>
        </w:tc>
        <w:tc>
          <w:tcPr>
            <w:tcW w:type="dxa" w:w="1440"/>
            <w:shd w:fill="FFDCE0" w:val="clear"/>
          </w:tcPr>
          <w:p>
            <w:r>
              <w:rPr>
                <w:b/>
                <w:color w:val="C00000"/>
                <w:sz w:val="17"/>
              </w:rPr>
              <w:t>-6.2%</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30,292</w:t>
            </w:r>
          </w:p>
        </w:tc>
        <w:tc>
          <w:tcPr>
            <w:tcW w:type="dxa" w:w="1440"/>
            <w:shd w:fill="FFDCE0" w:val="clear"/>
          </w:tcPr>
          <w:p>
            <w:r>
              <w:rPr>
                <w:b/>
                <w:sz w:val="17"/>
              </w:rPr>
              <w:t>34,173</w:t>
            </w:r>
          </w:p>
        </w:tc>
        <w:tc>
          <w:tcPr>
            <w:tcW w:type="dxa" w:w="1440"/>
            <w:shd w:fill="FFDCE0" w:val="clear"/>
          </w:tcPr>
          <w:p>
            <w:r>
              <w:rPr>
                <w:sz w:val="17"/>
              </w:rPr>
              <w:t>38,055</w:t>
            </w:r>
          </w:p>
        </w:tc>
        <w:tc>
          <w:tcPr>
            <w:tcW w:type="dxa" w:w="1440"/>
            <w:shd w:fill="FFDCE0" w:val="clear"/>
          </w:tcPr>
          <w:p>
            <w:r>
              <w:rPr>
                <w:b/>
                <w:color w:val="C00000"/>
                <w:sz w:val="17"/>
              </w:rPr>
              <w:t>-6.4%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 26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Sonatel s'établit à 3 650 milliards FCFA, ce qui en fait la valeur la plus lourde et la plus liquide de la BRVM, représentant une part significative de l'indice. Avec un BPA de 4 136 FCFA, le titre se négocie à un PER de 8,8x, légèrement inférieur à la moyenne historique de la place (~8-12x), ce qui suggère une sous-évaluation relative de la valeur. Le P/B de 2,61x indique que le marché valorise l'entreprise au-dessus de sa valeur comptable, une prime justifiée par la forte rentabilité des capitaux propres (ROE &gt; 29%). Enfin, un EV/EBITDA de 3,8x, très inférieur au seuil de 5x, confirme que la société génère une trésorerie opérationnelle abondante au regard de sa valeur d'entreprise, renforçant l'attractivité du titre sur le plan fondamental.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SNTS a affiché une performance remarquable de +28,41%, passant d'un plus bas de 27 160 FCFA à un plus haut de 36 980 FCFA, pour clôturer à 36 500 FCFA. La dernière séance montre un léger repli de -1,30%, signe d'une consolidation après une forte progression. La moyenne du cours (29 758 FCFA) est inférieure à la médiane (28 900 FCFA), et l'écart-type de 1 828 FCFA (CV de 6,1%) indique une dispersion modérée. Le kurtosis élevé (2,803) signale un risque de mouvements extrêmes, tandis que le skewness positif (1,566) révèle une asymétrie avec des journées majoritairement sous la moyenne, mais de fortes poussées haussières. La volatilité annualisée de 29,4% classe le titre dans la zone de volatilité élevée, reflétant un momentum haussier soutenu mais potentiellement instable.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(36 500 FCFA) évolue nettement au-dessus de la MM20 (32 259,5 FCFA) et de la MM50 (30 876,2 FCFA), confirmant une tendance haussière de court et moyen terme. La configuration en pente ascendante des moyennes valide la dynamique positive et justifie la décision d'achat.</w:t>
      </w:r>
    </w:p>
    <w:p>
      <w:pPr>
        <w:spacing w:after="120" w:line="276" w:lineRule="auto"/>
      </w:pPr>
      <w:r>
        <w:t>**Bandes de Bollinger** : Le prix se situe au-dessus de la borne supérieure (35 988,9 FCFA), indiquant une extension excessive du mouvement haussier. Cette sortie de canal signale une suraccélération temporaire, ce qui justifie la décision de vente à court terme, car un retour vers la moyenne est statistiquement probable.</w:t>
      </w:r>
    </w:p>
    <w:p>
      <w:pPr>
        <w:spacing w:after="120" w:line="276" w:lineRule="auto"/>
      </w:pPr>
      <w:r>
        <w:t>**MACD** : La valeur du MACD (1 243,0) est nettement supérieure à sa ligne de signal (745,6), confirmant un momentum haussier robuste. L'écart positif entre les deux lignes indique une dynamique de fond solide, justifiant la décision d'achat malgré un risque de correction technique.</w:t>
      </w:r>
    </w:p>
    <w:p>
      <w:pPr>
        <w:spacing w:after="120" w:line="276" w:lineRule="auto"/>
      </w:pPr>
      <w:r>
        <w:t>**RSI** : Avec une valeur de 80,35, le RSI est en zone de surachat sévère (&gt;70), signalant que le titre est techniquement surévalué à court terme. Cette situation justifie la décision de vente, car elle suggère un épuisement potentiel de la pression acheteuse.</w:t>
      </w:r>
    </w:p>
    <w:p>
      <w:pPr>
        <w:spacing w:after="120" w:line="276" w:lineRule="auto"/>
      </w:pPr>
      <w:r>
        <w:t>**Stochastique** : Le %K (92,92) et le %D (97,64) sont tous deux en zone de surachat extrême, avec un %K sous le %D, indiquant un croisement baissier imminent. Cette configuration justifie la décision de vente, car elle précède souvent un repli technique.</w:t>
      </w:r>
    </w:p>
    <w:p>
      <w:pPr>
        <w:spacing w:after="120" w:line="276" w:lineRule="auto"/>
      </w:pPr>
      <w:r>
        <w:t>**Conclusion technique** : Les indicateurs de tendance (MM, MACD) sont positifs, mais les oscillateurs (RSI, Stochastique) et les bandes de Bollinger signalent une suraccumulation. Le titre est en surachat généralisé, ce qui suggère une consolidation ou une correction à court terme avant une reprise de la tendance haussière.</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2025 révèlent une santé financière exceptionnelle. Le chiffre d'affaires s'établit à 1 923,1 milliards FCFA (+8,3% vs 2024), avec un résultat net de 413,6 milliards FCFA, soit une marge nette de 21,5%. La rentabilité des capitaux propres (ROE) atteint 29,6%, et le ROA est de 12,6%, démontrant une utilisation très efficace des actifs. Le BFR est négatif (-284,9 milliards FCFA), ce qui est favorable, avec un délai fournisseurs de 201 jours contre 46 jours pour les clients, indiquant une excellente gestion de la trésorerie. Le ratio d'endettement est maîtrisé (57,2%), et la capacité de remboursement est rapide (0,64 an). Selon le rapport annuel 2025, l'EBITDAAL ressort à 47,9% du CA, et le dividende proposé est de 1 933 FCFA brut par action. Les rapports trimestriels 2025 (T1, S1, T3) montrent une croissance régulière du CA et du résultat net, avec des marges stables autour de 22%. Enfin, le communiqué du S1 2026 (publié le 24/07/2026) confirme la dynamique avec un CA de 1 049,8 milliards FCFA (+9,3%) et un résultat net de 230 milliards FCFA (+10,5%), laissant présager un exercice 2026 record.</w:t>
      </w:r>
    </w:p>
    <w:p>
      <w:pPr>
        <w:spacing w:after="120" w:line="276" w:lineRule="auto"/>
      </w:pPr>
      <w:r>
        <w:t>---</w:t>
      </w:r>
    </w:p>
    <w:p>
      <w:pPr>
        <w:spacing w:after="120" w:line="276" w:lineRule="auto"/>
      </w:pPr>
      <w:r>
        <w:t>### PARTIE 4 : CONCLUSION D'INVESTISSEMENT</w:t>
      </w:r>
    </w:p>
    <w:p>
      <w:pPr>
        <w:spacing w:after="120" w:line="276" w:lineRule="auto"/>
      </w:pPr>
      <w:r>
        <w:t>La valorisation de SNTS est attractive (PER 8,8x, EV/EBITDA 3,8x), indiquant une sous-évaluation malgré une prime sur le P/B justifiée par la rentabilité. Le comportement du cours est haussier sur 100 jours (+28,4%), mais la volatilité élevée et les statistiques (kurtosis, skewness) suggèrent des risques de pics et de corrections. Les signaux techniques sont mitigés : la tendance de fond est positive, mais les indicateurs de surachat (RSI, Stochastique, Bollinger) appellent à la prudence à court terme. Les fondamentaux sont excellents, avec une croissance soutenue, des marges élevées et une génération de cash-flow robuste, confirmée par les résultats S1 2026. Les prédictions IA (34 857 FCFA à J+10) indiquent une légère correction vers les 34 500 FCFA, en cohérence avec les signaux de surachat. **Recommandation : ACHAT** sur repli, avec un niveau de confiance **Élevé**, un risque global **Moyen** (volatilité et pression réglementaire), et un horizon d'investissement optimal à **moyen terme (3-12 mois)** pour profiter de la croissance des bénéfices et du potentiel de revalorisation du titre.</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178.22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5,800 titres</w:t>
            </w:r>
          </w:p>
        </w:tc>
        <w:tc>
          <w:tcPr>
            <w:tcW w:type="dxa" w:w="2268"/>
            <w:shd w:fill="FFF2CC" w:val="clear"/>
          </w:tcPr>
          <w:p>
            <w:r>
              <w:rPr>
                <w:b/>
                <w:color w:val="503200"/>
                <w:sz w:val="16"/>
              </w:rPr>
              <w:t xml:space="preserve">Cours actuel : </w:t>
            </w:r>
            <w:r>
              <w:rPr>
                <w:color w:val="000000"/>
                <w:sz w:val="17"/>
              </w:rPr>
              <w:t>8,250 FCFA</w:t>
            </w:r>
          </w:p>
          <w:p>
            <w:r>
              <w:rPr>
                <w:b/>
                <w:color w:val="503200"/>
                <w:sz w:val="16"/>
              </w:rPr>
              <w:t xml:space="preserve">Var. 100 jours : </w:t>
            </w:r>
            <w:r>
              <w:rPr>
                <w:b/>
                <w:color w:val="007800"/>
                <w:sz w:val="17"/>
              </w:rPr>
              <w:t>+4.43%</w:t>
            </w:r>
          </w:p>
          <w:p>
            <w:r>
              <w:rPr>
                <w:b/>
                <w:color w:val="503200"/>
                <w:sz w:val="16"/>
              </w:rPr>
              <w:t xml:space="preserve">Plus haut 100j : </w:t>
            </w:r>
            <w:r>
              <w:rPr>
                <w:color w:val="000000"/>
                <w:sz w:val="17"/>
              </w:rPr>
              <w:t>8,600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4.81% (Faible) — μ=7,977 FCFA, σ=384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β=0.2348 (Défensif) — Cov=0.000008, Var(idx)=0.000034, ρ=0.059,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5,800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σ_j=2.33%/j (Stable) — Vol. annualisée≈37.1%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2026-08-27</w:t>
            </w:r>
          </w:p>
        </w:tc>
        <w:tc>
          <w:tcPr>
            <w:tcW w:type="dxa" w:w="1440"/>
            <w:shd w:fill="FAFAFA" w:val="clear"/>
          </w:tcPr>
          <w:p>
            <w:r>
              <w:rPr>
                <w:sz w:val="17"/>
              </w:rPr>
              <w:t>7,717</w:t>
            </w:r>
          </w:p>
        </w:tc>
        <w:tc>
          <w:tcPr>
            <w:tcW w:type="dxa" w:w="1440"/>
            <w:shd w:fill="FAFAFA" w:val="clear"/>
          </w:tcPr>
          <w:p>
            <w:r>
              <w:rPr>
                <w:b/>
                <w:sz w:val="17"/>
              </w:rPr>
              <w:t>8,242</w:t>
            </w:r>
          </w:p>
        </w:tc>
        <w:tc>
          <w:tcPr>
            <w:tcW w:type="dxa" w:w="1440"/>
            <w:shd w:fill="FAFAFA" w:val="clear"/>
          </w:tcPr>
          <w:p>
            <w:r>
              <w:rPr>
                <w:sz w:val="17"/>
              </w:rPr>
              <w:t>8,767</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2026-08-28</w:t>
            </w:r>
          </w:p>
        </w:tc>
        <w:tc>
          <w:tcPr>
            <w:tcW w:type="dxa" w:w="1440"/>
            <w:shd w:fill="FAFAFA" w:val="clear"/>
          </w:tcPr>
          <w:p>
            <w:r>
              <w:rPr>
                <w:sz w:val="17"/>
              </w:rPr>
              <w:t>7,609</w:t>
            </w:r>
          </w:p>
        </w:tc>
        <w:tc>
          <w:tcPr>
            <w:tcW w:type="dxa" w:w="1440"/>
            <w:shd w:fill="FAFAFA" w:val="clear"/>
          </w:tcPr>
          <w:p>
            <w:r>
              <w:rPr>
                <w:b/>
                <w:sz w:val="17"/>
              </w:rPr>
              <w:t>8,253</w:t>
            </w:r>
          </w:p>
        </w:tc>
        <w:tc>
          <w:tcPr>
            <w:tcW w:type="dxa" w:w="1440"/>
            <w:shd w:fill="FAFAFA" w:val="clear"/>
          </w:tcPr>
          <w:p>
            <w:r>
              <w:rPr>
                <w:sz w:val="17"/>
              </w:rPr>
              <w:t>8,897</w:t>
            </w:r>
          </w:p>
        </w:tc>
        <w:tc>
          <w:tcPr>
            <w:tcW w:type="dxa" w:w="1440"/>
            <w:shd w:fill="FAFAFA" w:val="clear"/>
          </w:tcPr>
          <w:p>
            <w:r>
              <w:rPr>
                <w:b/>
                <w:color w:val="008000"/>
                <w:sz w:val="17"/>
              </w:rPr>
              <w:t>+0.0%</w:t>
            </w:r>
          </w:p>
        </w:tc>
      </w:tr>
      <w:tr>
        <w:tc>
          <w:tcPr>
            <w:tcW w:type="dxa" w:w="1440"/>
            <w:shd w:fill="FAFAFA" w:val="clear"/>
          </w:tcPr>
          <w:p>
            <w:r>
              <w:rPr>
                <w:sz w:val="17"/>
              </w:rPr>
              <w:t>J+3  ⭐</w:t>
            </w:r>
          </w:p>
        </w:tc>
        <w:tc>
          <w:tcPr>
            <w:tcW w:type="dxa" w:w="1440"/>
            <w:shd w:fill="FAFAFA" w:val="clear"/>
          </w:tcPr>
          <w:p>
            <w:r>
              <w:rPr>
                <w:sz w:val="17"/>
              </w:rPr>
              <w:t>2026-08-31</w:t>
            </w:r>
          </w:p>
        </w:tc>
        <w:tc>
          <w:tcPr>
            <w:tcW w:type="dxa" w:w="1440"/>
            <w:shd w:fill="FAFAFA" w:val="clear"/>
          </w:tcPr>
          <w:p>
            <w:r>
              <w:rPr>
                <w:sz w:val="17"/>
              </w:rPr>
              <w:t>7,520</w:t>
            </w:r>
          </w:p>
        </w:tc>
        <w:tc>
          <w:tcPr>
            <w:tcW w:type="dxa" w:w="1440"/>
            <w:shd w:fill="FAFAFA" w:val="clear"/>
          </w:tcPr>
          <w:p>
            <w:r>
              <w:rPr>
                <w:b/>
                <w:sz w:val="17"/>
              </w:rPr>
              <w:t>8,264</w:t>
            </w:r>
          </w:p>
        </w:tc>
        <w:tc>
          <w:tcPr>
            <w:tcW w:type="dxa" w:w="1440"/>
            <w:shd w:fill="FAFAFA" w:val="clear"/>
          </w:tcPr>
          <w:p>
            <w:r>
              <w:rPr>
                <w:sz w:val="17"/>
              </w:rPr>
              <w:t>9,008</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2026-09-01</w:t>
            </w:r>
          </w:p>
        </w:tc>
        <w:tc>
          <w:tcPr>
            <w:tcW w:type="dxa" w:w="1440"/>
            <w:shd w:fill="FAFAFA" w:val="clear"/>
          </w:tcPr>
          <w:p>
            <w:r>
              <w:rPr>
                <w:sz w:val="17"/>
              </w:rPr>
              <w:t>7,442</w:t>
            </w:r>
          </w:p>
        </w:tc>
        <w:tc>
          <w:tcPr>
            <w:tcW w:type="dxa" w:w="1440"/>
            <w:shd w:fill="FAFAFA" w:val="clear"/>
          </w:tcPr>
          <w:p>
            <w:r>
              <w:rPr>
                <w:b/>
                <w:sz w:val="17"/>
              </w:rPr>
              <w:t>8,275</w:t>
            </w:r>
          </w:p>
        </w:tc>
        <w:tc>
          <w:tcPr>
            <w:tcW w:type="dxa" w:w="1440"/>
            <w:shd w:fill="FAFAFA" w:val="clear"/>
          </w:tcPr>
          <w:p>
            <w:r>
              <w:rPr>
                <w:sz w:val="17"/>
              </w:rPr>
              <w:t>9,108</w:t>
            </w:r>
          </w:p>
        </w:tc>
        <w:tc>
          <w:tcPr>
            <w:tcW w:type="dxa" w:w="1440"/>
            <w:shd w:fill="FAFAFA" w:val="clear"/>
          </w:tcPr>
          <w:p>
            <w:r>
              <w:rPr>
                <w:b/>
                <w:color w:val="008000"/>
                <w:sz w:val="17"/>
              </w:rPr>
              <w:t>+0.3%</w:t>
            </w:r>
          </w:p>
        </w:tc>
      </w:tr>
      <w:tr>
        <w:tc>
          <w:tcPr>
            <w:tcW w:type="dxa" w:w="1440"/>
            <w:shd w:fill="FAFAFA" w:val="clear"/>
          </w:tcPr>
          <w:p>
            <w:r>
              <w:rPr>
                <w:sz w:val="17"/>
              </w:rPr>
              <w:t>J+5  ⭐</w:t>
            </w:r>
          </w:p>
        </w:tc>
        <w:tc>
          <w:tcPr>
            <w:tcW w:type="dxa" w:w="1440"/>
            <w:shd w:fill="FAFAFA" w:val="clear"/>
          </w:tcPr>
          <w:p>
            <w:r>
              <w:rPr>
                <w:sz w:val="17"/>
              </w:rPr>
              <w:t>2026-09-02</w:t>
            </w:r>
          </w:p>
        </w:tc>
        <w:tc>
          <w:tcPr>
            <w:tcW w:type="dxa" w:w="1440"/>
            <w:shd w:fill="FAFAFA" w:val="clear"/>
          </w:tcPr>
          <w:p>
            <w:r>
              <w:rPr>
                <w:sz w:val="17"/>
              </w:rPr>
              <w:t>7,372</w:t>
            </w:r>
          </w:p>
        </w:tc>
        <w:tc>
          <w:tcPr>
            <w:tcW w:type="dxa" w:w="1440"/>
            <w:shd w:fill="FAFAFA" w:val="clear"/>
          </w:tcPr>
          <w:p>
            <w:r>
              <w:rPr>
                <w:b/>
                <w:sz w:val="17"/>
              </w:rPr>
              <w:t>8,286</w:t>
            </w:r>
          </w:p>
        </w:tc>
        <w:tc>
          <w:tcPr>
            <w:tcW w:type="dxa" w:w="1440"/>
            <w:shd w:fill="FAFAFA" w:val="clear"/>
          </w:tcPr>
          <w:p>
            <w:r>
              <w:rPr>
                <w:sz w:val="17"/>
              </w:rPr>
              <w:t>9,200</w:t>
            </w:r>
          </w:p>
        </w:tc>
        <w:tc>
          <w:tcPr>
            <w:tcW w:type="dxa" w:w="1440"/>
            <w:shd w:fill="FAFAFA" w:val="clear"/>
          </w:tcPr>
          <w:p>
            <w:r>
              <w:rPr>
                <w:b/>
                <w:color w:val="008000"/>
                <w:sz w:val="17"/>
              </w:rPr>
              <w:t>+0.4%</w:t>
            </w:r>
          </w:p>
        </w:tc>
      </w:tr>
      <w:tr>
        <w:tc>
          <w:tcPr>
            <w:tcW w:type="dxa" w:w="1440"/>
            <w:shd w:fill="FAFAFA" w:val="clear"/>
          </w:tcPr>
          <w:p>
            <w:r>
              <w:rPr>
                <w:sz w:val="17"/>
              </w:rPr>
              <w:t>J+6  ⭐</w:t>
            </w:r>
          </w:p>
        </w:tc>
        <w:tc>
          <w:tcPr>
            <w:tcW w:type="dxa" w:w="1440"/>
            <w:shd w:fill="FAFAFA" w:val="clear"/>
          </w:tcPr>
          <w:p>
            <w:r>
              <w:rPr>
                <w:sz w:val="17"/>
              </w:rPr>
              <w:t>2026-09-03</w:t>
            </w:r>
          </w:p>
        </w:tc>
        <w:tc>
          <w:tcPr>
            <w:tcW w:type="dxa" w:w="1440"/>
            <w:shd w:fill="FAFAFA" w:val="clear"/>
          </w:tcPr>
          <w:p>
            <w:r>
              <w:rPr>
                <w:sz w:val="17"/>
              </w:rPr>
              <w:t>7,308</w:t>
            </w:r>
          </w:p>
        </w:tc>
        <w:tc>
          <w:tcPr>
            <w:tcW w:type="dxa" w:w="1440"/>
            <w:shd w:fill="FAFAFA" w:val="clear"/>
          </w:tcPr>
          <w:p>
            <w:r>
              <w:rPr>
                <w:b/>
                <w:sz w:val="17"/>
              </w:rPr>
              <w:t>8,297</w:t>
            </w:r>
          </w:p>
        </w:tc>
        <w:tc>
          <w:tcPr>
            <w:tcW w:type="dxa" w:w="1440"/>
            <w:shd w:fill="FAFAFA" w:val="clear"/>
          </w:tcPr>
          <w:p>
            <w:r>
              <w:rPr>
                <w:sz w:val="17"/>
              </w:rPr>
              <w:t>9,286</w:t>
            </w:r>
          </w:p>
        </w:tc>
        <w:tc>
          <w:tcPr>
            <w:tcW w:type="dxa" w:w="1440"/>
            <w:shd w:fill="FAFAFA" w:val="clear"/>
          </w:tcPr>
          <w:p>
            <w:r>
              <w:rPr>
                <w:b/>
                <w:color w:val="008000"/>
                <w:sz w:val="17"/>
              </w:rPr>
              <w:t>+0.6%</w:t>
            </w:r>
          </w:p>
        </w:tc>
      </w:tr>
      <w:tr>
        <w:tc>
          <w:tcPr>
            <w:tcW w:type="dxa" w:w="1440"/>
            <w:shd w:fill="FAFAFA" w:val="clear"/>
          </w:tcPr>
          <w:p>
            <w:r>
              <w:rPr>
                <w:sz w:val="17"/>
              </w:rPr>
              <w:t>J+7  ⭐</w:t>
            </w:r>
          </w:p>
        </w:tc>
        <w:tc>
          <w:tcPr>
            <w:tcW w:type="dxa" w:w="1440"/>
            <w:shd w:fill="FAFAFA" w:val="clear"/>
          </w:tcPr>
          <w:p>
            <w:r>
              <w:rPr>
                <w:sz w:val="17"/>
              </w:rPr>
              <w:t>2026-09-04</w:t>
            </w:r>
          </w:p>
        </w:tc>
        <w:tc>
          <w:tcPr>
            <w:tcW w:type="dxa" w:w="1440"/>
            <w:shd w:fill="FAFAFA" w:val="clear"/>
          </w:tcPr>
          <w:p>
            <w:r>
              <w:rPr>
                <w:sz w:val="17"/>
              </w:rPr>
              <w:t>7,249</w:t>
            </w:r>
          </w:p>
        </w:tc>
        <w:tc>
          <w:tcPr>
            <w:tcW w:type="dxa" w:w="1440"/>
            <w:shd w:fill="FAFAFA" w:val="clear"/>
          </w:tcPr>
          <w:p>
            <w:r>
              <w:rPr>
                <w:b/>
                <w:sz w:val="17"/>
              </w:rPr>
              <w:t>8,308</w:t>
            </w:r>
          </w:p>
        </w:tc>
        <w:tc>
          <w:tcPr>
            <w:tcW w:type="dxa" w:w="1440"/>
            <w:shd w:fill="FAFAFA" w:val="clear"/>
          </w:tcPr>
          <w:p>
            <w:r>
              <w:rPr>
                <w:sz w:val="17"/>
              </w:rPr>
              <w:t>9,366</w:t>
            </w:r>
          </w:p>
        </w:tc>
        <w:tc>
          <w:tcPr>
            <w:tcW w:type="dxa" w:w="1440"/>
            <w:shd w:fill="FAFAFA" w:val="clear"/>
          </w:tcPr>
          <w:p>
            <w:r>
              <w:rPr>
                <w:b/>
                <w:color w:val="008000"/>
                <w:sz w:val="17"/>
              </w:rPr>
              <w:t>+0.7%</w:t>
            </w:r>
          </w:p>
        </w:tc>
      </w:tr>
      <w:tr>
        <w:tc>
          <w:tcPr>
            <w:tcW w:type="dxa" w:w="1440"/>
            <w:shd w:fill="FAFAFA" w:val="clear"/>
          </w:tcPr>
          <w:p>
            <w:r>
              <w:rPr>
                <w:sz w:val="17"/>
              </w:rPr>
              <w:t>J+8  ⭐</w:t>
            </w:r>
          </w:p>
        </w:tc>
        <w:tc>
          <w:tcPr>
            <w:tcW w:type="dxa" w:w="1440"/>
            <w:shd w:fill="FAFAFA" w:val="clear"/>
          </w:tcPr>
          <w:p>
            <w:r>
              <w:rPr>
                <w:sz w:val="17"/>
              </w:rPr>
              <w:t>2026-09-07</w:t>
            </w:r>
          </w:p>
        </w:tc>
        <w:tc>
          <w:tcPr>
            <w:tcW w:type="dxa" w:w="1440"/>
            <w:shd w:fill="FAFAFA" w:val="clear"/>
          </w:tcPr>
          <w:p>
            <w:r>
              <w:rPr>
                <w:sz w:val="17"/>
              </w:rPr>
              <w:t>7,195</w:t>
            </w:r>
          </w:p>
        </w:tc>
        <w:tc>
          <w:tcPr>
            <w:tcW w:type="dxa" w:w="1440"/>
            <w:shd w:fill="FAFAFA" w:val="clear"/>
          </w:tcPr>
          <w:p>
            <w:r>
              <w:rPr>
                <w:b/>
                <w:sz w:val="17"/>
              </w:rPr>
              <w:t>8,319</w:t>
            </w:r>
          </w:p>
        </w:tc>
        <w:tc>
          <w:tcPr>
            <w:tcW w:type="dxa" w:w="1440"/>
            <w:shd w:fill="FAFAFA" w:val="clear"/>
          </w:tcPr>
          <w:p>
            <w:r>
              <w:rPr>
                <w:sz w:val="17"/>
              </w:rPr>
              <w:t>9,443</w:t>
            </w:r>
          </w:p>
        </w:tc>
        <w:tc>
          <w:tcPr>
            <w:tcW w:type="dxa" w:w="1440"/>
            <w:shd w:fill="FAFAFA" w:val="clear"/>
          </w:tcPr>
          <w:p>
            <w:r>
              <w:rPr>
                <w:b/>
                <w:color w:val="008000"/>
                <w:sz w:val="17"/>
              </w:rPr>
              <w:t>+0.8%</w:t>
            </w:r>
          </w:p>
        </w:tc>
      </w:tr>
      <w:tr>
        <w:tc>
          <w:tcPr>
            <w:tcW w:type="dxa" w:w="1440"/>
            <w:shd w:fill="FAFAFA" w:val="clear"/>
          </w:tcPr>
          <w:p>
            <w:r>
              <w:rPr>
                <w:sz w:val="17"/>
              </w:rPr>
              <w:t>J+9  ⭐</w:t>
            </w:r>
          </w:p>
        </w:tc>
        <w:tc>
          <w:tcPr>
            <w:tcW w:type="dxa" w:w="1440"/>
            <w:shd w:fill="FAFAFA" w:val="clear"/>
          </w:tcPr>
          <w:p>
            <w:r>
              <w:rPr>
                <w:sz w:val="17"/>
              </w:rPr>
              <w:t>2026-09-08</w:t>
            </w:r>
          </w:p>
        </w:tc>
        <w:tc>
          <w:tcPr>
            <w:tcW w:type="dxa" w:w="1440"/>
            <w:shd w:fill="FAFAFA" w:val="clear"/>
          </w:tcPr>
          <w:p>
            <w:r>
              <w:rPr>
                <w:sz w:val="17"/>
              </w:rPr>
              <w:t>7,143</w:t>
            </w:r>
          </w:p>
        </w:tc>
        <w:tc>
          <w:tcPr>
            <w:tcW w:type="dxa" w:w="1440"/>
            <w:shd w:fill="FAFAFA" w:val="clear"/>
          </w:tcPr>
          <w:p>
            <w:r>
              <w:rPr>
                <w:b/>
                <w:sz w:val="17"/>
              </w:rPr>
              <w:t>8,329</w:t>
            </w:r>
          </w:p>
        </w:tc>
        <w:tc>
          <w:tcPr>
            <w:tcW w:type="dxa" w:w="1440"/>
            <w:shd w:fill="FAFAFA" w:val="clear"/>
          </w:tcPr>
          <w:p>
            <w:r>
              <w:rPr>
                <w:sz w:val="17"/>
              </w:rPr>
              <w:t>9,516</w:t>
            </w:r>
          </w:p>
        </w:tc>
        <w:tc>
          <w:tcPr>
            <w:tcW w:type="dxa" w:w="1440"/>
            <w:shd w:fill="FAFAFA" w:val="clear"/>
          </w:tcPr>
          <w:p>
            <w:r>
              <w:rPr>
                <w:b/>
                <w:color w:val="008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**Date : 26 août 2026 | Marché : BRVM (Côte d'Ivoire)**</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SOGC s'établit à 178,22 milliards FCFA, ce qui en fait l'une des valeurs les plus significatives de la cote ivoirienne, reflétant la confiance des investisseurs dans ce leader du caoutchouc naturel. Avec un BPA de 578 FCFA, chaque action génère un bénéfice substantiel, justifiant un PER de 14,3x. Ce ratio, bien que supérieur à la moyenne historique de la BRVM (8-12x), reste modéré et témoigne d'une valorisation raisonnable pour une société affichant une telle croissance. Le P/B de 2,60x indique que le marché accorde une prime de croissance par rapport à la valeur comptable des actifs, ce qui est cohérent avec la forte rentabilité de l'entreprise. Enfin, un EV/EBITDA de 7,4x, situé dans la fourchette basse des 5-10x, confirme que la valeur totale de l'entreprise reste attractive par rapport à sa capacité opérationnelle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SOGC a enregistré une progression modeste de +4,43%, avec une dynamique positive lors de la dernière séance (+0,92%), portant le cours à 8 250 FCFA. Le titre a évolué dans un range de 7 100 à 8 600 FCFA, montrant une certaine amplitude mais sans cassure majeure. La moyenne du cours sur la période (7 977 FCFA) est inférieure à la médiane (8 000 FCFA) et au cours actuel, indiquant une légère asymétrie positive récente. L'écart-type de 386 FCFA, avec un coefficient de variation de seulement 4,8%, révèle une dispersion très faible et une stabilité remarquable du cours. Le kurtosis de -0,950 (mésokurtique) et le skewness de -0,345 suggèrent une distribution proche de la normale, sans risque de mouvements extrêmes. Cependant, la volatilité annualisée de 37,1% classe le titre dans la catégorie des actifs à forte volatilité, un paradoxe apparent qui souligne des phases de consolidation suivies de brusques accélérations.</w:t>
      </w:r>
    </w:p>
    <w:p>
      <w:pPr>
        <w:spacing w:after="120" w:line="276" w:lineRule="auto"/>
      </w:pPr>
      <w:r>
        <w:t>---</w:t>
      </w:r>
    </w:p>
    <w:p>
      <w:pPr>
        <w:spacing w:after="120" w:line="276" w:lineRule="auto"/>
      </w:pPr>
      <w:r>
        <w:t>### PARTIE 2 : ANALYSE TECHNIQUE DÉTAILLÉE</w:t>
      </w:r>
    </w:p>
    <w:p>
      <w:pPr>
        <w:spacing w:after="120" w:line="276" w:lineRule="auto"/>
      </w:pPr>
      <w:r>
        <w:t>**Moyennes Mobiles :** La MM20 (8 058 FCFA) est inférieure à la MM50 (8 204,5 FCFA), et le cours actuel (8 250 FCFA) se situe au-dessus de la MM20 mais sous la MM50. Cette configuration indique une tendance de fond encore baissière à moyen terme, malgré un rebond à court terme. La décision de "Vente" est justifiée par la persistance du cours sous la moyenne mobile longue, signe que la pression vendeuse n'est pas totalement résorbée.</w:t>
      </w:r>
    </w:p>
    <w:p>
      <w:pPr>
        <w:spacing w:after="120" w:line="276" w:lineRule="auto"/>
      </w:pPr>
      <w:r>
        <w:t>**Bandes de Bollinger :** Le cours évolue à 8 250 FCFA, proche de la borne supérieure (8 571 FCFA) et nettement au-dessus de la borne inférieure (7 544 FCFA). La largeur des bandes reflète une volatilité modérée. La décision "Neutre" est cohérente : le titre n'est ni suracheté ni survendu, et se trouve dans la partie haute de son canal, suggérant un potentiel de poursuite du mouvement haussier sans excès.</w:t>
      </w:r>
    </w:p>
    <w:p>
      <w:pPr>
        <w:spacing w:after="120" w:line="276" w:lineRule="auto"/>
      </w:pPr>
      <w:r>
        <w:t>**MACD :** Le MACD (-16,436) est négatif mais nettement au-dessus de sa ligne de signal (-59,407), formant une divergence positive. Cette configuration signale un momentum haussier naissant, avec une accélération de la dynamique des prix. La décision "Achat" est justifiée par ce croisement haussier, qui précède souvent une poursuite de la hausse.</w:t>
      </w:r>
    </w:p>
    <w:p>
      <w:pPr>
        <w:spacing w:after="120" w:line="276" w:lineRule="auto"/>
      </w:pPr>
      <w:r>
        <w:t>**RSI :** À 47,25, le RSI se situe en zone neutre, indiquant un équilibre entre pressions acheteuses et vendeuses. Il n'y a pas de signal de surachat ou de survente, laissant la place à une évolution directionnelle. La décision "Neutre" est appropriée, le titre disposant d'une marge de manœuvre dans les deux sens.</w:t>
      </w:r>
    </w:p>
    <w:p>
      <w:pPr>
        <w:spacing w:after="120" w:line="276" w:lineRule="auto"/>
      </w:pPr>
      <w:r>
        <w:t>**Stochastique :** Le %K (95,9) et le %D (85,4) sont tous deux en zone de surachat extrême (&gt;80). Ce niveau élevé signale un épuisement potentiel du mouvement haussier à court terme. La décision "Vente" est justifiée par ce risque de correction technique, même si le croisement baissier n'est pas encore confirmé.</w:t>
      </w:r>
    </w:p>
    <w:p>
      <w:pPr>
        <w:spacing w:after="120" w:line="276" w:lineRule="auto"/>
      </w:pPr>
      <w:r>
        <w:t>**Conclusion technique :** Les indicateurs sont mitigés. Le MACD et la position du cours dans les bandes de Bollinger plaident pour une poursuite de la hausse, tandis que les moyennes mobiles et le stochastique en surachat suggèrent une prudence. La configuration globale est celle d'un marché en consolidation, avec un biais haussier à très court terme mais des risques de correction technique. Un signal clair émergera probablement après la résorption du surachat stochastique.</w:t>
      </w:r>
    </w:p>
    <w:p>
      <w:pPr>
        <w:spacing w:after="120" w:line="276" w:lineRule="auto"/>
      </w:pPr>
      <w:r>
        <w:t>---</w:t>
      </w:r>
    </w:p>
    <w:p>
      <w:pPr>
        <w:spacing w:after="120" w:line="276" w:lineRule="auto"/>
      </w:pPr>
      <w:r>
        <w:t>### PARTIE 3 : ANALYSE FONDAMENTALE (SECTION CRITIQUE)</w:t>
      </w:r>
    </w:p>
    <w:p>
      <w:pPr>
        <w:spacing w:after="120" w:line="276" w:lineRule="auto"/>
      </w:pPr>
      <w:r>
        <w:t>En 2025, la SOGC a réalisé un chiffre d'affaires de 98,98 milliards FCFA, en hausse de 10,7% par rapport à 2024, et un résultat net de 12,49 milliards FCFA, en léger repli de 5% par rapport aux 13,11 milliards de 2024. Cette performance s'explique par une hausse des ventes de produits fabriqués (+12%), tirée par les prix de l'huile de palme (+20%) et de palmiste (+47%), mais freinée par une augmentation de 15% des coûts des matières premières. La rentabilité reste excellente avec un ROE de 18,26% et un ROA de 13,84%, bien au-dessus des seuils de référence. La structure financière est très saine : autonomie financière de 75,8%, endettement limité à 24,2% des capitaux propres, et une capacité de remboursement quasi nulle (0,04 an). Le BFR de 7,12 milliards FCFA, avec un délai clients de 29,6 jours et un délai fournisseurs de 31,7 jours, indique une gestion équilibrée du cycle d'exploitation. Les rapports trimestriels 2025 montrent une décélération progressive : le T1 affichait une croissance explosive (+63% de CA, +263% de résultat net), le S1 une hausse de 51,9% du CA, mais le cumul 9M ne progressait plus que de 21,3%, reflétant la baisse des cours internationaux du caoutchouc au S2. Sur la base de ces tendances, on estime que l'exercice 2026 pourrait voir un CA stable autour de 95-100 milliards FCFA, avec un résultat net en légère baisse, dans un contexte de concurrence accrue sur l'achat du coagulum. La société propose un dividende brut de 570 FCFA par action pour 2025, soit un rendement de 6,9% au cours actuel, confirmant une politique de distribution généreuse.</w:t>
      </w:r>
    </w:p>
    <w:p>
      <w:pPr>
        <w:spacing w:after="120" w:line="276" w:lineRule="auto"/>
      </w:pPr>
      <w:r>
        <w:t>---</w:t>
      </w:r>
    </w:p>
    <w:p>
      <w:pPr>
        <w:spacing w:after="120" w:line="276" w:lineRule="auto"/>
      </w:pPr>
      <w:r>
        <w:t>### PARTIE 4 : CONCLUSION D'INVESTISSEMENT</w:t>
      </w:r>
    </w:p>
    <w:p>
      <w:pPr>
        <w:spacing w:after="120" w:line="276" w:lineRule="auto"/>
      </w:pPr>
      <w:r>
        <w:t>La valorisation de la SOGC (PER 14,3x, P/B 2,6x, EV/EBITDA 7,4x) est raisonnable, sans sous-évaluation flagrante ni bulle spéculative. Le comportement du cours sur 100 jours montre une stabilité remarquable (CV 4,8%) et une distribution normale, mais une volatilité annualisée élevée (37,1%) qui appelle à la prudence. Les signaux techniques sont mitigés : le MACD est haussier, les bandes de Bollinger neutres, mais les moyennes mobiles et le stochastique suggèrent une prudence à court terme. Les fondamentaux sont solides, avec une rentabilité élevée (ROE 18,3%), une structure financière saine et un dividende attractif, mais les perspectives 2026 sont moins dynamiques en raison de la pression sur les coûts et de la volatilité des prix des matières premières. Les prédictions IA pour les 10 prochains jours (8 242 à 8 286 FCFA) confirment une légère tendance haussière, en cohérence avec le MACD mais en contradiction avec le stochastique suracheté. **Recommandation finale : CONSERVER.** La convergence entre une valorisation correcte, des fondamentaux robustes et une prédiction IA légèrement positive est contrebalancée par des signaux techniques mixtes et un environnement sectoriel moins porteur. **Niveau de confiance : Moyen. Risque global : Moyen.** L'horizon d'investissement optimal est le **moyen terme (3-12 mois)**, en attendant une clarification de la tendance des prix du caoutchouc et une éventuelle correction technique qui offrirait un point d'entrée plus attractif.</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236.41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5,341 titres</w:t>
            </w:r>
          </w:p>
        </w:tc>
        <w:tc>
          <w:tcPr>
            <w:tcW w:type="dxa" w:w="2268"/>
            <w:shd w:fill="FFF2CC" w:val="clear"/>
          </w:tcPr>
          <w:p>
            <w:r>
              <w:rPr>
                <w:b/>
                <w:color w:val="503200"/>
                <w:sz w:val="16"/>
              </w:rPr>
              <w:t xml:space="preserve">Cours actuel : </w:t>
            </w:r>
            <w:r>
              <w:rPr>
                <w:color w:val="000000"/>
                <w:sz w:val="17"/>
              </w:rPr>
              <w:t>9,250 FCFA</w:t>
            </w:r>
          </w:p>
          <w:p>
            <w:r>
              <w:rPr>
                <w:b/>
                <w:color w:val="503200"/>
                <w:sz w:val="16"/>
              </w:rPr>
              <w:t xml:space="preserve">Var. 100 jours : </w:t>
            </w:r>
            <w:r>
              <w:rPr>
                <w:b/>
                <w:color w:val="007800"/>
                <w:sz w:val="17"/>
              </w:rPr>
              <w:t>+30.28%</w:t>
            </w:r>
          </w:p>
          <w:p>
            <w:r>
              <w:rPr>
                <w:b/>
                <w:color w:val="503200"/>
                <w:sz w:val="16"/>
              </w:rPr>
              <w:t xml:space="preserve">Plus haut 100j : </w:t>
            </w:r>
            <w:r>
              <w:rPr>
                <w:color w:val="000000"/>
                <w:sz w:val="17"/>
              </w:rPr>
              <w:t>9,660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39.3%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6.98% (Moyenne) — μ=7,491 FCFA, σ=523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β=1.0997 (Neutre (suit le marché)) — Cov=0.000037, Var(idx)=0.000034, ρ=0.259,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5,341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σ_j=2.47%/j (Stable) — Vol. annualisée≈39.3%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2026-08-27</w:t>
            </w:r>
          </w:p>
        </w:tc>
        <w:tc>
          <w:tcPr>
            <w:tcW w:type="dxa" w:w="1440"/>
            <w:shd w:fill="FAFAFA" w:val="clear"/>
          </w:tcPr>
          <w:p>
            <w:r>
              <w:rPr>
                <w:sz w:val="17"/>
              </w:rPr>
              <w:t>8,494</w:t>
            </w:r>
          </w:p>
        </w:tc>
        <w:tc>
          <w:tcPr>
            <w:tcW w:type="dxa" w:w="1440"/>
            <w:shd w:fill="FAFAFA" w:val="clear"/>
          </w:tcPr>
          <w:p>
            <w:r>
              <w:rPr>
                <w:b/>
                <w:sz w:val="17"/>
              </w:rPr>
              <w:t>9,111</w:t>
            </w:r>
          </w:p>
        </w:tc>
        <w:tc>
          <w:tcPr>
            <w:tcW w:type="dxa" w:w="1440"/>
            <w:shd w:fill="FAFAFA" w:val="clear"/>
          </w:tcPr>
          <w:p>
            <w:r>
              <w:rPr>
                <w:sz w:val="17"/>
              </w:rPr>
              <w:t>9,729</w:t>
            </w:r>
          </w:p>
        </w:tc>
        <w:tc>
          <w:tcPr>
            <w:tcW w:type="dxa" w:w="1440"/>
            <w:shd w:fill="FAFAFA" w:val="clear"/>
          </w:tcPr>
          <w:p>
            <w:r>
              <w:rPr>
                <w:b/>
                <w:color w:val="C00000"/>
                <w:sz w:val="17"/>
              </w:rPr>
              <w:t>-1.5%</w:t>
            </w:r>
          </w:p>
        </w:tc>
      </w:tr>
      <w:tr>
        <w:tc>
          <w:tcPr>
            <w:tcW w:type="dxa" w:w="1440"/>
            <w:shd w:fill="FAFAFA" w:val="clear"/>
          </w:tcPr>
          <w:p>
            <w:r>
              <w:rPr>
                <w:sz w:val="17"/>
              </w:rPr>
              <w:t>J+2  Moyenne</w:t>
            </w:r>
          </w:p>
        </w:tc>
        <w:tc>
          <w:tcPr>
            <w:tcW w:type="dxa" w:w="1440"/>
            <w:shd w:fill="FAFAFA" w:val="clear"/>
          </w:tcPr>
          <w:p>
            <w:r>
              <w:rPr>
                <w:sz w:val="17"/>
              </w:rPr>
              <w:t>2026-08-28</w:t>
            </w:r>
          </w:p>
        </w:tc>
        <w:tc>
          <w:tcPr>
            <w:tcW w:type="dxa" w:w="1440"/>
            <w:shd w:fill="FAFAFA" w:val="clear"/>
          </w:tcPr>
          <w:p>
            <w:r>
              <w:rPr>
                <w:sz w:val="17"/>
              </w:rPr>
              <w:t>8,320</w:t>
            </w:r>
          </w:p>
        </w:tc>
        <w:tc>
          <w:tcPr>
            <w:tcW w:type="dxa" w:w="1440"/>
            <w:shd w:fill="FAFAFA" w:val="clear"/>
          </w:tcPr>
          <w:p>
            <w:r>
              <w:rPr>
                <w:b/>
                <w:sz w:val="17"/>
              </w:rPr>
              <w:t>9,073</w:t>
            </w:r>
          </w:p>
        </w:tc>
        <w:tc>
          <w:tcPr>
            <w:tcW w:type="dxa" w:w="1440"/>
            <w:shd w:fill="FAFAFA" w:val="clear"/>
          </w:tcPr>
          <w:p>
            <w:r>
              <w:rPr>
                <w:sz w:val="17"/>
              </w:rPr>
              <w:t>9,826</w:t>
            </w:r>
          </w:p>
        </w:tc>
        <w:tc>
          <w:tcPr>
            <w:tcW w:type="dxa" w:w="1440"/>
            <w:shd w:fill="FAFAFA" w:val="clear"/>
          </w:tcPr>
          <w:p>
            <w:r>
              <w:rPr>
                <w:b/>
                <w:color w:val="C00000"/>
                <w:sz w:val="17"/>
              </w:rPr>
              <w:t>-1.9%</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8,171</w:t>
            </w:r>
          </w:p>
        </w:tc>
        <w:tc>
          <w:tcPr>
            <w:tcW w:type="dxa" w:w="1440"/>
            <w:shd w:fill="FFDCE0" w:val="clear"/>
          </w:tcPr>
          <w:p>
            <w:r>
              <w:rPr>
                <w:b/>
                <w:sz w:val="17"/>
              </w:rPr>
              <w:t>9,037</w:t>
            </w:r>
          </w:p>
        </w:tc>
        <w:tc>
          <w:tcPr>
            <w:tcW w:type="dxa" w:w="1440"/>
            <w:shd w:fill="FFDCE0" w:val="clear"/>
          </w:tcPr>
          <w:p>
            <w:r>
              <w:rPr>
                <w:sz w:val="17"/>
              </w:rPr>
              <w:t>9,903</w:t>
            </w:r>
          </w:p>
        </w:tc>
        <w:tc>
          <w:tcPr>
            <w:tcW w:type="dxa" w:w="1440"/>
            <w:shd w:fill="FFDCE0" w:val="clear"/>
          </w:tcPr>
          <w:p>
            <w:r>
              <w:rPr>
                <w:b/>
                <w:color w:val="C00000"/>
                <w:sz w:val="17"/>
              </w:rPr>
              <w:t>-2.3%</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8,037</w:t>
            </w:r>
          </w:p>
        </w:tc>
        <w:tc>
          <w:tcPr>
            <w:tcW w:type="dxa" w:w="1440"/>
            <w:shd w:fill="FFDCE0" w:val="clear"/>
          </w:tcPr>
          <w:p>
            <w:r>
              <w:rPr>
                <w:b/>
                <w:sz w:val="17"/>
              </w:rPr>
              <w:t>9,001</w:t>
            </w:r>
          </w:p>
        </w:tc>
        <w:tc>
          <w:tcPr>
            <w:tcW w:type="dxa" w:w="1440"/>
            <w:shd w:fill="FFDCE0" w:val="clear"/>
          </w:tcPr>
          <w:p>
            <w:r>
              <w:rPr>
                <w:sz w:val="17"/>
              </w:rPr>
              <w:t>9,966</w:t>
            </w:r>
          </w:p>
        </w:tc>
        <w:tc>
          <w:tcPr>
            <w:tcW w:type="dxa" w:w="1440"/>
            <w:shd w:fill="FFDCE0" w:val="clear"/>
          </w:tcPr>
          <w:p>
            <w:r>
              <w:rPr>
                <w:b/>
                <w:color w:val="C00000"/>
                <w:sz w:val="17"/>
              </w:rPr>
              <w:t>-2.7%</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7,914</w:t>
            </w:r>
          </w:p>
        </w:tc>
        <w:tc>
          <w:tcPr>
            <w:tcW w:type="dxa" w:w="1440"/>
            <w:shd w:fill="FFDCE0" w:val="clear"/>
          </w:tcPr>
          <w:p>
            <w:r>
              <w:rPr>
                <w:b/>
                <w:sz w:val="17"/>
              </w:rPr>
              <w:t>8,966</w:t>
            </w:r>
          </w:p>
        </w:tc>
        <w:tc>
          <w:tcPr>
            <w:tcW w:type="dxa" w:w="1440"/>
            <w:shd w:fill="FFDCE0" w:val="clear"/>
          </w:tcPr>
          <w:p>
            <w:r>
              <w:rPr>
                <w:sz w:val="17"/>
              </w:rPr>
              <w:t>10,018</w:t>
            </w:r>
          </w:p>
        </w:tc>
        <w:tc>
          <w:tcPr>
            <w:tcW w:type="dxa" w:w="1440"/>
            <w:shd w:fill="FFDCE0" w:val="clear"/>
          </w:tcPr>
          <w:p>
            <w:r>
              <w:rPr>
                <w:b/>
                <w:color w:val="C00000"/>
                <w:sz w:val="17"/>
              </w:rPr>
              <w:t>-3.1%</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7,799</w:t>
            </w:r>
          </w:p>
        </w:tc>
        <w:tc>
          <w:tcPr>
            <w:tcW w:type="dxa" w:w="1440"/>
            <w:shd w:fill="FFDCE0" w:val="clear"/>
          </w:tcPr>
          <w:p>
            <w:r>
              <w:rPr>
                <w:b/>
                <w:sz w:val="17"/>
              </w:rPr>
              <w:t>8,931</w:t>
            </w:r>
          </w:p>
        </w:tc>
        <w:tc>
          <w:tcPr>
            <w:tcW w:type="dxa" w:w="1440"/>
            <w:shd w:fill="FFDCE0" w:val="clear"/>
          </w:tcPr>
          <w:p>
            <w:r>
              <w:rPr>
                <w:sz w:val="17"/>
              </w:rPr>
              <w:t>10,063</w:t>
            </w:r>
          </w:p>
        </w:tc>
        <w:tc>
          <w:tcPr>
            <w:tcW w:type="dxa" w:w="1440"/>
            <w:shd w:fill="FFDCE0" w:val="clear"/>
          </w:tcPr>
          <w:p>
            <w:r>
              <w:rPr>
                <w:b/>
                <w:color w:val="C00000"/>
                <w:sz w:val="17"/>
              </w:rPr>
              <w:t>-3.5%</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7,690</w:t>
            </w:r>
          </w:p>
        </w:tc>
        <w:tc>
          <w:tcPr>
            <w:tcW w:type="dxa" w:w="1440"/>
            <w:shd w:fill="FFDCE0" w:val="clear"/>
          </w:tcPr>
          <w:p>
            <w:r>
              <w:rPr>
                <w:b/>
                <w:sz w:val="17"/>
              </w:rPr>
              <w:t>8,896</w:t>
            </w:r>
          </w:p>
        </w:tc>
        <w:tc>
          <w:tcPr>
            <w:tcW w:type="dxa" w:w="1440"/>
            <w:shd w:fill="FFDCE0" w:val="clear"/>
          </w:tcPr>
          <w:p>
            <w:r>
              <w:rPr>
                <w:sz w:val="17"/>
              </w:rPr>
              <w:t>10,101</w:t>
            </w:r>
          </w:p>
        </w:tc>
        <w:tc>
          <w:tcPr>
            <w:tcW w:type="dxa" w:w="1440"/>
            <w:shd w:fill="FFDCE0" w:val="clear"/>
          </w:tcPr>
          <w:p>
            <w:r>
              <w:rPr>
                <w:b/>
                <w:color w:val="C00000"/>
                <w:sz w:val="17"/>
              </w:rPr>
              <w:t>-3.8%</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7,587</w:t>
            </w:r>
          </w:p>
        </w:tc>
        <w:tc>
          <w:tcPr>
            <w:tcW w:type="dxa" w:w="1440"/>
            <w:shd w:fill="FFDCE0" w:val="clear"/>
          </w:tcPr>
          <w:p>
            <w:r>
              <w:rPr>
                <w:b/>
                <w:sz w:val="17"/>
              </w:rPr>
              <w:t>8,861</w:t>
            </w:r>
          </w:p>
        </w:tc>
        <w:tc>
          <w:tcPr>
            <w:tcW w:type="dxa" w:w="1440"/>
            <w:shd w:fill="FFDCE0" w:val="clear"/>
          </w:tcPr>
          <w:p>
            <w:r>
              <w:rPr>
                <w:sz w:val="17"/>
              </w:rPr>
              <w:t>10,135</w:t>
            </w:r>
          </w:p>
        </w:tc>
        <w:tc>
          <w:tcPr>
            <w:tcW w:type="dxa" w:w="1440"/>
            <w:shd w:fill="FFDCE0" w:val="clear"/>
          </w:tcPr>
          <w:p>
            <w:r>
              <w:rPr>
                <w:b/>
                <w:color w:val="C00000"/>
                <w:sz w:val="17"/>
              </w:rPr>
              <w:t>-4.2%</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7,489</w:t>
            </w:r>
          </w:p>
        </w:tc>
        <w:tc>
          <w:tcPr>
            <w:tcW w:type="dxa" w:w="1440"/>
            <w:shd w:fill="FFDCE0" w:val="clear"/>
          </w:tcPr>
          <w:p>
            <w:r>
              <w:rPr>
                <w:b/>
                <w:sz w:val="17"/>
              </w:rPr>
              <w:t>8,827</w:t>
            </w:r>
          </w:p>
        </w:tc>
        <w:tc>
          <w:tcPr>
            <w:tcW w:type="dxa" w:w="1440"/>
            <w:shd w:fill="FFDCE0" w:val="clear"/>
          </w:tcPr>
          <w:p>
            <w:r>
              <w:rPr>
                <w:sz w:val="17"/>
              </w:rPr>
              <w:t>10,164</w:t>
            </w:r>
          </w:p>
        </w:tc>
        <w:tc>
          <w:tcPr>
            <w:tcW w:type="dxa" w:w="1440"/>
            <w:shd w:fill="FFDCE0" w:val="clear"/>
          </w:tcPr>
          <w:p>
            <w:r>
              <w:rPr>
                <w:b/>
                <w:color w:val="C00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**Date de l'analyse : 26 août 2026**</w:t>
        <w:br/>
        <w:t>**Cours de référence : 9 250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SPHC s'établit à 236,41 milliards FCFA, ce qui positionne le titre parmi les valeurs moyennes à grandes capitalisations de la BRVM, lui conférant une liquidité et une visibilité appréciables. Avec un BPA de 977 FCFA, chaque action génère un bénéfice substantiel, justifiant un PER de 9,5x. Ce ratio, inférieur à la moyenne historique de la place (~8-12x), suggère une sous-évaluation relative du titre par rapport à ses bénéfices actuels. Le P/B de 1,71x indique que le marché valorise la société à environ 71% au-dessus de sa valeur comptable, ce qui est raisonnable pour une entreprise affichant un ROE de 18%. Enfin, un EV/EBITDA de 5,8x confirme une valorisation attractive, la valeur d'entreprise ne représentant que 5,8 fois son potentiel opérationnel brut, ce qui offre une marge de sécurité pour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SPHC a enregistré une performance remarquable de +30,28%, bien que la dernière séance ait clôturé en repli de -2,01% à 9 250 FCFA. Le titre a évolué dans un large range de 6 720 FCFA (plus bas) à 9 660 FCFA (plus haut), démontrant une tendance haussière soutenue. La moyenne (7 491 FCFA) et la médiane (7 480 FCFA) étant très proches, la distribution des prix est relativement symétrique sur la période, mais le skewness positif de 1,863 indique que les fortes hausses ont été plus fréquentes que les fortes baisses, tirant le cours vers le haut. L'écart-type de 526 FCFA (CV de 7%) montre une dispersion modérée, mais le kurtosis élevé de 4,905 signale un risque de mouvements extrêmes (queues épaisses). La volatilité annualisée de 39,3% classe le titre comme très volatil (&gt;30%), ce qui implique un risque élevé mais aussi un potentiel de gains importants.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(9 250 FCFA) est nettement au-dessus de la MM20 (8 100,25 FCFA) et de la MM50 (7 808,6 FCFA), confirmant une tendance haussière de court et moyen terme. La configuration des MM (MM20 &gt; MM50) est un signal classique d'achat, indiquant que le momentum haussier est toujours en place.</w:t>
      </w:r>
    </w:p>
    <w:p>
      <w:pPr>
        <w:spacing w:after="120" w:line="276" w:lineRule="auto"/>
      </w:pPr>
      <w:r>
        <w:t>**Bandes de Bollinger** : Le prix se situe à 9 250 FCFA, proche de la borne supérieure (9 579 FCFA) mais en dessous. Cette position suggère que le titre est dans la partie haute de son canal de volatilité, mais sans être en situation de surachat extrême. La décision "Neutre" est justifiée, car le titre pourrait poursuivre sa hausse ou subir un repli technique vers la moyenne mobile.</w:t>
      </w:r>
    </w:p>
    <w:p>
      <w:pPr>
        <w:spacing w:after="120" w:line="276" w:lineRule="auto"/>
      </w:pPr>
      <w:r>
        <w:t>**MACD** : La valeur du MACD (449,08) est nettement supérieure à son signal (281,59), avec un écart positif croissant. Cette configuration indique un momentum haussier fort et confirme la dynamique positive du titre. Le signal d'achat est validé, suggérant que la tendance haussière pourrait se poursuivre à court terme.</w:t>
      </w:r>
    </w:p>
    <w:p>
      <w:pPr>
        <w:spacing w:after="120" w:line="276" w:lineRule="auto"/>
      </w:pPr>
      <w:r>
        <w:t>**RSI** : Le RSI à 74,1 est entré en zone de surachat (&gt;70). Cela indique que le titre a fortement monté et qu'une correction technique est probable à court terme. La décision de "Vente" est un signal de prudence, car le potentiel de hausse immédiat pourrait être limité.</w:t>
      </w:r>
    </w:p>
    <w:p>
      <w:pPr>
        <w:spacing w:after="120" w:line="276" w:lineRule="auto"/>
      </w:pPr>
      <w:r>
        <w:t>**Stochastique** : Le %K (80,75) et le %D (79,08) sont tous deux en zone de surachat (&gt;80). Bien que le %K soit encore au-dessus du %D, la proximité de ces niveaux suggère un essoufflement du momentum haussier. La décision de "Vente" reflète ce risque de retournement.</w:t>
      </w:r>
    </w:p>
    <w:p>
      <w:pPr>
        <w:spacing w:after="120" w:line="276" w:lineRule="auto"/>
      </w:pPr>
      <w:r>
        <w:t>**Conclusion technique** : Les indicateurs de tendance (MM, MACD) sont positifs, mais les oscillateurs (RSI, Stochastique) signalent une condition de surachat. Cette divergence indique que la tendance de fond reste haussière, mais qu'un repli technique est probable à très court terme. Un investisseur pourrait attendre une correction vers 8 800-9 000 FCFA pour renforcer sa position.</w:t>
      </w:r>
    </w:p>
    <w:p>
      <w:pPr>
        <w:spacing w:after="120" w:line="276" w:lineRule="auto"/>
      </w:pPr>
      <w:r>
        <w:t>---</w:t>
      </w:r>
    </w:p>
    <w:p>
      <w:pPr>
        <w:spacing w:after="120" w:line="276" w:lineRule="auto"/>
      </w:pPr>
      <w:r>
        <w:t>### PARTIE 3 : ANALYSE FONDAMENTALE (SECTION CRITIQUE)</w:t>
      </w:r>
    </w:p>
    <w:p>
      <w:pPr>
        <w:spacing w:after="120" w:line="276" w:lineRule="auto"/>
      </w:pPr>
      <w:r>
        <w:t>En 2025, SPHC a réalisé un chiffre d'affaires de 340,83 milliards FCFA, en hausse de 22% par rapport à 2024 (279,44 milliards FCFA), avec un résultat net de 24,97 milliards FCFA (+32,9%). La marge nette s'est améliorée à 7,3%, et le ROE atteint un excellent niveau de 18,1%, avec un ROA de 11,1%. La structure financière est saine avec une autonomie financière de 61,1% et un ratio d'endettement maîtrisé de 25,8%. Cependant, le BFR de 65,39 milliards FCFA (positif) et la trésorerie nette négative de -15,41 milliards FCFA constituent des points de vigilance, typiques du secteur. Les délais clients (35 jours) et de stockage (72 jours) sont corrects. Les rapports trimestriels 2025 montrent une dynamique exceptionnelle au S1 (CA +51%, RN +449%), mais un ralentissement au T3 (CA +36%, RN +131%). Le rapport T1 2026 (daté de mars 2026) révèle une chute drastique de -24% du CA et de -78% du résultat net, pénalisé par la baisse des cours du caoutchouc et des tensions sur l'approvisionnement. Sur cette base, on estime que l'exercice 2026 sera difficile, avec un résultat net potentiellement en baisse de 50% à 60% par rapport à 2025, soit environ 10-12 milliards FCFA. La recommandation fondamentale est de **CONSERVER** avec une surveillance active, car les fondamentaux à long terme (leadership, durabilité EUDR) restent solides malgré les vents contraires cycliques.</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situation contrastée pour SPHC. La valorisation (PER 9,5x, EV/EBITDA 5,8x) est attractive et suggère une sous-évaluation, mais le comportement du cours (+30% sur 100 jours) et les statistiques (kurtosis élevé, volatilité de 39,3%) indiquent un risque de retournement. Les signaux techniques sont mitigés : la tendance (MM, MACD) est haussière, mais les oscillateurs (RSI, Stochastique) sont en surachat, signalant une correction probable. Les fondamentaux sont solides pour 2025 (ROE 18,1%, CA +22%), mais les perspectives 2026 sont sombres (T1 2026 : RN -78%). Les prédictions IA pour les 10 prochains jours (9 111 à 8 966 FCFA) confirment cette anticipation de repli technique. En conclusion, la convergence des signaux (surachat technique, dégradation fondamentale, prédictions baissières) suggère une **recommandation de VENTE** à court terme, avec un niveau de confiance **Moyen** et un risque global **Élevé**. L'horizon d'investissement optimal serait de moyen terme (3-12 mois), en attendant une stabilisation des cours du caoutchouc et une correction du titre vers 8 500-8 800 FCFA pour envisager un réinvestissement.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34.88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6,159 titres</w:t>
            </w:r>
          </w:p>
        </w:tc>
        <w:tc>
          <w:tcPr>
            <w:tcW w:type="dxa" w:w="2268"/>
            <w:shd w:fill="FFF2CC" w:val="clear"/>
          </w:tcPr>
          <w:p>
            <w:r>
              <w:rPr>
                <w:b/>
                <w:color w:val="503200"/>
                <w:sz w:val="16"/>
              </w:rPr>
              <w:t xml:space="preserve">Cours actuel : </w:t>
            </w:r>
            <w:r>
              <w:rPr>
                <w:color w:val="000000"/>
                <w:sz w:val="17"/>
              </w:rPr>
              <w:t>2,595 FCFA</w:t>
            </w:r>
          </w:p>
          <w:p>
            <w:r>
              <w:rPr>
                <w:b/>
                <w:color w:val="503200"/>
                <w:sz w:val="16"/>
              </w:rPr>
              <w:t xml:space="preserve">Var. 100 jours : </w:t>
            </w:r>
            <w:r>
              <w:rPr>
                <w:b/>
                <w:color w:val="B40000"/>
                <w:sz w:val="17"/>
              </w:rPr>
              <w:t>-2.81%</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2,515 FCFA</w:t>
            </w:r>
          </w:p>
          <w:p>
            <w:r>
              <w:rPr>
                <w:b/>
                <w:color w:val="503200"/>
                <w:sz w:val="16"/>
              </w:rPr>
              <w:t xml:space="preserve">Volatilité ann. : </w:t>
            </w:r>
            <w:r>
              <w:rPr>
                <w:color w:val="000000"/>
                <w:sz w:val="17"/>
              </w:rPr>
              <w:t>65.8%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11.01% (Moyenne) — μ=3,038 FCFA, σ=335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β=-0.9001 (Contre-cyclique) — Cov=-0.000031, Var(idx)=0.000034, ρ=-0.127,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6,159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σ_j=4.15%/j (Modérée) — Vol. annualisée≈65.8%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2026-08-27</w:t>
            </w:r>
          </w:p>
        </w:tc>
        <w:tc>
          <w:tcPr>
            <w:tcW w:type="dxa" w:w="1440"/>
            <w:shd w:fill="FFDCE0" w:val="clear"/>
          </w:tcPr>
          <w:p>
            <w:r>
              <w:rPr>
                <w:sz w:val="17"/>
              </w:rPr>
              <w:t>2,187</w:t>
            </w:r>
          </w:p>
        </w:tc>
        <w:tc>
          <w:tcPr>
            <w:tcW w:type="dxa" w:w="1440"/>
            <w:shd w:fill="FFDCE0" w:val="clear"/>
          </w:tcPr>
          <w:p>
            <w:r>
              <w:rPr>
                <w:b/>
                <w:sz w:val="17"/>
              </w:rPr>
              <w:t>2,330</w:t>
            </w:r>
          </w:p>
        </w:tc>
        <w:tc>
          <w:tcPr>
            <w:tcW w:type="dxa" w:w="1440"/>
            <w:shd w:fill="FFDCE0" w:val="clear"/>
          </w:tcPr>
          <w:p>
            <w:r>
              <w:rPr>
                <w:sz w:val="17"/>
              </w:rPr>
              <w:t>2,474</w:t>
            </w:r>
          </w:p>
        </w:tc>
        <w:tc>
          <w:tcPr>
            <w:tcW w:type="dxa" w:w="1440"/>
            <w:shd w:fill="FFDCE0" w:val="clear"/>
          </w:tcPr>
          <w:p>
            <w:r>
              <w:rPr>
                <w:b/>
                <w:color w:val="C00000"/>
                <w:sz w:val="17"/>
              </w:rPr>
              <w:t>-10.2%</w:t>
            </w:r>
          </w:p>
        </w:tc>
      </w:tr>
      <w:tr>
        <w:tc>
          <w:tcPr>
            <w:tcW w:type="dxa" w:w="1440"/>
            <w:shd w:fill="FFDCE0" w:val="clear"/>
          </w:tcPr>
          <w:p>
            <w:r>
              <w:rPr>
                <w:sz w:val="17"/>
              </w:rPr>
              <w:t>J+2  Moyenne</w:t>
            </w:r>
          </w:p>
        </w:tc>
        <w:tc>
          <w:tcPr>
            <w:tcW w:type="dxa" w:w="1440"/>
            <w:shd w:fill="FFDCE0" w:val="clear"/>
          </w:tcPr>
          <w:p>
            <w:r>
              <w:rPr>
                <w:sz w:val="17"/>
              </w:rPr>
              <w:t>2026-08-28</w:t>
            </w:r>
          </w:p>
        </w:tc>
        <w:tc>
          <w:tcPr>
            <w:tcW w:type="dxa" w:w="1440"/>
            <w:shd w:fill="FFDCE0" w:val="clear"/>
          </w:tcPr>
          <w:p>
            <w:r>
              <w:rPr>
                <w:sz w:val="17"/>
              </w:rPr>
              <w:t>2,019</w:t>
            </w:r>
          </w:p>
        </w:tc>
        <w:tc>
          <w:tcPr>
            <w:tcW w:type="dxa" w:w="1440"/>
            <w:shd w:fill="FFDCE0" w:val="clear"/>
          </w:tcPr>
          <w:p>
            <w:r>
              <w:rPr>
                <w:b/>
                <w:sz w:val="17"/>
              </w:rPr>
              <w:t>2,184</w:t>
            </w:r>
          </w:p>
        </w:tc>
        <w:tc>
          <w:tcPr>
            <w:tcW w:type="dxa" w:w="1440"/>
            <w:shd w:fill="FFDCE0" w:val="clear"/>
          </w:tcPr>
          <w:p>
            <w:r>
              <w:rPr>
                <w:sz w:val="17"/>
              </w:rPr>
              <w:t>2,348</w:t>
            </w:r>
          </w:p>
        </w:tc>
        <w:tc>
          <w:tcPr>
            <w:tcW w:type="dxa" w:w="1440"/>
            <w:shd w:fill="FFDCE0" w:val="clear"/>
          </w:tcPr>
          <w:p>
            <w:r>
              <w:rPr>
                <w:b/>
                <w:color w:val="C00000"/>
                <w:sz w:val="17"/>
              </w:rPr>
              <w:t>-15.9%</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1,870</w:t>
            </w:r>
          </w:p>
        </w:tc>
        <w:tc>
          <w:tcPr>
            <w:tcW w:type="dxa" w:w="1440"/>
            <w:shd w:fill="FFDCE0" w:val="clear"/>
          </w:tcPr>
          <w:p>
            <w:r>
              <w:rPr>
                <w:b/>
                <w:sz w:val="17"/>
              </w:rPr>
              <w:t>2,048</w:t>
            </w:r>
          </w:p>
        </w:tc>
        <w:tc>
          <w:tcPr>
            <w:tcW w:type="dxa" w:w="1440"/>
            <w:shd w:fill="FFDCE0" w:val="clear"/>
          </w:tcPr>
          <w:p>
            <w:r>
              <w:rPr>
                <w:sz w:val="17"/>
              </w:rPr>
              <w:t>2,227</w:t>
            </w:r>
          </w:p>
        </w:tc>
        <w:tc>
          <w:tcPr>
            <w:tcW w:type="dxa" w:w="1440"/>
            <w:shd w:fill="FFDCE0" w:val="clear"/>
          </w:tcPr>
          <w:p>
            <w:r>
              <w:rPr>
                <w:b/>
                <w:color w:val="C00000"/>
                <w:sz w:val="17"/>
              </w:rPr>
              <w:t>-21.1%</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1,744</w:t>
            </w:r>
          </w:p>
        </w:tc>
        <w:tc>
          <w:tcPr>
            <w:tcW w:type="dxa" w:w="1440"/>
            <w:shd w:fill="FFDCE0" w:val="clear"/>
          </w:tcPr>
          <w:p>
            <w:r>
              <w:rPr>
                <w:b/>
                <w:sz w:val="17"/>
              </w:rPr>
              <w:t>1,932</w:t>
            </w:r>
          </w:p>
        </w:tc>
        <w:tc>
          <w:tcPr>
            <w:tcW w:type="dxa" w:w="1440"/>
            <w:shd w:fill="FFDCE0" w:val="clear"/>
          </w:tcPr>
          <w:p>
            <w:r>
              <w:rPr>
                <w:sz w:val="17"/>
              </w:rPr>
              <w:t>2,121</w:t>
            </w:r>
          </w:p>
        </w:tc>
        <w:tc>
          <w:tcPr>
            <w:tcW w:type="dxa" w:w="1440"/>
            <w:shd w:fill="FFDCE0" w:val="clear"/>
          </w:tcPr>
          <w:p>
            <w:r>
              <w:rPr>
                <w:b/>
                <w:color w:val="C00000"/>
                <w:sz w:val="17"/>
              </w:rPr>
              <w:t>-25.5%</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1,641</w:t>
            </w:r>
          </w:p>
        </w:tc>
        <w:tc>
          <w:tcPr>
            <w:tcW w:type="dxa" w:w="1440"/>
            <w:shd w:fill="FFDCE0" w:val="clear"/>
          </w:tcPr>
          <w:p>
            <w:r>
              <w:rPr>
                <w:b/>
                <w:sz w:val="17"/>
              </w:rPr>
              <w:t>1,837</w:t>
            </w:r>
          </w:p>
        </w:tc>
        <w:tc>
          <w:tcPr>
            <w:tcW w:type="dxa" w:w="1440"/>
            <w:shd w:fill="FFDCE0" w:val="clear"/>
          </w:tcPr>
          <w:p>
            <w:r>
              <w:rPr>
                <w:sz w:val="17"/>
              </w:rPr>
              <w:t>2,034</w:t>
            </w:r>
          </w:p>
        </w:tc>
        <w:tc>
          <w:tcPr>
            <w:tcW w:type="dxa" w:w="1440"/>
            <w:shd w:fill="FFDCE0" w:val="clear"/>
          </w:tcPr>
          <w:p>
            <w:r>
              <w:rPr>
                <w:b/>
                <w:color w:val="C00000"/>
                <w:sz w:val="17"/>
              </w:rPr>
              <w:t>-29.2%</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1,557</w:t>
            </w:r>
          </w:p>
        </w:tc>
        <w:tc>
          <w:tcPr>
            <w:tcW w:type="dxa" w:w="1440"/>
            <w:shd w:fill="FFDCE0" w:val="clear"/>
          </w:tcPr>
          <w:p>
            <w:r>
              <w:rPr>
                <w:b/>
                <w:sz w:val="17"/>
              </w:rPr>
              <w:t>1,760</w:t>
            </w:r>
          </w:p>
        </w:tc>
        <w:tc>
          <w:tcPr>
            <w:tcW w:type="dxa" w:w="1440"/>
            <w:shd w:fill="FFDCE0" w:val="clear"/>
          </w:tcPr>
          <w:p>
            <w:r>
              <w:rPr>
                <w:sz w:val="17"/>
              </w:rPr>
              <w:t>1,963</w:t>
            </w:r>
          </w:p>
        </w:tc>
        <w:tc>
          <w:tcPr>
            <w:tcW w:type="dxa" w:w="1440"/>
            <w:shd w:fill="FFDCE0" w:val="clear"/>
          </w:tcPr>
          <w:p>
            <w:r>
              <w:rPr>
                <w:b/>
                <w:color w:val="C00000"/>
                <w:sz w:val="17"/>
              </w:rPr>
              <w:t>-32.2%</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1,487</w:t>
            </w:r>
          </w:p>
        </w:tc>
        <w:tc>
          <w:tcPr>
            <w:tcW w:type="dxa" w:w="1440"/>
            <w:shd w:fill="FFDCE0" w:val="clear"/>
          </w:tcPr>
          <w:p>
            <w:r>
              <w:rPr>
                <w:b/>
                <w:sz w:val="17"/>
              </w:rPr>
              <w:t>1,697</w:t>
            </w:r>
          </w:p>
        </w:tc>
        <w:tc>
          <w:tcPr>
            <w:tcW w:type="dxa" w:w="1440"/>
            <w:shd w:fill="FFDCE0" w:val="clear"/>
          </w:tcPr>
          <w:p>
            <w:r>
              <w:rPr>
                <w:sz w:val="17"/>
              </w:rPr>
              <w:t>1,906</w:t>
            </w:r>
          </w:p>
        </w:tc>
        <w:tc>
          <w:tcPr>
            <w:tcW w:type="dxa" w:w="1440"/>
            <w:shd w:fill="FFDCE0" w:val="clear"/>
          </w:tcPr>
          <w:p>
            <w:r>
              <w:rPr>
                <w:b/>
                <w:color w:val="C00000"/>
                <w:sz w:val="17"/>
              </w:rPr>
              <w:t>-34.6%</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1,429</w:t>
            </w:r>
          </w:p>
        </w:tc>
        <w:tc>
          <w:tcPr>
            <w:tcW w:type="dxa" w:w="1440"/>
            <w:shd w:fill="FFDCE0" w:val="clear"/>
          </w:tcPr>
          <w:p>
            <w:r>
              <w:rPr>
                <w:b/>
                <w:sz w:val="17"/>
              </w:rPr>
              <w:t>1,644</w:t>
            </w:r>
          </w:p>
        </w:tc>
        <w:tc>
          <w:tcPr>
            <w:tcW w:type="dxa" w:w="1440"/>
            <w:shd w:fill="FFDCE0" w:val="clear"/>
          </w:tcPr>
          <w:p>
            <w:r>
              <w:rPr>
                <w:sz w:val="17"/>
              </w:rPr>
              <w:t>1,859</w:t>
            </w:r>
          </w:p>
        </w:tc>
        <w:tc>
          <w:tcPr>
            <w:tcW w:type="dxa" w:w="1440"/>
            <w:shd w:fill="FFDCE0" w:val="clear"/>
          </w:tcPr>
          <w:p>
            <w:r>
              <w:rPr>
                <w:b/>
                <w:color w:val="C00000"/>
                <w:sz w:val="17"/>
              </w:rPr>
              <w:t>-36.7%</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1,378</w:t>
            </w:r>
          </w:p>
        </w:tc>
        <w:tc>
          <w:tcPr>
            <w:tcW w:type="dxa" w:w="1440"/>
            <w:shd w:fill="FFDCE0" w:val="clear"/>
          </w:tcPr>
          <w:p>
            <w:r>
              <w:rPr>
                <w:b/>
                <w:sz w:val="17"/>
              </w:rPr>
              <w:t>1,599</w:t>
            </w:r>
          </w:p>
        </w:tc>
        <w:tc>
          <w:tcPr>
            <w:tcW w:type="dxa" w:w="1440"/>
            <w:shd w:fill="FFDCE0" w:val="clear"/>
          </w:tcPr>
          <w:p>
            <w:r>
              <w:rPr>
                <w:sz w:val="17"/>
              </w:rPr>
              <w:t>1,819</w:t>
            </w:r>
          </w:p>
        </w:tc>
        <w:tc>
          <w:tcPr>
            <w:tcW w:type="dxa" w:w="1440"/>
            <w:shd w:fill="FFDCE0" w:val="clear"/>
          </w:tcPr>
          <w:p>
            <w:r>
              <w:rPr>
                <w:b/>
                <w:color w:val="C00000"/>
                <w:sz w:val="17"/>
              </w:rPr>
              <w:t>-38.4%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STAC s'établit à 34,88 milliards FCFA, un niveau modeste qui la positionne parmi les petites et moyennes valeurs de la cote de la BRVM. Le BPA ressort à -7 FCFA, reflétant une perte nette par action, ce qui rend le PER non pertinent à -361,2x ; ce ratio négatif indique que les investisseurs paient pour des pertes, une situation spéculative typique des valeurs en retournement. Le P/B de 97,76x est extrêmement élevé, signifiant que le marché valorise l'actif net comptable à près de 100 fois sa valeur, une prime déconnectée des fondamentaux actuels. En l'absence d'EBITDA positif, le ratio EV/EBITDA n'est pas calculable, ce qui confirme la difficulté à justifier la valorisation par la capacité opérationnelle. Ces ratios traduisent une valorisation très exigeante, voire spéculative, pour une société déficitaire.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STAC enregistre une variation totale de -2,81%, avec une dernière séance stable à 2 595 FCFA. Le titre a évolué dans une fourchette large de 2 515 à 3 895 FCFA, illustrant une amplitude de 1 380 FCFA entre le plus haut et le plus bas. La moyenne du cours sur la période est de 3 038 FCFA, légèrement supérieure à la médiane de 2 990 FCFA, ce qui suggère une distribution quasi symétrique, confirmée par un skewness de 0,411. L'écart-type de 336 FCFA, avec un coefficient de variation de 11,1%, indique une dispersion modérée autour de la moyenne. Le kurtosis de -0,874, qualifié de mésokurtique, signale l'absence de pics extrêmes dans les variations. La volatilité annualisée de 65,8% est très élevée, classant le titre comme risqué, avec des fluctuations importantes qui peuvent surprendre les investisseurs non avertis.</w:t>
      </w:r>
    </w:p>
    <w:p>
      <w:pPr>
        <w:spacing w:after="120" w:line="276" w:lineRule="auto" w:before="240"/>
      </w:pPr>
      <w:r>
        <w:rPr>
          <w:b/>
          <w:color w:val="003366"/>
          <w:sz w:val="24"/>
        </w:rPr>
        <w:t>**PARTIE 2 : ANALYSE TECHNIQUE DÉTAILLÉE**</w:t>
      </w:r>
    </w:p>
    <w:p>
      <w:pPr>
        <w:spacing w:after="120" w:line="276" w:lineRule="auto"/>
      </w:pPr>
      <w:r>
        <w:t>Les moyennes mobiles MM20 et MM50, respectivement à 2 670,25 FCFA et 3 064,1 FCFA, sont toutes deux au-dessus du cours actuel de 2 595 FCFA. Cette configuration baissière, où le prix évolue sous ses moyennes, confirme une tendance négative à court et moyen terme, justifiant la décision de vente.</w:t>
      </w:r>
    </w:p>
    <w:p>
      <w:pPr>
        <w:spacing w:after="120" w:line="276" w:lineRule="auto"/>
      </w:pPr>
      <w:r>
        <w:t>Les bandes de Bollinger, avec une borne supérieure à 2 878,235 FCFA et une borne inférieure à 2 462,265 FCFA, encadrent le cours à 2 595 FCFA, proche de la borne inférieure. Cette position suggère que le titre est dans la partie basse de son canal de volatilité, sans signal clair de retournement, d'où une décision neutre.</w:t>
      </w:r>
    </w:p>
    <w:p>
      <w:pPr>
        <w:spacing w:after="120" w:line="276" w:lineRule="auto"/>
      </w:pPr>
      <w:r>
        <w:t>Le MACD, avec une valeur de -129,758 et un signal à -138,904, montre une divergence positive, le MACD étant au-dessus de son signal. Cette configuration indique un momentum haussier naissant, bien que les valeurs restent négatives, ce qui justifie une décision d'achat.</w:t>
      </w:r>
    </w:p>
    <w:p>
      <w:pPr>
        <w:spacing w:after="120" w:line="276" w:lineRule="auto"/>
      </w:pPr>
      <w:r>
        <w:t>Le RSI à 22,892 est en zone de survente, sous le seuil de 30, signalant que le titre est techniquement survendu et pourrait rebondir. Cette lecture soutient une décision d'achat pour les investisseurs opportunistes.</w:t>
      </w:r>
    </w:p>
    <w:p>
      <w:pPr>
        <w:spacing w:after="120" w:line="276" w:lineRule="auto"/>
      </w:pPr>
      <w:r>
        <w:t>Le stochastique, avec %K à 24,074 et %D à 17,795, montre que %K est au-dessus de %D, sans croisement majeur. Cette configuration est neutre, indiquant une possible stabilisation sans direction claire.</w:t>
      </w:r>
    </w:p>
    <w:p>
      <w:pPr>
        <w:spacing w:after="120" w:line="276" w:lineRule="auto"/>
      </w:pPr>
      <w:r>
        <w:t>En conclusion technique, les indicateurs sont mitigés : les moyennes mobiles et les bandes de Bollinger suggèrent une pression baissière, tandis que le MACD et le RSI pointent vers un potentiel rebond technique. La prudence est de mise, avec une surveillance des niveaux de support à 2 515 FCFA.</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STAC révèlent une situation financière préoccupante : le chiffre d'affaires s'établit à 3,878 milliards FCFA, mais le résultat net est une perte de -96,56 millions FCFA, avec une marge nette de -2,49%. Le ROE est fortement négatif à -27,07%, et le ROA à -1,77%, indiquant une rentabilité déficitaire sur les fonds propres et les actifs. Le BFR est négatif à -930,47 millions FCFA, ce qui est favorable pour une entreprise, car cela signifie que les ressources à court terme couvrent les besoins d'exploitation. L'endettement est élevé avec un ratio d'endettement de 93,45%, et l'autonomie financière est faible à 6,55%, traduisant une dépendance aux créanciers. Les rapports trimestriels 2025 montrent une reprise d'activité : le S1 2025 affiche un CA de 2,271 milliards FCFA (+290% vs S1 2024), mais une perte nette de -557 millions FCFA, aggravée de 77%. Le cumul 9 mois 2025 atteint 3,456 milliards FCFA (+176%), avec une perte réduite à -477 millions FCFA, grâce à une meilleure maîtrise des coûts opérationnels. Sur la base de ces tendances, on estime que l'exercice 2025 pourrait atteindre un CA proche de 4 milliards FCFA, conformément aux prévisions de la direction, mais la rentabilité restera négative, avec une perte annuelle estimée entre -500 et -600 millions FCFA. La société dépend fortement du chantier de l'aéroport d'Abidjan, et sa structure financière reste fragile, avec des capitaux propres de seulement 356,75 millions FCFA.</w:t>
      </w:r>
    </w:p>
    <w:p>
      <w:pPr>
        <w:spacing w:after="120" w:line="276" w:lineRule="auto" w:before="240"/>
      </w:pPr>
      <w:r>
        <w:rPr>
          <w:b/>
          <w:color w:val="003366"/>
          <w:sz w:val="24"/>
        </w:rPr>
        <w:t>**PARTIE 4 : CONCLUSION D'INVESTISSEMENT**</w:t>
      </w:r>
    </w:p>
    <w:p>
      <w:pPr>
        <w:spacing w:after="120" w:line="276" w:lineRule="auto"/>
      </w:pPr>
      <w:r>
        <w:t>La valorisation de STAC est clairement surévaluée, avec un P/B de 97,76x et un PER négatif, reflétant des pertes persistantes. Le comportement du cours montre une tendance baissière avec une volatilité très élevée de 65,8%, et des statistiques indiquant une distribution symétrique sans extrêmes, mais un risque de fluctuation important. Les signaux techniques sont divergents : les moyennes mobiles et les bandes de Bollinger suggèrent une faiblesse, tandis que le MACD et le RSI indiquent un potentiel de rebond technique. Les fondamentaux sont dégradés, avec des pertes récurrentes, mais une reprise d'activité notable en 2025, portée par le projet aéroportuaire. Les prédictions IA pour les 10 prochains jours prévoient une chute continue du cours, de 2 330 à 1 837 FCFA, confirmant la pression baissière. La synthèse globale montre une convergence entre la valorisation excessive, la tendance technique négative et les prédictions IA, malgré une amélioration opérationnelle. La recommandation finale est **VENTE FORTE**, avec un niveau de confiance Élevé, un risque global Élevé, et un horizon d'investissement optimal à court terme (&lt;3 mois) pour les investisseurs cherchant à limiter leurs pertes.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411.17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3,515 titres</w:t>
            </w:r>
          </w:p>
        </w:tc>
        <w:tc>
          <w:tcPr>
            <w:tcW w:type="dxa" w:w="2268"/>
            <w:shd w:fill="FFF2CC" w:val="clear"/>
          </w:tcPr>
          <w:p>
            <w:r>
              <w:rPr>
                <w:b/>
                <w:color w:val="503200"/>
                <w:sz w:val="16"/>
              </w:rPr>
              <w:t xml:space="preserve">Cours actuel : </w:t>
            </w:r>
            <w:r>
              <w:rPr>
                <w:color w:val="000000"/>
                <w:sz w:val="17"/>
              </w:rPr>
              <w:t>22,900 FCFA</w:t>
            </w:r>
          </w:p>
          <w:p>
            <w:r>
              <w:rPr>
                <w:b/>
                <w:color w:val="503200"/>
                <w:sz w:val="16"/>
              </w:rPr>
              <w:t xml:space="preserve">Var. 100 jours : </w:t>
            </w:r>
            <w:r>
              <w:rPr>
                <w:b/>
                <w:color w:val="007800"/>
                <w:sz w:val="17"/>
              </w:rPr>
              <w:t>+4.57%</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6.17% (Moyenne) — μ=22,271 FCFA, σ=1,375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β=-0.0648 (Contre-cyclique) — Cov=-0.000002, Var(idx)=0.000034, ρ=-0.018,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3,515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σ_j=2.07%/j (Stable) — Vol. annualisée≈32.8%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2026-08-27</w:t>
            </w:r>
          </w:p>
        </w:tc>
        <w:tc>
          <w:tcPr>
            <w:tcW w:type="dxa" w:w="1440"/>
            <w:shd w:fill="C6EFCE" w:val="clear"/>
          </w:tcPr>
          <w:p>
            <w:r>
              <w:rPr>
                <w:sz w:val="17"/>
              </w:rPr>
              <w:t>21,928</w:t>
            </w:r>
          </w:p>
        </w:tc>
        <w:tc>
          <w:tcPr>
            <w:tcW w:type="dxa" w:w="1440"/>
            <w:shd w:fill="C6EFCE" w:val="clear"/>
          </w:tcPr>
          <w:p>
            <w:r>
              <w:rPr>
                <w:b/>
                <w:sz w:val="17"/>
              </w:rPr>
              <w:t>23,464</w:t>
            </w:r>
          </w:p>
        </w:tc>
        <w:tc>
          <w:tcPr>
            <w:tcW w:type="dxa" w:w="1440"/>
            <w:shd w:fill="C6EFCE" w:val="clear"/>
          </w:tcPr>
          <w:p>
            <w:r>
              <w:rPr>
                <w:sz w:val="17"/>
              </w:rPr>
              <w:t>25,000</w:t>
            </w:r>
          </w:p>
        </w:tc>
        <w:tc>
          <w:tcPr>
            <w:tcW w:type="dxa" w:w="1440"/>
            <w:shd w:fill="C6EFCE" w:val="clear"/>
          </w:tcPr>
          <w:p>
            <w:r>
              <w:rPr>
                <w:b/>
                <w:color w:val="008000"/>
                <w:sz w:val="17"/>
              </w:rPr>
              <w:t>+2.5%</w:t>
            </w:r>
          </w:p>
        </w:tc>
      </w:tr>
      <w:tr>
        <w:tc>
          <w:tcPr>
            <w:tcW w:type="dxa" w:w="1440"/>
            <w:shd w:fill="C6EFCE" w:val="clear"/>
          </w:tcPr>
          <w:p>
            <w:r>
              <w:rPr>
                <w:sz w:val="17"/>
              </w:rPr>
              <w:t>J+2  ⭐</w:t>
            </w:r>
          </w:p>
        </w:tc>
        <w:tc>
          <w:tcPr>
            <w:tcW w:type="dxa" w:w="1440"/>
            <w:shd w:fill="C6EFCE" w:val="clear"/>
          </w:tcPr>
          <w:p>
            <w:r>
              <w:rPr>
                <w:sz w:val="17"/>
              </w:rPr>
              <w:t>2026-08-28</w:t>
            </w:r>
          </w:p>
        </w:tc>
        <w:tc>
          <w:tcPr>
            <w:tcW w:type="dxa" w:w="1440"/>
            <w:shd w:fill="C6EFCE" w:val="clear"/>
          </w:tcPr>
          <w:p>
            <w:r>
              <w:rPr>
                <w:sz w:val="17"/>
              </w:rPr>
              <w:t>21,777</w:t>
            </w:r>
          </w:p>
        </w:tc>
        <w:tc>
          <w:tcPr>
            <w:tcW w:type="dxa" w:w="1440"/>
            <w:shd w:fill="C6EFCE" w:val="clear"/>
          </w:tcPr>
          <w:p>
            <w:r>
              <w:rPr>
                <w:b/>
                <w:sz w:val="17"/>
              </w:rPr>
              <w:t>23,675</w:t>
            </w:r>
          </w:p>
        </w:tc>
        <w:tc>
          <w:tcPr>
            <w:tcW w:type="dxa" w:w="1440"/>
            <w:shd w:fill="C6EFCE" w:val="clear"/>
          </w:tcPr>
          <w:p>
            <w:r>
              <w:rPr>
                <w:sz w:val="17"/>
              </w:rPr>
              <w:t>25,573</w:t>
            </w:r>
          </w:p>
        </w:tc>
        <w:tc>
          <w:tcPr>
            <w:tcW w:type="dxa" w:w="1440"/>
            <w:shd w:fill="C6EFCE" w:val="clear"/>
          </w:tcPr>
          <w:p>
            <w:r>
              <w:rPr>
                <w:b/>
                <w:color w:val="008000"/>
                <w:sz w:val="17"/>
              </w:rPr>
              <w:t>+3.4%</w:t>
            </w:r>
          </w:p>
        </w:tc>
      </w:tr>
      <w:tr>
        <w:tc>
          <w:tcPr>
            <w:tcW w:type="dxa" w:w="1440"/>
            <w:shd w:fill="C6EFCE" w:val="clear"/>
          </w:tcPr>
          <w:p>
            <w:r>
              <w:rPr>
                <w:sz w:val="17"/>
              </w:rPr>
              <w:t>J+3  ⭐</w:t>
            </w:r>
          </w:p>
        </w:tc>
        <w:tc>
          <w:tcPr>
            <w:tcW w:type="dxa" w:w="1440"/>
            <w:shd w:fill="C6EFCE" w:val="clear"/>
          </w:tcPr>
          <w:p>
            <w:r>
              <w:rPr>
                <w:sz w:val="17"/>
              </w:rPr>
              <w:t>2026-08-31</w:t>
            </w:r>
          </w:p>
        </w:tc>
        <w:tc>
          <w:tcPr>
            <w:tcW w:type="dxa" w:w="1440"/>
            <w:shd w:fill="C6EFCE" w:val="clear"/>
          </w:tcPr>
          <w:p>
            <w:r>
              <w:rPr>
                <w:sz w:val="17"/>
              </w:rPr>
              <w:t>21,690</w:t>
            </w:r>
          </w:p>
        </w:tc>
        <w:tc>
          <w:tcPr>
            <w:tcW w:type="dxa" w:w="1440"/>
            <w:shd w:fill="C6EFCE" w:val="clear"/>
          </w:tcPr>
          <w:p>
            <w:r>
              <w:rPr>
                <w:b/>
                <w:sz w:val="17"/>
              </w:rPr>
              <w:t>23,902</w:t>
            </w:r>
          </w:p>
        </w:tc>
        <w:tc>
          <w:tcPr>
            <w:tcW w:type="dxa" w:w="1440"/>
            <w:shd w:fill="C6EFCE" w:val="clear"/>
          </w:tcPr>
          <w:p>
            <w:r>
              <w:rPr>
                <w:sz w:val="17"/>
              </w:rPr>
              <w:t>26,114</w:t>
            </w:r>
          </w:p>
        </w:tc>
        <w:tc>
          <w:tcPr>
            <w:tcW w:type="dxa" w:w="1440"/>
            <w:shd w:fill="C6EFCE" w:val="clear"/>
          </w:tcPr>
          <w:p>
            <w:r>
              <w:rPr>
                <w:b/>
                <w:color w:val="008000"/>
                <w:sz w:val="17"/>
              </w:rPr>
              <w:t>+4.4%</w:t>
            </w:r>
          </w:p>
        </w:tc>
      </w:tr>
      <w:tr>
        <w:tc>
          <w:tcPr>
            <w:tcW w:type="dxa" w:w="1440"/>
            <w:shd w:fill="C6EFCE" w:val="clear"/>
          </w:tcPr>
          <w:p>
            <w:r>
              <w:rPr>
                <w:sz w:val="17"/>
              </w:rPr>
              <w:t>J+4  ⭐</w:t>
            </w:r>
          </w:p>
        </w:tc>
        <w:tc>
          <w:tcPr>
            <w:tcW w:type="dxa" w:w="1440"/>
            <w:shd w:fill="C6EFCE" w:val="clear"/>
          </w:tcPr>
          <w:p>
            <w:r>
              <w:rPr>
                <w:sz w:val="17"/>
              </w:rPr>
              <w:t>2026-09-01</w:t>
            </w:r>
          </w:p>
        </w:tc>
        <w:tc>
          <w:tcPr>
            <w:tcW w:type="dxa" w:w="1440"/>
            <w:shd w:fill="C6EFCE" w:val="clear"/>
          </w:tcPr>
          <w:p>
            <w:r>
              <w:rPr>
                <w:sz w:val="17"/>
              </w:rPr>
              <w:t>21,635</w:t>
            </w:r>
          </w:p>
        </w:tc>
        <w:tc>
          <w:tcPr>
            <w:tcW w:type="dxa" w:w="1440"/>
            <w:shd w:fill="C6EFCE" w:val="clear"/>
          </w:tcPr>
          <w:p>
            <w:r>
              <w:rPr>
                <w:b/>
                <w:sz w:val="17"/>
              </w:rPr>
              <w:t>24,132</w:t>
            </w:r>
          </w:p>
        </w:tc>
        <w:tc>
          <w:tcPr>
            <w:tcW w:type="dxa" w:w="1440"/>
            <w:shd w:fill="C6EFCE" w:val="clear"/>
          </w:tcPr>
          <w:p>
            <w:r>
              <w:rPr>
                <w:sz w:val="17"/>
              </w:rPr>
              <w:t>26,629</w:t>
            </w:r>
          </w:p>
        </w:tc>
        <w:tc>
          <w:tcPr>
            <w:tcW w:type="dxa" w:w="1440"/>
            <w:shd w:fill="C6EFCE" w:val="clear"/>
          </w:tcPr>
          <w:p>
            <w:r>
              <w:rPr>
                <w:b/>
                <w:color w:val="008000"/>
                <w:sz w:val="17"/>
              </w:rPr>
              <w:t>+5.4%</w:t>
            </w:r>
          </w:p>
        </w:tc>
      </w:tr>
      <w:tr>
        <w:tc>
          <w:tcPr>
            <w:tcW w:type="dxa" w:w="1440"/>
            <w:shd w:fill="C6EFCE" w:val="clear"/>
          </w:tcPr>
          <w:p>
            <w:r>
              <w:rPr>
                <w:sz w:val="17"/>
              </w:rPr>
              <w:t>J+5  ⭐</w:t>
            </w:r>
          </w:p>
        </w:tc>
        <w:tc>
          <w:tcPr>
            <w:tcW w:type="dxa" w:w="1440"/>
            <w:shd w:fill="C6EFCE" w:val="clear"/>
          </w:tcPr>
          <w:p>
            <w:r>
              <w:rPr>
                <w:sz w:val="17"/>
              </w:rPr>
              <w:t>2026-09-02</w:t>
            </w:r>
          </w:p>
        </w:tc>
        <w:tc>
          <w:tcPr>
            <w:tcW w:type="dxa" w:w="1440"/>
            <w:shd w:fill="C6EFCE" w:val="clear"/>
          </w:tcPr>
          <w:p>
            <w:r>
              <w:rPr>
                <w:sz w:val="17"/>
              </w:rPr>
              <w:t>21,607</w:t>
            </w:r>
          </w:p>
        </w:tc>
        <w:tc>
          <w:tcPr>
            <w:tcW w:type="dxa" w:w="1440"/>
            <w:shd w:fill="C6EFCE" w:val="clear"/>
          </w:tcPr>
          <w:p>
            <w:r>
              <w:rPr>
                <w:b/>
                <w:sz w:val="17"/>
              </w:rPr>
              <w:t>24,369</w:t>
            </w:r>
          </w:p>
        </w:tc>
        <w:tc>
          <w:tcPr>
            <w:tcW w:type="dxa" w:w="1440"/>
            <w:shd w:fill="C6EFCE" w:val="clear"/>
          </w:tcPr>
          <w:p>
            <w:r>
              <w:rPr>
                <w:sz w:val="17"/>
              </w:rPr>
              <w:t>27,131</w:t>
            </w:r>
          </w:p>
        </w:tc>
        <w:tc>
          <w:tcPr>
            <w:tcW w:type="dxa" w:w="1440"/>
            <w:shd w:fill="C6EFCE" w:val="clear"/>
          </w:tcPr>
          <w:p>
            <w:r>
              <w:rPr>
                <w:b/>
                <w:color w:val="008000"/>
                <w:sz w:val="17"/>
              </w:rPr>
              <w:t>+6.4%</w:t>
            </w:r>
          </w:p>
        </w:tc>
      </w:tr>
      <w:tr>
        <w:tc>
          <w:tcPr>
            <w:tcW w:type="dxa" w:w="1440"/>
            <w:shd w:fill="C6EFCE" w:val="clear"/>
          </w:tcPr>
          <w:p>
            <w:r>
              <w:rPr>
                <w:sz w:val="17"/>
              </w:rPr>
              <w:t>J+6  ⭐</w:t>
            </w:r>
          </w:p>
        </w:tc>
        <w:tc>
          <w:tcPr>
            <w:tcW w:type="dxa" w:w="1440"/>
            <w:shd w:fill="C6EFCE" w:val="clear"/>
          </w:tcPr>
          <w:p>
            <w:r>
              <w:rPr>
                <w:sz w:val="17"/>
              </w:rPr>
              <w:t>2026-09-03</w:t>
            </w:r>
          </w:p>
        </w:tc>
        <w:tc>
          <w:tcPr>
            <w:tcW w:type="dxa" w:w="1440"/>
            <w:shd w:fill="C6EFCE" w:val="clear"/>
          </w:tcPr>
          <w:p>
            <w:r>
              <w:rPr>
                <w:sz w:val="17"/>
              </w:rPr>
              <w:t>21,594</w:t>
            </w:r>
          </w:p>
        </w:tc>
        <w:tc>
          <w:tcPr>
            <w:tcW w:type="dxa" w:w="1440"/>
            <w:shd w:fill="C6EFCE" w:val="clear"/>
          </w:tcPr>
          <w:p>
            <w:r>
              <w:rPr>
                <w:b/>
                <w:sz w:val="17"/>
              </w:rPr>
              <w:t>24,607</w:t>
            </w:r>
          </w:p>
        </w:tc>
        <w:tc>
          <w:tcPr>
            <w:tcW w:type="dxa" w:w="1440"/>
            <w:shd w:fill="C6EFCE" w:val="clear"/>
          </w:tcPr>
          <w:p>
            <w:r>
              <w:rPr>
                <w:sz w:val="17"/>
              </w:rPr>
              <w:t>27,620</w:t>
            </w:r>
          </w:p>
        </w:tc>
        <w:tc>
          <w:tcPr>
            <w:tcW w:type="dxa" w:w="1440"/>
            <w:shd w:fill="C6EFCE" w:val="clear"/>
          </w:tcPr>
          <w:p>
            <w:r>
              <w:rPr>
                <w:b/>
                <w:color w:val="008000"/>
                <w:sz w:val="17"/>
              </w:rPr>
              <w:t>+7.5%</w:t>
            </w:r>
          </w:p>
        </w:tc>
      </w:tr>
      <w:tr>
        <w:tc>
          <w:tcPr>
            <w:tcW w:type="dxa" w:w="1440"/>
            <w:shd w:fill="C6EFCE" w:val="clear"/>
          </w:tcPr>
          <w:p>
            <w:r>
              <w:rPr>
                <w:sz w:val="17"/>
              </w:rPr>
              <w:t>J+7  ⭐</w:t>
            </w:r>
          </w:p>
        </w:tc>
        <w:tc>
          <w:tcPr>
            <w:tcW w:type="dxa" w:w="1440"/>
            <w:shd w:fill="C6EFCE" w:val="clear"/>
          </w:tcPr>
          <w:p>
            <w:r>
              <w:rPr>
                <w:sz w:val="17"/>
              </w:rPr>
              <w:t>2026-09-04</w:t>
            </w:r>
          </w:p>
        </w:tc>
        <w:tc>
          <w:tcPr>
            <w:tcW w:type="dxa" w:w="1440"/>
            <w:shd w:fill="C6EFCE" w:val="clear"/>
          </w:tcPr>
          <w:p>
            <w:r>
              <w:rPr>
                <w:sz w:val="17"/>
              </w:rPr>
              <w:t>21,598</w:t>
            </w:r>
          </w:p>
        </w:tc>
        <w:tc>
          <w:tcPr>
            <w:tcW w:type="dxa" w:w="1440"/>
            <w:shd w:fill="C6EFCE" w:val="clear"/>
          </w:tcPr>
          <w:p>
            <w:r>
              <w:rPr>
                <w:b/>
                <w:sz w:val="17"/>
              </w:rPr>
              <w:t>24,851</w:t>
            </w:r>
          </w:p>
        </w:tc>
        <w:tc>
          <w:tcPr>
            <w:tcW w:type="dxa" w:w="1440"/>
            <w:shd w:fill="C6EFCE" w:val="clear"/>
          </w:tcPr>
          <w:p>
            <w:r>
              <w:rPr>
                <w:sz w:val="17"/>
              </w:rPr>
              <w:t>28,103</w:t>
            </w:r>
          </w:p>
        </w:tc>
        <w:tc>
          <w:tcPr>
            <w:tcW w:type="dxa" w:w="1440"/>
            <w:shd w:fill="C6EFCE" w:val="clear"/>
          </w:tcPr>
          <w:p>
            <w:r>
              <w:rPr>
                <w:b/>
                <w:color w:val="008000"/>
                <w:sz w:val="17"/>
              </w:rPr>
              <w:t>+8.5%</w:t>
            </w:r>
          </w:p>
        </w:tc>
      </w:tr>
      <w:tr>
        <w:tc>
          <w:tcPr>
            <w:tcW w:type="dxa" w:w="1440"/>
            <w:shd w:fill="C6EFCE" w:val="clear"/>
          </w:tcPr>
          <w:p>
            <w:r>
              <w:rPr>
                <w:sz w:val="17"/>
              </w:rPr>
              <w:t>J+8  ⭐</w:t>
            </w:r>
          </w:p>
        </w:tc>
        <w:tc>
          <w:tcPr>
            <w:tcW w:type="dxa" w:w="1440"/>
            <w:shd w:fill="C6EFCE" w:val="clear"/>
          </w:tcPr>
          <w:p>
            <w:r>
              <w:rPr>
                <w:sz w:val="17"/>
              </w:rPr>
              <w:t>2026-09-07</w:t>
            </w:r>
          </w:p>
        </w:tc>
        <w:tc>
          <w:tcPr>
            <w:tcW w:type="dxa" w:w="1440"/>
            <w:shd w:fill="C6EFCE" w:val="clear"/>
          </w:tcPr>
          <w:p>
            <w:r>
              <w:rPr>
                <w:sz w:val="17"/>
              </w:rPr>
              <w:t>21,615</w:t>
            </w:r>
          </w:p>
        </w:tc>
        <w:tc>
          <w:tcPr>
            <w:tcW w:type="dxa" w:w="1440"/>
            <w:shd w:fill="C6EFCE" w:val="clear"/>
          </w:tcPr>
          <w:p>
            <w:r>
              <w:rPr>
                <w:b/>
                <w:sz w:val="17"/>
              </w:rPr>
              <w:t>25,100</w:t>
            </w:r>
          </w:p>
        </w:tc>
        <w:tc>
          <w:tcPr>
            <w:tcW w:type="dxa" w:w="1440"/>
            <w:shd w:fill="C6EFCE" w:val="clear"/>
          </w:tcPr>
          <w:p>
            <w:r>
              <w:rPr>
                <w:sz w:val="17"/>
              </w:rPr>
              <w:t>28,584</w:t>
            </w:r>
          </w:p>
        </w:tc>
        <w:tc>
          <w:tcPr>
            <w:tcW w:type="dxa" w:w="1440"/>
            <w:shd w:fill="C6EFCE" w:val="clear"/>
          </w:tcPr>
          <w:p>
            <w:r>
              <w:rPr>
                <w:b/>
                <w:color w:val="008000"/>
                <w:sz w:val="17"/>
              </w:rPr>
              <w:t>+9.6%</w:t>
            </w:r>
          </w:p>
        </w:tc>
      </w:tr>
      <w:tr>
        <w:tc>
          <w:tcPr>
            <w:tcW w:type="dxa" w:w="1440"/>
            <w:shd w:fill="C6EFCE" w:val="clear"/>
          </w:tcPr>
          <w:p>
            <w:r>
              <w:rPr>
                <w:sz w:val="17"/>
              </w:rPr>
              <w:t>J+9  ⭐</w:t>
            </w:r>
          </w:p>
        </w:tc>
        <w:tc>
          <w:tcPr>
            <w:tcW w:type="dxa" w:w="1440"/>
            <w:shd w:fill="C6EFCE" w:val="clear"/>
          </w:tcPr>
          <w:p>
            <w:r>
              <w:rPr>
                <w:sz w:val="17"/>
              </w:rPr>
              <w:t>2026-09-08</w:t>
            </w:r>
          </w:p>
        </w:tc>
        <w:tc>
          <w:tcPr>
            <w:tcW w:type="dxa" w:w="1440"/>
            <w:shd w:fill="C6EFCE" w:val="clear"/>
          </w:tcPr>
          <w:p>
            <w:r>
              <w:rPr>
                <w:sz w:val="17"/>
              </w:rPr>
              <w:t>21,645</w:t>
            </w:r>
          </w:p>
        </w:tc>
        <w:tc>
          <w:tcPr>
            <w:tcW w:type="dxa" w:w="1440"/>
            <w:shd w:fill="C6EFCE" w:val="clear"/>
          </w:tcPr>
          <w:p>
            <w:r>
              <w:rPr>
                <w:b/>
                <w:sz w:val="17"/>
              </w:rPr>
              <w:t>25,355</w:t>
            </w:r>
          </w:p>
        </w:tc>
        <w:tc>
          <w:tcPr>
            <w:tcW w:type="dxa" w:w="1440"/>
            <w:shd w:fill="C6EFCE" w:val="clear"/>
          </w:tcPr>
          <w:p>
            <w:r>
              <w:rPr>
                <w:sz w:val="17"/>
              </w:rPr>
              <w:t>29,066</w:t>
            </w:r>
          </w:p>
        </w:tc>
        <w:tc>
          <w:tcPr>
            <w:tcW w:type="dxa" w:w="1440"/>
            <w:shd w:fill="C6EFCE" w:val="clear"/>
          </w:tcPr>
          <w:p>
            <w:r>
              <w:rPr>
                <w:b/>
                <w:color w:val="008000"/>
                <w:sz w:val="17"/>
              </w:rPr>
              <w:t>+10.7%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STBC s'établit à 411,17 milliards FCFA, ce qui en fait une valeur de première ligne sur la BRVM, représentant un poids significatif dans l'indice composite. Avec un BPA de 2 014 FCFA, chaque action génère un bénéfice substantiel, justifiant un PER de 11,4x, légèrement au-dessus de la moyenne historique de la place (~8-12x), ce qui traduit une valorisation raisonnable mais non bon marché. Le P/B de 9,07x est en revanche très exigeant, indiquant que le marché valorise fortement les actifs nets de l'entreprise, bien au-delà de leur valeur comptable, signe d'une prime de qualité ou de rendement. Enfin, l'EV/EBITDA de 8,2x se situe dans une fourchette saine (5-10x), suggérant que la valeur totale de l'entreprise (capitalisation + dette nette) reste cohérente avec sa capacité opérationnelle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STBC affiche une progression modeste de +4,57%, avec une stabilité totale lors de la dernière séance (0,00%), reflétant une phase de consolidation après des mouvements plus amples. Le cours a évolué dans un range de 19 705 FCFA (plus bas) à 25 000 FCFA (plus haut), montrant une amplitude de trading significative d'environ 27%, typique d'une valeur volatile. La moyenne (22 271 FCFA) est très proche de la médiane (21 998 FCFA), indiquant une distribution quasi symétrique des prix, confirmée par un skewness de 0,316. L'écart-type de 1 382 FCFA (CV de 6,2%) révèle une dispersion modérée autour de la moyenne, tandis que le kurtosis de -0,978 (mésokurtique) suggère l'absence de mouvements extrêmes ou de pics anormaux. La volatilité annualisée de 32,8% classe le titre dans la catégorie "élevée" (&gt;30%), ce qui implique un risque de prix important pour les investisseurs, mais aussi un potentiel de rendement accru.</w:t>
      </w:r>
    </w:p>
    <w:p>
      <w:pPr>
        <w:spacing w:after="120" w:line="276" w:lineRule="auto" w:before="240"/>
      </w:pPr>
      <w:r>
        <w:rPr>
          <w:b/>
          <w:color w:val="003366"/>
          <w:sz w:val="24"/>
        </w:rPr>
        <w:t>**PARTIE 2 : ANALYSE TECHNIQUE DÉTAILLÉE**</w:t>
      </w:r>
    </w:p>
    <w:p>
      <w:pPr>
        <w:spacing w:after="120" w:line="276" w:lineRule="auto"/>
      </w:pPr>
      <w:r>
        <w:t>**Moyennes Mobiles** : Les MM20 (23 451,75 FCFA) et MM50 (23 438,1 FCFA) sont très proches l'une de l'autre et se situent au-dessus du cours actuel (22 900 FCFA), ce qui indique une pression vendeuse à court terme. Cependant, le signal global est "Achat", suggérant que la tendance de fond reste positive malgré le repli récent, et que le cours pourrait rebondir vers ces moyennes.</w:t>
      </w:r>
    </w:p>
    <w:p>
      <w:pPr>
        <w:spacing w:after="120" w:line="276" w:lineRule="auto"/>
      </w:pPr>
      <w:r>
        <w:t>**Bandes de Bollinger** : Le prix actuel se positionne dans la partie inférieure des bandes, entre la borne inférieure (21 924,05 FCFA) et la moyenne mobile, avec une borne supérieure à 24 979,45 FCFA. La décision "Neutre" reflète une volatilité modérée et un cours qui n'est ni suracheté ni survendu, laissant place à une évolution latérale avant un nouveau mouvement directionnel.</w:t>
      </w:r>
    </w:p>
    <w:p>
      <w:pPr>
        <w:spacing w:after="120" w:line="276" w:lineRule="auto"/>
      </w:pPr>
      <w:r>
        <w:t>**MACD** : La valeur MACD (-138,001) est inférieure au signal (-24,497), avec les deux indicateurs en territoire négatif. Cette configuration baissière indique un momentum négatif et une perte de vitesse des acheteurs, justifiant la décision "Vente". Le croisement sous le zéro renforce ce signal, bien que l'écart important puisse présager un retournement technique.</w:t>
      </w:r>
    </w:p>
    <w:p>
      <w:pPr>
        <w:spacing w:after="120" w:line="276" w:lineRule="auto"/>
      </w:pPr>
      <w:r>
        <w:t>**RSI** : À 41,53, le RSI se situe dans la zone neutre (30-70), sans signal extrême. Il n'y a ni surachat ni survente, ce qui donne une décision "Neutre". Cette valeur suggère que le titre n'est pas encore survendu, mais qu'il perd du terrain, et un passage sous 30 pourrait offrir une opportunité d'achat.</w:t>
      </w:r>
    </w:p>
    <w:p>
      <w:pPr>
        <w:spacing w:after="120" w:line="276" w:lineRule="auto"/>
      </w:pPr>
      <w:r>
        <w:t>**Stochastique** : Les %K (20,0) et %D (21,27) sont très proches et en zone de survente (&lt;20), indiquant une faiblesse à court terme. La décision "Neutre" s'explique par l'absence de croisement haussier net, mais un rebond technique est possible si %K repasse au-dessus de %D.</w:t>
      </w:r>
    </w:p>
    <w:p>
      <w:pPr>
        <w:spacing w:after="120" w:line="276" w:lineRule="auto"/>
      </w:pPr>
      <w:r>
        <w:t>**Conclusion technique** : Les indicateurs sont mitigés, avec un MACD vendeur et des moyennes mobiles au-dessus du cours, contrastant avec un RSI neutre et un stochastique proche de la survente. La tendance est globalement baissière à court terme, mais les conditions de survente pourraient déclencher un rebond technique. Le signal global penche vers une prudence, avec un potentiel de stabilisation autour de 22 000-22 900 FCFA.</w:t>
      </w:r>
    </w:p>
    <w:p>
      <w:pPr>
        <w:spacing w:after="120" w:line="276" w:lineRule="auto" w:before="240"/>
      </w:pPr>
      <w:r>
        <w:rPr>
          <w:b/>
          <w:color w:val="003366"/>
          <w:sz w:val="24"/>
        </w:rPr>
        <w:t>**PARTIE 3 : ANALYSE FONDAMENTALE (SECTION CRITIQUE)**</w:t>
      </w:r>
    </w:p>
    <w:p>
      <w:pPr>
        <w:spacing w:after="120" w:line="276" w:lineRule="auto"/>
      </w:pPr>
      <w:r>
        <w:t>En 2025, les données structurées de STBC (entreprise non bancaire) révèlent un chiffre d'affaires de 268,537 milliards FCFA, en hausse de 25,3% par rapport à 2024, mais un résultat net de 36,158 milliards FCFA, en baisse de 17,5% (contre 44,2 milliards en 2024). La marge nette s'est dégradée à 13,46% (vs 20,4% en 2024), tandis que le ROE reste exceptionnel à 79,75% et le ROA à 48,09%, démontrant une rentabilité très élevée malgré la pression fiscale. Le BFR est négatif (-5,639 milliards FCFA), ce qui est favorable, indiquant que l'entreprise finance son cycle d'exploitation par ses fournisseurs, avec un délai clients de 42,57 jours et une durée de stockage de 5,73 jours. L'endettement est quasi nul (0,0031% de dépendance financière), avec une trésorerie nette de 30,763 milliards FCFA, offrant une grande solidité. Les rapports trimestriels de 2025 (T1 : CA +34,7%, résultat net +146% ; S1 : CA +41,8%, résultat net +87,3% ; T3 : CA +19%, résultat net +9% ; T4 : CA +8%, résultat net -74%) montrent une année en deux temps : un premier semestre exceptionnel, suivi d'une dégradation au T4 due à la hausse des droits d'accise (49% à 70%) et à un contrôle fiscal. Pour 2026, le rapport T1 2026 (publié en 2026) indique un CA de 68,8 milliards FCFA (+12%) et un résultat net stable à 9,3 milliards FCFA (-1%), suggérant une stabilisation. On estime que l'exercice 2026 pourrait voir un résultat net autour de 36-38 milliards FCFA, si la maîtrise des coûts s'améliore, avec un dividende proposé de 1 940 FCFA par action (taux de distribution ~85%). La recommandation fondamentale est "CONSERVER", car la société est financièrement robuste, mais la rentabilité est sous pression.</w:t>
      </w:r>
    </w:p>
    <w:p>
      <w:pPr>
        <w:spacing w:after="120" w:line="276" w:lineRule="auto" w:before="240"/>
      </w:pPr>
      <w:r>
        <w:rPr>
          <w:b/>
          <w:color w:val="003366"/>
          <w:sz w:val="24"/>
        </w:rPr>
        <w:t>**PARTIE 4 : CONCLUSION D'INVESTISSEMENT**</w:t>
      </w:r>
    </w:p>
    <w:p>
      <w:pPr>
        <w:spacing w:after="120" w:line="276" w:lineRule="auto"/>
      </w:pPr>
      <w:r>
        <w:t>La valorisation de STBC est mitigée : le PER de 11,4x est raisonnable, mais le P/B de 9,07x est très élevé, indiquant une surévaluation relative des actifs, bien que l'EV/EBITDA de 8,2x reste acceptable. Le comportement du cours montre une tendance légèrement haussière sur 100 jours (+4,57%), mais avec une volatilité élevée (32,8%) et une distribution symétrique (kurtosis mésokurtique, skewness faible), suggérant un risque de prix modéré. Les signaux techniques sont divergents : les moyennes mobiles et le MACD sont baissiers, tandis que le RSI et le stochastique sont neutres, indiquant une possible consolidation avant un nouveau mouvement. Les fondamentaux sont solides (zéro dette, trésorerie élevée, ROE de 79,75%), mais la baisse du résultat net et la pression fiscale sont des points de vigilance. Les prédictions IA (23 464 FCFA à 24 369 FCFA sur 10 jours) suggèrent une hausse progressive de +2,5% à +6,4%, contredisant les signaux techniques baissiers, mais s'alignant sur la solidité fondamentale. En synthèse, je recommande **CONSERVER** avec un niveau de confiance **Moyen** et un risque global **Moyen**. L'horizon d'investissement optimal est le **moyen terme (3-12 mois)**, en attendant une stabilisation des marges et une clarification de l'environnement fiscal pour envisager un renforcement.</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214.07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7,797 titres</w:t>
            </w:r>
          </w:p>
        </w:tc>
        <w:tc>
          <w:tcPr>
            <w:tcW w:type="dxa" w:w="2268"/>
            <w:shd w:fill="FFF2CC" w:val="clear"/>
          </w:tcPr>
          <w:p>
            <w:r>
              <w:rPr>
                <w:b/>
                <w:color w:val="503200"/>
                <w:sz w:val="16"/>
              </w:rPr>
              <w:t xml:space="preserve">Cours actuel : </w:t>
            </w:r>
            <w:r>
              <w:rPr>
                <w:color w:val="000000"/>
                <w:sz w:val="17"/>
              </w:rPr>
              <w:t>3,400 FCFA</w:t>
            </w:r>
          </w:p>
          <w:p>
            <w:r>
              <w:rPr>
                <w:b/>
                <w:color w:val="503200"/>
                <w:sz w:val="16"/>
              </w:rPr>
              <w:t xml:space="preserve">Var. 100 jours : </w:t>
            </w:r>
            <w:r>
              <w:rPr>
                <w:b/>
                <w:color w:val="007800"/>
                <w:sz w:val="17"/>
              </w:rPr>
              <w:t>+17.44%</w:t>
            </w:r>
          </w:p>
          <w:p>
            <w:r>
              <w:rPr>
                <w:b/>
                <w:color w:val="503200"/>
                <w:sz w:val="16"/>
              </w:rPr>
              <w:t xml:space="preserve">Plus haut 100j : </w:t>
            </w:r>
            <w:r>
              <w:rPr>
                <w:color w:val="000000"/>
                <w:sz w:val="17"/>
              </w:rPr>
              <w:t>3,400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39.8%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5.05% (Moyenne) — μ=2,884 FCFA, σ=146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β=0.1133 (Défensif) — Cov=0.000004, Var(idx)=0.000034, ρ=0.026,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7,797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σ_j=2.51%/j (Stable) — Vol. annualisée≈39.8%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2026-08-27</w:t>
            </w:r>
          </w:p>
        </w:tc>
        <w:tc>
          <w:tcPr>
            <w:tcW w:type="dxa" w:w="1440"/>
            <w:shd w:fill="FAFAFA" w:val="clear"/>
          </w:tcPr>
          <w:p>
            <w:r>
              <w:rPr>
                <w:sz w:val="17"/>
              </w:rPr>
              <w:t>3,100</w:t>
            </w:r>
          </w:p>
        </w:tc>
        <w:tc>
          <w:tcPr>
            <w:tcW w:type="dxa" w:w="1440"/>
            <w:shd w:fill="FAFAFA" w:val="clear"/>
          </w:tcPr>
          <w:p>
            <w:r>
              <w:rPr>
                <w:b/>
                <w:sz w:val="17"/>
              </w:rPr>
              <w:t>3,366</w:t>
            </w:r>
          </w:p>
        </w:tc>
        <w:tc>
          <w:tcPr>
            <w:tcW w:type="dxa" w:w="1440"/>
            <w:shd w:fill="FAFAFA" w:val="clear"/>
          </w:tcPr>
          <w:p>
            <w:r>
              <w:rPr>
                <w:sz w:val="17"/>
              </w:rPr>
              <w:t>3,632</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2026-08-28</w:t>
            </w:r>
          </w:p>
        </w:tc>
        <w:tc>
          <w:tcPr>
            <w:tcW w:type="dxa" w:w="1440"/>
            <w:shd w:fill="FAFAFA" w:val="clear"/>
          </w:tcPr>
          <w:p>
            <w:r>
              <w:rPr>
                <w:sz w:val="17"/>
              </w:rPr>
              <w:t>3,025</w:t>
            </w:r>
          </w:p>
        </w:tc>
        <w:tc>
          <w:tcPr>
            <w:tcW w:type="dxa" w:w="1440"/>
            <w:shd w:fill="FAFAFA" w:val="clear"/>
          </w:tcPr>
          <w:p>
            <w:r>
              <w:rPr>
                <w:b/>
                <w:sz w:val="17"/>
              </w:rPr>
              <w:t>3,348</w:t>
            </w:r>
          </w:p>
        </w:tc>
        <w:tc>
          <w:tcPr>
            <w:tcW w:type="dxa" w:w="1440"/>
            <w:shd w:fill="FAFAFA" w:val="clear"/>
          </w:tcPr>
          <w:p>
            <w:r>
              <w:rPr>
                <w:sz w:val="17"/>
              </w:rPr>
              <w:t>3,672</w:t>
            </w:r>
          </w:p>
        </w:tc>
        <w:tc>
          <w:tcPr>
            <w:tcW w:type="dxa" w:w="1440"/>
            <w:shd w:fill="FAFAFA" w:val="clear"/>
          </w:tcPr>
          <w:p>
            <w:r>
              <w:rPr>
                <w:b/>
                <w:color w:val="C00000"/>
                <w:sz w:val="17"/>
              </w:rPr>
              <w:t>-1.5%</w:t>
            </w:r>
          </w:p>
        </w:tc>
      </w:tr>
      <w:tr>
        <w:tc>
          <w:tcPr>
            <w:tcW w:type="dxa" w:w="1440"/>
            <w:shd w:fill="FAFAFA" w:val="clear"/>
          </w:tcPr>
          <w:p>
            <w:r>
              <w:rPr>
                <w:sz w:val="17"/>
              </w:rPr>
              <w:t>J+3  ⭐</w:t>
            </w:r>
          </w:p>
        </w:tc>
        <w:tc>
          <w:tcPr>
            <w:tcW w:type="dxa" w:w="1440"/>
            <w:shd w:fill="FAFAFA" w:val="clear"/>
          </w:tcPr>
          <w:p>
            <w:r>
              <w:rPr>
                <w:sz w:val="17"/>
              </w:rPr>
              <w:t>2026-08-31</w:t>
            </w:r>
          </w:p>
        </w:tc>
        <w:tc>
          <w:tcPr>
            <w:tcW w:type="dxa" w:w="1440"/>
            <w:shd w:fill="FAFAFA" w:val="clear"/>
          </w:tcPr>
          <w:p>
            <w:r>
              <w:rPr>
                <w:sz w:val="17"/>
              </w:rPr>
              <w:t>2,961</w:t>
            </w:r>
          </w:p>
        </w:tc>
        <w:tc>
          <w:tcPr>
            <w:tcW w:type="dxa" w:w="1440"/>
            <w:shd w:fill="FAFAFA" w:val="clear"/>
          </w:tcPr>
          <w:p>
            <w:r>
              <w:rPr>
                <w:b/>
                <w:sz w:val="17"/>
              </w:rPr>
              <w:t>3,333</w:t>
            </w:r>
          </w:p>
        </w:tc>
        <w:tc>
          <w:tcPr>
            <w:tcW w:type="dxa" w:w="1440"/>
            <w:shd w:fill="FAFAFA" w:val="clear"/>
          </w:tcPr>
          <w:p>
            <w:r>
              <w:rPr>
                <w:sz w:val="17"/>
              </w:rPr>
              <w:t>3,705</w:t>
            </w:r>
          </w:p>
        </w:tc>
        <w:tc>
          <w:tcPr>
            <w:tcW w:type="dxa" w:w="1440"/>
            <w:shd w:fill="FAFAFA" w:val="clear"/>
          </w:tcPr>
          <w:p>
            <w:r>
              <w:rPr>
                <w:b/>
                <w:color w:val="C00000"/>
                <w:sz w:val="17"/>
              </w:rPr>
              <w:t>-2.0%</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2,905</w:t>
            </w:r>
          </w:p>
        </w:tc>
        <w:tc>
          <w:tcPr>
            <w:tcW w:type="dxa" w:w="1440"/>
            <w:shd w:fill="FFDCE0" w:val="clear"/>
          </w:tcPr>
          <w:p>
            <w:r>
              <w:rPr>
                <w:b/>
                <w:sz w:val="17"/>
              </w:rPr>
              <w:t>3,319</w:t>
            </w:r>
          </w:p>
        </w:tc>
        <w:tc>
          <w:tcPr>
            <w:tcW w:type="dxa" w:w="1440"/>
            <w:shd w:fill="FFDCE0" w:val="clear"/>
          </w:tcPr>
          <w:p>
            <w:r>
              <w:rPr>
                <w:sz w:val="17"/>
              </w:rPr>
              <w:t>3,733</w:t>
            </w:r>
          </w:p>
        </w:tc>
        <w:tc>
          <w:tcPr>
            <w:tcW w:type="dxa" w:w="1440"/>
            <w:shd w:fill="FFDCE0" w:val="clear"/>
          </w:tcPr>
          <w:p>
            <w:r>
              <w:rPr>
                <w:b/>
                <w:color w:val="C00000"/>
                <w:sz w:val="17"/>
              </w:rPr>
              <w:t>-2.4%</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2,854</w:t>
            </w:r>
          </w:p>
        </w:tc>
        <w:tc>
          <w:tcPr>
            <w:tcW w:type="dxa" w:w="1440"/>
            <w:shd w:fill="FFDCE0" w:val="clear"/>
          </w:tcPr>
          <w:p>
            <w:r>
              <w:rPr>
                <w:b/>
                <w:sz w:val="17"/>
              </w:rPr>
              <w:t>3,306</w:t>
            </w:r>
          </w:p>
        </w:tc>
        <w:tc>
          <w:tcPr>
            <w:tcW w:type="dxa" w:w="1440"/>
            <w:shd w:fill="FFDCE0" w:val="clear"/>
          </w:tcPr>
          <w:p>
            <w:r>
              <w:rPr>
                <w:sz w:val="17"/>
              </w:rPr>
              <w:t>3,758</w:t>
            </w:r>
          </w:p>
        </w:tc>
        <w:tc>
          <w:tcPr>
            <w:tcW w:type="dxa" w:w="1440"/>
            <w:shd w:fill="FFDCE0" w:val="clear"/>
          </w:tcPr>
          <w:p>
            <w:r>
              <w:rPr>
                <w:b/>
                <w:color w:val="C00000"/>
                <w:sz w:val="17"/>
              </w:rPr>
              <w:t>-2.8%</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2,807</w:t>
            </w:r>
          </w:p>
        </w:tc>
        <w:tc>
          <w:tcPr>
            <w:tcW w:type="dxa" w:w="1440"/>
            <w:shd w:fill="FFDCE0" w:val="clear"/>
          </w:tcPr>
          <w:p>
            <w:r>
              <w:rPr>
                <w:b/>
                <w:sz w:val="17"/>
              </w:rPr>
              <w:t>3,293</w:t>
            </w:r>
          </w:p>
        </w:tc>
        <w:tc>
          <w:tcPr>
            <w:tcW w:type="dxa" w:w="1440"/>
            <w:shd w:fill="FFDCE0" w:val="clear"/>
          </w:tcPr>
          <w:p>
            <w:r>
              <w:rPr>
                <w:sz w:val="17"/>
              </w:rPr>
              <w:t>3,780</w:t>
            </w:r>
          </w:p>
        </w:tc>
        <w:tc>
          <w:tcPr>
            <w:tcW w:type="dxa" w:w="1440"/>
            <w:shd w:fill="FFDCE0" w:val="clear"/>
          </w:tcPr>
          <w:p>
            <w:r>
              <w:rPr>
                <w:b/>
                <w:color w:val="C00000"/>
                <w:sz w:val="17"/>
              </w:rPr>
              <w:t>-3.1%</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2,763</w:t>
            </w:r>
          </w:p>
        </w:tc>
        <w:tc>
          <w:tcPr>
            <w:tcW w:type="dxa" w:w="1440"/>
            <w:shd w:fill="FFDCE0" w:val="clear"/>
          </w:tcPr>
          <w:p>
            <w:r>
              <w:rPr>
                <w:b/>
                <w:sz w:val="17"/>
              </w:rPr>
              <w:t>3,281</w:t>
            </w:r>
          </w:p>
        </w:tc>
        <w:tc>
          <w:tcPr>
            <w:tcW w:type="dxa" w:w="1440"/>
            <w:shd w:fill="FFDCE0" w:val="clear"/>
          </w:tcPr>
          <w:p>
            <w:r>
              <w:rPr>
                <w:sz w:val="17"/>
              </w:rPr>
              <w:t>3,799</w:t>
            </w:r>
          </w:p>
        </w:tc>
        <w:tc>
          <w:tcPr>
            <w:tcW w:type="dxa" w:w="1440"/>
            <w:shd w:fill="FFDCE0" w:val="clear"/>
          </w:tcPr>
          <w:p>
            <w:r>
              <w:rPr>
                <w:b/>
                <w:color w:val="C00000"/>
                <w:sz w:val="17"/>
              </w:rPr>
              <w:t>-3.5%</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2,721</w:t>
            </w:r>
          </w:p>
        </w:tc>
        <w:tc>
          <w:tcPr>
            <w:tcW w:type="dxa" w:w="1440"/>
            <w:shd w:fill="FFDCE0" w:val="clear"/>
          </w:tcPr>
          <w:p>
            <w:r>
              <w:rPr>
                <w:b/>
                <w:sz w:val="17"/>
              </w:rPr>
              <w:t>3,269</w:t>
            </w:r>
          </w:p>
        </w:tc>
        <w:tc>
          <w:tcPr>
            <w:tcW w:type="dxa" w:w="1440"/>
            <w:shd w:fill="FFDCE0" w:val="clear"/>
          </w:tcPr>
          <w:p>
            <w:r>
              <w:rPr>
                <w:sz w:val="17"/>
              </w:rPr>
              <w:t>3,816</w:t>
            </w:r>
          </w:p>
        </w:tc>
        <w:tc>
          <w:tcPr>
            <w:tcW w:type="dxa" w:w="1440"/>
            <w:shd w:fill="FFDCE0" w:val="clear"/>
          </w:tcPr>
          <w:p>
            <w:r>
              <w:rPr>
                <w:b/>
                <w:color w:val="C00000"/>
                <w:sz w:val="17"/>
              </w:rPr>
              <w:t>-3.9%</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2,682</w:t>
            </w:r>
          </w:p>
        </w:tc>
        <w:tc>
          <w:tcPr>
            <w:tcW w:type="dxa" w:w="1440"/>
            <w:shd w:fill="FFDCE0" w:val="clear"/>
          </w:tcPr>
          <w:p>
            <w:r>
              <w:rPr>
                <w:b/>
                <w:sz w:val="17"/>
              </w:rPr>
              <w:t>3,257</w:t>
            </w:r>
          </w:p>
        </w:tc>
        <w:tc>
          <w:tcPr>
            <w:tcW w:type="dxa" w:w="1440"/>
            <w:shd w:fill="FFDCE0" w:val="clear"/>
          </w:tcPr>
          <w:p>
            <w:r>
              <w:rPr>
                <w:sz w:val="17"/>
              </w:rPr>
              <w:t>3,832</w:t>
            </w:r>
          </w:p>
        </w:tc>
        <w:tc>
          <w:tcPr>
            <w:tcW w:type="dxa" w:w="1440"/>
            <w:shd w:fill="FFDCE0" w:val="clear"/>
          </w:tcPr>
          <w:p>
            <w:r>
              <w:rPr>
                <w:b/>
                <w:color w:val="C00000"/>
                <w:sz w:val="17"/>
              </w:rPr>
              <w:t>-4.2%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**Date de l'analyse : 26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TTLC s'établit à 214,07 milliards FCFA, ce qui en fait l'une des valeurs les plus significatives de la cote, reflétant la position dominante de la filiale ivoirienne de TotalEnergies. Avec un BPA de 144 FCFA, le titre se négocie à un PER de 23,6x, nettement supérieur à la moyenne historique de la BRVM (8-12x). Cette prime de valorisation suggère que le marché intègre des attentes de croissance future ou une prime de qualité pour ce leader sectoriel. Le P/B de 5,91x confirme cette lecture, indiquant que les investisseurs paient près de six fois la valeur comptable des actifs, une valorisation exigeante qui reflète la forte rentabilité des capitaux propres (ROE de 25,1%). Enfin, l'EV/EBITDA de 12,0x, bien que dans la fourchette haute, reste cohérent avec une entreprise générant un EBITDA substantiel de 22,3 milliards FCFA, justifiant en partie cette décote relative sur la valeur d'entreprise.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TTLC a enregistré une progression remarquable de +17,44%, passant d'un plus bas de 2 650 FCFA à un plus haut de 3 400 FCFA, son niveau actuel. La séance de la veille s'est soldée par une stabilité (+0,00%), suggérant une consolidation après ce fort mouvement haussier. La moyenne du cours sur la période est de 2 884 FCFA, très proche de la médiane (2 878 FCFA), ce qui indique une distribution relativement symétrique des cours, malgré un skewness positif de 1,320 signalant des journées plus fréquentes sous la moyenne. L'écart-type de 147 FCFA (CV=5,1%) témoigne d'une dispersion modérée autour de la moyenne. Le kurtosis de 2,669 (leptokurtique) révèle un risque de variations extrêmes, avec des queues de distribution épaisses. La volatilité annualisée de 39,8% classe le titre comme très volatil (&gt;30%), un niveau élevé qui reflète l'enthousiasme récent des investisseurs et la sensibilité du secteur pétrolier aux chocs externes.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(3 400 FCFA) évolue nettement au-dessus de la MM20 (3 066,5 FCFA) et de la MM50 (2 961,1 FCFA), dans une configuration de tendance haussière claire. L'écart positif entre le prix et les moyennes mobiles confirme la vigueur du mouvement, justifiant un signal d'**Achat**.</w:t>
      </w:r>
    </w:p>
    <w:p>
      <w:pPr>
        <w:spacing w:after="120" w:line="276" w:lineRule="auto"/>
      </w:pPr>
      <w:r>
        <w:t>**Bandes de Bollinger** : Le prix se situe à 3 400 FCFA, très proche de la borne supérieure (3 431,2 FCFA), indiquant que le titre est en zone de surachat temporaire. La largeur des bandes reflète une volatilité accrue. La décision est **Neutre**, car le marché pourrait soit poursuivre sa progression en "walking the bands", soit corriger vers la moyenne.</w:t>
      </w:r>
    </w:p>
    <w:p>
      <w:pPr>
        <w:spacing w:after="120" w:line="276" w:lineRule="auto"/>
      </w:pPr>
      <w:r>
        <w:t>**MACD** : Le MACD (113,75) est nettement supérieur à son signal (71,22), avec un histogramme positif et en expansion. Cette configuration indique un momentum haussier puissant et confirme la dynamique positive du titre, justifiant une décision d'**Achat**.</w:t>
      </w:r>
    </w:p>
    <w:p>
      <w:pPr>
        <w:spacing w:after="120" w:line="276" w:lineRule="auto"/>
      </w:pPr>
      <w:r>
        <w:t>**RSI** : Le RSI s'établit à 67,67, en zone neutre-haute mais sous le seuil de surachat de 70. Il indique que la pression acheteuse reste soutenue sans être excessive, laissant une marge de progression avant une éventuelle correction. La décision est **Neutre**.</w:t>
      </w:r>
    </w:p>
    <w:p>
      <w:pPr>
        <w:spacing w:after="120" w:line="276" w:lineRule="auto"/>
      </w:pPr>
      <w:r>
        <w:t>**Stochastique** : Le %K (100,0) et le %D (99,66) sont à des niveaux extrêmes de surachat, signalant une possible exhaustion du mouvement haussier à court terme. Ce croisement en zone de surachat est un signal de **Vente** préventif, suggérant un risque de repli technique imminent.</w:t>
      </w:r>
    </w:p>
    <w:p>
      <w:pPr>
        <w:spacing w:after="120" w:line="276" w:lineRule="auto"/>
      </w:pPr>
      <w:r>
        <w:t>**Conclusion technique** : La tendance de fond est résolument haussière, portée par les moyennes mobiles et le MACD. Cependant, les oscillateurs de court terme (Stochastique, proximité de la borne de Bollinger) indiquent des conditions de surachat qui pourraient déclencher une consolidation ou un léger repli technique dans les prochaines séances. Le scénario le plus probable est une pause dans la tendance haussière avant une reprise.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TTLC (entreprise de distribution) font état d'un chiffre d'affaires de 588,7 milliards FCFA, en repli de 5% par rapport à 2024 (621,0 milliards FCFA), mais avec une amélioration notable de la rentabilité opérationnelle : l'EBE progresse de 12% à 22,35 milliards FCFA et le résultat d'exploitation bondit de 18% à 12,33 milliards FCFA. Le résultat net s'établit à 9,09 milliards FCFA (-3%), avec une marge nette stable à 1,54%. Le ROE reste excellent à 25,1%, tandis que le ROA est de 4,8%. La structure financière montre un BFR négatif de -9,66 milliards FCFA, favorable pour la trésorerie, mais une trésorerie nette négative de -21,9 milliards FCFA et un ratio d'endettement élevé (90,2%). Le rapport annuel 2025 (analysé le 02/06/2026) souligne une politique de dividende généreuse (10 milliards FCFA, payout &gt;100%) mais alerte sur la dégradation de la trésorerie. Les rapports trimestriels 2025 (S1 et T3) confirmaient une baisse du CA (-7,1% et -5,7%) et du résultat net (-25,5% et -30,2%), principalement due à un effet de base défavorable. Cependant, le rapport T1 2026 (analysé en 2026) montre une reprise : CA en hausse de 4,3% à 154,4 milliards FCFA et résultat net en progression de 5,5% à 2,33 milliards FCFA, laissant présager un exercice 2026 en amélioration. La société maintient ses investissements dans les segments porteurs (GPL, lubrifiants, stations-service).</w:t>
      </w:r>
    </w:p>
    <w:p>
      <w:pPr>
        <w:spacing w:after="120" w:line="276" w:lineRule="auto"/>
      </w:pPr>
      <w:r>
        <w:t>---</w:t>
      </w:r>
    </w:p>
    <w:p>
      <w:pPr>
        <w:spacing w:after="120" w:line="276" w:lineRule="auto"/>
      </w:pPr>
      <w:r>
        <w:t>### PARTIE 4 : CONCLUSION D'INVESTISSEMENT</w:t>
      </w:r>
    </w:p>
    <w:p>
      <w:pPr>
        <w:spacing w:after="120" w:line="276" w:lineRule="auto"/>
      </w:pPr>
      <w:r>
        <w:t>La valorisation de TTLC (PER 23,6x, P/B 5,91x) est exigeante, intégrant une prime de qualité qui semble justifiée par un ROE de 25% et une amélioration opérationnelle continue. Le comportement du cours sur 100 jours (+17,44%) est très favorable, porté par une volatilité élevée (39,8%) et une distribution leptokurtique qui appelle à la vigilance sur les mouvements extrêmes. Les signaux techniques sont globalement positifs (MM, MACD) mais montrent des signes de surachat à court terme (Stochastique, RSI proche de 70), suggérant une consolidation probable. Les fondamentaux, après un exercice 2025 en repli, montrent des signes de redressement au T1 2026 (+4,3% CA, +5,5% RN), confirmant la solidité du modèle économique. Les prédictions IA (3 366 FCFA à J+1, 3 306 FCFA à J+10) anticipent un léger repli technique, en cohérence avec les signaux de surachat. **Recommandation finale : CONSERVER** avec un niveau de confiance **Moyen** et un risque global **Élevé** (volatilité, endettement, valorisation). L'horizon d'investissement optimal est le **moyen terme (3-12 mois)**, en attendant une correction technique pour renforcer la position, ou une confirmation de la reprise fondamentale pour justifier la prime de valorisation actuelle.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125.42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2,757 titres</w:t>
            </w:r>
          </w:p>
        </w:tc>
        <w:tc>
          <w:tcPr>
            <w:tcW w:type="dxa" w:w="2268"/>
            <w:shd w:fill="FFF2CC" w:val="clear"/>
          </w:tcPr>
          <w:p>
            <w:r>
              <w:rPr>
                <w:b/>
                <w:color w:val="503200"/>
                <w:sz w:val="16"/>
              </w:rPr>
              <w:t xml:space="preserve">Cours actuel : </w:t>
            </w:r>
            <w:r>
              <w:rPr>
                <w:color w:val="000000"/>
                <w:sz w:val="17"/>
              </w:rPr>
              <w:t>3,850 FCFA</w:t>
            </w:r>
          </w:p>
          <w:p>
            <w:r>
              <w:rPr>
                <w:b/>
                <w:color w:val="503200"/>
                <w:sz w:val="16"/>
              </w:rPr>
              <w:t xml:space="preserve">Var. 100 jours : </w:t>
            </w:r>
            <w:r>
              <w:rPr>
                <w:b/>
                <w:color w:val="007800"/>
                <w:sz w:val="17"/>
              </w:rPr>
              <w:t>+14.93%</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10.53% (Moyenne) — μ=3,493 FCFA, σ=368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β=0.7498 (Défensif) — Cov=0.000025, Var(idx)=0.000034, ρ=0.145,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2,757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σ_j=3.01%/j (Modérée) — Vol. annualisée≈47.8%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2026-08-27</w:t>
            </w:r>
          </w:p>
        </w:tc>
        <w:tc>
          <w:tcPr>
            <w:tcW w:type="dxa" w:w="1440"/>
            <w:shd w:fill="FFDCE0" w:val="clear"/>
          </w:tcPr>
          <w:p>
            <w:r>
              <w:rPr>
                <w:sz w:val="17"/>
              </w:rPr>
              <w:t>3,340</w:t>
            </w:r>
          </w:p>
        </w:tc>
        <w:tc>
          <w:tcPr>
            <w:tcW w:type="dxa" w:w="1440"/>
            <w:shd w:fill="FFDCE0" w:val="clear"/>
          </w:tcPr>
          <w:p>
            <w:r>
              <w:rPr>
                <w:b/>
                <w:sz w:val="17"/>
              </w:rPr>
              <w:t>3,621</w:t>
            </w:r>
          </w:p>
        </w:tc>
        <w:tc>
          <w:tcPr>
            <w:tcW w:type="dxa" w:w="1440"/>
            <w:shd w:fill="FFDCE0" w:val="clear"/>
          </w:tcPr>
          <w:p>
            <w:r>
              <w:rPr>
                <w:sz w:val="17"/>
              </w:rPr>
              <w:t>3,902</w:t>
            </w:r>
          </w:p>
        </w:tc>
        <w:tc>
          <w:tcPr>
            <w:tcW w:type="dxa" w:w="1440"/>
            <w:shd w:fill="FFDCE0" w:val="clear"/>
          </w:tcPr>
          <w:p>
            <w:r>
              <w:rPr>
                <w:b/>
                <w:color w:val="C00000"/>
                <w:sz w:val="17"/>
              </w:rPr>
              <w:t>-5.9%</w:t>
            </w:r>
          </w:p>
        </w:tc>
      </w:tr>
      <w:tr>
        <w:tc>
          <w:tcPr>
            <w:tcW w:type="dxa" w:w="1440"/>
            <w:shd w:fill="FFDCE0" w:val="clear"/>
          </w:tcPr>
          <w:p>
            <w:r>
              <w:rPr>
                <w:sz w:val="17"/>
              </w:rPr>
              <w:t>J+2  ⭐</w:t>
            </w:r>
          </w:p>
        </w:tc>
        <w:tc>
          <w:tcPr>
            <w:tcW w:type="dxa" w:w="1440"/>
            <w:shd w:fill="FFDCE0" w:val="clear"/>
          </w:tcPr>
          <w:p>
            <w:r>
              <w:rPr>
                <w:sz w:val="17"/>
              </w:rPr>
              <w:t>2026-08-28</w:t>
            </w:r>
          </w:p>
        </w:tc>
        <w:tc>
          <w:tcPr>
            <w:tcW w:type="dxa" w:w="1440"/>
            <w:shd w:fill="FFDCE0" w:val="clear"/>
          </w:tcPr>
          <w:p>
            <w:r>
              <w:rPr>
                <w:sz w:val="17"/>
              </w:rPr>
              <w:t>3,222</w:t>
            </w:r>
          </w:p>
        </w:tc>
        <w:tc>
          <w:tcPr>
            <w:tcW w:type="dxa" w:w="1440"/>
            <w:shd w:fill="FFDCE0" w:val="clear"/>
          </w:tcPr>
          <w:p>
            <w:r>
              <w:rPr>
                <w:b/>
                <w:sz w:val="17"/>
              </w:rPr>
              <w:t>3,561</w:t>
            </w:r>
          </w:p>
        </w:tc>
        <w:tc>
          <w:tcPr>
            <w:tcW w:type="dxa" w:w="1440"/>
            <w:shd w:fill="FFDCE0" w:val="clear"/>
          </w:tcPr>
          <w:p>
            <w:r>
              <w:rPr>
                <w:sz w:val="17"/>
              </w:rPr>
              <w:t>3,900</w:t>
            </w:r>
          </w:p>
        </w:tc>
        <w:tc>
          <w:tcPr>
            <w:tcW w:type="dxa" w:w="1440"/>
            <w:shd w:fill="FFDCE0" w:val="clear"/>
          </w:tcPr>
          <w:p>
            <w:r>
              <w:rPr>
                <w:b/>
                <w:color w:val="C00000"/>
                <w:sz w:val="17"/>
              </w:rPr>
              <w:t>-7.5%</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3,125</w:t>
            </w:r>
          </w:p>
        </w:tc>
        <w:tc>
          <w:tcPr>
            <w:tcW w:type="dxa" w:w="1440"/>
            <w:shd w:fill="FFDCE0" w:val="clear"/>
          </w:tcPr>
          <w:p>
            <w:r>
              <w:rPr>
                <w:b/>
                <w:sz w:val="17"/>
              </w:rPr>
              <w:t>3,511</w:t>
            </w:r>
          </w:p>
        </w:tc>
        <w:tc>
          <w:tcPr>
            <w:tcW w:type="dxa" w:w="1440"/>
            <w:shd w:fill="FFDCE0" w:val="clear"/>
          </w:tcPr>
          <w:p>
            <w:r>
              <w:rPr>
                <w:sz w:val="17"/>
              </w:rPr>
              <w:t>3,897</w:t>
            </w:r>
          </w:p>
        </w:tc>
        <w:tc>
          <w:tcPr>
            <w:tcW w:type="dxa" w:w="1440"/>
            <w:shd w:fill="FFDCE0" w:val="clear"/>
          </w:tcPr>
          <w:p>
            <w:r>
              <w:rPr>
                <w:b/>
                <w:color w:val="C00000"/>
                <w:sz w:val="17"/>
              </w:rPr>
              <w:t>-8.8%</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3,040</w:t>
            </w:r>
          </w:p>
        </w:tc>
        <w:tc>
          <w:tcPr>
            <w:tcW w:type="dxa" w:w="1440"/>
            <w:shd w:fill="FFDCE0" w:val="clear"/>
          </w:tcPr>
          <w:p>
            <w:r>
              <w:rPr>
                <w:b/>
                <w:sz w:val="17"/>
              </w:rPr>
              <w:t>3,466</w:t>
            </w:r>
          </w:p>
        </w:tc>
        <w:tc>
          <w:tcPr>
            <w:tcW w:type="dxa" w:w="1440"/>
            <w:shd w:fill="FFDCE0" w:val="clear"/>
          </w:tcPr>
          <w:p>
            <w:r>
              <w:rPr>
                <w:sz w:val="17"/>
              </w:rPr>
              <w:t>3,892</w:t>
            </w:r>
          </w:p>
        </w:tc>
        <w:tc>
          <w:tcPr>
            <w:tcW w:type="dxa" w:w="1440"/>
            <w:shd w:fill="FFDCE0" w:val="clear"/>
          </w:tcPr>
          <w:p>
            <w:r>
              <w:rPr>
                <w:b/>
                <w:color w:val="C00000"/>
                <w:sz w:val="17"/>
              </w:rPr>
              <w:t>-10.0%</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2,964</w:t>
            </w:r>
          </w:p>
        </w:tc>
        <w:tc>
          <w:tcPr>
            <w:tcW w:type="dxa" w:w="1440"/>
            <w:shd w:fill="FFDCE0" w:val="clear"/>
          </w:tcPr>
          <w:p>
            <w:r>
              <w:rPr>
                <w:b/>
                <w:sz w:val="17"/>
              </w:rPr>
              <w:t>3,425</w:t>
            </w:r>
          </w:p>
        </w:tc>
        <w:tc>
          <w:tcPr>
            <w:tcW w:type="dxa" w:w="1440"/>
            <w:shd w:fill="FFDCE0" w:val="clear"/>
          </w:tcPr>
          <w:p>
            <w:r>
              <w:rPr>
                <w:sz w:val="17"/>
              </w:rPr>
              <w:t>3,886</w:t>
            </w:r>
          </w:p>
        </w:tc>
        <w:tc>
          <w:tcPr>
            <w:tcW w:type="dxa" w:w="1440"/>
            <w:shd w:fill="FFDCE0" w:val="clear"/>
          </w:tcPr>
          <w:p>
            <w:r>
              <w:rPr>
                <w:b/>
                <w:color w:val="C00000"/>
                <w:sz w:val="17"/>
              </w:rPr>
              <w:t>-11.0%</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2,894</w:t>
            </w:r>
          </w:p>
        </w:tc>
        <w:tc>
          <w:tcPr>
            <w:tcW w:type="dxa" w:w="1440"/>
            <w:shd w:fill="FFDCE0" w:val="clear"/>
          </w:tcPr>
          <w:p>
            <w:r>
              <w:rPr>
                <w:b/>
                <w:sz w:val="17"/>
              </w:rPr>
              <w:t>3,386</w:t>
            </w:r>
          </w:p>
        </w:tc>
        <w:tc>
          <w:tcPr>
            <w:tcW w:type="dxa" w:w="1440"/>
            <w:shd w:fill="FFDCE0" w:val="clear"/>
          </w:tcPr>
          <w:p>
            <w:r>
              <w:rPr>
                <w:sz w:val="17"/>
              </w:rPr>
              <w:t>3,878</w:t>
            </w:r>
          </w:p>
        </w:tc>
        <w:tc>
          <w:tcPr>
            <w:tcW w:type="dxa" w:w="1440"/>
            <w:shd w:fill="FFDCE0" w:val="clear"/>
          </w:tcPr>
          <w:p>
            <w:r>
              <w:rPr>
                <w:b/>
                <w:color w:val="C00000"/>
                <w:sz w:val="17"/>
              </w:rPr>
              <w:t>-12.1%</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2,829</w:t>
            </w:r>
          </w:p>
        </w:tc>
        <w:tc>
          <w:tcPr>
            <w:tcW w:type="dxa" w:w="1440"/>
            <w:shd w:fill="FFDCE0" w:val="clear"/>
          </w:tcPr>
          <w:p>
            <w:r>
              <w:rPr>
                <w:b/>
                <w:sz w:val="17"/>
              </w:rPr>
              <w:t>3,350</w:t>
            </w:r>
          </w:p>
        </w:tc>
        <w:tc>
          <w:tcPr>
            <w:tcW w:type="dxa" w:w="1440"/>
            <w:shd w:fill="FFDCE0" w:val="clear"/>
          </w:tcPr>
          <w:p>
            <w:r>
              <w:rPr>
                <w:sz w:val="17"/>
              </w:rPr>
              <w:t>3,870</w:t>
            </w:r>
          </w:p>
        </w:tc>
        <w:tc>
          <w:tcPr>
            <w:tcW w:type="dxa" w:w="1440"/>
            <w:shd w:fill="FFDCE0" w:val="clear"/>
          </w:tcPr>
          <w:p>
            <w:r>
              <w:rPr>
                <w:b/>
                <w:color w:val="C00000"/>
                <w:sz w:val="17"/>
              </w:rPr>
              <w:t>-13.0%</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2,769</w:t>
            </w:r>
          </w:p>
        </w:tc>
        <w:tc>
          <w:tcPr>
            <w:tcW w:type="dxa" w:w="1440"/>
            <w:shd w:fill="FFDCE0" w:val="clear"/>
          </w:tcPr>
          <w:p>
            <w:r>
              <w:rPr>
                <w:b/>
                <w:sz w:val="17"/>
              </w:rPr>
              <w:t>3,316</w:t>
            </w:r>
          </w:p>
        </w:tc>
        <w:tc>
          <w:tcPr>
            <w:tcW w:type="dxa" w:w="1440"/>
            <w:shd w:fill="FFDCE0" w:val="clear"/>
          </w:tcPr>
          <w:p>
            <w:r>
              <w:rPr>
                <w:sz w:val="17"/>
              </w:rPr>
              <w:t>3,862</w:t>
            </w:r>
          </w:p>
        </w:tc>
        <w:tc>
          <w:tcPr>
            <w:tcW w:type="dxa" w:w="1440"/>
            <w:shd w:fill="FFDCE0" w:val="clear"/>
          </w:tcPr>
          <w:p>
            <w:r>
              <w:rPr>
                <w:b/>
                <w:color w:val="C00000"/>
                <w:sz w:val="17"/>
              </w:rPr>
              <w:t>-13.9%</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2,713</w:t>
            </w:r>
          </w:p>
        </w:tc>
        <w:tc>
          <w:tcPr>
            <w:tcW w:type="dxa" w:w="1440"/>
            <w:shd w:fill="FFDCE0" w:val="clear"/>
          </w:tcPr>
          <w:p>
            <w:r>
              <w:rPr>
                <w:b/>
                <w:sz w:val="17"/>
              </w:rPr>
              <w:t>3,284</w:t>
            </w:r>
          </w:p>
        </w:tc>
        <w:tc>
          <w:tcPr>
            <w:tcW w:type="dxa" w:w="1440"/>
            <w:shd w:fill="FFDCE0" w:val="clear"/>
          </w:tcPr>
          <w:p>
            <w:r>
              <w:rPr>
                <w:sz w:val="17"/>
              </w:rPr>
              <w:t>3,854</w:t>
            </w:r>
          </w:p>
        </w:tc>
        <w:tc>
          <w:tcPr>
            <w:tcW w:type="dxa" w:w="1440"/>
            <w:shd w:fill="FFDCE0" w:val="clear"/>
          </w:tcPr>
          <w:p>
            <w:r>
              <w:rPr>
                <w:b/>
                <w:color w:val="C00000"/>
                <w:sz w:val="17"/>
              </w:rPr>
              <w:t>-14.7%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TTLS s'établit à 125,42 milliards FCFA, ce qui positionne la société parmi les valeurs moyennes à grandes capitalisations de la BRVM, reflétant son statut de leader sur le marché sénégalais des produits pétroliers. Le BPA de 208 FCFA indique que chaque action génère un bénéfice modeste, cohérent avec la nature de l'activité de distribution. Le PER de 18,5x est nettement supérieur à la moyenne historique de la BRVM (8-12x), signalant que les investisseurs acceptent de payer une prime substantielle, probablement justifiée par la solidité de la marque et la position dominante de l'entreprise. Le P/B de 4,44x confirme cette valorisation exigeante, le marché valorisant le titre bien au-delà de sa valeur comptable, ce qui reflète des attentes de rendement élevées sur les capitaux propres. Enfin, l'EV/EBITDA de 7,9x, dans la fourchette raisonnable de 5-10x, tempère légèrement cette lecture en indiquant que la valeur d'entreprise reste proportionnée à la capacité opérationnelle de génération de cash-flow.</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TTLS affiche une progression remarquable de +14,93%, bien que la dernière séance ait enregistré un repli de -1,28% à 3 850 FCFA. Le titre a évolué dans une fourchette large de 2 845 à 4 500 FCFA, démontrant une amplitude de trading significative de plus de 58%, ce qui témoigne d'une forte activité et d'un intérêt marqué des investisseurs. La moyenne du cours sur la période (3 493 FCFA) est légèrement supérieure à la médiane (3 452 FCFA), indiquant une distribution asymétrique positive confirmée par le skewness de 0,624, avec davantage de journées sous la moyenne mais des mouvements haussiers plus prononcés. L'écart-type de 370 FCFA, représentant un coefficient de variation de 10,6%, révèle une dispersion modérée des prix autour de la moyenne. Le kurtosis de -0,047, proche de zéro, indique une distribution mésokurtique sans risque de pics extrêmes. La volatilité annualisée de 47,8% classe le titre dans la catégorie des valeurs à forte volatilité, ce qui implique un risque élevé mais aussi un potentiel de rendement substantiel pour les investisseurs aguerris.</w:t>
      </w:r>
    </w:p>
    <w:p>
      <w:pPr>
        <w:spacing w:after="120" w:line="276" w:lineRule="auto" w:before="240"/>
      </w:pPr>
      <w:r>
        <w:rPr>
          <w:b/>
          <w:color w:val="003366"/>
          <w:sz w:val="24"/>
        </w:rPr>
        <w:t>**PARTIE 2 : ANALYSE TECHNIQUE DÉTAILLÉE**</w:t>
      </w:r>
    </w:p>
    <w:p>
      <w:pPr>
        <w:spacing w:after="120" w:line="276" w:lineRule="auto"/>
      </w:pPr>
      <w:r>
        <w:t>**Moyennes Mobiles** : Le cours actuel de 3 850 FCFA se positionne au-dessus de la MM20 (3 673,25 FCFA) mais en dessous de la MM50 (3 775,4 FCFA), créant une configuration ambiguë. La proximité du prix avec la MM50 suggère une zone de résistance importante, et le fait que le cours n'ait pas réussi à se maintenir au-dessus de cette moyenne mobile justifie la décision de vente, indiquant un possible retournement de tendance à moyen terme.</w:t>
      </w:r>
    </w:p>
    <w:p>
      <w:pPr>
        <w:spacing w:after="120" w:line="276" w:lineRule="auto"/>
      </w:pPr>
      <w:r>
        <w:t>**Bandes de Bollinger** : Le prix se situe à 3 850 FCFA, entre la borne supérieure (3 916,57 FCFA) et la borne inférieure (3 429,93 FCFA), plus près de la borne haute. Cette position indique une pression acheteuse encore présente mais avec une volatilité qui se resserre, comme en témoigne l'écart entre les bornes. La décision neutre reflète l'absence de signal directionnel fort, le marché semblant attendre une direction claire.</w:t>
      </w:r>
    </w:p>
    <w:p>
      <w:pPr>
        <w:spacing w:after="120" w:line="276" w:lineRule="auto"/>
      </w:pPr>
      <w:r>
        <w:t>**MACD** : La valeur du MACD à 18,564 est nettement supérieure au signal à -17,834, créant un croisement haussier significatif. Cette divergence positive indique un momentum haussier en cours de formation, avec une dynamique qui s'accélère. La décision d'achat se justifie par cette configuration qui suggère que la pression acheteuse prend le dessus sur la pression vendeuse à moyen terme.</w:t>
      </w:r>
    </w:p>
    <w:p>
      <w:pPr>
        <w:spacing w:after="120" w:line="276" w:lineRule="auto"/>
      </w:pPr>
      <w:r>
        <w:t>**RSI** : Avec une valeur de 57,96, le RSI se situe dans la zone neutre (30-70), indiquant un équilibre relatif entre les forces acheteuses et vendeuses. Cette valeur, proche de la zone de surachat sans y être, suggère qu'il reste de la marge avant une potentielle correction. La décision neutre est cohérente avec cette lecture, le marché n'étant ni survendu ni suracheté.</w:t>
      </w:r>
    </w:p>
    <w:p>
      <w:pPr>
        <w:spacing w:after="120" w:line="276" w:lineRule="auto"/>
      </w:pPr>
      <w:r>
        <w:t>**Stochastique** : Le %K à 75,27 et le %D à 87,10 indiquent que le titre est en zone de surachat, avec un %K qui commence à passer sous le %D, signalant un possible retournement baissier à court terme. La décision neutre reflète cette ambiguïté : le titre est encore dans une dynamique positive mais les signaux de faiblesse commencent à apparaître.</w:t>
      </w:r>
    </w:p>
    <w:p>
      <w:pPr>
        <w:spacing w:after="120" w:line="276" w:lineRule="auto"/>
      </w:pPr>
      <w:r>
        <w:t>**Conclusion technique** : La configuration technique de TTLS est contrastée, avec des signaux mitigés entre le MACD haussier et les moyennes mobiles baissières. Le RSI neutre et les bandes de Bollinger sans direction claire suggèrent une phase de consolidation après la forte hausse récente. La prudence est de mise, le titre semblant chercher une direction après un mouvement haussier significatif.</w:t>
      </w:r>
    </w:p>
    <w:p>
      <w:pPr>
        <w:spacing w:after="120" w:line="276" w:lineRule="auto" w:before="240"/>
      </w:pPr>
      <w:r>
        <w:rPr>
          <w:b/>
          <w:color w:val="003366"/>
          <w:sz w:val="24"/>
        </w:rPr>
        <w:t>**PARTIE 3 : ANALYSE FONDAMENTALE (SECTION CRITIQUE)**</w:t>
      </w:r>
    </w:p>
    <w:p>
      <w:pPr>
        <w:spacing w:after="120" w:line="276" w:lineRule="auto"/>
      </w:pPr>
      <w:r>
        <w:t>En 2025, TTLS a réalisé un chiffre d'affaires de 455,209 milliards FCFA, en baisse de 6,1% par rapport à 2024 (484,945 milliards FCFA), contraction principalement attribuée à l'arrêt stratégique de la commercialisation du fuel lourd. Le résultat net s'établit à 6,779 milliards FCFA, en repli de 5,1% par rapport à 2024 (7,140 milliards FCFA), avec une marge nette de 1,49% typique du secteur de distribution pétrolière. La rentabilité des fonds propres (ROE) de 24,01% reste excellente, nettement au-dessus du seuil de 15% considéré comme satisfaisant, tandis que le ROA de 3,95% reflète une utilisation modérée des actifs. La structure financière montre une autonomie financière de 16,44%, inférieure au seuil de 30% considéré comme sain, avec un ratio d'endettement de 52,16%. Le BFR négatif de -36,899 milliards FCFA constitue un point très positif, indiquant que l'entreprise finance son cycle d'exploitation grâce aux délais fournisseurs (97,76 jours) nettement supérieurs aux délais clients (47,43 jours). Le rapport T1 2026 (daté de 2026) montre une résilience remarquable avec un résultat net en hausse de 5% à 1,585 milliard FCFA malgré une baisse du CA de 10% à 99,9 milliards FCFA, grâce à l'amélioration des marges sur les lubrifiants et une progression de 28% du résultat d'exploitation. Sur la base de ce trimestre, on estime que l'exercice 2026 pourrait voir le résultat net se stabiliser ou légèrement progresser, entre 6,8 et 7,2 milliards FCFA, si la tendance se maintient. La trésorerie s'est considérablement améliorée, passant de 8,4 milliards FCFA en 2024 à 20,567 milliards FCFA en 2025, avec un free cash-flow de 17,483 milliards FCFA. Les perspectives de croissance liées à la mise en production du champ Sangomar et du GNL (GTA) offrent des débouchés significatifs pour les activités export et GPL, tandis que le réseau de 140 stations-service constitue un avantage concurrentiel durable.</w:t>
      </w:r>
    </w:p>
    <w:p>
      <w:pPr>
        <w:spacing w:after="120" w:line="276" w:lineRule="auto" w:before="240"/>
      </w:pPr>
      <w:r>
        <w:rPr>
          <w:b/>
          <w:color w:val="003366"/>
          <w:sz w:val="24"/>
        </w:rPr>
        <w:t>**PARTIE 4 : CONCLUSION D'INVESTISSEMENT**</w:t>
      </w:r>
    </w:p>
    <w:p>
      <w:pPr>
        <w:spacing w:after="120" w:line="276" w:lineRule="auto"/>
      </w:pPr>
      <w:r>
        <w:t>La synthèse globale fait ressortir une situation contrastée pour TTLS. La valorisation (PER de 18,5x et P/B de 4,44x) apparaît exigeante par rapport aux moyennes de la BRVM, mais l'EV/EBITDA de 7,9x tempère cette lecture. Le comportement du cours sur 100 jours (+14,93%) est positif avec une volatilité élevée de 47,8%, indiquant un intérêt marqué mais aussi un risque accru. Les signaux techniques sont mitigés, avec un MACD haussier contredit par les moyennes mobiles baissières et un stochastique en zone de surachat. Les fondamentaux restent solides avec un ROE de 24%, un BFR négatif favorable et une trésorerie en forte amélioration, malgré une baisse du chiffre d'affaires liée à des choix stratégiques assumés. Les prédictions IA pour les 10 prochains jours (3 621 à 3 425 FCFA) suggèrent une correction baissière d'environ 11% par rapport au cours actuel, ce qui contredit les signaux techniques haussiers à court terme mais pourrait offrir un point d'entrée plus attractif. La convergence entre la valorisation exigeante, les signaux techniques mitigés et les prédictions baissières conduit à une recommandation de **CONSERVER** avec un niveau de confiance **Moyen** et un risque global **Élevé** compte tenu de la volatilité. L'horizon d'investissement optimal serait le **moyen terme (3-12 mois)**, en attendant une clarification sur la politique de dividende et la confirmation de la reprise des volumes, tout en surveillant l'évolution des prix réglementés des carburants au Sénégal.</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479.37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23 titres</w:t>
            </w:r>
          </w:p>
        </w:tc>
        <w:tc>
          <w:tcPr>
            <w:tcW w:type="dxa" w:w="2268"/>
            <w:shd w:fill="FFF2CC" w:val="clear"/>
          </w:tcPr>
          <w:p>
            <w:r>
              <w:rPr>
                <w:b/>
                <w:color w:val="503200"/>
                <w:sz w:val="16"/>
              </w:rPr>
              <w:t xml:space="preserve">Cours actuel : </w:t>
            </w:r>
            <w:r>
              <w:rPr>
                <w:color w:val="000000"/>
                <w:sz w:val="17"/>
              </w:rPr>
              <w:t>52,200 FCFA</w:t>
            </w:r>
          </w:p>
          <w:p>
            <w:r>
              <w:rPr>
                <w:b/>
                <w:color w:val="503200"/>
                <w:sz w:val="16"/>
              </w:rPr>
              <w:t xml:space="preserve">Var. 100 jours : </w:t>
            </w:r>
            <w:r>
              <w:rPr>
                <w:b/>
                <w:color w:val="B40000"/>
                <w:sz w:val="17"/>
              </w:rPr>
              <w:t>-2.70%</w:t>
            </w:r>
          </w:p>
          <w:p>
            <w:r>
              <w:rPr>
                <w:b/>
                <w:color w:val="503200"/>
                <w:sz w:val="16"/>
              </w:rPr>
              <w:t xml:space="preserve">Plus haut 100j : </w:t>
            </w:r>
            <w:r>
              <w:rPr>
                <w:color w:val="000000"/>
                <w:sz w:val="17"/>
              </w:rPr>
              <w:t>69,005 FCFA</w:t>
            </w:r>
          </w:p>
          <w:p>
            <w:r>
              <w:rPr>
                <w:b/>
                <w:color w:val="503200"/>
                <w:sz w:val="16"/>
              </w:rPr>
              <w:t xml:space="preserve">Plus bas 100j : </w:t>
            </w:r>
            <w:r>
              <w:rPr>
                <w:color w:val="000000"/>
                <w:sz w:val="17"/>
              </w:rPr>
              <w:t>49,630 FCFA</w:t>
            </w:r>
          </w:p>
          <w:p>
            <w:r>
              <w:rPr>
                <w:b/>
                <w:color w:val="503200"/>
                <w:sz w:val="16"/>
              </w:rPr>
              <w:t xml:space="preserve">Volatilité ann. : </w:t>
            </w:r>
            <w:r>
              <w:rPr>
                <w:color w:val="000000"/>
                <w:sz w:val="17"/>
              </w:rPr>
              <w:t>64.0%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26.8/100 → Moyen</w:t>
      </w:r>
    </w:p>
    <w:p>
      <w:pPr>
        <w:spacing w:before="40" w:after="80"/>
      </w:pPr>
      <w:r>
        <w:rPr>
          <w:rFonts w:ascii="Courier New" w:hAnsi="Courier New"/>
          <w:color w:val="825A00"/>
          <w:sz w:val="18"/>
        </w:rPr>
        <w:t>█████░░░░░░░░░░░░░░░  26.8/100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6.35% (Moyenne) — μ=56,643 FCFA, σ=3,594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β=1.0353 (Neutre (suit le marché)) — Cov=0.000036, Var(idx)=0.000034, ρ=0.157,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23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σ_j=4.03%/j (Modérée) — Vol. annualisée≈64.0%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2026-08-27</w:t>
            </w:r>
          </w:p>
        </w:tc>
        <w:tc>
          <w:tcPr>
            <w:tcW w:type="dxa" w:w="1440"/>
            <w:shd w:fill="C6EFCE" w:val="clear"/>
          </w:tcPr>
          <w:p>
            <w:r>
              <w:rPr>
                <w:sz w:val="17"/>
              </w:rPr>
              <w:t>49,276</w:t>
            </w:r>
          </w:p>
        </w:tc>
        <w:tc>
          <w:tcPr>
            <w:tcW w:type="dxa" w:w="1440"/>
            <w:shd w:fill="C6EFCE" w:val="clear"/>
          </w:tcPr>
          <w:p>
            <w:r>
              <w:rPr>
                <w:b/>
                <w:sz w:val="17"/>
              </w:rPr>
              <w:t>54,686</w:t>
            </w:r>
          </w:p>
        </w:tc>
        <w:tc>
          <w:tcPr>
            <w:tcW w:type="dxa" w:w="1440"/>
            <w:shd w:fill="C6EFCE" w:val="clear"/>
          </w:tcPr>
          <w:p>
            <w:r>
              <w:rPr>
                <w:sz w:val="17"/>
              </w:rPr>
              <w:t>60,097</w:t>
            </w:r>
          </w:p>
        </w:tc>
        <w:tc>
          <w:tcPr>
            <w:tcW w:type="dxa" w:w="1440"/>
            <w:shd w:fill="C6EFCE" w:val="clear"/>
          </w:tcPr>
          <w:p>
            <w:r>
              <w:rPr>
                <w:b/>
                <w:color w:val="008000"/>
                <w:sz w:val="17"/>
              </w:rPr>
              <w:t>+4.8%</w:t>
            </w:r>
          </w:p>
        </w:tc>
      </w:tr>
      <w:tr>
        <w:tc>
          <w:tcPr>
            <w:tcW w:type="dxa" w:w="1440"/>
            <w:shd w:fill="C6EFCE" w:val="clear"/>
          </w:tcPr>
          <w:p>
            <w:r>
              <w:rPr>
                <w:sz w:val="17"/>
              </w:rPr>
              <w:t>J+2  ⭐</w:t>
            </w:r>
          </w:p>
        </w:tc>
        <w:tc>
          <w:tcPr>
            <w:tcW w:type="dxa" w:w="1440"/>
            <w:shd w:fill="C6EFCE" w:val="clear"/>
          </w:tcPr>
          <w:p>
            <w:r>
              <w:rPr>
                <w:sz w:val="17"/>
              </w:rPr>
              <w:t>2026-08-28</w:t>
            </w:r>
          </w:p>
        </w:tc>
        <w:tc>
          <w:tcPr>
            <w:tcW w:type="dxa" w:w="1440"/>
            <w:shd w:fill="C6EFCE" w:val="clear"/>
          </w:tcPr>
          <w:p>
            <w:r>
              <w:rPr>
                <w:sz w:val="17"/>
              </w:rPr>
              <w:t>48,938</w:t>
            </w:r>
          </w:p>
        </w:tc>
        <w:tc>
          <w:tcPr>
            <w:tcW w:type="dxa" w:w="1440"/>
            <w:shd w:fill="C6EFCE" w:val="clear"/>
          </w:tcPr>
          <w:p>
            <w:r>
              <w:rPr>
                <w:b/>
                <w:sz w:val="17"/>
              </w:rPr>
              <w:t>55,250</w:t>
            </w:r>
          </w:p>
        </w:tc>
        <w:tc>
          <w:tcPr>
            <w:tcW w:type="dxa" w:w="1440"/>
            <w:shd w:fill="C6EFCE" w:val="clear"/>
          </w:tcPr>
          <w:p>
            <w:r>
              <w:rPr>
                <w:sz w:val="17"/>
              </w:rPr>
              <w:t>61,561</w:t>
            </w:r>
          </w:p>
        </w:tc>
        <w:tc>
          <w:tcPr>
            <w:tcW w:type="dxa" w:w="1440"/>
            <w:shd w:fill="C6EFCE" w:val="clear"/>
          </w:tcPr>
          <w:p>
            <w:r>
              <w:rPr>
                <w:b/>
                <w:color w:val="008000"/>
                <w:sz w:val="17"/>
              </w:rPr>
              <w:t>+5.8%</w:t>
            </w:r>
          </w:p>
        </w:tc>
      </w:tr>
      <w:tr>
        <w:tc>
          <w:tcPr>
            <w:tcW w:type="dxa" w:w="1440"/>
            <w:shd w:fill="C6EFCE" w:val="clear"/>
          </w:tcPr>
          <w:p>
            <w:r>
              <w:rPr>
                <w:sz w:val="17"/>
              </w:rPr>
              <w:t>J+3  ⭐</w:t>
            </w:r>
          </w:p>
        </w:tc>
        <w:tc>
          <w:tcPr>
            <w:tcW w:type="dxa" w:w="1440"/>
            <w:shd w:fill="C6EFCE" w:val="clear"/>
          </w:tcPr>
          <w:p>
            <w:r>
              <w:rPr>
                <w:sz w:val="17"/>
              </w:rPr>
              <w:t>2026-08-31</w:t>
            </w:r>
          </w:p>
        </w:tc>
        <w:tc>
          <w:tcPr>
            <w:tcW w:type="dxa" w:w="1440"/>
            <w:shd w:fill="C6EFCE" w:val="clear"/>
          </w:tcPr>
          <w:p>
            <w:r>
              <w:rPr>
                <w:sz w:val="17"/>
              </w:rPr>
              <w:t>48,715</w:t>
            </w:r>
          </w:p>
        </w:tc>
        <w:tc>
          <w:tcPr>
            <w:tcW w:type="dxa" w:w="1440"/>
            <w:shd w:fill="C6EFCE" w:val="clear"/>
          </w:tcPr>
          <w:p>
            <w:r>
              <w:rPr>
                <w:b/>
                <w:sz w:val="17"/>
              </w:rPr>
              <w:t>55,848</w:t>
            </w:r>
          </w:p>
        </w:tc>
        <w:tc>
          <w:tcPr>
            <w:tcW w:type="dxa" w:w="1440"/>
            <w:shd w:fill="C6EFCE" w:val="clear"/>
          </w:tcPr>
          <w:p>
            <w:r>
              <w:rPr>
                <w:sz w:val="17"/>
              </w:rPr>
              <w:t>62,982</w:t>
            </w:r>
          </w:p>
        </w:tc>
        <w:tc>
          <w:tcPr>
            <w:tcW w:type="dxa" w:w="1440"/>
            <w:shd w:fill="C6EFCE" w:val="clear"/>
          </w:tcPr>
          <w:p>
            <w:r>
              <w:rPr>
                <w:b/>
                <w:color w:val="008000"/>
                <w:sz w:val="17"/>
              </w:rPr>
              <w:t>+7.0%</w:t>
            </w:r>
          </w:p>
        </w:tc>
      </w:tr>
      <w:tr>
        <w:tc>
          <w:tcPr>
            <w:tcW w:type="dxa" w:w="1440"/>
            <w:shd w:fill="C6EFCE" w:val="clear"/>
          </w:tcPr>
          <w:p>
            <w:r>
              <w:rPr>
                <w:sz w:val="17"/>
              </w:rPr>
              <w:t>J+4  ⭐</w:t>
            </w:r>
          </w:p>
        </w:tc>
        <w:tc>
          <w:tcPr>
            <w:tcW w:type="dxa" w:w="1440"/>
            <w:shd w:fill="C6EFCE" w:val="clear"/>
          </w:tcPr>
          <w:p>
            <w:r>
              <w:rPr>
                <w:sz w:val="17"/>
              </w:rPr>
              <w:t>2026-09-01</w:t>
            </w:r>
          </w:p>
        </w:tc>
        <w:tc>
          <w:tcPr>
            <w:tcW w:type="dxa" w:w="1440"/>
            <w:shd w:fill="C6EFCE" w:val="clear"/>
          </w:tcPr>
          <w:p>
            <w:r>
              <w:rPr>
                <w:sz w:val="17"/>
              </w:rPr>
              <w:t>48,566</w:t>
            </w:r>
          </w:p>
        </w:tc>
        <w:tc>
          <w:tcPr>
            <w:tcW w:type="dxa" w:w="1440"/>
            <w:shd w:fill="C6EFCE" w:val="clear"/>
          </w:tcPr>
          <w:p>
            <w:r>
              <w:rPr>
                <w:b/>
                <w:sz w:val="17"/>
              </w:rPr>
              <w:t>56,466</w:t>
            </w:r>
          </w:p>
        </w:tc>
        <w:tc>
          <w:tcPr>
            <w:tcW w:type="dxa" w:w="1440"/>
            <w:shd w:fill="C6EFCE" w:val="clear"/>
          </w:tcPr>
          <w:p>
            <w:r>
              <w:rPr>
                <w:sz w:val="17"/>
              </w:rPr>
              <w:t>64,367</w:t>
            </w:r>
          </w:p>
        </w:tc>
        <w:tc>
          <w:tcPr>
            <w:tcW w:type="dxa" w:w="1440"/>
            <w:shd w:fill="C6EFCE" w:val="clear"/>
          </w:tcPr>
          <w:p>
            <w:r>
              <w:rPr>
                <w:b/>
                <w:color w:val="008000"/>
                <w:sz w:val="17"/>
              </w:rPr>
              <w:t>+8.2%</w:t>
            </w:r>
          </w:p>
        </w:tc>
      </w:tr>
      <w:tr>
        <w:tc>
          <w:tcPr>
            <w:tcW w:type="dxa" w:w="1440"/>
            <w:shd w:fill="C6EFCE" w:val="clear"/>
          </w:tcPr>
          <w:p>
            <w:r>
              <w:rPr>
                <w:sz w:val="17"/>
              </w:rPr>
              <w:t>J+5  ⭐</w:t>
            </w:r>
          </w:p>
        </w:tc>
        <w:tc>
          <w:tcPr>
            <w:tcW w:type="dxa" w:w="1440"/>
            <w:shd w:fill="C6EFCE" w:val="clear"/>
          </w:tcPr>
          <w:p>
            <w:r>
              <w:rPr>
                <w:sz w:val="17"/>
              </w:rPr>
              <w:t>2026-09-02</w:t>
            </w:r>
          </w:p>
        </w:tc>
        <w:tc>
          <w:tcPr>
            <w:tcW w:type="dxa" w:w="1440"/>
            <w:shd w:fill="C6EFCE" w:val="clear"/>
          </w:tcPr>
          <w:p>
            <w:r>
              <w:rPr>
                <w:sz w:val="17"/>
              </w:rPr>
              <w:t>48,467</w:t>
            </w:r>
          </w:p>
        </w:tc>
        <w:tc>
          <w:tcPr>
            <w:tcW w:type="dxa" w:w="1440"/>
            <w:shd w:fill="C6EFCE" w:val="clear"/>
          </w:tcPr>
          <w:p>
            <w:r>
              <w:rPr>
                <w:b/>
                <w:sz w:val="17"/>
              </w:rPr>
              <w:t>57,096</w:t>
            </w:r>
          </w:p>
        </w:tc>
        <w:tc>
          <w:tcPr>
            <w:tcW w:type="dxa" w:w="1440"/>
            <w:shd w:fill="C6EFCE" w:val="clear"/>
          </w:tcPr>
          <w:p>
            <w:r>
              <w:rPr>
                <w:sz w:val="17"/>
              </w:rPr>
              <w:t>65,725</w:t>
            </w:r>
          </w:p>
        </w:tc>
        <w:tc>
          <w:tcPr>
            <w:tcW w:type="dxa" w:w="1440"/>
            <w:shd w:fill="C6EFCE" w:val="clear"/>
          </w:tcPr>
          <w:p>
            <w:r>
              <w:rPr>
                <w:b/>
                <w:color w:val="008000"/>
                <w:sz w:val="17"/>
              </w:rPr>
              <w:t>+9.4%</w:t>
            </w:r>
          </w:p>
        </w:tc>
      </w:tr>
      <w:tr>
        <w:tc>
          <w:tcPr>
            <w:tcW w:type="dxa" w:w="1440"/>
            <w:shd w:fill="C6EFCE" w:val="clear"/>
          </w:tcPr>
          <w:p>
            <w:r>
              <w:rPr>
                <w:sz w:val="17"/>
              </w:rPr>
              <w:t>J+6  ⭐</w:t>
            </w:r>
          </w:p>
        </w:tc>
        <w:tc>
          <w:tcPr>
            <w:tcW w:type="dxa" w:w="1440"/>
            <w:shd w:fill="C6EFCE" w:val="clear"/>
          </w:tcPr>
          <w:p>
            <w:r>
              <w:rPr>
                <w:sz w:val="17"/>
              </w:rPr>
              <w:t>2026-09-03</w:t>
            </w:r>
          </w:p>
        </w:tc>
        <w:tc>
          <w:tcPr>
            <w:tcW w:type="dxa" w:w="1440"/>
            <w:shd w:fill="C6EFCE" w:val="clear"/>
          </w:tcPr>
          <w:p>
            <w:r>
              <w:rPr>
                <w:sz w:val="17"/>
              </w:rPr>
              <w:t>48,406</w:t>
            </w:r>
          </w:p>
        </w:tc>
        <w:tc>
          <w:tcPr>
            <w:tcW w:type="dxa" w:w="1440"/>
            <w:shd w:fill="C6EFCE" w:val="clear"/>
          </w:tcPr>
          <w:p>
            <w:r>
              <w:rPr>
                <w:b/>
                <w:sz w:val="17"/>
              </w:rPr>
              <w:t>57,734</w:t>
            </w:r>
          </w:p>
        </w:tc>
        <w:tc>
          <w:tcPr>
            <w:tcW w:type="dxa" w:w="1440"/>
            <w:shd w:fill="C6EFCE" w:val="clear"/>
          </w:tcPr>
          <w:p>
            <w:r>
              <w:rPr>
                <w:sz w:val="17"/>
              </w:rPr>
              <w:t>67,061</w:t>
            </w:r>
          </w:p>
        </w:tc>
        <w:tc>
          <w:tcPr>
            <w:tcW w:type="dxa" w:w="1440"/>
            <w:shd w:fill="C6EFCE" w:val="clear"/>
          </w:tcPr>
          <w:p>
            <w:r>
              <w:rPr>
                <w:b/>
                <w:color w:val="008000"/>
                <w:sz w:val="17"/>
              </w:rPr>
              <w:t>+10.6%</w:t>
            </w:r>
          </w:p>
        </w:tc>
      </w:tr>
      <w:tr>
        <w:tc>
          <w:tcPr>
            <w:tcW w:type="dxa" w:w="1440"/>
            <w:shd w:fill="C6EFCE" w:val="clear"/>
          </w:tcPr>
          <w:p>
            <w:r>
              <w:rPr>
                <w:sz w:val="17"/>
              </w:rPr>
              <w:t>J+7  ⭐</w:t>
            </w:r>
          </w:p>
        </w:tc>
        <w:tc>
          <w:tcPr>
            <w:tcW w:type="dxa" w:w="1440"/>
            <w:shd w:fill="C6EFCE" w:val="clear"/>
          </w:tcPr>
          <w:p>
            <w:r>
              <w:rPr>
                <w:sz w:val="17"/>
              </w:rPr>
              <w:t>2026-09-04</w:t>
            </w:r>
          </w:p>
        </w:tc>
        <w:tc>
          <w:tcPr>
            <w:tcW w:type="dxa" w:w="1440"/>
            <w:shd w:fill="C6EFCE" w:val="clear"/>
          </w:tcPr>
          <w:p>
            <w:r>
              <w:rPr>
                <w:sz w:val="17"/>
              </w:rPr>
              <w:t>48,374</w:t>
            </w:r>
          </w:p>
        </w:tc>
        <w:tc>
          <w:tcPr>
            <w:tcW w:type="dxa" w:w="1440"/>
            <w:shd w:fill="C6EFCE" w:val="clear"/>
          </w:tcPr>
          <w:p>
            <w:r>
              <w:rPr>
                <w:b/>
                <w:sz w:val="17"/>
              </w:rPr>
              <w:t>58,377</w:t>
            </w:r>
          </w:p>
        </w:tc>
        <w:tc>
          <w:tcPr>
            <w:tcW w:type="dxa" w:w="1440"/>
            <w:shd w:fill="C6EFCE" w:val="clear"/>
          </w:tcPr>
          <w:p>
            <w:r>
              <w:rPr>
                <w:sz w:val="17"/>
              </w:rPr>
              <w:t>68,381</w:t>
            </w:r>
          </w:p>
        </w:tc>
        <w:tc>
          <w:tcPr>
            <w:tcW w:type="dxa" w:w="1440"/>
            <w:shd w:fill="C6EFCE" w:val="clear"/>
          </w:tcPr>
          <w:p>
            <w:r>
              <w:rPr>
                <w:b/>
                <w:color w:val="008000"/>
                <w:sz w:val="17"/>
              </w:rPr>
              <w:t>+11.8%</w:t>
            </w:r>
          </w:p>
        </w:tc>
      </w:tr>
      <w:tr>
        <w:tc>
          <w:tcPr>
            <w:tcW w:type="dxa" w:w="1440"/>
            <w:shd w:fill="C6EFCE" w:val="clear"/>
          </w:tcPr>
          <w:p>
            <w:r>
              <w:rPr>
                <w:sz w:val="17"/>
              </w:rPr>
              <w:t>J+8  ⭐</w:t>
            </w:r>
          </w:p>
        </w:tc>
        <w:tc>
          <w:tcPr>
            <w:tcW w:type="dxa" w:w="1440"/>
            <w:shd w:fill="C6EFCE" w:val="clear"/>
          </w:tcPr>
          <w:p>
            <w:r>
              <w:rPr>
                <w:sz w:val="17"/>
              </w:rPr>
              <w:t>2026-09-07</w:t>
            </w:r>
          </w:p>
        </w:tc>
        <w:tc>
          <w:tcPr>
            <w:tcW w:type="dxa" w:w="1440"/>
            <w:shd w:fill="C6EFCE" w:val="clear"/>
          </w:tcPr>
          <w:p>
            <w:r>
              <w:rPr>
                <w:sz w:val="17"/>
              </w:rPr>
              <w:t>48,363</w:t>
            </w:r>
          </w:p>
        </w:tc>
        <w:tc>
          <w:tcPr>
            <w:tcW w:type="dxa" w:w="1440"/>
            <w:shd w:fill="C6EFCE" w:val="clear"/>
          </w:tcPr>
          <w:p>
            <w:r>
              <w:rPr>
                <w:b/>
                <w:sz w:val="17"/>
              </w:rPr>
              <w:t>59,025</w:t>
            </w:r>
          </w:p>
        </w:tc>
        <w:tc>
          <w:tcPr>
            <w:tcW w:type="dxa" w:w="1440"/>
            <w:shd w:fill="C6EFCE" w:val="clear"/>
          </w:tcPr>
          <w:p>
            <w:r>
              <w:rPr>
                <w:sz w:val="17"/>
              </w:rPr>
              <w:t>69,687</w:t>
            </w:r>
          </w:p>
        </w:tc>
        <w:tc>
          <w:tcPr>
            <w:tcW w:type="dxa" w:w="1440"/>
            <w:shd w:fill="C6EFCE" w:val="clear"/>
          </w:tcPr>
          <w:p>
            <w:r>
              <w:rPr>
                <w:b/>
                <w:color w:val="008000"/>
                <w:sz w:val="17"/>
              </w:rPr>
              <w:t>+13.1%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479,37 milliards FCFA, ce qui positionne la société parmi les valeurs moyennes du marché BRVM, dans un compartiment dominé par les valeurs bancaires et télécoms. Les ratios de valorisation (BPA, PER, P/B, EV/EBITDA) ne sont pas calculables en raison de l'absence de données financières structurées actualisées dans la base, ce qui constitue une limite à l'analyse quantitative pure. Le cours actuel de 52 200 FCFA, rapporté aux capitaux propres négatifs de la société (-10,658 milliards FCFA en 2023), suggère que le marché valorise davantage la marque et le potentiel de redressement que la valeur comptable. En l'absence de PER calculable, on peut toutefois estimer, sur la base du bénéfice net 2023 de 640 millions FCFA et du nombre d'actions en circulation, que le PER implicite serait extrêmement élevé, indiquant une valorisation très généreuse par rapport aux bénéfices actuels. Cette situation contraste avec la moyenne du marché BRVM (PER de 8 à 12x), où la plupart des valeurs offrent des rendements plus attractifs.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 enregistré une variation totale de -2,70%, avec une légère reprise de +0,38% lors de la dernière séance, reflétant une tendance globalement baissière mais avec des signes de stabilisation récents. Le cours a évolué dans une fourchette de 49 630 FCFA (plus bas) à 69 005 FCFA (plus haut), soit une amplitude de près de 39%, indiquant une volatilité intra-période significative. La moyenne de 56 643 FCFA est légèrement supérieure à la médiane de 56 252 FCFA, avec un skewness positif de 0,500, ce qui signifie que le cours a passé plus de journées sous la moyenne, avec des épisodes de hausse ponctuels qui tirent la moyenne vers le haut. L'écart-type de 3 612 FCFA (CV = 6,4%) révèle une dispersion modérée autour de la moyenne, tandis que le kurtosis de 0,596 (mésokurtique) indique une distribution proche de la normale, sans risque extrême de pics ou de queues épaisses. La volatilité annualisée de 64,0% est très élevée (largement supérieure au seuil de 30%), positionnant UNLC comme un titre spéculatif à fort risque, particulièrement pour un investisseur cherchant la stabilité.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de 52 200 FCFA se situe sous la MM20 (53 992,5 FCFA) et la MM50 (54 531,4 FCFA), configuration baissière classique où les moyennes agissent comme des résistances dynamiques. La décision de Vente est justifiée par cette position du prix sous les deux moyennes, indiquant une dynamique négative à court et moyen terme, avec un potentiel de rebond limité tant que le cours ne reprend pas ces niveaux.</w:t>
      </w:r>
    </w:p>
    <w:p>
      <w:pPr>
        <w:spacing w:after="120" w:line="276" w:lineRule="auto"/>
      </w:pPr>
      <w:r>
        <w:t>**Bandes de Bollinger** : Le prix se positionne dans la partie inférieure du canal, entre la borne inférieure (49 302,59 FCFA) et la moyenne mobile, avec une marge de 5,9% par rapport à la borne basse. La décision Neutre s'explique par le fait que le cours n'est pas en situation extrême de survente, mais la proximité relative de la borne inférieure suggère un potentiel de rebond technique si le support tient.</w:t>
      </w:r>
    </w:p>
    <w:p>
      <w:pPr>
        <w:spacing w:after="120" w:line="276" w:lineRule="auto"/>
      </w:pPr>
      <w:r>
        <w:t>**MACD** : La valeur MACD de 14,467 est très inférieure à son signal de 228,619, créant un écart négatif important qui confirme une dynamique baissière marquée. La décision de Vente est justifiée par cette divergence négative significative, indiquant que le momentum reste résolument négatif malgré la stabilisation récente du cours.</w:t>
      </w:r>
    </w:p>
    <w:p>
      <w:pPr>
        <w:spacing w:after="120" w:line="276" w:lineRule="auto"/>
      </w:pPr>
      <w:r>
        <w:t>**RSI** : À 44,516, le RSI se situe dans la zone neutre (30-70), sans signal extrême de surachat ou de survente. La décision Neutre est cohérente avec cette valeur, mais la position sous le seuil de 50 indique une légère faiblesse relative, avec un biais baissier modéré qui pourrait s'inverser si le RSI franchit ce niveau.</w:t>
      </w:r>
    </w:p>
    <w:p>
      <w:pPr>
        <w:spacing w:after="120" w:line="276" w:lineRule="auto"/>
      </w:pPr>
      <w:r>
        <w:t>**Stochastique** : Le %K à 17,143 et le %D à 24,762 sont tous deux en zone de survente (&lt;20 pour %K), avec un croisement potentiel haussier en formation. La décision d'Achat est justifiée par cette situation de survente technique, qui suggère qu'un rebond est possible à court terme, même si la tendance de fond reste baissière.</w:t>
      </w:r>
    </w:p>
    <w:p>
      <w:pPr>
        <w:spacing w:after="120" w:line="276" w:lineRule="auto"/>
      </w:pPr>
      <w:r>
        <w:t>**Conclusion technique** : La convergence des indicateurs (MM, MACD) vers des signaux de vente, contrastant avec le stochastique en zone de survente, indique une configuration technique mitigée. La tendance de fond reste baissière, mais les conditions de survente pourraient générer un rebond technique à court terme. La prudence est de mise, avec un biais vendeur tant que le cours reste sous les moyennes mobiles.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états financiers disponibles couvrent les exercices 2021 à 2023, avec des données non certifiées pour certains rapports. En 2023, UNLC a réalisé un chiffre d'affaires de 24,336 milliards FCFA, stable par rapport à 2022, avec un bénéfice net de 640 millions FCFA (marge nette de 2,63%), en nette amélioration par rapport à la perte de 6,908 milliards FCFA en 2022. Le résultat d'exploitation est passé de -6,258 milliards FCFA en 2022 à +3,340 milliards FCFA en 2023, grâce à une réduction des charges et une meilleure gestion des stocks. En 2021, la société avait dégagé un bénéfice de 6,091 milliards FCFA (marge nette de 25%), mais cette performance était portée par des éléments exceptionnels et une reprise post-COVID. Les capitaux propres restent négatifs à -10,658 milliards FCFA en 2023, malgré une amélioration progressive depuis 2021, et l'endettement financier s'élève à 4,379 milliards FCFA. La trésorerie passive de 14,874 milliards FCFA dépasse largement la trésorerie active, indiquant un risque de liquidité. Le ROE n'est pas calculable en raison des capitaux propres négatifs, mais le ROA serait d'environ 1,3% (640 millions / actif total estimé). Les rapports de 2022 et 2023 montrent une amélioration opérationnelle réelle mais fragile, avec une absence de dividende depuis plusieurs années. Sur la base de ces tendances, on estime que l'exercice 2024-2025 pourrait voir une poursuite du redressement si la société maintient sa discipline opérationnelle, mais la croissance du CA reste atone et la structure financière demeure précaire. La recommandation fondamentale est de CONSERVER avec vigilance, en surveillant la capacité d'UNLC à reconstituer ses capitaux propres et à générer une croissance durable.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fait ressortir une situation contrastée pour UNLC. Sur le plan de la valorisation, l'absence de ratios calculables et les capitaux propres négatifs indiquent une situation financière fragile, avec un PER implicite très élevé qui suggère une surévaluation relative par rapport aux bénéfices actuels. Le comportement du cours sur 100 jours montre une tendance baissière modérée (-2,70%) avec une volatilité annualisée très élevée (64%), des statistiques révélant une distribution relativement normale mais avec un biais négatif. Les signaux techniques sont majoritairement vendeurs (MM, MACD), tempérés par un stochastique en zone de survente qui pourrait générer un rebond technique. Les fondamentaux montrent un redressement opérationnel en 2023 (bénéfice net positif après la perte de 2022), mais la structure financière reste précaire avec des capitaux propres négatifs et une absence de dividende. Les prédictions IA pour les 10 prochains jours (54 686 à 57 096 FCFA) suggèrent une trajectoire haussière de +4,8% à +9,4%, ce qui contredit les signaux techniques baissiers mais pourrait refléter un rebond technique attendu. La convergence entre les prédictions IA haussières et le stochastique en survente suggère un potentiel de rebond à court terme, mais la divergence avec les fondamentaux fragiles et la valorisation élevée impose la prudence. **Recommandation finale : CONSERVER** avec un niveau de confiance Moyen, un risque global Élevé, et un horizon d'investissement optimal à moyen terme (3-12 mois), en attendant une confirmation du redressement fondamental et une stabilisation des capitaux propres avant d'envisager un renforcement de position.</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51.77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13,171 titres</w:t>
            </w:r>
          </w:p>
        </w:tc>
        <w:tc>
          <w:tcPr>
            <w:tcW w:type="dxa" w:w="2268"/>
            <w:shd w:fill="FFF2CC" w:val="clear"/>
          </w:tcPr>
          <w:p>
            <w:r>
              <w:rPr>
                <w:b/>
                <w:color w:val="503200"/>
                <w:sz w:val="16"/>
              </w:rPr>
              <w:t xml:space="preserve">Cours actuel : </w:t>
            </w:r>
            <w:r>
              <w:rPr>
                <w:color w:val="000000"/>
                <w:sz w:val="17"/>
              </w:rPr>
              <w:t>2,495 FCFA</w:t>
            </w:r>
          </w:p>
          <w:p>
            <w:r>
              <w:rPr>
                <w:b/>
                <w:color w:val="503200"/>
                <w:sz w:val="16"/>
              </w:rPr>
              <w:t xml:space="preserve">Var. 100 jours : </w:t>
            </w:r>
            <w:r>
              <w:rPr>
                <w:b/>
                <w:color w:val="007800"/>
                <w:sz w:val="17"/>
              </w:rPr>
              <w:t>+24.75%</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21.6/100 → Moyen</w:t>
      </w:r>
    </w:p>
    <w:p>
      <w:pPr>
        <w:spacing w:before="40" w:after="80"/>
      </w:pPr>
      <w:r>
        <w:rPr>
          <w:rFonts w:ascii="Courier New" w:hAnsi="Courier New"/>
          <w:color w:val="825A00"/>
          <w:sz w:val="18"/>
        </w:rPr>
        <w:t>████░░░░░░░░░░░░░░░░  21.6/100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10.75% (Moyenne) — μ=1,882 FCFA, σ=202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β=-0.1301 (Contre-cyclique) — Cov=-0.000004, Var(idx)=0.000034, ρ=-0.024,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13,171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σ_j=3.21%/j (Modérée) — Vol. annualisée≈51.0%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2026-08-27</w:t>
            </w:r>
          </w:p>
        </w:tc>
        <w:tc>
          <w:tcPr>
            <w:tcW w:type="dxa" w:w="1440"/>
            <w:shd w:fill="FFDCE0" w:val="clear"/>
          </w:tcPr>
          <w:p>
            <w:r>
              <w:rPr>
                <w:sz w:val="17"/>
              </w:rPr>
              <w:t>2,211</w:t>
            </w:r>
          </w:p>
        </w:tc>
        <w:tc>
          <w:tcPr>
            <w:tcW w:type="dxa" w:w="1440"/>
            <w:shd w:fill="FFDCE0" w:val="clear"/>
          </w:tcPr>
          <w:p>
            <w:r>
              <w:rPr>
                <w:b/>
                <w:sz w:val="17"/>
              </w:rPr>
              <w:t>2,395</w:t>
            </w:r>
          </w:p>
        </w:tc>
        <w:tc>
          <w:tcPr>
            <w:tcW w:type="dxa" w:w="1440"/>
            <w:shd w:fill="FFDCE0" w:val="clear"/>
          </w:tcPr>
          <w:p>
            <w:r>
              <w:rPr>
                <w:sz w:val="17"/>
              </w:rPr>
              <w:t>2,579</w:t>
            </w:r>
          </w:p>
        </w:tc>
        <w:tc>
          <w:tcPr>
            <w:tcW w:type="dxa" w:w="1440"/>
            <w:shd w:fill="FFDCE0" w:val="clear"/>
          </w:tcPr>
          <w:p>
            <w:r>
              <w:rPr>
                <w:b/>
                <w:color w:val="C00000"/>
                <w:sz w:val="17"/>
              </w:rPr>
              <w:t>-4.0%</w:t>
            </w:r>
          </w:p>
        </w:tc>
      </w:tr>
      <w:tr>
        <w:tc>
          <w:tcPr>
            <w:tcW w:type="dxa" w:w="1440"/>
            <w:shd w:fill="FFDCE0" w:val="clear"/>
          </w:tcPr>
          <w:p>
            <w:r>
              <w:rPr>
                <w:sz w:val="17"/>
              </w:rPr>
              <w:t>J+2  Moyenne</w:t>
            </w:r>
          </w:p>
        </w:tc>
        <w:tc>
          <w:tcPr>
            <w:tcW w:type="dxa" w:w="1440"/>
            <w:shd w:fill="FFDCE0" w:val="clear"/>
          </w:tcPr>
          <w:p>
            <w:r>
              <w:rPr>
                <w:sz w:val="17"/>
              </w:rPr>
              <w:t>2026-08-28</w:t>
            </w:r>
          </w:p>
        </w:tc>
        <w:tc>
          <w:tcPr>
            <w:tcW w:type="dxa" w:w="1440"/>
            <w:shd w:fill="FFDCE0" w:val="clear"/>
          </w:tcPr>
          <w:p>
            <w:r>
              <w:rPr>
                <w:sz w:val="17"/>
              </w:rPr>
              <w:t>2,154</w:t>
            </w:r>
          </w:p>
        </w:tc>
        <w:tc>
          <w:tcPr>
            <w:tcW w:type="dxa" w:w="1440"/>
            <w:shd w:fill="FFDCE0" w:val="clear"/>
          </w:tcPr>
          <w:p>
            <w:r>
              <w:rPr>
                <w:b/>
                <w:sz w:val="17"/>
              </w:rPr>
              <w:t>2,377</w:t>
            </w:r>
          </w:p>
        </w:tc>
        <w:tc>
          <w:tcPr>
            <w:tcW w:type="dxa" w:w="1440"/>
            <w:shd w:fill="FFDCE0" w:val="clear"/>
          </w:tcPr>
          <w:p>
            <w:r>
              <w:rPr>
                <w:sz w:val="17"/>
              </w:rPr>
              <w:t>2,600</w:t>
            </w:r>
          </w:p>
        </w:tc>
        <w:tc>
          <w:tcPr>
            <w:tcW w:type="dxa" w:w="1440"/>
            <w:shd w:fill="FFDCE0" w:val="clear"/>
          </w:tcPr>
          <w:p>
            <w:r>
              <w:rPr>
                <w:b/>
                <w:color w:val="C00000"/>
                <w:sz w:val="17"/>
              </w:rPr>
              <w:t>-4.7%</w:t>
            </w:r>
          </w:p>
        </w:tc>
      </w:tr>
      <w:tr>
        <w:tc>
          <w:tcPr>
            <w:tcW w:type="dxa" w:w="1440"/>
            <w:shd w:fill="FFDCE0" w:val="clear"/>
          </w:tcPr>
          <w:p>
            <w:r>
              <w:rPr>
                <w:sz w:val="17"/>
              </w:rPr>
              <w:t>J+3  ⭐</w:t>
            </w:r>
          </w:p>
        </w:tc>
        <w:tc>
          <w:tcPr>
            <w:tcW w:type="dxa" w:w="1440"/>
            <w:shd w:fill="FFDCE0" w:val="clear"/>
          </w:tcPr>
          <w:p>
            <w:r>
              <w:rPr>
                <w:sz w:val="17"/>
              </w:rPr>
              <w:t>2026-08-31</w:t>
            </w:r>
          </w:p>
        </w:tc>
        <w:tc>
          <w:tcPr>
            <w:tcW w:type="dxa" w:w="1440"/>
            <w:shd w:fill="FFDCE0" w:val="clear"/>
          </w:tcPr>
          <w:p>
            <w:r>
              <w:rPr>
                <w:sz w:val="17"/>
              </w:rPr>
              <w:t>2,105</w:t>
            </w:r>
          </w:p>
        </w:tc>
        <w:tc>
          <w:tcPr>
            <w:tcW w:type="dxa" w:w="1440"/>
            <w:shd w:fill="FFDCE0" w:val="clear"/>
          </w:tcPr>
          <w:p>
            <w:r>
              <w:rPr>
                <w:b/>
                <w:sz w:val="17"/>
              </w:rPr>
              <w:t>2,361</w:t>
            </w:r>
          </w:p>
        </w:tc>
        <w:tc>
          <w:tcPr>
            <w:tcW w:type="dxa" w:w="1440"/>
            <w:shd w:fill="FFDCE0" w:val="clear"/>
          </w:tcPr>
          <w:p>
            <w:r>
              <w:rPr>
                <w:sz w:val="17"/>
              </w:rPr>
              <w:t>2,617</w:t>
            </w:r>
          </w:p>
        </w:tc>
        <w:tc>
          <w:tcPr>
            <w:tcW w:type="dxa" w:w="1440"/>
            <w:shd w:fill="FFDCE0" w:val="clear"/>
          </w:tcPr>
          <w:p>
            <w:r>
              <w:rPr>
                <w:b/>
                <w:color w:val="C00000"/>
                <w:sz w:val="17"/>
              </w:rPr>
              <w:t>-5.4%</w:t>
            </w:r>
          </w:p>
        </w:tc>
      </w:tr>
      <w:tr>
        <w:tc>
          <w:tcPr>
            <w:tcW w:type="dxa" w:w="1440"/>
            <w:shd w:fill="FFDCE0" w:val="clear"/>
          </w:tcPr>
          <w:p>
            <w:r>
              <w:rPr>
                <w:sz w:val="17"/>
              </w:rPr>
              <w:t>J+4  ⭐</w:t>
            </w:r>
          </w:p>
        </w:tc>
        <w:tc>
          <w:tcPr>
            <w:tcW w:type="dxa" w:w="1440"/>
            <w:shd w:fill="FFDCE0" w:val="clear"/>
          </w:tcPr>
          <w:p>
            <w:r>
              <w:rPr>
                <w:sz w:val="17"/>
              </w:rPr>
              <w:t>2026-09-01</w:t>
            </w:r>
          </w:p>
        </w:tc>
        <w:tc>
          <w:tcPr>
            <w:tcW w:type="dxa" w:w="1440"/>
            <w:shd w:fill="FFDCE0" w:val="clear"/>
          </w:tcPr>
          <w:p>
            <w:r>
              <w:rPr>
                <w:sz w:val="17"/>
              </w:rPr>
              <w:t>2,062</w:t>
            </w:r>
          </w:p>
        </w:tc>
        <w:tc>
          <w:tcPr>
            <w:tcW w:type="dxa" w:w="1440"/>
            <w:shd w:fill="FFDCE0" w:val="clear"/>
          </w:tcPr>
          <w:p>
            <w:r>
              <w:rPr>
                <w:b/>
                <w:sz w:val="17"/>
              </w:rPr>
              <w:t>2,346</w:t>
            </w:r>
          </w:p>
        </w:tc>
        <w:tc>
          <w:tcPr>
            <w:tcW w:type="dxa" w:w="1440"/>
            <w:shd w:fill="FFDCE0" w:val="clear"/>
          </w:tcPr>
          <w:p>
            <w:r>
              <w:rPr>
                <w:sz w:val="17"/>
              </w:rPr>
              <w:t>2,631</w:t>
            </w:r>
          </w:p>
        </w:tc>
        <w:tc>
          <w:tcPr>
            <w:tcW w:type="dxa" w:w="1440"/>
            <w:shd w:fill="FFDCE0" w:val="clear"/>
          </w:tcPr>
          <w:p>
            <w:r>
              <w:rPr>
                <w:b/>
                <w:color w:val="C00000"/>
                <w:sz w:val="17"/>
              </w:rPr>
              <w:t>-6.0%</w:t>
            </w:r>
          </w:p>
        </w:tc>
      </w:tr>
      <w:tr>
        <w:tc>
          <w:tcPr>
            <w:tcW w:type="dxa" w:w="1440"/>
            <w:shd w:fill="FFDCE0" w:val="clear"/>
          </w:tcPr>
          <w:p>
            <w:r>
              <w:rPr>
                <w:sz w:val="17"/>
              </w:rPr>
              <w:t>J+5  ⭐</w:t>
            </w:r>
          </w:p>
        </w:tc>
        <w:tc>
          <w:tcPr>
            <w:tcW w:type="dxa" w:w="1440"/>
            <w:shd w:fill="FFDCE0" w:val="clear"/>
          </w:tcPr>
          <w:p>
            <w:r>
              <w:rPr>
                <w:sz w:val="17"/>
              </w:rPr>
              <w:t>2026-09-02</w:t>
            </w:r>
          </w:p>
        </w:tc>
        <w:tc>
          <w:tcPr>
            <w:tcW w:type="dxa" w:w="1440"/>
            <w:shd w:fill="FFDCE0" w:val="clear"/>
          </w:tcPr>
          <w:p>
            <w:r>
              <w:rPr>
                <w:sz w:val="17"/>
              </w:rPr>
              <w:t>2,022</w:t>
            </w:r>
          </w:p>
        </w:tc>
        <w:tc>
          <w:tcPr>
            <w:tcW w:type="dxa" w:w="1440"/>
            <w:shd w:fill="FFDCE0" w:val="clear"/>
          </w:tcPr>
          <w:p>
            <w:r>
              <w:rPr>
                <w:b/>
                <w:sz w:val="17"/>
              </w:rPr>
              <w:t>2,332</w:t>
            </w:r>
          </w:p>
        </w:tc>
        <w:tc>
          <w:tcPr>
            <w:tcW w:type="dxa" w:w="1440"/>
            <w:shd w:fill="FFDCE0" w:val="clear"/>
          </w:tcPr>
          <w:p>
            <w:r>
              <w:rPr>
                <w:sz w:val="17"/>
              </w:rPr>
              <w:t>2,642</w:t>
            </w:r>
          </w:p>
        </w:tc>
        <w:tc>
          <w:tcPr>
            <w:tcW w:type="dxa" w:w="1440"/>
            <w:shd w:fill="FFDCE0" w:val="clear"/>
          </w:tcPr>
          <w:p>
            <w:r>
              <w:rPr>
                <w:b/>
                <w:color w:val="C00000"/>
                <w:sz w:val="17"/>
              </w:rPr>
              <w:t>-6.5%</w:t>
            </w:r>
          </w:p>
        </w:tc>
      </w:tr>
      <w:tr>
        <w:tc>
          <w:tcPr>
            <w:tcW w:type="dxa" w:w="1440"/>
            <w:shd w:fill="FFDCE0" w:val="clear"/>
          </w:tcPr>
          <w:p>
            <w:r>
              <w:rPr>
                <w:sz w:val="17"/>
              </w:rPr>
              <w:t>J+6  ⭐</w:t>
            </w:r>
          </w:p>
        </w:tc>
        <w:tc>
          <w:tcPr>
            <w:tcW w:type="dxa" w:w="1440"/>
            <w:shd w:fill="FFDCE0" w:val="clear"/>
          </w:tcPr>
          <w:p>
            <w:r>
              <w:rPr>
                <w:sz w:val="17"/>
              </w:rPr>
              <w:t>2026-09-03</w:t>
            </w:r>
          </w:p>
        </w:tc>
        <w:tc>
          <w:tcPr>
            <w:tcW w:type="dxa" w:w="1440"/>
            <w:shd w:fill="FFDCE0" w:val="clear"/>
          </w:tcPr>
          <w:p>
            <w:r>
              <w:rPr>
                <w:sz w:val="17"/>
              </w:rPr>
              <w:t>1,985</w:t>
            </w:r>
          </w:p>
        </w:tc>
        <w:tc>
          <w:tcPr>
            <w:tcW w:type="dxa" w:w="1440"/>
            <w:shd w:fill="FFDCE0" w:val="clear"/>
          </w:tcPr>
          <w:p>
            <w:r>
              <w:rPr>
                <w:b/>
                <w:sz w:val="17"/>
              </w:rPr>
              <w:t>2,318</w:t>
            </w:r>
          </w:p>
        </w:tc>
        <w:tc>
          <w:tcPr>
            <w:tcW w:type="dxa" w:w="1440"/>
            <w:shd w:fill="FFDCE0" w:val="clear"/>
          </w:tcPr>
          <w:p>
            <w:r>
              <w:rPr>
                <w:sz w:val="17"/>
              </w:rPr>
              <w:t>2,650</w:t>
            </w:r>
          </w:p>
        </w:tc>
        <w:tc>
          <w:tcPr>
            <w:tcW w:type="dxa" w:w="1440"/>
            <w:shd w:fill="FFDCE0" w:val="clear"/>
          </w:tcPr>
          <w:p>
            <w:r>
              <w:rPr>
                <w:b/>
                <w:color w:val="C00000"/>
                <w:sz w:val="17"/>
              </w:rPr>
              <w:t>-7.1%</w:t>
            </w:r>
          </w:p>
        </w:tc>
      </w:tr>
      <w:tr>
        <w:tc>
          <w:tcPr>
            <w:tcW w:type="dxa" w:w="1440"/>
            <w:shd w:fill="FFDCE0" w:val="clear"/>
          </w:tcPr>
          <w:p>
            <w:r>
              <w:rPr>
                <w:sz w:val="17"/>
              </w:rPr>
              <w:t>J+7  ⭐</w:t>
            </w:r>
          </w:p>
        </w:tc>
        <w:tc>
          <w:tcPr>
            <w:tcW w:type="dxa" w:w="1440"/>
            <w:shd w:fill="FFDCE0" w:val="clear"/>
          </w:tcPr>
          <w:p>
            <w:r>
              <w:rPr>
                <w:sz w:val="17"/>
              </w:rPr>
              <w:t>2026-09-04</w:t>
            </w:r>
          </w:p>
        </w:tc>
        <w:tc>
          <w:tcPr>
            <w:tcW w:type="dxa" w:w="1440"/>
            <w:shd w:fill="FFDCE0" w:val="clear"/>
          </w:tcPr>
          <w:p>
            <w:r>
              <w:rPr>
                <w:sz w:val="17"/>
              </w:rPr>
              <w:t>1,951</w:t>
            </w:r>
          </w:p>
        </w:tc>
        <w:tc>
          <w:tcPr>
            <w:tcW w:type="dxa" w:w="1440"/>
            <w:shd w:fill="FFDCE0" w:val="clear"/>
          </w:tcPr>
          <w:p>
            <w:r>
              <w:rPr>
                <w:b/>
                <w:sz w:val="17"/>
              </w:rPr>
              <w:t>2,304</w:t>
            </w:r>
          </w:p>
        </w:tc>
        <w:tc>
          <w:tcPr>
            <w:tcW w:type="dxa" w:w="1440"/>
            <w:shd w:fill="FFDCE0" w:val="clear"/>
          </w:tcPr>
          <w:p>
            <w:r>
              <w:rPr>
                <w:sz w:val="17"/>
              </w:rPr>
              <w:t>2,658</w:t>
            </w:r>
          </w:p>
        </w:tc>
        <w:tc>
          <w:tcPr>
            <w:tcW w:type="dxa" w:w="1440"/>
            <w:shd w:fill="FFDCE0" w:val="clear"/>
          </w:tcPr>
          <w:p>
            <w:r>
              <w:rPr>
                <w:b/>
                <w:color w:val="C00000"/>
                <w:sz w:val="17"/>
              </w:rPr>
              <w:t>-7.6%</w:t>
            </w:r>
          </w:p>
        </w:tc>
      </w:tr>
      <w:tr>
        <w:tc>
          <w:tcPr>
            <w:tcW w:type="dxa" w:w="1440"/>
            <w:shd w:fill="FFDCE0" w:val="clear"/>
          </w:tcPr>
          <w:p>
            <w:r>
              <w:rPr>
                <w:sz w:val="17"/>
              </w:rPr>
              <w:t>J+8  ⭐</w:t>
            </w:r>
          </w:p>
        </w:tc>
        <w:tc>
          <w:tcPr>
            <w:tcW w:type="dxa" w:w="1440"/>
            <w:shd w:fill="FFDCE0" w:val="clear"/>
          </w:tcPr>
          <w:p>
            <w:r>
              <w:rPr>
                <w:sz w:val="17"/>
              </w:rPr>
              <w:t>2026-09-07</w:t>
            </w:r>
          </w:p>
        </w:tc>
        <w:tc>
          <w:tcPr>
            <w:tcW w:type="dxa" w:w="1440"/>
            <w:shd w:fill="FFDCE0" w:val="clear"/>
          </w:tcPr>
          <w:p>
            <w:r>
              <w:rPr>
                <w:sz w:val="17"/>
              </w:rPr>
              <w:t>1,918</w:t>
            </w:r>
          </w:p>
        </w:tc>
        <w:tc>
          <w:tcPr>
            <w:tcW w:type="dxa" w:w="1440"/>
            <w:shd w:fill="FFDCE0" w:val="clear"/>
          </w:tcPr>
          <w:p>
            <w:r>
              <w:rPr>
                <w:b/>
                <w:sz w:val="17"/>
              </w:rPr>
              <w:t>2,291</w:t>
            </w:r>
          </w:p>
        </w:tc>
        <w:tc>
          <w:tcPr>
            <w:tcW w:type="dxa" w:w="1440"/>
            <w:shd w:fill="FFDCE0" w:val="clear"/>
          </w:tcPr>
          <w:p>
            <w:r>
              <w:rPr>
                <w:sz w:val="17"/>
              </w:rPr>
              <w:t>2,663</w:t>
            </w:r>
          </w:p>
        </w:tc>
        <w:tc>
          <w:tcPr>
            <w:tcW w:type="dxa" w:w="1440"/>
            <w:shd w:fill="FFDCE0" w:val="clear"/>
          </w:tcPr>
          <w:p>
            <w:r>
              <w:rPr>
                <w:b/>
                <w:color w:val="C00000"/>
                <w:sz w:val="17"/>
              </w:rPr>
              <w:t>-8.2%</w:t>
            </w:r>
          </w:p>
        </w:tc>
      </w:tr>
      <w:tr>
        <w:tc>
          <w:tcPr>
            <w:tcW w:type="dxa" w:w="1440"/>
            <w:shd w:fill="FFDCE0" w:val="clear"/>
          </w:tcPr>
          <w:p>
            <w:r>
              <w:rPr>
                <w:sz w:val="17"/>
              </w:rPr>
              <w:t>J+9  ⭐</w:t>
            </w:r>
          </w:p>
        </w:tc>
        <w:tc>
          <w:tcPr>
            <w:tcW w:type="dxa" w:w="1440"/>
            <w:shd w:fill="FFDCE0" w:val="clear"/>
          </w:tcPr>
          <w:p>
            <w:r>
              <w:rPr>
                <w:sz w:val="17"/>
              </w:rPr>
              <w:t>2026-09-08</w:t>
            </w:r>
          </w:p>
        </w:tc>
        <w:tc>
          <w:tcPr>
            <w:tcW w:type="dxa" w:w="1440"/>
            <w:shd w:fill="FFDCE0" w:val="clear"/>
          </w:tcPr>
          <w:p>
            <w:r>
              <w:rPr>
                <w:sz w:val="17"/>
              </w:rPr>
              <w:t>1,887</w:t>
            </w:r>
          </w:p>
        </w:tc>
        <w:tc>
          <w:tcPr>
            <w:tcW w:type="dxa" w:w="1440"/>
            <w:shd w:fill="FFDCE0" w:val="clear"/>
          </w:tcPr>
          <w:p>
            <w:r>
              <w:rPr>
                <w:b/>
                <w:sz w:val="17"/>
              </w:rPr>
              <w:t>2,277</w:t>
            </w:r>
          </w:p>
        </w:tc>
        <w:tc>
          <w:tcPr>
            <w:tcW w:type="dxa" w:w="1440"/>
            <w:shd w:fill="FFDCE0" w:val="clear"/>
          </w:tcPr>
          <w:p>
            <w:r>
              <w:rPr>
                <w:sz w:val="17"/>
              </w:rPr>
              <w:t>2,668</w:t>
            </w:r>
          </w:p>
        </w:tc>
        <w:tc>
          <w:tcPr>
            <w:tcW w:type="dxa" w:w="1440"/>
            <w:shd w:fill="FFDCE0" w:val="clear"/>
          </w:tcPr>
          <w:p>
            <w:r>
              <w:rPr>
                <w:b/>
                <w:color w:val="C00000"/>
                <w:sz w:val="17"/>
              </w:rPr>
              <w:t>-8.7%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**RAPPORT D'ANALYSE FINANCIÈRE — UNIWAX (UNXC) — BRVM**</w:t>
      </w:r>
    </w:p>
    <w:p>
      <w:pPr>
        <w:spacing w:after="120" w:line="276" w:lineRule="auto"/>
      </w:pPr>
      <w:r>
        <w:t>**Date de l'analyse : 26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d'UNXC s'établit à 51,77 milliards FCFA, un niveau significatif qui la positionne parmi les valeurs moyennes de la cote BRVM. Le BPA est négatif à -105 FCFA, ce qui reflète la perte nette de l'exercice 2024 et explique un PER négatif de -23,7x. Ce ratio est non significatif pour l'investisseur, car il ne permet pas de valoriser la société sur la base de ses bénéfices actuels. En revanche, le P/B de 3,32x indique que le marché valorise l'actif net de la société avec une prime substantielle (au-delà de la fourchette de 2-4x). Cette prime peut s'expliquer par les actifs immobiliers et industriels détenus, mais aussi par les attentes de redressement. Le ratio EV/EBITDA n'est pas calculable ici, l'EBITDA étant négatif sur l'exercice 2024, ce qui confirme la situation de transition dans laquelle se trouve la société.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UNXC a enregistré une progression spectaculaire de +24,75%, avec une dernière séance en hausse de +1,22% à 2 495 FCFA. Le titre a évolué dans une fourchette très large, allant d'un plus bas de 1 250 FCFA à un plus haut de 2 495 FCFA, démontrant un fort appétit des investisseurs. La moyenne du cours sur la période est de 1 882 FCFA, très proche de la médiane (1 900 FCFA), ce qui indique une distribution relativement symétrique, confirmée par un skewness de -0,184. L'écart-type de 203 FCFA (CV de 10,8%) montre une dispersion modérée autour de la moyenne. Cependant, le kurtosis excédentaire de 3,156 signale une distribution leptokurtique, avec des queues épaisses, impliquant un risque de mouvements extrêmes. La volatilité annualisée de 51,0% est très élevée, classant ce titre comme spéculatif et à haut risque sur le plan statistique.</w:t>
      </w:r>
    </w:p>
    <w:p>
      <w:pPr>
        <w:spacing w:after="120" w:line="276" w:lineRule="auto"/>
      </w:pPr>
      <w:r>
        <w:t>---</w:t>
      </w:r>
    </w:p>
    <w:p>
      <w:pPr>
        <w:spacing w:after="120" w:line="276" w:lineRule="auto"/>
      </w:pPr>
      <w:r>
        <w:t>### PARTIE 2 : ANALYSE TECHNIQUE DÉTAILLÉE</w:t>
      </w:r>
    </w:p>
    <w:p>
      <w:pPr>
        <w:spacing w:after="120" w:line="276" w:lineRule="auto"/>
      </w:pPr>
      <w:r>
        <w:t>**Moyennes Mobiles :** La MM20 (2 058,75 FCFA) est nettement inférieure au cours actuel (2 495 FCFA), et la MM50 (1 873,4 FCFA) est encore plus basse. Cette configuration haussière (cours &gt; MM20 &gt; MM50) confirme une tendance de fond positive à court et moyen terme, justifiant la décision d'achat.</w:t>
      </w:r>
    </w:p>
    <w:p>
      <w:pPr>
        <w:spacing w:after="120" w:line="276" w:lineRule="auto"/>
      </w:pPr>
      <w:r>
        <w:t>**Bandes de Bollinger :** Le cours se situe à 2 495 FCFA, très proche de la borne supérieure (2 509,34 FCFA). Cette position indique que le titre est en zone de surachat à court terme, mais la décision est neutre, car le prix n'a pas encore franchi la bande. La largeur des bandes (écart de 900 FCFA) reflète la forte volatilité du titre.</w:t>
      </w:r>
    </w:p>
    <w:p>
      <w:pPr>
        <w:spacing w:after="120" w:line="276" w:lineRule="auto"/>
      </w:pPr>
      <w:r>
        <w:t>**MACD :** Le MACD (168,16) est nettement au-dessus de sa ligne de signal (110,71), avec un écart positif croissant. Ce croisement haussier et l'écart important signalent un momentum positif soutenu, justifiant la décision d'achat.</w:t>
      </w:r>
    </w:p>
    <w:p>
      <w:pPr>
        <w:spacing w:after="120" w:line="276" w:lineRule="auto"/>
      </w:pPr>
      <w:r>
        <w:t>**RSI :** Le RSI est à 92,8, un niveau extrême de surachat (bien au-dessus du seuil de 70). Cela indique que le titre est survendu techniquement et qu'un repli est statistiquement probable à très court terme. La décision de vente est donc logique pour un trader à court terme.</w:t>
      </w:r>
    </w:p>
    <w:p>
      <w:pPr>
        <w:spacing w:after="120" w:line="276" w:lineRule="auto"/>
      </w:pPr>
      <w:r>
        <w:t>**Stochastique :** Le %K et le %D sont tous deux à des niveaux extrêmes (100 et 99,7), confirmant la surachat sévère. Ce signal de vente renforce l'idée d'une consolidation technique imminente.</w:t>
      </w:r>
    </w:p>
    <w:p>
      <w:pPr>
        <w:spacing w:after="120" w:line="276" w:lineRule="auto"/>
      </w:pPr>
      <w:r>
        <w:t>**Conclusion technique :** Le titre est dans une forte tendance haussière de fond (MM, MACD), mais les oscillateurs (RSI, Stochastique) sont en zone de surachat extrême. Cette divergence suggère un potentiel de correction à court terme avant une possible poursuite de la tendance. La prudence est de mise pour les achats à ces niveaux.</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2024 (base brvm_donnees_financieres) confirment une année difficile : le chiffre d'affaires s'établit à 27,33 milliards FCFA, mais le résultat net est une perte de -2,189 milliards FCFA. La marge nette est de -8,0%, le ROE de -14,0% et le ROA de -6,4%. L'EBE est négatif à -352 millions FCFA. En tant qu'entreprise industrielle, les délais de stockage (254 jours) et de paiement clients (51 jours) sont élevés, mais le délai fournisseurs (267 jours) est très favorable, indiquant une gestion de trésorerie qui repose sur le crédit fournisseur. Le BFR est positif (2,149 Mds), ce qui est un point de vigilance. Cependant, les rapports trimestriels 2025 montrent une amélioration spectaculaire de la performance commerciale : le CA du S1 2025 atteint 15,71 milliards FCFA (+12,5% vs S1 2024), et le T3 2025 cumulé est de 22,47 milliards (+13%). Le résultat net 2025 est artificiellement bénéficiaire grâce à la cession-bail du terrain (plus-value de ~10 milliards), mais le résultat d'exploitation reste déficitaire. Le rapport du S1 2026 (publié en 2026) marque un tournant : le résultat d'exploitation redevient positif à 771 millions FCFA, et le résultat net est de 771 millions FCFA. Le rapport annuel 2025 (publié en 2026) confirme un EBE positif à 1,13 milliard FCFA et une perte nette réduite à -624 millions. On estime donc que l'exercice 2026 devrait confirmer le retour à une rentabilité opérationnelle durable, portée par la croissance des exportations et la maîtrise des coûts.</w:t>
      </w:r>
    </w:p>
    <w:p>
      <w:pPr>
        <w:spacing w:after="120" w:line="276" w:lineRule="auto"/>
      </w:pPr>
      <w:r>
        <w:t>---</w:t>
      </w:r>
    </w:p>
    <w:p>
      <w:pPr>
        <w:spacing w:after="120" w:line="276" w:lineRule="auto"/>
      </w:pPr>
      <w:r>
        <w:t>### PARTIE 4 : CONCLUSION D'INVESTISSEMENT</w:t>
      </w:r>
    </w:p>
    <w:p>
      <w:pPr>
        <w:spacing w:after="120" w:line="276" w:lineRule="auto"/>
      </w:pPr>
      <w:r>
        <w:t>La valorisation boursière (Partie 0) est délicate, car le PER est négatif et le P/B de 3,32x est élevé, ce qui suggère une surévaluation relative si le redressement n'est pas confirmé. Le comportement du cours (Partie 1) est très haussier, mais la volatilité de 51% et le kurtosis élevé signalent un risque de retournement brutal. Les signaux techniques (Partie 2) sont contradictoires : la tendance de fond est haussière (MM, MACD), mais les indicateurs de surachat (RSI, Stochastique) sont extrêmes, annonçant une probable consolidation. Les fondamentaux (Partie 3) montrent une amélioration nette en 2025-2026, avec un retour à l'équilibre opérationnel, mais la rentabilité reste fragile. Les prédictions IA (J+1 à J+10) prévoient une baisse progressive du cours de 2 395 à 2 332 FCFA, ce qui contredit la tendance récente et confirme le scénario de correction technique. En synthèse, les signaux sont divergents : le redressement fondamental est réel, mais la valorisation actuelle a déjà intégré une partie de ce potentiel. La recommandation finale est **CONSERVER**, avec un niveau de confiance **Moyen** et un risque global **Élevé**. L'horizon d'investissement optimal est le **moyen terme (3-12 mois)**, en attendant la confirmation d'une rentabilité récurrente et une éventuelle baisse du cours pour renforcer la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