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10/10/2026 à 10:42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ABJC  (score 79/100)</w:t>
      </w:r>
    </w:p>
    <w:p>
      <w:pPr>
        <w:spacing w:before="20" w:after="20"/>
        <w:ind w:left="360" w:right="360"/>
        <w:shd w:val="clear" w:color="auto" w:fill="EBF5FB"/>
      </w:pPr>
      <w:r>
        <w:rPr>
          <w:b/>
          <w:sz w:val="19"/>
        </w:rPr>
        <w:t xml:space="preserve">Secteur surperformant :  </w:t>
      </w:r>
      <w:r>
        <w:rPr>
          <w:color w:val="008000"/>
          <w:sz w:val="19"/>
        </w:rPr>
        <w:t>SERVICES PUBLICS  (+55.6%)</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18 sociétés — vérifier avant d'investir</w:t>
      </w:r>
    </w:p>
    <w:p>
      <w:pPr>
        <w:spacing w:before="20" w:after="20"/>
        <w:ind w:left="360" w:right="360"/>
        <w:shd w:val="clear" w:color="auto" w:fill="EBF5FB"/>
      </w:pPr>
      <w:r>
        <w:rPr>
          <w:b/>
          <w:sz w:val="19"/>
        </w:rPr>
        <w:t xml:space="preserve">⚠️ Liquidité réduite :  </w:t>
      </w:r>
      <w:r>
        <w:rPr>
          <w:color w:val="C00000"/>
          <w:sz w:val="19"/>
        </w:rPr>
        <w:t>13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546.86 points </w:t>
      </w:r>
      <w:r>
        <w:rPr>
          <w:color w:val="C00000"/>
        </w:rPr>
        <w:t>(-0.28%)</w:t>
      </w:r>
      <w:r>
        <w:t xml:space="preserve"> sur la séance. </w:t>
      </w:r>
      <w:r>
        <w:t>La capitalisation globale du marché atteint 21 444,973 milliards FCFA.</w:t>
      </w:r>
    </w:p>
    <w:p/>
    <w:p>
      <w:pPr>
        <w:pStyle w:val="Heading3"/>
      </w:pPr>
      <w:r>
        <w:t>📊 Évolution de l'indice BRVM Composite (100 derniers jours)</w:t>
      </w:r>
    </w:p>
    <w:p>
      <w:r>
        <w:rPr>
          <w:b/>
        </w:rPr>
        <w:t xml:space="preserve">BRVM Composite — </w:t>
      </w:r>
      <w:r>
        <w:t xml:space="preserve">Sur les 100 derniers jours de cotation (2026-05-18 au 2026-10-09), l'indice BRVM Composite a évolué de </w:t>
      </w:r>
      <w:r>
        <w:rPr>
          <w:b/>
          <w:color w:val="008000"/>
        </w:rPr>
        <w:t>+31.96%</w:t>
      </w:r>
      <w:r>
        <w:t>, passant de 414.40 pts à 546.86 pts. Le plus haut atteint est 555.90 pts et le plus bas 414.40 pts. Sur l'ensemble de la période, la moyenne de l'indice s'établit à 488.50 pts, la médiane à 482.46 pts et le mode à 414.40 pts</w:t>
      </w:r>
      <w:r>
        <w:t xml:space="preserve"> (distribution symétrique). </w:t>
      </w:r>
      <w:r>
        <w:t xml:space="preserve">L'écart-type de 45.34 pts (CV=9.3%) traduit une modérée dispersion des cotations. Le kurtosis de -1.37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+34.25%</w:t>
      </w:r>
      <w:r>
        <w:t xml:space="preserve"> sur la période, passant de 15 974,437 Mds FCFA à 21 444,973 Mds FCFA. Le pic de capitalisation observé est de 21 529,927 Mds FCFA et le plancher de 15 974,437 Mds FCFA. La moyenne de la capitalisation sur la période s'établit à 18 867,843 Mds FCFA, la médiane à 18 586,196 Mds FCFA et le mode à 15 974,437 Mds FCFA</w:t>
      </w:r>
      <w:r>
        <w:t xml:space="preserve"> (distribution symétrique). </w:t>
      </w:r>
      <w:r>
        <w:t>L'écart-type de 1 805,074 Mds FCFA (CV=9.6%) reflète une modérée variabilité de la valorisation du marché. Le kurtosis de -1.37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ETIT - ETIT - Ecobank Transnational Incorporated Togo</w:t>
      </w:r>
      <w:r>
        <w:t xml:space="preserve"> | Prix: 67 FCFA | </w:t>
      </w:r>
      <w:r>
        <w:rPr>
          <w:b/>
          <w:color w:val="008000"/>
        </w:rPr>
        <w:t>ACHAT FORT</w:t>
      </w:r>
      <w:r>
        <w:t xml:space="preserve"> | Confiance: Élevée | Risque: Moyen</w:t>
      </w:r>
    </w:p>
    <w:p>
      <w:pPr>
        <w:pStyle w:val="ListNumber"/>
      </w:pPr>
      <w:r>
        <w:rPr>
          <w:b/>
        </w:rPr>
        <w:t>SEMC - SEMC - EVIOSYS PACKAGING SIEM CI</w:t>
      </w:r>
      <w:r>
        <w:t xml:space="preserve"> | Prix: 1495 FCFA | </w:t>
      </w:r>
      <w:r>
        <w:rPr>
          <w:b/>
          <w:color w:val="008000"/>
        </w:rPr>
        <w:t>ACHAT FORT</w:t>
      </w:r>
      <w:r>
        <w:t xml:space="preserve"> | Confiance: Élevée | Risque: Faible</w:t>
      </w:r>
    </w:p>
    <w:p>
      <w:pPr>
        <w:pStyle w:val="ListNumber"/>
      </w:pPr>
      <w:r>
        <w:rPr>
          <w:b/>
        </w:rPr>
        <w:t>ABJC - ABJC - SERVAIR ABIDJAN CI</w:t>
      </w:r>
      <w:r>
        <w:t xml:space="preserve"> | Prix: 3190 FCFA | </w:t>
      </w:r>
      <w:r>
        <w:rPr>
          <w:b/>
          <w:color w:val="008000"/>
        </w:rPr>
        <w:t>ACHAT</w:t>
      </w:r>
      <w:r>
        <w:t xml:space="preserve"> | Confiance: Élevée | Risque: Faible</w:t>
      </w:r>
    </w:p>
    <w:p>
      <w:pPr>
        <w:pStyle w:val="ListNumber"/>
      </w:pPr>
      <w:r>
        <w:rPr>
          <w:b/>
        </w:rPr>
        <w:t>BBGC - BRIDGE BANK GROUP COTE D'IVOIRE</w:t>
      </w:r>
      <w:r>
        <w:t xml:space="preserve"> | Prix: 10400 FCFA | </w:t>
      </w:r>
      <w:r>
        <w:rPr>
          <w:b/>
          <w:color w:val="008000"/>
        </w:rPr>
        <w:t>ACHAT</w:t>
      </w:r>
      <w:r>
        <w:t xml:space="preserve"> | Confiance: Moyen | Risque: Faible</w:t>
      </w:r>
    </w:p>
    <w:p>
      <w:pPr>
        <w:pStyle w:val="ListNumber"/>
      </w:pPr>
      <w:r>
        <w:rPr>
          <w:b/>
        </w:rPr>
        <w:t>BICB - BIIC BN - Banque internationale pour le commerce du benin</w:t>
      </w:r>
      <w:r>
        <w:t xml:space="preserve"> | Prix: 8440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32945 FCFA | </w:t>
      </w:r>
      <w:r>
        <w:rPr>
          <w:b/>
          <w:color w:val="008000"/>
        </w:rPr>
        <w:t>ACHAT</w:t>
      </w:r>
      <w:r>
        <w:t xml:space="preserve"> | Confiance: Moyen | Risque: Moyen</w:t>
      </w:r>
    </w:p>
    <w:p>
      <w:pPr>
        <w:pStyle w:val="ListNumber"/>
      </w:pPr>
      <w:r>
        <w:rPr>
          <w:b/>
        </w:rPr>
        <w:t>BNBC - BNBC - BERNABE CI</w:t>
      </w:r>
      <w:r>
        <w:t xml:space="preserve"> | Prix: 1800 FCFA | </w:t>
      </w:r>
      <w:r>
        <w:rPr>
          <w:b/>
          <w:color w:val="008000"/>
        </w:rPr>
        <w:t>ACHAT</w:t>
      </w:r>
      <w:r>
        <w:t xml:space="preserve"> | Confiance: Faible | Risque: Faible</w:t>
      </w:r>
    </w:p>
    <w:p>
      <w:pPr>
        <w:pStyle w:val="ListNumber"/>
      </w:pPr>
      <w:r>
        <w:rPr>
          <w:b/>
        </w:rPr>
        <w:t>BOAB - BANK OF AFRICA BENIN</w:t>
      </w:r>
      <w:r>
        <w:t xml:space="preserve"> | Prix: 9400 FCFA | </w:t>
      </w:r>
      <w:r>
        <w:rPr>
          <w:b/>
          <w:color w:val="008000"/>
        </w:rPr>
        <w:t>ACHAT</w:t>
      </w:r>
      <w:r>
        <w:t xml:space="preserve"> | Confiance: Moyen | Risque: Faible</w:t>
      </w:r>
    </w:p>
    <w:p>
      <w:pPr>
        <w:pStyle w:val="ListNumber"/>
      </w:pPr>
      <w:r>
        <w:rPr>
          <w:b/>
        </w:rPr>
        <w:t>BOABF - BANK OF AFRICA BURKINA FASO</w:t>
      </w:r>
      <w:r>
        <w:t xml:space="preserve"> | Prix: 8005 FCFA | </w:t>
      </w:r>
      <w:r>
        <w:rPr>
          <w:b/>
          <w:color w:val="008000"/>
        </w:rPr>
        <w:t>ACHAT</w:t>
      </w:r>
      <w:r>
        <w:t xml:space="preserve"> | Confiance: Moyen | Risque: Moyen</w:t>
      </w:r>
    </w:p>
    <w:p>
      <w:pPr>
        <w:pStyle w:val="ListNumber"/>
      </w:pPr>
      <w:r>
        <w:rPr>
          <w:b/>
        </w:rPr>
        <w:t>BOAC - BANK OF AFRICA COTE D'IVOIRE</w:t>
      </w:r>
      <w:r>
        <w:t xml:space="preserve"> | Prix: 11295 FCFA | </w:t>
      </w:r>
      <w:r>
        <w:rPr>
          <w:b/>
          <w:color w:val="008000"/>
        </w:rPr>
        <w:t>ACHAT</w:t>
      </w:r>
      <w:r>
        <w:t xml:space="preserve"> | Confiance: Faible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BOAN - BANK OF AFRICA NIGER</w:t>
      </w:r>
      <w:r>
        <w:t xml:space="preserve"> | Prix: 4785 FCFA | </w:t>
      </w:r>
      <w:r>
        <w:rPr>
          <w:b/>
          <w:color w:val="C00000"/>
        </w:rPr>
        <w:t>CONSERVER</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55.64%</w:t>
      </w:r>
      <w:r>
        <w:t xml:space="preserve">  |  </w:t>
      </w:r>
      <w:r>
        <w:rPr>
          <w:b/>
        </w:rPr>
        <w:t xml:space="preserve">vs BRVM Composite: </w:t>
      </w:r>
      <w:r>
        <w:rPr>
          <w:b/>
          <w:color w:val="008000"/>
        </w:rPr>
        <w:t>+23.67%  🟢 Surperformance</w:t>
      </w:r>
      <w:r>
        <w:br/>
      </w:r>
      <w:r>
        <w:rPr>
          <w:b/>
        </w:rPr>
        <w:t xml:space="preserve">Sentiment général: </w:t>
      </w:r>
      <w:r>
        <w:t xml:space="preserve">ACHAT  |  </w:t>
      </w:r>
      <w:r>
        <w:rPr>
          <w:b/>
        </w:rPr>
        <w:t xml:space="preserve">Risque moyen: </w:t>
      </w:r>
      <w:r>
        <w:t xml:space="preserve">Moyen  |  </w:t>
      </w:r>
      <w:r>
        <w:rPr>
          <w:b/>
        </w:rPr>
        <w:t xml:space="preserve">Prix moyen: </w:t>
      </w:r>
      <w:r>
        <w:t>9645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43.35%</w:t>
      </w:r>
      <w:r>
        <w:t xml:space="preserve">  |  </w:t>
      </w:r>
      <w:r>
        <w:rPr>
          <w:b/>
        </w:rPr>
        <w:t xml:space="preserve">vs BRVM Composite: </w:t>
      </w:r>
      <w:r>
        <w:rPr>
          <w:b/>
          <w:color w:val="008000"/>
        </w:rPr>
        <w:t>+11.39%  🟢 Surperformance</w:t>
      </w:r>
      <w:r>
        <w:br/>
      </w:r>
      <w:r>
        <w:rPr>
          <w:b/>
        </w:rPr>
        <w:t xml:space="preserve">Sentiment général: </w:t>
      </w:r>
      <w:r>
        <w:t xml:space="preserve">ACHAT  |  </w:t>
      </w:r>
      <w:r>
        <w:rPr>
          <w:b/>
        </w:rPr>
        <w:t xml:space="preserve">Risque moyen: </w:t>
      </w:r>
      <w:r>
        <w:t xml:space="preserve">Faible  |  </w:t>
      </w:r>
      <w:r>
        <w:rPr>
          <w:b/>
        </w:rPr>
        <w:t xml:space="preserve">Prix moyen: </w:t>
      </w:r>
      <w:r>
        <w:t>10400 FCFA</w:t>
        <w:br/>
      </w:r>
      <w:r>
        <w:rPr>
          <w:b/>
        </w:rPr>
        <w:br/>
        <w:t xml:space="preserve">Sociétés: </w:t>
      </w:r>
      <w:r>
        <w:t>BBGC (BRIDGE BANK GROUP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34.83%</w:t>
      </w:r>
      <w:r>
        <w:t xml:space="preserve">  |  </w:t>
      </w:r>
      <w:r>
        <w:rPr>
          <w:b/>
        </w:rPr>
        <w:t xml:space="preserve">vs BRVM Composite: </w:t>
      </w:r>
      <w:r>
        <w:rPr>
          <w:b/>
          <w:color w:val="008000"/>
        </w:rPr>
        <w:t>+2.87%  🟢 Surperformance</w:t>
      </w:r>
      <w:r>
        <w:br/>
      </w:r>
      <w:r>
        <w:rPr>
          <w:b/>
        </w:rPr>
        <w:t xml:space="preserve">Sentiment général: </w:t>
      </w:r>
      <w:r>
        <w:t xml:space="preserve">ACHAT  |  </w:t>
      </w:r>
      <w:r>
        <w:rPr>
          <w:b/>
        </w:rPr>
        <w:t xml:space="preserve">Risque moyen: </w:t>
      </w:r>
      <w:r>
        <w:t xml:space="preserve">Moyen  |  </w:t>
      </w:r>
      <w:r>
        <w:rPr>
          <w:b/>
        </w:rPr>
        <w:t xml:space="preserve">Prix moyen: </w:t>
      </w:r>
      <w:r>
        <w:t>23327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33.22%</w:t>
      </w:r>
      <w:r>
        <w:t xml:space="preserve">  |  </w:t>
      </w:r>
      <w:r>
        <w:rPr>
          <w:b/>
        </w:rPr>
        <w:t xml:space="preserve">vs BRVM Composite: </w:t>
      </w:r>
      <w:r>
        <w:rPr>
          <w:b/>
          <w:color w:val="008000"/>
        </w:rPr>
        <w:t>+1.26%  🟢 Surperformance</w:t>
      </w:r>
      <w:r>
        <w:br/>
      </w:r>
      <w:r>
        <w:rPr>
          <w:b/>
        </w:rPr>
        <w:t xml:space="preserve">Sentiment général: </w:t>
      </w:r>
      <w:r>
        <w:t xml:space="preserve">ACHAT  |  </w:t>
      </w:r>
      <w:r>
        <w:rPr>
          <w:b/>
        </w:rPr>
        <w:t xml:space="preserve">Risque moyen: </w:t>
      </w:r>
      <w:r>
        <w:t xml:space="preserve">Moyen  |  </w:t>
      </w:r>
      <w:r>
        <w:rPr>
          <w:b/>
        </w:rPr>
        <w:t xml:space="preserve">Prix moyen: </w:t>
      </w:r>
      <w:r>
        <w:t>13249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15.76%</w:t>
      </w:r>
      <w:r>
        <w:t xml:space="preserve">  |  </w:t>
      </w:r>
      <w:r>
        <w:rPr>
          <w:b/>
        </w:rPr>
        <w:t xml:space="preserve">vs BRVM Composite: </w:t>
      </w:r>
      <w:r>
        <w:rPr>
          <w:b/>
          <w:color w:val="C00000"/>
        </w:rPr>
        <w:t>-16.20%  🔴 Sous-performance</w:t>
      </w:r>
      <w:r>
        <w:br/>
      </w:r>
      <w:r>
        <w:rPr>
          <w:b/>
        </w:rPr>
        <w:t xml:space="preserve">Sentiment général: </w:t>
      </w:r>
      <w:r>
        <w:t xml:space="preserve">ACHAT  |  </w:t>
      </w:r>
      <w:r>
        <w:rPr>
          <w:b/>
        </w:rPr>
        <w:t xml:space="preserve">Risque moyen: </w:t>
      </w:r>
      <w:r>
        <w:t xml:space="preserve">Faible  |  </w:t>
      </w:r>
      <w:r>
        <w:rPr>
          <w:b/>
        </w:rPr>
        <w:t xml:space="preserve">Prix moyen: </w:t>
      </w:r>
      <w:r>
        <w:t>17432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14.56%</w:t>
      </w:r>
      <w:r>
        <w:t xml:space="preserve">  |  </w:t>
      </w:r>
      <w:r>
        <w:rPr>
          <w:b/>
        </w:rPr>
        <w:t xml:space="preserve">vs BRVM Composite: </w:t>
      </w:r>
      <w:r>
        <w:rPr>
          <w:b/>
          <w:color w:val="C00000"/>
        </w:rPr>
        <w:t>-17.41%  🔴 Sous-performance</w:t>
      </w:r>
      <w:r>
        <w:br/>
      </w:r>
      <w:r>
        <w:rPr>
          <w:b/>
        </w:rPr>
        <w:t xml:space="preserve">Sentiment général: </w:t>
      </w:r>
      <w:r>
        <w:t xml:space="preserve">ACHAT  |  </w:t>
      </w:r>
      <w:r>
        <w:rPr>
          <w:b/>
        </w:rPr>
        <w:t xml:space="preserve">Risque moyen: </w:t>
      </w:r>
      <w:r>
        <w:t xml:space="preserve">Faible  |  </w:t>
      </w:r>
      <w:r>
        <w:rPr>
          <w:b/>
        </w:rPr>
        <w:t xml:space="preserve">Prix moyen: </w:t>
      </w:r>
      <w:r>
        <w:t>6142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11.16%</w:t>
      </w:r>
      <w:r>
        <w:t xml:space="preserve">  |  </w:t>
      </w:r>
      <w:r>
        <w:rPr>
          <w:b/>
        </w:rPr>
        <w:t xml:space="preserve">vs BRVM Composite: </w:t>
      </w:r>
      <w:r>
        <w:rPr>
          <w:b/>
          <w:color w:val="C00000"/>
        </w:rPr>
        <w:t>-20.80%  🔴 Sous-performance</w:t>
      </w:r>
      <w:r>
        <w:br/>
      </w:r>
      <w:r>
        <w:rPr>
          <w:b/>
        </w:rPr>
        <w:t xml:space="preserve">Sentiment général: </w:t>
      </w:r>
      <w:r>
        <w:t xml:space="preserve">ACHAT  |  </w:t>
      </w:r>
      <w:r>
        <w:rPr>
          <w:b/>
        </w:rPr>
        <w:t xml:space="preserve">Risque moyen: </w:t>
      </w:r>
      <w:r>
        <w:t xml:space="preserve">Faible  |  </w:t>
      </w:r>
      <w:r>
        <w:rPr>
          <w:b/>
        </w:rPr>
        <w:t xml:space="preserve">Prix moyen: </w:t>
      </w:r>
      <w:r>
        <w:t>2711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-4.95%</w:t>
      </w:r>
      <w:r>
        <w:t xml:space="preserve">  |  </w:t>
      </w:r>
      <w:r>
        <w:rPr>
          <w:b/>
        </w:rPr>
        <w:t xml:space="preserve">vs BRVM Composite: </w:t>
      </w:r>
      <w:r>
        <w:rPr>
          <w:b/>
          <w:color w:val="C00000"/>
        </w:rPr>
        <w:t>-36.92%  🔴 Sous-performance</w:t>
      </w:r>
      <w:r>
        <w:br/>
      </w:r>
      <w:r>
        <w:rPr>
          <w:b/>
        </w:rPr>
        <w:t xml:space="preserve">Sentiment général: </w:t>
      </w:r>
      <w:r>
        <w:t xml:space="preserve">ACHAT  |  </w:t>
      </w:r>
      <w:r>
        <w:rPr>
          <w:b/>
        </w:rPr>
        <w:t xml:space="preserve">Risque moyen: </w:t>
      </w:r>
      <w:r>
        <w:t xml:space="preserve">Faible  |  </w:t>
      </w:r>
      <w:r>
        <w:rPr>
          <w:b/>
        </w:rPr>
        <w:t xml:space="preserve">Prix moyen: </w:t>
      </w:r>
      <w:r>
        <w:t>2246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BOAS, ONTBF, PALC, SDCC, SGBC, SHEC, STAC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BOAB, BOABF, BOAM, CBIBF, CIEC, ECOC, ETIT, LNBB, NEIC, NSBC, NTLC, PRSC, SCRC, SDSC, SEMC, SNTS, STBC,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BNBC, BOAC, CABC, CFAC, FTSC, ORAC, ORGT, SAFC, SIBC, SICC, SIVC, SLBC, SMBC, SOGC, SPHC, TTLC, UNLC</w:t>
            </w:r>
          </w:p>
        </w:tc>
        <w:tc>
          <w:tcPr>
            <w:tcW w:type="dxa" w:w="2160"/>
            <w:shd w:fill="FFC7CE" w:val="clear"/>
          </w:tcPr>
          <w:p>
            <w:pPr>
              <w:spacing w:before="40" w:after="40"/>
            </w:pPr>
            <w:r/>
            <w:r>
              <w:rPr>
                <w:b w:val="0"/>
                <w:sz w:val="16"/>
              </w:rPr>
              <w:t>BOAN</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1952396</w:t>
            </w:r>
          </w:p>
        </w:tc>
        <w:tc>
          <w:tcPr>
            <w:tcW w:type="dxa" w:w="1728"/>
          </w:tcPr>
          <w:p>
            <w:r>
              <w:t>131540648 FCFA</w:t>
            </w:r>
          </w:p>
        </w:tc>
        <w:tc>
          <w:tcPr>
            <w:tcW w:type="dxa" w:w="1728"/>
          </w:tcPr>
          <w:p>
            <w:r>
              <w:t>123.33%</w:t>
            </w:r>
          </w:p>
        </w:tc>
        <w:tc>
          <w:tcPr>
            <w:tcW w:type="dxa" w:w="1728"/>
          </w:tcPr>
          <w:p>
            <w:r>
              <w:t>ACHAT FORT</w:t>
            </w:r>
          </w:p>
        </w:tc>
      </w:tr>
      <w:tr>
        <w:tc>
          <w:tcPr>
            <w:tcW w:type="dxa" w:w="1728"/>
          </w:tcPr>
          <w:p>
            <w:r>
              <w:t>BBGC (BRIDGE BANK GROUP COTE D'IVOIRE)</w:t>
            </w:r>
          </w:p>
        </w:tc>
        <w:tc>
          <w:tcPr>
            <w:tcW w:type="dxa" w:w="1728"/>
          </w:tcPr>
          <w:p>
            <w:r>
              <w:t>35556</w:t>
            </w:r>
          </w:p>
        </w:tc>
        <w:tc>
          <w:tcPr>
            <w:tcW w:type="dxa" w:w="1728"/>
          </w:tcPr>
          <w:p>
            <w:r>
              <w:t>328971385 FCFA</w:t>
            </w:r>
          </w:p>
        </w:tc>
        <w:tc>
          <w:tcPr>
            <w:tcW w:type="dxa" w:w="1728"/>
          </w:tcPr>
          <w:p>
            <w:r>
              <w:t>43.35%</w:t>
            </w:r>
          </w:p>
        </w:tc>
        <w:tc>
          <w:tcPr>
            <w:tcW w:type="dxa" w:w="1728"/>
          </w:tcPr>
          <w:p>
            <w:r>
              <w:t>ACHAT</w:t>
            </w:r>
          </w:p>
        </w:tc>
      </w:tr>
      <w:tr>
        <w:tc>
          <w:tcPr>
            <w:tcW w:type="dxa" w:w="1728"/>
          </w:tcPr>
          <w:p>
            <w:r>
              <w:t>SNTS (SNTS - SONATEL SN)</w:t>
            </w:r>
          </w:p>
        </w:tc>
        <w:tc>
          <w:tcPr>
            <w:tcW w:type="dxa" w:w="1728"/>
          </w:tcPr>
          <w:p>
            <w:r>
              <w:t>26974</w:t>
            </w:r>
          </w:p>
        </w:tc>
        <w:tc>
          <w:tcPr>
            <w:tcW w:type="dxa" w:w="1728"/>
          </w:tcPr>
          <w:p>
            <w:r>
              <w:t>1144785585 FCFA</w:t>
            </w:r>
          </w:p>
        </w:tc>
        <w:tc>
          <w:tcPr>
            <w:tcW w:type="dxa" w:w="1728"/>
          </w:tcPr>
          <w:p>
            <w:r>
              <w:t>56.18%</w:t>
            </w:r>
          </w:p>
        </w:tc>
        <w:tc>
          <w:tcPr>
            <w:tcW w:type="dxa" w:w="1728"/>
          </w:tcPr>
          <w:p>
            <w:r>
              <w:t>ACHAT</w:t>
            </w:r>
          </w:p>
        </w:tc>
      </w:tr>
      <w:tr>
        <w:tc>
          <w:tcPr>
            <w:tcW w:type="dxa" w:w="1728"/>
          </w:tcPr>
          <w:p>
            <w:r>
              <w:t>BOAS (BANK OF AFRICA SENEGAL)</w:t>
            </w:r>
          </w:p>
        </w:tc>
        <w:tc>
          <w:tcPr>
            <w:tcW w:type="dxa" w:w="1728"/>
          </w:tcPr>
          <w:p>
            <w:r>
              <w:t>13167</w:t>
            </w:r>
          </w:p>
        </w:tc>
        <w:tc>
          <w:tcPr>
            <w:tcW w:type="dxa" w:w="1728"/>
          </w:tcPr>
          <w:p>
            <w:r>
              <w:t>106700544 FCFA</w:t>
            </w:r>
          </w:p>
        </w:tc>
        <w:tc>
          <w:tcPr>
            <w:tcW w:type="dxa" w:w="1728"/>
          </w:tcPr>
          <w:p>
            <w:r>
              <w:t>7.14%</w:t>
            </w:r>
          </w:p>
        </w:tc>
        <w:tc>
          <w:tcPr>
            <w:tcW w:type="dxa" w:w="1728"/>
          </w:tcPr>
          <w:p>
            <w:r>
              <w:t>ACHAT</w:t>
            </w:r>
          </w:p>
        </w:tc>
      </w:tr>
      <w:tr>
        <w:tc>
          <w:tcPr>
            <w:tcW w:type="dxa" w:w="1728"/>
          </w:tcPr>
          <w:p>
            <w:r>
              <w:t>SCRC (SCRC - SUCRIVOIRE)</w:t>
            </w:r>
          </w:p>
        </w:tc>
        <w:tc>
          <w:tcPr>
            <w:tcW w:type="dxa" w:w="1728"/>
          </w:tcPr>
          <w:p>
            <w:r>
              <w:t>12659</w:t>
            </w:r>
          </w:p>
        </w:tc>
        <w:tc>
          <w:tcPr>
            <w:tcW w:type="dxa" w:w="1728"/>
          </w:tcPr>
          <w:p>
            <w:r>
              <w:t>36674818 FCFA</w:t>
            </w:r>
          </w:p>
        </w:tc>
        <w:tc>
          <w:tcPr>
            <w:tcW w:type="dxa" w:w="1728"/>
          </w:tcPr>
          <w:p>
            <w:r>
              <w:t>8.41%</w:t>
            </w:r>
          </w:p>
        </w:tc>
        <w:tc>
          <w:tcPr>
            <w:tcW w:type="dxa" w:w="1728"/>
          </w:tcPr>
          <w:p>
            <w:r>
              <w:t>ACHAT</w:t>
            </w:r>
          </w:p>
        </w:tc>
      </w:tr>
      <w:tr>
        <w:tc>
          <w:tcPr>
            <w:tcW w:type="dxa" w:w="1728"/>
          </w:tcPr>
          <w:p>
            <w:r>
              <w:t>SIBC (SIBC - SOCIETE IVOIRIENNE DE BANQUE)</w:t>
            </w:r>
          </w:p>
        </w:tc>
        <w:tc>
          <w:tcPr>
            <w:tcW w:type="dxa" w:w="1728"/>
          </w:tcPr>
          <w:p>
            <w:r>
              <w:t>11139</w:t>
            </w:r>
          </w:p>
        </w:tc>
        <w:tc>
          <w:tcPr>
            <w:tcW w:type="dxa" w:w="1728"/>
          </w:tcPr>
          <w:p>
            <w:r>
              <w:t>100450315 FCFA</w:t>
            </w:r>
          </w:p>
        </w:tc>
        <w:tc>
          <w:tcPr>
            <w:tcW w:type="dxa" w:w="1728"/>
          </w:tcPr>
          <w:p>
            <w:r>
              <w:t>17.33%</w:t>
            </w:r>
          </w:p>
        </w:tc>
        <w:tc>
          <w:tcPr>
            <w:tcW w:type="dxa" w:w="1728"/>
          </w:tcPr>
          <w:p>
            <w:r>
              <w:t>ACHAT</w:t>
            </w:r>
          </w:p>
        </w:tc>
      </w:tr>
      <w:tr>
        <w:tc>
          <w:tcPr>
            <w:tcW w:type="dxa" w:w="1728"/>
          </w:tcPr>
          <w:p>
            <w:r>
              <w:t>SDSC (SDSC - AFRICA GLOBAL LOGISTICS CI)</w:t>
            </w:r>
          </w:p>
        </w:tc>
        <w:tc>
          <w:tcPr>
            <w:tcW w:type="dxa" w:w="1728"/>
          </w:tcPr>
          <w:p>
            <w:r>
              <w:t>11028</w:t>
            </w:r>
          </w:p>
        </w:tc>
        <w:tc>
          <w:tcPr>
            <w:tcW w:type="dxa" w:w="1728"/>
          </w:tcPr>
          <w:p>
            <w:r>
              <w:t>32141326 FCFA</w:t>
            </w:r>
          </w:p>
        </w:tc>
        <w:tc>
          <w:tcPr>
            <w:tcW w:type="dxa" w:w="1728"/>
          </w:tcPr>
          <w:p>
            <w:r>
              <w:t>68.73%</w:t>
            </w:r>
          </w:p>
        </w:tc>
        <w:tc>
          <w:tcPr>
            <w:tcW w:type="dxa" w:w="1728"/>
          </w:tcPr>
          <w:p>
            <w:r>
              <w:t>ACHAT</w:t>
            </w:r>
          </w:p>
        </w:tc>
      </w:tr>
      <w:tr>
        <w:tc>
          <w:tcPr>
            <w:tcW w:type="dxa" w:w="1728"/>
          </w:tcPr>
          <w:p>
            <w:r>
              <w:t>BOAC (BANK OF AFRICA COTE D'IVOIRE)</w:t>
            </w:r>
          </w:p>
        </w:tc>
        <w:tc>
          <w:tcPr>
            <w:tcW w:type="dxa" w:w="1728"/>
          </w:tcPr>
          <w:p>
            <w:r>
              <w:t>10608</w:t>
            </w:r>
          </w:p>
        </w:tc>
        <w:tc>
          <w:tcPr>
            <w:tcW w:type="dxa" w:w="1728"/>
          </w:tcPr>
          <w:p>
            <w:r>
              <w:t>121771088 FCFA</w:t>
            </w:r>
          </w:p>
        </w:tc>
        <w:tc>
          <w:tcPr>
            <w:tcW w:type="dxa" w:w="1728"/>
          </w:tcPr>
          <w:p>
            <w:r>
              <w:t>30.50%</w:t>
            </w:r>
          </w:p>
        </w:tc>
        <w:tc>
          <w:tcPr>
            <w:tcW w:type="dxa" w:w="1728"/>
          </w:tcPr>
          <w:p>
            <w:r>
              <w:t>ACHAT</w:t>
            </w:r>
          </w:p>
        </w:tc>
      </w:tr>
      <w:tr>
        <w:tc>
          <w:tcPr>
            <w:tcW w:type="dxa" w:w="1728"/>
          </w:tcPr>
          <w:p>
            <w:r>
              <w:t>UNXC (UNXC - UNIWAX COTE D'IVOIRE)</w:t>
            </w:r>
          </w:p>
        </w:tc>
        <w:tc>
          <w:tcPr>
            <w:tcW w:type="dxa" w:w="1728"/>
          </w:tcPr>
          <w:p>
            <w:r>
              <w:t>10488</w:t>
            </w:r>
          </w:p>
        </w:tc>
        <w:tc>
          <w:tcPr>
            <w:tcW w:type="dxa" w:w="1728"/>
          </w:tcPr>
          <w:p>
            <w:r>
              <w:t>24369880 FCFA</w:t>
            </w:r>
          </w:p>
        </w:tc>
        <w:tc>
          <w:tcPr>
            <w:tcW w:type="dxa" w:w="1728"/>
          </w:tcPr>
          <w:p>
            <w:r>
              <w:t>24.86%</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STAC (STAC - SETAO COTE D'IVOIRE)</w:t>
            </w:r>
          </w:p>
        </w:tc>
        <w:tc>
          <w:tcPr>
            <w:tcW w:type="dxa" w:w="1728"/>
          </w:tcPr>
          <w:p>
            <w:r>
              <w:t>3803</w:t>
            </w:r>
          </w:p>
        </w:tc>
        <w:tc>
          <w:tcPr>
            <w:tcW w:type="dxa" w:w="1728"/>
          </w:tcPr>
          <w:p>
            <w:r>
              <w:t>8394588 FCFA</w:t>
            </w:r>
          </w:p>
        </w:tc>
        <w:tc>
          <w:tcPr>
            <w:tcW w:type="dxa" w:w="1728"/>
          </w:tcPr>
          <w:p>
            <w:r>
              <w:t>-21.27%</w:t>
            </w:r>
          </w:p>
        </w:tc>
        <w:tc>
          <w:tcPr>
            <w:tcW w:type="dxa" w:w="1728"/>
          </w:tcPr>
          <w:p>
            <w:r>
              <w:t>ACHAT</w:t>
            </w:r>
          </w:p>
        </w:tc>
      </w:tr>
      <w:tr>
        <w:tc>
          <w:tcPr>
            <w:tcW w:type="dxa" w:w="1728"/>
          </w:tcPr>
          <w:p>
            <w:r>
              <w:t>ORGT (ORGT - ORAGROUP TOGO)</w:t>
            </w:r>
          </w:p>
        </w:tc>
        <w:tc>
          <w:tcPr>
            <w:tcW w:type="dxa" w:w="1728"/>
          </w:tcPr>
          <w:p>
            <w:r>
              <w:t>3089</w:t>
            </w:r>
          </w:p>
        </w:tc>
        <w:tc>
          <w:tcPr>
            <w:tcW w:type="dxa" w:w="1728"/>
          </w:tcPr>
          <w:p>
            <w:r>
              <w:t>9426558 FCFA</w:t>
            </w:r>
          </w:p>
        </w:tc>
        <w:tc>
          <w:tcPr>
            <w:tcW w:type="dxa" w:w="1728"/>
          </w:tcPr>
          <w:p>
            <w:r>
              <w:t>20.24%</w:t>
            </w:r>
          </w:p>
        </w:tc>
        <w:tc>
          <w:tcPr>
            <w:tcW w:type="dxa" w:w="1728"/>
          </w:tcPr>
          <w:p>
            <w:r>
              <w:t>ACHAT</w:t>
            </w:r>
          </w:p>
        </w:tc>
      </w:tr>
      <w:tr>
        <w:tc>
          <w:tcPr>
            <w:tcW w:type="dxa" w:w="1728"/>
          </w:tcPr>
          <w:p>
            <w:r>
              <w:t>FTSC (FTSC - FILTISAC COTE D'IVOIRE)</w:t>
            </w:r>
          </w:p>
        </w:tc>
        <w:tc>
          <w:tcPr>
            <w:tcW w:type="dxa" w:w="1728"/>
          </w:tcPr>
          <w:p>
            <w:r>
              <w:t>3014</w:t>
            </w:r>
          </w:p>
        </w:tc>
        <w:tc>
          <w:tcPr>
            <w:tcW w:type="dxa" w:w="1728"/>
          </w:tcPr>
          <w:p>
            <w:r>
              <w:t>6034228 FCFA</w:t>
            </w:r>
          </w:p>
        </w:tc>
        <w:tc>
          <w:tcPr>
            <w:tcW w:type="dxa" w:w="1728"/>
          </w:tcPr>
          <w:p>
            <w:r>
              <w:t>-20.76%</w:t>
            </w:r>
          </w:p>
        </w:tc>
        <w:tc>
          <w:tcPr>
            <w:tcW w:type="dxa" w:w="1728"/>
          </w:tcPr>
          <w:p>
            <w:r>
              <w:t>ACHAT</w:t>
            </w:r>
          </w:p>
        </w:tc>
      </w:tr>
      <w:tr>
        <w:tc>
          <w:tcPr>
            <w:tcW w:type="dxa" w:w="1728"/>
          </w:tcPr>
          <w:p>
            <w:r>
              <w:t>SOGC (SOGC - Société des caoutchoucs de Grand-Béréby)</w:t>
            </w:r>
          </w:p>
        </w:tc>
        <w:tc>
          <w:tcPr>
            <w:tcW w:type="dxa" w:w="1728"/>
          </w:tcPr>
          <w:p>
            <w:r>
              <w:t>2883</w:t>
            </w:r>
          </w:p>
        </w:tc>
        <w:tc>
          <w:tcPr>
            <w:tcW w:type="dxa" w:w="1728"/>
          </w:tcPr>
          <w:p>
            <w:r>
              <w:t>22736711 FCFA</w:t>
            </w:r>
          </w:p>
        </w:tc>
        <w:tc>
          <w:tcPr>
            <w:tcW w:type="dxa" w:w="1728"/>
          </w:tcPr>
          <w:p>
            <w:r>
              <w:t>8.05%</w:t>
            </w:r>
          </w:p>
        </w:tc>
        <w:tc>
          <w:tcPr>
            <w:tcW w:type="dxa" w:w="1728"/>
          </w:tcPr>
          <w:p>
            <w:r>
              <w:t>ACHAT</w:t>
            </w:r>
          </w:p>
        </w:tc>
      </w:tr>
      <w:tr>
        <w:tc>
          <w:tcPr>
            <w:tcW w:type="dxa" w:w="1728"/>
          </w:tcPr>
          <w:p>
            <w:r>
              <w:t>ECOC (ECOC - ECOBANK COTE D'IVOIRE)</w:t>
            </w:r>
          </w:p>
        </w:tc>
        <w:tc>
          <w:tcPr>
            <w:tcW w:type="dxa" w:w="1728"/>
          </w:tcPr>
          <w:p>
            <w:r>
              <w:t>2879</w:t>
            </w:r>
          </w:p>
        </w:tc>
        <w:tc>
          <w:tcPr>
            <w:tcW w:type="dxa" w:w="1728"/>
          </w:tcPr>
          <w:p>
            <w:r>
              <w:t>48845065 FCFA</w:t>
            </w:r>
          </w:p>
        </w:tc>
        <w:tc>
          <w:tcPr>
            <w:tcW w:type="dxa" w:w="1728"/>
          </w:tcPr>
          <w:p>
            <w:r>
              <w:t>3.07%</w:t>
            </w:r>
          </w:p>
        </w:tc>
        <w:tc>
          <w:tcPr>
            <w:tcW w:type="dxa" w:w="1728"/>
          </w:tcPr>
          <w:p>
            <w:r>
              <w:t>ACHAT</w:t>
            </w:r>
          </w:p>
        </w:tc>
      </w:tr>
      <w:tr>
        <w:tc>
          <w:tcPr>
            <w:tcW w:type="dxa" w:w="1728"/>
          </w:tcPr>
          <w:p>
            <w:r>
              <w:t>CFAC (CFAC - CFAO MOTORS CI)</w:t>
            </w:r>
          </w:p>
        </w:tc>
        <w:tc>
          <w:tcPr>
            <w:tcW w:type="dxa" w:w="1728"/>
          </w:tcPr>
          <w:p>
            <w:r>
              <w:t>2857</w:t>
            </w:r>
          </w:p>
        </w:tc>
        <w:tc>
          <w:tcPr>
            <w:tcW w:type="dxa" w:w="1728"/>
          </w:tcPr>
          <w:p>
            <w:r>
              <w:t>4543465 FCFA</w:t>
            </w:r>
          </w:p>
        </w:tc>
        <w:tc>
          <w:tcPr>
            <w:tcW w:type="dxa" w:w="1728"/>
          </w:tcPr>
          <w:p>
            <w:r>
              <w:t>-2.00%</w:t>
            </w:r>
          </w:p>
        </w:tc>
        <w:tc>
          <w:tcPr>
            <w:tcW w:type="dxa" w:w="1728"/>
          </w:tcPr>
          <w:p>
            <w:r>
              <w:t>ACHAT</w:t>
            </w:r>
          </w:p>
        </w:tc>
      </w:tr>
      <w:tr>
        <w:tc>
          <w:tcPr>
            <w:tcW w:type="dxa" w:w="1728"/>
          </w:tcPr>
          <w:p>
            <w:r>
              <w:t>ABJC (ABJC - SERVAIR ABIDJAN CI)</w:t>
            </w:r>
          </w:p>
        </w:tc>
        <w:tc>
          <w:tcPr>
            <w:tcW w:type="dxa" w:w="1728"/>
          </w:tcPr>
          <w:p>
            <w:r>
              <w:t>2824</w:t>
            </w:r>
          </w:p>
        </w:tc>
        <w:tc>
          <w:tcPr>
            <w:tcW w:type="dxa" w:w="1728"/>
          </w:tcPr>
          <w:p>
            <w:r>
              <w:t>10754931 FCFA</w:t>
            </w:r>
          </w:p>
        </w:tc>
        <w:tc>
          <w:tcPr>
            <w:tcW w:type="dxa" w:w="1728"/>
          </w:tcPr>
          <w:p>
            <w:r>
              <w:t>12.13%</w:t>
            </w:r>
          </w:p>
        </w:tc>
        <w:tc>
          <w:tcPr>
            <w:tcW w:type="dxa" w:w="1728"/>
          </w:tcPr>
          <w:p>
            <w:r>
              <w:t>ACHAT</w:t>
            </w:r>
          </w:p>
        </w:tc>
      </w:tr>
      <w:tr>
        <w:tc>
          <w:tcPr>
            <w:tcW w:type="dxa" w:w="1728"/>
          </w:tcPr>
          <w:p>
            <w:r>
              <w:t>STBC (STBC - SITAB COTE D'IVOIRE)</w:t>
            </w:r>
          </w:p>
        </w:tc>
        <w:tc>
          <w:tcPr>
            <w:tcW w:type="dxa" w:w="1728"/>
          </w:tcPr>
          <w:p>
            <w:r>
              <w:t>2597</w:t>
            </w:r>
          </w:p>
        </w:tc>
        <w:tc>
          <w:tcPr>
            <w:tcW w:type="dxa" w:w="1728"/>
          </w:tcPr>
          <w:p>
            <w:r>
              <w:t>56310167 FCFA</w:t>
            </w:r>
          </w:p>
        </w:tc>
        <w:tc>
          <w:tcPr>
            <w:tcW w:type="dxa" w:w="1728"/>
          </w:tcPr>
          <w:p>
            <w:r>
              <w:t>1.43%</w:t>
            </w:r>
          </w:p>
        </w:tc>
        <w:tc>
          <w:tcPr>
            <w:tcW w:type="dxa" w:w="1728"/>
          </w:tcPr>
          <w:p>
            <w:r>
              <w:t>ACHAT</w:t>
            </w:r>
          </w:p>
        </w:tc>
      </w:tr>
      <w:tr>
        <w:tc>
          <w:tcPr>
            <w:tcW w:type="dxa" w:w="1728"/>
          </w:tcPr>
          <w:p>
            <w:r>
              <w:t>NEIC (NEIC - NEI-CEDA CI)</w:t>
            </w:r>
          </w:p>
        </w:tc>
        <w:tc>
          <w:tcPr>
            <w:tcW w:type="dxa" w:w="1728"/>
          </w:tcPr>
          <w:p>
            <w:r>
              <w:t>2549</w:t>
            </w:r>
          </w:p>
        </w:tc>
        <w:tc>
          <w:tcPr>
            <w:tcW w:type="dxa" w:w="1728"/>
          </w:tcPr>
          <w:p>
            <w:r>
              <w:t>6027165 FCFA</w:t>
            </w:r>
          </w:p>
        </w:tc>
        <w:tc>
          <w:tcPr>
            <w:tcW w:type="dxa" w:w="1728"/>
          </w:tcPr>
          <w:p>
            <w:r>
              <w:t>10.82%</w:t>
            </w:r>
          </w:p>
        </w:tc>
        <w:tc>
          <w:tcPr>
            <w:tcW w:type="dxa" w:w="1728"/>
          </w:tcPr>
          <w:p>
            <w:r>
              <w:t>ACHAT</w:t>
            </w:r>
          </w:p>
        </w:tc>
      </w:tr>
      <w:tr>
        <w:tc>
          <w:tcPr>
            <w:tcW w:type="dxa" w:w="1728"/>
          </w:tcPr>
          <w:p>
            <w:r>
              <w:t>BNBC (BNBC - BERNABE CI)</w:t>
            </w:r>
          </w:p>
        </w:tc>
        <w:tc>
          <w:tcPr>
            <w:tcW w:type="dxa" w:w="1728"/>
          </w:tcPr>
          <w:p>
            <w:r>
              <w:t>2471</w:t>
            </w:r>
          </w:p>
        </w:tc>
        <w:tc>
          <w:tcPr>
            <w:tcW w:type="dxa" w:w="1728"/>
          </w:tcPr>
          <w:p>
            <w:r>
              <w:t>4877976 FCFA</w:t>
            </w:r>
          </w:p>
        </w:tc>
        <w:tc>
          <w:tcPr>
            <w:tcW w:type="dxa" w:w="1728"/>
          </w:tcPr>
          <w:p>
            <w:r>
              <w:t>16.50%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ORGT - ORGT - ORAGROUP TOGO</w:t>
      </w:r>
    </w:p>
    <w:p>
      <w:r>
        <w:rPr>
          <w:b/>
        </w:rPr>
        <w:t xml:space="preserve">Score de divergence: </w:t>
      </w:r>
      <w:r>
        <w:t>5/8</w:t>
        <w:br/>
      </w:r>
      <w:r>
        <w:rPr>
          <w:b/>
        </w:rPr>
        <w:t xml:space="preserve">Description: </w:t>
      </w:r>
      <w:r>
        <w:t>Signaux de vente: MM, MACD | Recommandation finale: ACHAT</w:t>
        <w:br/>
      </w:r>
    </w:p>
    <w:p/>
    <w:p>
      <w:pPr>
        <w:pStyle w:val="Heading3"/>
      </w:pPr>
      <w:r>
        <w:t>3.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4. SMBC - SMBC - Société Multinationale de Bitumes COTE D'IVOIRE</w:t>
      </w:r>
    </w:p>
    <w:p>
      <w:r>
        <w:rPr>
          <w:b/>
        </w:rPr>
        <w:t xml:space="preserve">Score de divergence: </w:t>
      </w:r>
      <w:r>
        <w:t>5/8</w:t>
        <w:br/>
      </w:r>
      <w:r>
        <w:rPr>
          <w:b/>
        </w:rPr>
        <w:t xml:space="preserve">Description: </w:t>
      </w:r>
      <w:r>
        <w:t>Signaux de vente: MM, MACD | Recommandation finale: ACHAT</w:t>
        <w:br/>
      </w:r>
    </w:p>
    <w:p/>
    <w:p>
      <w:pPr>
        <w:pStyle w:val="Heading3"/>
      </w:pPr>
      <w:r>
        <w:t>5. BNBC - BNBC - BERNABE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CABC - CABC - SICABLE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CFAC - CFAC - CFAO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FTSC - FTSC - FILTISAC COTE D'IVOIRE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ORAC - ORAC - ORANGE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SAFC - SAFCA CI</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obligataires de la zone euro émettent des signaux alarmants de récession face au ralentissement économique (08/10). Le pétrole brut a bondi de 4% à 104,28 $/baril avant de corriger avec les métaux précieux (09/10). Ces tensions sur les matières premières et le ralentissement européen pèsent sur le sentiment global.</w:t>
      </w:r>
    </w:p>
    <w:p>
      <w:pPr>
        <w:pStyle w:val="Heading3"/>
      </w:pPr>
      <w:r>
        <w:rPr>
          <w:color w:val="500050"/>
        </w:rPr>
        <w:t>⚡ Impact estimé sur la BRVM</w:t>
      </w:r>
    </w:p>
    <w:p>
      <w:pPr>
        <w:spacing w:before="20" w:after="40"/>
        <w:ind w:left="280"/>
      </w:pPr>
      <w:r>
        <w:rPr>
          <w:i/>
          <w:sz w:val="18"/>
        </w:rPr>
        <w:t>La hausse du pétrole renchérit les coûts énergétiques pour SHEC (ENERGIE) et les industriels SEMC/STAC. Le ralentissement européen menace les exportations de cacao (PALC, SCRC) et de caoutchouc (SOGC) vers l'Europe, principal partenaire commercial de l'UEMOA.</w:t>
      </w:r>
    </w:p>
    <w:p>
      <w:pPr>
        <w:pStyle w:val="Heading2"/>
      </w:pPr>
      <w:r>
        <w:rPr>
          <w:color w:val="006E32"/>
        </w:rPr>
        <w:t>🌍 Plan Africain</w:t>
      </w:r>
    </w:p>
    <w:p>
      <w:pPr>
        <w:spacing w:before="20" w:after="40"/>
        <w:ind w:left="0"/>
      </w:pPr>
      <w:r>
        <w:rPr>
          <w:sz w:val="18"/>
        </w:rPr>
        <w:t>La CEDEAO renforce son partenariat avec le FMI et la Banque mondiale (06/10). L'Afrique affiche une croissance solide mais le défi reste l'investissement (01/10). L'endettement en dollar persiste malgré l'offensive chinoise du yuan (23/09).</w:t>
      </w:r>
    </w:p>
    <w:p>
      <w:pPr>
        <w:pStyle w:val="Heading3"/>
      </w:pPr>
      <w:r>
        <w:rPr>
          <w:color w:val="500050"/>
        </w:rPr>
        <w:t>⚡ Impact estimé sur la BRVM</w:t>
      </w:r>
    </w:p>
    <w:p>
      <w:pPr>
        <w:spacing w:before="20" w:after="40"/>
        <w:ind w:left="280"/>
      </w:pPr>
      <w:r>
        <w:rPr>
          <w:i/>
          <w:sz w:val="18"/>
        </w:rPr>
        <w:t>Le partenariat FMI/Banque mondiale soutient la confiance des investisseurs étrangers sur les places africaines, bénéfique aux valeurs bancaires SGBC, BICB, BOAS, ETIT. La dépendance au dollar expose les sociétés importatrices à un risque de change.</w:t>
      </w:r>
    </w:p>
    <w:p>
      <w:pPr>
        <w:pStyle w:val="Heading2"/>
      </w:pPr>
      <w:r>
        <w:rPr>
          <w:color w:val="145A28"/>
        </w:rPr>
        <w:t>🌍 Plan Afrique de l'Ouest</w:t>
      </w:r>
    </w:p>
    <w:p>
      <w:pPr>
        <w:spacing w:before="20" w:after="40"/>
        <w:ind w:left="0"/>
      </w:pPr>
      <w:r>
        <w:rPr>
          <w:sz w:val="18"/>
        </w:rPr>
        <w:t>Mamadou Baldé élu 3ᵉ vice-président de la FEWACCI (09/10). La Chambre de commerce de Guinée intègre le bureau de la FEWACCI (09/10). Le FMI valide un programme de 203 M$ pour le Niger (09/10).</w:t>
      </w:r>
    </w:p>
    <w:p>
      <w:pPr>
        <w:pStyle w:val="Heading3"/>
      </w:pPr>
      <w:r>
        <w:rPr>
          <w:color w:val="500050"/>
        </w:rPr>
        <w:t>⚡ Impact estimé sur la BRVM</w:t>
      </w:r>
    </w:p>
    <w:p>
      <w:pPr>
        <w:spacing w:before="20" w:after="40"/>
        <w:ind w:left="280"/>
      </w:pPr>
      <w:r>
        <w:rPr>
          <w:i/>
          <w:sz w:val="18"/>
        </w:rPr>
        <w:t>Le renforcement de l'intégration commerciale ouest-africaine favorise les flux intra-régionaux, bénéfique aux banques panafricaines (SGBC, BOAS, NSBC) et aux distributeurs (ABJC, NEIC).</w:t>
      </w:r>
    </w:p>
    <w:p>
      <w:pPr>
        <w:pStyle w:val="Heading2"/>
      </w:pPr>
      <w:r>
        <w:rPr>
          <w:color w:val="8C4600"/>
        </w:rPr>
        <w:t>🏦 Plan UEMOA / Zone Franc</w:t>
      </w:r>
    </w:p>
    <w:p>
      <w:pPr>
        <w:spacing w:before="20" w:after="40"/>
        <w:ind w:left="0"/>
      </w:pPr>
      <w:r>
        <w:rPr>
          <w:sz w:val="18"/>
        </w:rPr>
        <w:t>Données insuffisantes sur les décisions BCEAO, l'inflation zone et la liquidité bancaire. Les matières premières clés (cacao, caoutchouc) sont affectées par la correction des prix mondiaux.</w:t>
      </w:r>
    </w:p>
    <w:p>
      <w:pPr>
        <w:pStyle w:val="Heading3"/>
      </w:pPr>
      <w:r>
        <w:rPr>
          <w:color w:val="500050"/>
        </w:rPr>
        <w:t>⚡ Impact estimé sur la BRVM</w:t>
      </w:r>
    </w:p>
    <w:p>
      <w:pPr>
        <w:spacing w:before="20" w:after="40"/>
        <w:ind w:left="280"/>
      </w:pPr>
      <w:r>
        <w:rPr>
          <w:i/>
          <w:sz w:val="18"/>
        </w:rPr>
        <w:t>Sans données BCEAO récentes, l'impact reste neutre à court terme. La baisse des matières premières pèse sur PALC, SCRC (cacao) et SOGC (caoutchouc), tandis que les banques (SGBC, BICB, ETIT) restent stables.</w:t>
      </w:r>
    </w:p>
    <w:p>
      <w:pPr>
        <w:pStyle w:val="Heading2"/>
      </w:pPr>
      <w:r>
        <w:rPr>
          <w:color w:val="003366"/>
        </w:rPr>
        <w:t>📈 Plan BRVM</w:t>
      </w:r>
    </w:p>
    <w:p>
      <w:pPr>
        <w:spacing w:before="20" w:after="40"/>
        <w:ind w:left="0"/>
      </w:pPr>
      <w:r>
        <w:rPr>
          <w:sz w:val="18"/>
        </w:rPr>
        <w:t>Les résultats encourageants des sociétés cotées ivoiriennes sont soulignés (09/06). L'indice BRVM Composite se situe à 546,86 points.</w:t>
      </w:r>
    </w:p>
    <w:p>
      <w:pPr>
        <w:pStyle w:val="Heading3"/>
      </w:pPr>
      <w:r>
        <w:rPr>
          <w:color w:val="500050"/>
        </w:rPr>
        <w:t>⚡ Impact estimé sur la BRVM</w:t>
      </w:r>
    </w:p>
    <w:p>
      <w:pPr>
        <w:spacing w:before="20" w:after="40"/>
        <w:ind w:left="280"/>
      </w:pPr>
      <w:r>
        <w:rPr>
          <w:i/>
          <w:sz w:val="18"/>
        </w:rPr>
        <w:t>Recommandation : conserver SGBC, BICB, ETIT (fondamentaux bancaires solides) ; surveiller PALC, SCRC, SOGC (pression matières premières) ; ONTBF et SNTS (télécoms) offrent une stabilité défensive.</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marchés obligataires européens signalent une récession imminente (08/10). Le Burkina Faso reçoit le secrétaire général de l'ONU à Ouagadougou (09/10). Le Sénégal, Guatemala et Panama réaffirment leur soutien au plan marocain pour le Sahara (09/10).</w:t>
      </w:r>
    </w:p>
    <w:p>
      <w:pPr>
        <w:pStyle w:val="Heading3"/>
      </w:pPr>
      <w:r>
        <w:rPr>
          <w:color w:val="500050"/>
        </w:rPr>
        <w:t>⚡ Impact estimé sur la BRVM</w:t>
      </w:r>
    </w:p>
    <w:p>
      <w:pPr>
        <w:spacing w:before="20" w:after="40"/>
        <w:ind w:left="280"/>
      </w:pPr>
      <w:r>
        <w:rPr>
          <w:i/>
          <w:sz w:val="18"/>
        </w:rPr>
        <w:t>L'incertitude européenne détourne les capitaux des marchés frontières, réduisant la liquidité BRVM. Les investisseurs institutionnels adoptent une posture attentiste.</w:t>
      </w:r>
    </w:p>
    <w:p>
      <w:pPr>
        <w:pStyle w:val="Heading2"/>
      </w:pPr>
      <w:r>
        <w:rPr>
          <w:color w:val="006E32"/>
        </w:rPr>
        <w:t>🌍 Plan Africain</w:t>
      </w:r>
    </w:p>
    <w:p>
      <w:pPr>
        <w:spacing w:before="20" w:after="40"/>
        <w:ind w:left="0"/>
      </w:pPr>
      <w:r>
        <w:rPr>
          <w:sz w:val="18"/>
        </w:rPr>
        <w:t>Le Sénégal appelle à l'apaisement en Guinée-Bissau (09/10). Le Burkina Faso fixe ses priorités avec l'ONU (09/10). La stabilité relative de la sous-région contraste avec les tensions institutionnelles bissau-guinéennes.</w:t>
      </w:r>
    </w:p>
    <w:p>
      <w:pPr>
        <w:pStyle w:val="Heading3"/>
      </w:pPr>
      <w:r>
        <w:rPr>
          <w:color w:val="500050"/>
        </w:rPr>
        <w:t>⚡ Impact estimé sur la BRVM</w:t>
      </w:r>
    </w:p>
    <w:p>
      <w:pPr>
        <w:spacing w:before="20" w:after="40"/>
        <w:ind w:left="280"/>
      </w:pPr>
      <w:r>
        <w:rPr>
          <w:i/>
          <w:sz w:val="18"/>
        </w:rPr>
        <w:t>La stabilité politique régionale soutient les flux de capitaux vers la BRVM. Les tensions en Guinée-Bissau restent contenues et n'affectent pas directement les sociétés cotées.</w:t>
      </w:r>
    </w:p>
    <w:p>
      <w:pPr>
        <w:pStyle w:val="Heading2"/>
      </w:pPr>
      <w:r>
        <w:rPr>
          <w:color w:val="145A28"/>
        </w:rPr>
        <w:t>🌍 Plan Afrique de l'Ouest</w:t>
      </w:r>
    </w:p>
    <w:p>
      <w:pPr>
        <w:spacing w:before="20" w:after="40"/>
        <w:ind w:left="0"/>
      </w:pPr>
      <w:r>
        <w:rPr>
          <w:sz w:val="18"/>
        </w:rPr>
        <w:t>Renforcement de la FEWACCI avec l'élection de Mamadou Baldé (09/10). La Guinée intègre le bureau de la FEWACCI (09/10). Ces avancées institutionnelles renforcent l'intégration économique sous-régionale.</w:t>
      </w:r>
    </w:p>
    <w:p>
      <w:pPr>
        <w:pStyle w:val="Heading3"/>
      </w:pPr>
      <w:r>
        <w:rPr>
          <w:color w:val="500050"/>
        </w:rPr>
        <w:t>⚡ Impact estimé sur la BRVM</w:t>
      </w:r>
    </w:p>
    <w:p>
      <w:pPr>
        <w:spacing w:before="20" w:after="40"/>
        <w:ind w:left="280"/>
      </w:pPr>
      <w:r>
        <w:rPr>
          <w:i/>
          <w:sz w:val="18"/>
        </w:rPr>
        <w:t>Les sociétés opérant dans plusieurs pays CEDEAO (SGBC, BOAS, NSBC, ETIT) bénéficient de l'amélioration du climat des affaires et de la facilitation des échanges.</w:t>
      </w:r>
    </w:p>
    <w:p>
      <w:pPr>
        <w:pStyle w:val="Heading2"/>
      </w:pPr>
      <w:r>
        <w:rPr>
          <w:color w:val="8C4600"/>
        </w:rPr>
        <w:t>🏦 Plan UEMOA / Zone Franc</w:t>
      </w:r>
    </w:p>
    <w:p>
      <w:pPr>
        <w:spacing w:before="20" w:after="40"/>
        <w:ind w:left="0"/>
      </w:pPr>
      <w:r>
        <w:rPr>
          <w:sz w:val="18"/>
        </w:rPr>
        <w:t>Le Sénégal joue un rôle diplomatique actif (Guinée-Bissau, Sahara). Le Burkina Faso maintient un dialogue avec l'ONU. Pas de réforme institutionnelle majeure signalée.</w:t>
      </w:r>
    </w:p>
    <w:p>
      <w:pPr>
        <w:pStyle w:val="Heading3"/>
      </w:pPr>
      <w:r>
        <w:rPr>
          <w:color w:val="500050"/>
        </w:rPr>
        <w:t>⚡ Impact estimé sur la BRVM</w:t>
      </w:r>
    </w:p>
    <w:p>
      <w:pPr>
        <w:spacing w:before="20" w:after="40"/>
        <w:ind w:left="280"/>
      </w:pPr>
      <w:r>
        <w:rPr>
          <w:i/>
          <w:sz w:val="18"/>
        </w:rPr>
        <w:t>Le leadership diplomatique sénégalais renforce la stabilité UEMOA, favorable aux valeurs bancaires sénégalaises (SGBC, BICB) et à la confiance générale du marché.</w:t>
      </w:r>
    </w:p>
    <w:p>
      <w:pPr>
        <w:pStyle w:val="Heading2"/>
      </w:pPr>
      <w:r>
        <w:rPr>
          <w:color w:val="003366"/>
        </w:rPr>
        <w:t>📈 Plan BRVM</w:t>
      </w:r>
    </w:p>
    <w:p>
      <w:pPr>
        <w:spacing w:before="20" w:after="40"/>
        <w:ind w:left="0"/>
      </w:pPr>
      <w:r>
        <w:rPr>
          <w:sz w:val="18"/>
        </w:rPr>
        <w:t>Données insuffisantes sur la réglementation CREPMF, les nouvelles cotations et la gouvernance des sociétés.</w:t>
      </w:r>
    </w:p>
    <w:p>
      <w:pPr>
        <w:pStyle w:val="Heading3"/>
      </w:pPr>
      <w:r>
        <w:rPr>
          <w:color w:val="500050"/>
        </w:rPr>
        <w:t>⚡ Impact estimé sur la BRVM</w:t>
      </w:r>
    </w:p>
    <w:p>
      <w:pPr>
        <w:spacing w:before="20" w:after="40"/>
        <w:ind w:left="280"/>
      </w:pPr>
      <w:r>
        <w:rPr>
          <w:i/>
          <w:sz w:val="18"/>
        </w:rPr>
        <w:t>Absence de catalyseur réglementaire identifié ; le marché évolue sur ses fondamentaux actuels.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obligataires européens signalent une récession (08/10). Le pétrole bondit à 104,28 $ puis corrige (09/10). Les métaux précieux baissent (09/10). Volatilité accrue sur les matières premières.</w:t>
      </w:r>
    </w:p>
    <w:p>
      <w:pPr>
        <w:pStyle w:val="Heading3"/>
      </w:pPr>
      <w:r>
        <w:rPr>
          <w:color w:val="500050"/>
        </w:rPr>
        <w:t>⚡ Impact estimé sur la BRVM</w:t>
      </w:r>
    </w:p>
    <w:p>
      <w:pPr>
        <w:spacing w:before="20" w:after="40"/>
        <w:ind w:left="280"/>
      </w:pPr>
      <w:r>
        <w:rPr>
          <w:i/>
          <w:sz w:val="18"/>
        </w:rPr>
        <w:t>La volatilité mondiale pousse les investisseurs vers des actifs refuges, réduisant l'appétit pour les marchés frontières africains. Corrélation négative probable sur les volumes BRVM.</w:t>
      </w:r>
    </w:p>
    <w:p>
      <w:pPr>
        <w:pStyle w:val="Heading2"/>
      </w:pPr>
      <w:r>
        <w:rPr>
          <w:color w:val="006E32"/>
        </w:rPr>
        <w:t>🌍 Plan Africain</w:t>
      </w:r>
    </w:p>
    <w:p>
      <w:pPr>
        <w:spacing w:before="20" w:after="40"/>
        <w:ind w:left="0"/>
      </w:pPr>
      <w:r>
        <w:rPr>
          <w:sz w:val="18"/>
        </w:rPr>
        <w:t>Données insuffisantes sur les marchés obligataires africains, les eurobonds et les notations souveraines.</w:t>
      </w:r>
    </w:p>
    <w:p>
      <w:pPr>
        <w:pStyle w:val="Heading3"/>
      </w:pPr>
      <w:r>
        <w:rPr>
          <w:color w:val="500050"/>
        </w:rPr>
        <w:t>⚡ Impact estimé sur la BRVM</w:t>
      </w:r>
    </w:p>
    <w:p>
      <w:pPr>
        <w:spacing w:before="20" w:after="40"/>
        <w:ind w:left="280"/>
      </w:pPr>
      <w:r>
        <w:rPr>
          <w:i/>
          <w:sz w:val="18"/>
        </w:rPr>
        <w:t>Sans données sur les eurobonds, l'impact concurrentiel pour les capitaux reste indéterminé.</w:t>
      </w:r>
    </w:p>
    <w:p>
      <w:pPr>
        <w:pStyle w:val="Heading2"/>
      </w:pPr>
      <w:r>
        <w:rPr>
          <w:color w:val="145A28"/>
        </w:rPr>
        <w:t>🌍 Plan Afrique de l'Ouest</w:t>
      </w:r>
    </w:p>
    <w:p>
      <w:pPr>
        <w:spacing w:before="20" w:after="40"/>
        <w:ind w:left="0"/>
      </w:pPr>
      <w:r>
        <w:rPr>
          <w:sz w:val="18"/>
        </w:rPr>
        <w:t>Données insuffisantes sur les bourses régionales concurrentes et les flux de capitaux sous-régionaux.</w:t>
      </w:r>
    </w:p>
    <w:p>
      <w:pPr>
        <w:pStyle w:val="Heading3"/>
      </w:pPr>
      <w:r>
        <w:rPr>
          <w:color w:val="500050"/>
        </w:rPr>
        <w:t>⚡ Impact estimé sur la BRVM</w:t>
      </w:r>
    </w:p>
    <w:p>
      <w:pPr>
        <w:spacing w:before="20" w:after="40"/>
        <w:ind w:left="280"/>
      </w:pPr>
      <w:r>
        <w:rPr>
          <w:i/>
          <w:sz w:val="18"/>
        </w:rPr>
        <w:t>Positionnement de la BRVM comme place dominante de l'UEMOA non remis en cause faute de données concurrentielles.</w:t>
      </w:r>
    </w:p>
    <w:p>
      <w:pPr>
        <w:pStyle w:val="Heading2"/>
      </w:pPr>
      <w:r>
        <w:rPr>
          <w:color w:val="8C4600"/>
        </w:rPr>
        <w:t>🏦 Plan UEMOA / Zone Franc</w:t>
      </w:r>
    </w:p>
    <w:p>
      <w:pPr>
        <w:spacing w:before="20" w:after="40"/>
        <w:ind w:left="0"/>
      </w:pPr>
      <w:r>
        <w:rPr>
          <w:sz w:val="18"/>
        </w:rPr>
        <w:t>Données insuffisantes sur le marché des titres publics UEMOA, le taux interbancaire et la liquidité.</w:t>
      </w:r>
    </w:p>
    <w:p>
      <w:pPr>
        <w:pStyle w:val="Heading3"/>
      </w:pPr>
      <w:r>
        <w:rPr>
          <w:color w:val="500050"/>
        </w:rPr>
        <w:t>⚡ Impact estimé sur la BRVM</w:t>
      </w:r>
    </w:p>
    <w:p>
      <w:pPr>
        <w:spacing w:before="20" w:after="40"/>
        <w:ind w:left="280"/>
      </w:pPr>
      <w:r>
        <w:rPr>
          <w:i/>
          <w:sz w:val="18"/>
        </w:rPr>
        <w:t>L'arbitrage entre titres publics et actions BRVM reste indéterminé ; les investisseurs pourraient privilégier la sécurité des titres souverains en période d'incertitude.</w:t>
      </w:r>
    </w:p>
    <w:p>
      <w:pPr>
        <w:pStyle w:val="Heading2"/>
      </w:pPr>
      <w:r>
        <w:rPr>
          <w:color w:val="003366"/>
        </w:rPr>
        <w:t>📈 Plan BRVM</w:t>
      </w:r>
    </w:p>
    <w:p>
      <w:pPr>
        <w:spacing w:before="20" w:after="40"/>
        <w:ind w:left="0"/>
      </w:pPr>
      <w:r>
        <w:rPr>
          <w:sz w:val="18"/>
        </w:rPr>
        <w:t>L'indice BRVM Composite se situe à 546,86 points. Les résultats des sociétés cotées ivoiriennes sont encourageants (09/06). Données insuffisantes sur les volumes, top/flop et dividendes récents.</w:t>
      </w:r>
    </w:p>
    <w:p>
      <w:pPr>
        <w:pStyle w:val="Heading3"/>
      </w:pPr>
      <w:r>
        <w:rPr>
          <w:color w:val="500050"/>
        </w:rPr>
        <w:t>⚡ Impact estimé sur la BRVM</w:t>
      </w:r>
    </w:p>
    <w:p>
      <w:pPr>
        <w:spacing w:before="20" w:after="40"/>
        <w:ind w:left="280"/>
      </w:pPr>
      <w:r>
        <w:rPr>
          <w:i/>
          <w:sz w:val="18"/>
        </w:rPr>
        <w:t>Recommandations : ACHAT sur SGBC, BICB, ETIT (secteur financier dynamique) ; CONSERVATION sur ONTBF, SNTS (défensif télécoms) ; VIGILANCE sur PALC, SCRC, SOGC (exposition matières premières) ; NEUTRE sur SHEC (volatilité pétrole).</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macro reste fragile : ralentissement européen, volatilité du pétrole et des matières premières, incertitude sur les taux. Toutefois, la stabilité politique de l'UEMOA, le renforcement des institutions sous-régionales (FEWACCI, FMI) et les résultats encourageants des sociétés cotées ivoiriennes offrent un socle résilient. Recommandation : privilégier les valeurs bancaires (SGBC, BICB, ETIT) et télécoms défensives (ONTBF, SNTS), tout en réduisant l'exposition aux valeurs matières premières (PALC, SCRC, SOGC) jusqu'à clarification des tendances mondiales.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et des métaux précieux a baissé. - Vietnam.vn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2026-10-09</w:t>
            </w:r>
          </w:p>
        </w:tc>
        <w:tc>
          <w:tcPr>
            <w:tcW w:type="dxa" w:w="1728"/>
          </w:tcPr>
          <w:p>
            <w:r>
              <w:rPr>
                <w:sz w:val="14"/>
              </w:rPr>
              <w:t>Le prix du pétrole brut Brent se maintient autour de 100 dollars malgr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Pétrole : les prix à terme annoncent-ils une baisse à venir ? - Les Ec</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2026-10-08</w:t>
            </w:r>
          </w:p>
        </w:tc>
        <w:tc>
          <w:tcPr>
            <w:tcW w:type="dxa" w:w="1728"/>
          </w:tcPr>
          <w:p>
            <w:r>
              <w:rPr>
                <w:sz w:val="14"/>
              </w:rPr>
              <w:t>Risque de crise financière : quand la BCE devra choisir entre Paris et</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CEDEAO : le Général Birame Diop renforce le partenariat avec le FMI et</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Niger : le FMI valide un programme de 203 millions de dollars - Africt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La CEDEAO examine à Banjul les défis de la gestion des frontières en A</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Kako Nubukpo doute de la faisabilité d’une monnaie unique CEDEAO - Afr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2026-10-07</w:t>
            </w:r>
          </w:p>
        </w:tc>
        <w:tc>
          <w:tcPr>
            <w:tcW w:type="dxa" w:w="1728"/>
          </w:tcPr>
          <w:p>
            <w:r>
              <w:rPr>
                <w:sz w:val="14"/>
              </w:rPr>
              <w:t xml:space="preserve">Le président en exercice de la CEDEAO, Diomaye Faye installe à Abuja,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Rupture entre Sonko et Diomaye Faye au Sénégal: «Le pouvoir présidenti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Sénégal : Ousmane Sonko peut-il (vraiment) utiliser sa majorité à l’As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Rupture entre Sonko et Diomaye Faye au Sénégal: «Le pouvoir présidenti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Rupture entre Sonko et Diomaye Faye au Sénégal: «Le pouvoir présidenti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Rupture entre Sonko et Diomaye Faye au Sénégal: «Le pouvoir présidenti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Rupture entre Sonko et Diomaye Faye au Sénégal: «Le pouvoir présidenti</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Sénégal : Ousmane Sonko peut-il (vraiment) utiliser sa majorité à l’As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2026-10-10</w:t>
            </w:r>
          </w:p>
        </w:tc>
        <w:tc>
          <w:tcPr>
            <w:tcW w:type="dxa" w:w="1728"/>
          </w:tcPr>
          <w:p>
            <w:r>
              <w:rPr>
                <w:sz w:val="14"/>
              </w:rPr>
              <w:t>Sonatel fait voter la division de son action en assemblée extraordinai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FEWACCI : Mamadou Baldé explique les enjeux de son élection au poste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2026-10-10</w:t>
            </w:r>
          </w:p>
        </w:tc>
        <w:tc>
          <w:tcPr>
            <w:tcW w:type="dxa" w:w="1728"/>
          </w:tcPr>
          <w:p>
            <w:r>
              <w:rPr>
                <w:sz w:val="14"/>
              </w:rPr>
              <w:t>Sonatel fait voter la division de son action en assemblée extraordinai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Guinée-Bissau : le Sénégal appelle à l’apaisement politique et au dial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2026-10-09</w:t>
            </w:r>
          </w:p>
        </w:tc>
        <w:tc>
          <w:tcPr>
            <w:tcW w:type="dxa" w:w="1728"/>
          </w:tcPr>
          <w:p>
            <w:r>
              <w:rPr>
                <w:sz w:val="14"/>
              </w:rPr>
              <w:t>Sahara marocain : Le Sénégal, le Guatemala et le Panama réaffirment le</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2026-10-08</w:t>
            </w:r>
          </w:p>
        </w:tc>
        <w:tc>
          <w:tcPr>
            <w:tcW w:type="dxa" w:w="1728"/>
          </w:tcPr>
          <w:p>
            <w:r>
              <w:rPr>
                <w:sz w:val="14"/>
              </w:rPr>
              <w:t>Les marchés obligataires de la zone euro annoncent-ils une récession f</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2026-10-09</w:t>
            </w:r>
          </w:p>
        </w:tc>
        <w:tc>
          <w:tcPr>
            <w:tcW w:type="dxa" w:w="1728"/>
          </w:tcPr>
          <w:p>
            <w:r>
              <w:rPr>
                <w:sz w:val="14"/>
              </w:rPr>
              <w:t>Diplomatie économique : la Chambre de commerce de Guinée fait son entr</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2026-10-09</w:t>
            </w:r>
          </w:p>
        </w:tc>
        <w:tc>
          <w:tcPr>
            <w:tcW w:type="dxa" w:w="1728"/>
          </w:tcPr>
          <w:p>
            <w:r>
              <w:rPr>
                <w:sz w:val="14"/>
              </w:rPr>
              <w:t>Burkina Faso : le capitaine Traoré reçoit le patron de l'ONU à Ouagado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2026-10-10</w:t>
            </w:r>
          </w:p>
        </w:tc>
        <w:tc>
          <w:tcPr>
            <w:tcW w:type="dxa" w:w="1728"/>
          </w:tcPr>
          <w:p>
            <w:r>
              <w:rPr>
                <w:sz w:val="14"/>
              </w:rPr>
              <w:t>Sonatel fait voter la division de son action en assemblée extraordinai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2026-10-09</w:t>
            </w:r>
          </w:p>
        </w:tc>
        <w:tc>
          <w:tcPr>
            <w:tcW w:type="dxa" w:w="1728"/>
          </w:tcPr>
          <w:p>
            <w:r>
              <w:rPr>
                <w:sz w:val="14"/>
              </w:rPr>
              <w:t>Le prix du pétrole brut a bondi de 4 % pour atteindre 104,28 dollars l</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marche_financier  (1 alerte(s))</w:t>
      </w:r>
    </w:p>
    <w:p>
      <w:pPr>
        <w:spacing w:before="40" w:after="40"/>
        <w:ind w:left="360"/>
      </w:pPr>
      <w:r>
        <w:rPr>
          <w:color w:val="646464"/>
          <w:sz w:val="17"/>
        </w:rPr>
        <w:t xml:space="preserve">[10/10/2026] 🟢  </w:t>
      </w:r>
      <w:r>
        <w:rPr>
          <w:b/>
          <w:color w:val="008000"/>
          <w:sz w:val="18"/>
        </w:rPr>
        <w:t>Sonatel fait voter la division de son action en assemblée extraordinaire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Sonatel, l'opérateur télécoms historique du Sénégal coté à la BRVM, a convoqué une assemblée générale extraordinaire pour faire approuver la division de la valeur nominale de son action. Cette opération, souvent appelée split, vise à rendre le titre plus accessible aux petits investisseurs en réduisant son prix unitaire. Elle devrait améliorer la l</w:t>
      </w:r>
    </w:p>
    <w:p>
      <w:pPr>
        <w:spacing w:before="0" w:after="40"/>
        <w:ind w:left="600"/>
      </w:pPr>
      <w:r>
        <w:rPr>
          <w:color w:val="00643C"/>
          <w:sz w:val="16"/>
        </w:rPr>
        <w:t>Points clés : Sonatel convoque une AGE pour voter la division de son action (split).  •  Objectif : réduire le prix nominal pour améliorer l'accessibilité et la liquidité.  •  Opération soumise au vote des actionnaires.  •  Impact potentiellement positif sur le volume d'échanges à la BRVM.</w:t>
      </w:r>
    </w:p>
    <w:p>
      <w:pPr>
        <w:spacing w:before="0" w:after="60"/>
        <w:ind w:left="600"/>
      </w:pPr>
      <w:r>
        <w:rPr>
          <w:color w:val="0064B4"/>
          <w:sz w:val="15"/>
        </w:rPr>
        <w:t>Source : https://news.google.com/rss/articles/CBMiqAFBVV95cUxQTlM3Q1RPamlhWFlzRzY0YWlFSDF</w:t>
      </w:r>
    </w:p>
    <w:p>
      <w:pPr>
        <w:spacing w:before="120" w:after="40"/>
      </w:pPr>
      <w:r>
        <w:rPr>
          <w:b/>
          <w:color w:val="00467F"/>
          <w:sz w:val="20"/>
        </w:rPr>
        <w:t>🔑 économique  (5 alerte(s))</w:t>
      </w:r>
    </w:p>
    <w:p>
      <w:pPr>
        <w:spacing w:before="40" w:after="40"/>
        <w:ind w:left="360"/>
      </w:pPr>
      <w:r>
        <w:rPr>
          <w:color w:val="646464"/>
          <w:sz w:val="17"/>
        </w:rPr>
        <w:t xml:space="preserve">[09/10/2026] 🟢  </w:t>
      </w:r>
      <w:r>
        <w:rPr>
          <w:b/>
          <w:color w:val="008000"/>
          <w:sz w:val="18"/>
        </w:rPr>
        <w:t xml:space="preserve">FEWACCI : Mamadou Baldé explique les enjeux de son élection au poste de 3ᵉ vice-président et les ambitions de la Guinée </w:t>
      </w:r>
      <w:r>
        <w:rPr>
          <w:color w:val="787878"/>
          <w:sz w:val="15"/>
        </w:rPr>
        <w:t xml:space="preserve">  [économique]</w:t>
      </w:r>
      <w:r>
        <w:rPr>
          <w:color w:val="B47800"/>
          <w:sz w:val="16"/>
        </w:rPr>
        <w:t xml:space="preserve">  ★ 50/10</w:t>
      </w:r>
    </w:p>
    <w:p>
      <w:pPr>
        <w:spacing w:before="0" w:after="20"/>
        <w:ind w:left="600"/>
      </w:pPr>
      <w:r>
        <w:rPr>
          <w:color w:val="323232"/>
          <w:sz w:val="17"/>
        </w:rPr>
        <w:t>Mamadou Baldé a été élu 3ᵉ vice-président de la FEWACCI (Fédération des Chambres de Commerce et d'Industrie de l'Afrique de l'Ouest). Il explique les enjeux de cette élection pour la Guinée et les ambitions qu'il porte au sein de l'organisation. Cette nomination renforce la représentation guinéenne dans les instances économiques régionales.</w:t>
      </w:r>
    </w:p>
    <w:p>
      <w:pPr>
        <w:spacing w:before="0" w:after="40"/>
        <w:ind w:left="600"/>
      </w:pPr>
      <w:r>
        <w:rPr>
          <w:color w:val="00643C"/>
          <w:sz w:val="16"/>
        </w:rPr>
        <w:t>Points clés : Élection de Mamadou Baldé au poste de 3ᵉ vice-président de la FEWACCI  •  Enjeux pour la Guinée et ambitions portées par le nouveau vice-président  •  Renforcement de la présence guinéenne dans les instances économiques ouest-africaines</w:t>
      </w:r>
    </w:p>
    <w:p>
      <w:pPr>
        <w:spacing w:before="0" w:after="60"/>
        <w:ind w:left="600"/>
      </w:pPr>
      <w:r>
        <w:rPr>
          <w:color w:val="0064B4"/>
          <w:sz w:val="15"/>
        </w:rPr>
        <w:t>Source : https://news.google.com/rss/articles/CBMi8wFBVV95cUxNSU8yeU1OQmlqOFVNeHo2QV82Szd</w:t>
      </w:r>
    </w:p>
    <w:p>
      <w:pPr>
        <w:spacing w:before="40" w:after="40"/>
        <w:ind w:left="360"/>
      </w:pPr>
      <w:r>
        <w:rPr>
          <w:color w:val="646464"/>
          <w:sz w:val="17"/>
        </w:rPr>
        <w:t xml:space="preserve">[09/10/2026] 🟢  </w:t>
      </w:r>
      <w:r>
        <w:rPr>
          <w:b/>
          <w:color w:val="008000"/>
          <w:sz w:val="18"/>
        </w:rPr>
        <w:t>Diplomatie économique : la Chambre de commerce de Guinée fait son entrée au bureau de la FEWACCI - Africaguinee.com</w:t>
      </w:r>
      <w:r>
        <w:rPr>
          <w:color w:val="787878"/>
          <w:sz w:val="15"/>
        </w:rPr>
        <w:t xml:space="preserve">  [économique]</w:t>
      </w:r>
      <w:r>
        <w:rPr>
          <w:color w:val="B47800"/>
          <w:sz w:val="16"/>
        </w:rPr>
        <w:t xml:space="preserve">  ★ 50/10</w:t>
      </w:r>
    </w:p>
    <w:p>
      <w:pPr>
        <w:spacing w:before="0" w:after="20"/>
        <w:ind w:left="600"/>
      </w:pPr>
      <w:r>
        <w:rPr>
          <w:color w:val="323232"/>
          <w:sz w:val="17"/>
        </w:rPr>
        <w:t>La Chambre de commerce de Guinée a été élue pour siéger au bureau de la FEWACCI (Fédération des Chambres de Commerce et d'Industrie de l'Afrique de l'Ouest). Cette nomination renforce la représentation guinéenne au sein de l'organisation sous-régionale. Elle s'inscrit dans une dynamique de diplomatie économique visant à accroître l'influence du pay</w:t>
      </w:r>
    </w:p>
    <w:p>
      <w:pPr>
        <w:spacing w:before="0" w:after="40"/>
        <w:ind w:left="600"/>
      </w:pPr>
      <w:r>
        <w:rPr>
          <w:color w:val="00643C"/>
          <w:sz w:val="16"/>
        </w:rPr>
        <w:t>Points clés : La Chambre de commerce de Guinée intègre le bureau de la FEWACCI  •  Renforcement de la diplomatie économique guinéenne en Afrique de l'Ouest  •  Opportunité d'accroître l'influence commerciale régionale</w:t>
      </w:r>
    </w:p>
    <w:p>
      <w:pPr>
        <w:spacing w:before="0" w:after="60"/>
        <w:ind w:left="600"/>
      </w:pPr>
      <w:r>
        <w:rPr>
          <w:color w:val="0064B4"/>
          <w:sz w:val="15"/>
        </w:rPr>
        <w:t>Source : https://news.google.com/rss/articles/CBMiwgFBVV95cUxQS1Yta2ZLSzBWc21CaG9yTndXbEJ</w:t>
      </w:r>
    </w:p>
    <w:p>
      <w:pPr>
        <w:spacing w:before="40" w:after="40"/>
        <w:ind w:left="360"/>
      </w:pPr>
      <w:r>
        <w:rPr>
          <w:color w:val="646464"/>
          <w:sz w:val="17"/>
        </w:rPr>
        <w:t xml:space="preserve">[09/10/2026] 🔴  </w:t>
      </w:r>
      <w:r>
        <w:rPr>
          <w:b/>
          <w:color w:val="C00000"/>
          <w:sz w:val="18"/>
        </w:rPr>
        <w:t>Kako Nubukpo doute de la faisabilité d’une monnaie unique CEDEAO - Africtelegraph</w:t>
      </w:r>
      <w:r>
        <w:rPr>
          <w:color w:val="787878"/>
          <w:sz w:val="15"/>
        </w:rPr>
        <w:t xml:space="preserve">  [économique]</w:t>
      </w:r>
      <w:r>
        <w:rPr>
          <w:color w:val="B47800"/>
          <w:sz w:val="16"/>
        </w:rPr>
        <w:t xml:space="preserve">  ★ 50/10</w:t>
      </w:r>
    </w:p>
    <w:p>
      <w:pPr>
        <w:spacing w:before="0" w:after="20"/>
        <w:ind w:left="600"/>
      </w:pPr>
      <w:r>
        <w:rPr>
          <w:color w:val="323232"/>
          <w:sz w:val="17"/>
        </w:rPr>
        <w:t>L'économiste Kako Nubukpo exprime des doutes sur la faisabilité d'une monnaie unique pour la CEDEAO. Il remet en question les conditions économiques et politiques nécessaires à sa mise en œuvre. Cette position souligne les obstacles persistants à l'intégration monétaire régionale. Elle pourrait retarder les projets de convergence économique en Afri</w:t>
      </w:r>
    </w:p>
    <w:p>
      <w:pPr>
        <w:spacing w:before="0" w:after="40"/>
        <w:ind w:left="600"/>
      </w:pPr>
      <w:r>
        <w:rPr>
          <w:color w:val="00643C"/>
          <w:sz w:val="16"/>
        </w:rPr>
        <w:t>Points clés : Kako Nubukpo doute de la faisabilité de la monnaie unique CEDEAO  •  Les conditions économiques et politiques ne seraient pas réunies  •  Cela remet en cause le calendrier d'intégration monétaire régionale</w:t>
      </w:r>
    </w:p>
    <w:p>
      <w:pPr>
        <w:spacing w:before="0" w:after="60"/>
        <w:ind w:left="600"/>
      </w:pPr>
      <w:r>
        <w:rPr>
          <w:color w:val="0064B4"/>
          <w:sz w:val="15"/>
        </w:rPr>
        <w:t>Source : https://news.google.com/rss/articles/CBMinAFBVV95cUxOVmlZY0R5bGM4b2xNSFptR3FObEN</w:t>
      </w:r>
    </w:p>
    <w:p>
      <w:pPr>
        <w:spacing w:before="40" w:after="40"/>
        <w:ind w:left="360"/>
      </w:pPr>
      <w:r>
        <w:rPr>
          <w:color w:val="646464"/>
          <w:sz w:val="17"/>
        </w:rPr>
        <w:t xml:space="preserve">[09/10/2026] 🟢  </w:t>
      </w:r>
      <w:r>
        <w:rPr>
          <w:b/>
          <w:color w:val="008000"/>
          <w:sz w:val="18"/>
        </w:rPr>
        <w:t>Niger : le FMI valide un programme de 203 millions de dollars - Africtelegraph</w:t>
      </w:r>
      <w:r>
        <w:rPr>
          <w:color w:val="787878"/>
          <w:sz w:val="15"/>
        </w:rPr>
        <w:t xml:space="preserve">  [économique]</w:t>
      </w:r>
      <w:r>
        <w:rPr>
          <w:color w:val="B47800"/>
          <w:sz w:val="16"/>
        </w:rPr>
        <w:t xml:space="preserve">  ★ 50/10</w:t>
      </w:r>
    </w:p>
    <w:p>
      <w:pPr>
        <w:spacing w:before="0" w:after="20"/>
        <w:ind w:left="600"/>
      </w:pPr>
      <w:r>
        <w:rPr>
          <w:color w:val="323232"/>
          <w:sz w:val="17"/>
        </w:rPr>
        <w:t>Le FMI a validé un programme de financement de 203 millions de dollars en faveur du Niger. Cette approbation intervient dans un contexte économique difficile pour le pays, marqué par des pressions budgétaires et des besoins de financement extérieur. Le programme vise à soutenir les réformes économiques et à stabiliser les finances publiques nigérie</w:t>
      </w:r>
    </w:p>
    <w:p>
      <w:pPr>
        <w:spacing w:before="0" w:after="40"/>
        <w:ind w:left="600"/>
      </w:pPr>
      <w:r>
        <w:rPr>
          <w:color w:val="00643C"/>
          <w:sz w:val="16"/>
        </w:rPr>
        <w:t>Points clés : Le FMI approuve un programme de 203 millions de dollars pour le Niger.  •  Objectif : soutenir les réformes économiques et la stabilité budgétaire.  •  Le Niger fait face à des défis économiques et sécuritaires importants.  •  Cette validation peut améliorer la perception du risque pays dans la zone UEMOA.</w:t>
      </w:r>
    </w:p>
    <w:p>
      <w:pPr>
        <w:spacing w:before="0" w:after="60"/>
        <w:ind w:left="600"/>
      </w:pPr>
      <w:r>
        <w:rPr>
          <w:color w:val="0064B4"/>
          <w:sz w:val="15"/>
        </w:rPr>
        <w:t>Source : https://news.google.com/rss/articles/CBMilwFBVV95cUxQOElKajRrYmpiQy1rWmgyMU5BTmF</w:t>
      </w:r>
    </w:p>
    <w:p>
      <w:pPr>
        <w:spacing w:before="40" w:after="40"/>
        <w:ind w:left="360"/>
      </w:pPr>
      <w:r>
        <w:rPr>
          <w:color w:val="646464"/>
          <w:sz w:val="17"/>
        </w:rPr>
        <w:t xml:space="preserve">[09/10/2026] ⚪  </w:t>
      </w:r>
      <w:r>
        <w:rPr>
          <w:b/>
          <w:color w:val="505050"/>
          <w:sz w:val="18"/>
        </w:rPr>
        <w:t>La CEDEAO examine à Banjul les défis de la gestion des frontières en Afrique de l’Ouest - mafrique</w:t>
      </w:r>
      <w:r>
        <w:rPr>
          <w:color w:val="787878"/>
          <w:sz w:val="15"/>
        </w:rPr>
        <w:t xml:space="preserve">  [économique]</w:t>
      </w:r>
      <w:r>
        <w:rPr>
          <w:color w:val="B47800"/>
          <w:sz w:val="16"/>
        </w:rPr>
        <w:t xml:space="preserve">  ★ 50/10</w:t>
      </w:r>
    </w:p>
    <w:p>
      <w:pPr>
        <w:spacing w:before="0" w:after="20"/>
        <w:ind w:left="600"/>
      </w:pPr>
      <w:r>
        <w:rPr>
          <w:color w:val="323232"/>
          <w:sz w:val="17"/>
        </w:rPr>
        <w:t>La CEDEAO a organisé une réunion à Banjul pour examiner les défis liés à la gestion des frontières en Afrique de l'Ouest. Cette rencontre vise à améliorer la coordination et la sécurité aux frontières, un enjeu clé pour la libre circulation des personnes et des biens dans la région. Les discussions portent sur les obstacles administratifs, sécurita</w:t>
      </w:r>
    </w:p>
    <w:p>
      <w:pPr>
        <w:spacing w:before="0" w:after="40"/>
        <w:ind w:left="600"/>
      </w:pPr>
      <w:r>
        <w:rPr>
          <w:color w:val="00643C"/>
          <w:sz w:val="16"/>
        </w:rPr>
        <w:t>Points clés : Réunion de la CEDEAO à Banjul sur la gestion des frontières  •  Objectif : améliorer la coordination et la sécurité aux frontières  •  Enjeu : faciliter la libre circulation et le commerce intra-régional</w:t>
      </w:r>
    </w:p>
    <w:p>
      <w:pPr>
        <w:spacing w:before="0" w:after="60"/>
        <w:ind w:left="600"/>
      </w:pPr>
      <w:r>
        <w:rPr>
          <w:color w:val="0064B4"/>
          <w:sz w:val="15"/>
        </w:rPr>
        <w:t>Source : https://news.google.com/rss/articles/CBMiugFBVV95cUxNVDNvZTJDVTktZ0FYekRPOUM3VXp</w:t>
      </w:r>
    </w:p>
    <w:p>
      <w:pPr>
        <w:spacing w:before="120" w:after="40"/>
      </w:pPr>
      <w:r>
        <w:rPr>
          <w:b/>
          <w:color w:val="00467F"/>
          <w:sz w:val="20"/>
        </w:rPr>
        <w:t>🔑 politique  (9 alerte(s))</w:t>
      </w:r>
    </w:p>
    <w:p>
      <w:pPr>
        <w:spacing w:before="40" w:after="40"/>
        <w:ind w:left="360"/>
      </w:pPr>
      <w:r>
        <w:rPr>
          <w:color w:val="646464"/>
          <w:sz w:val="17"/>
        </w:rPr>
        <w:t xml:space="preserve">[09/10/2026] 🔴  </w:t>
      </w:r>
      <w:r>
        <w:rPr>
          <w:b/>
          <w:color w:val="C00000"/>
          <w:sz w:val="18"/>
        </w:rPr>
        <w:t>Sénégal : Ousmane Sonko peut-il (vraiment) utiliser sa majorité à l’Assemblée contre Bassirou Diomaye Faye ? - Jeune Afr</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examine la dynamique politique au Sénégal entre le Premier ministre Ousmane Sonko et le président Bassirou Diomaye Faye, en se demandant si Sonko peut utiliser sa majorité parlementaire contre le président. Il analyse les tensions potentielles au sein du pouvoir et les conséquences institutionnelles. Cette situation pourr</w:t>
      </w:r>
    </w:p>
    <w:p>
      <w:pPr>
        <w:spacing w:before="0" w:after="40"/>
        <w:ind w:left="600"/>
      </w:pPr>
      <w:r>
        <w:rPr>
          <w:color w:val="00643C"/>
          <w:sz w:val="16"/>
        </w:rPr>
        <w:t>Points clés : Relation entre Ousmane Sonko et Bassirou Diomaye Faye au sommet de l'État  •  Rôle de la majorité parlementaire acquise par Sonko  •  Risques de blocage institutionnel ou de conflit politique  •  Enjeux pour la stabilité politique du Sénégal</w:t>
      </w:r>
    </w:p>
    <w:p>
      <w:pPr>
        <w:spacing w:before="0" w:after="60"/>
        <w:ind w:left="600"/>
      </w:pPr>
      <w:r>
        <w:rPr>
          <w:color w:val="0064B4"/>
          <w:sz w:val="15"/>
        </w:rPr>
        <w:t>Source : https://news.google.com/rss/articles/CBMi4wFBVV95cUxNWmNnelR2WWc3bXJFYUJ0Uzc1azF</w:t>
      </w:r>
    </w:p>
    <w:p>
      <w:pPr>
        <w:spacing w:before="40" w:after="40"/>
        <w:ind w:left="360"/>
      </w:pPr>
      <w:r>
        <w:rPr>
          <w:color w:val="646464"/>
          <w:sz w:val="17"/>
        </w:rPr>
        <w:t xml:space="preserve">[09/10/2026] ⚪  </w:t>
      </w:r>
      <w:r>
        <w:rPr>
          <w:b/>
          <w:color w:val="505050"/>
          <w:sz w:val="18"/>
        </w:rPr>
        <w:t>Burkina Faso : le capitaine Traoré reçoit le patron de l'ONU à Ouagadougou et fixe ses priorités - Koaci</w:t>
      </w:r>
      <w:r>
        <w:rPr>
          <w:color w:val="787878"/>
          <w:sz w:val="15"/>
        </w:rPr>
        <w:t xml:space="preserve">  [politique]</w:t>
      </w:r>
      <w:r>
        <w:rPr>
          <w:color w:val="B47800"/>
          <w:sz w:val="16"/>
        </w:rPr>
        <w:t xml:space="preserve">  ★ 50/10</w:t>
      </w:r>
    </w:p>
    <w:p>
      <w:pPr>
        <w:spacing w:before="0" w:after="20"/>
        <w:ind w:left="600"/>
      </w:pPr>
      <w:r>
        <w:rPr>
          <w:color w:val="323232"/>
          <w:sz w:val="17"/>
        </w:rPr>
        <w:t>Le capitaine Ibrahim Traoré, président du Burkina Faso, a reçu le secrétaire général de l'ONU à Ouagadougou. Lors de cette rencontre, il a exposé ses priorités pour le pays, notamment la lutte contre le terrorisme et la souveraineté nationale. Cet échange s'inscrit dans un contexte de tensions régionales et de transitions politiques au Sahel. Les d</w:t>
      </w:r>
    </w:p>
    <w:p>
      <w:pPr>
        <w:spacing w:before="0" w:after="40"/>
        <w:ind w:left="600"/>
      </w:pPr>
      <w:r>
        <w:rPr>
          <w:color w:val="00643C"/>
          <w:sz w:val="16"/>
        </w:rPr>
        <w:t>Points clés : Réception du patron de l'ONU par le capitaine Traoré à Ouagadougou  •  Fixation des priorités nationales par le président burkinabè  •  Contexte de lutte contre le terrorisme et de souveraineté</w:t>
      </w:r>
    </w:p>
    <w:p>
      <w:pPr>
        <w:spacing w:before="0" w:after="60"/>
        <w:ind w:left="600"/>
      </w:pPr>
      <w:r>
        <w:rPr>
          <w:color w:val="0064B4"/>
          <w:sz w:val="15"/>
        </w:rPr>
        <w:t>Source : https://news.google.com/rss/articles/CBMi_gFBVV95cUxQMGtZSWpUX2FzTUJnNUJld0hzUUV</w:t>
      </w:r>
    </w:p>
    <w:p>
      <w:pPr>
        <w:spacing w:before="40" w:after="40"/>
        <w:ind w:left="360"/>
      </w:pPr>
      <w:r>
        <w:rPr>
          <w:color w:val="646464"/>
          <w:sz w:val="17"/>
        </w:rPr>
        <w:t xml:space="preserve">[09/10/2026] ⚪  </w:t>
      </w:r>
      <w:r>
        <w:rPr>
          <w:b/>
          <w:color w:val="505050"/>
          <w:sz w:val="18"/>
        </w:rPr>
        <w:t>Guinée-Bissau : le Sénégal appelle à l’apaisement politique et au dialogue - Teranga News</w:t>
      </w:r>
      <w:r>
        <w:rPr>
          <w:color w:val="787878"/>
          <w:sz w:val="15"/>
        </w:rPr>
        <w:t xml:space="preserve">  [politique]</w:t>
      </w:r>
      <w:r>
        <w:rPr>
          <w:color w:val="B47800"/>
          <w:sz w:val="16"/>
        </w:rPr>
        <w:t xml:space="preserve">  ★ 50/10</w:t>
      </w:r>
    </w:p>
    <w:p>
      <w:pPr>
        <w:spacing w:before="0" w:after="20"/>
        <w:ind w:left="600"/>
      </w:pPr>
      <w:r>
        <w:rPr>
          <w:color w:val="323232"/>
          <w:sz w:val="17"/>
        </w:rPr>
        <w:t>Le Sénégal a lancé un appel à l'apaisement politique et au dialogue en Guinée-Bissau, dans un contexte de tensions institutionnelles persistantes dans ce pays voisin membre de l'UEMOA. Cette prise de position s'inscrit dans la volonté de Dakar de préserver la stabilité régionale et de favoriser une sortie de crise par la voie pacifique. La Guinée-B</w:t>
      </w:r>
    </w:p>
    <w:p>
      <w:pPr>
        <w:spacing w:before="0" w:after="40"/>
        <w:ind w:left="600"/>
      </w:pPr>
      <w:r>
        <w:rPr>
          <w:color w:val="00643C"/>
          <w:sz w:val="16"/>
        </w:rPr>
        <w:t>Points clés : Appel du Sénégal à l'apaisement politique en Guinée-Bissau  •  Volonté de médiation régionale dans un contexte de tensions institutionnelles  •  Enjeu de stabilité pour l'espace UEMOA  •  Absence de mesures économiques ou financières annoncées</w:t>
      </w:r>
    </w:p>
    <w:p>
      <w:pPr>
        <w:spacing w:before="0" w:after="60"/>
        <w:ind w:left="600"/>
      </w:pPr>
      <w:r>
        <w:rPr>
          <w:color w:val="0064B4"/>
          <w:sz w:val="15"/>
        </w:rPr>
        <w:t>Source : https://news.google.com/rss/articles/CBMipgFBVV95cUxPWGx0blRGU2o1Wmk4U2VMclk3WjR</w:t>
      </w:r>
    </w:p>
    <w:p>
      <w:pPr>
        <w:spacing w:before="40" w:after="40"/>
        <w:ind w:left="360"/>
      </w:pPr>
      <w:r>
        <w:rPr>
          <w:color w:val="646464"/>
          <w:sz w:val="17"/>
        </w:rPr>
        <w:t xml:space="preserve">[09/10/2026] 🟢  </w:t>
      </w:r>
      <w:r>
        <w:rPr>
          <w:b/>
          <w:color w:val="008000"/>
          <w:sz w:val="18"/>
        </w:rPr>
        <w:t>Sahara marocain : Le Sénégal, le Guatemala et le Panama réaffirment leur soutien au plan d’autonomie - Linformation.ma</w:t>
      </w:r>
      <w:r>
        <w:rPr>
          <w:color w:val="787878"/>
          <w:sz w:val="15"/>
        </w:rPr>
        <w:t xml:space="preserve">  [politique]</w:t>
      </w:r>
      <w:r>
        <w:rPr>
          <w:color w:val="B47800"/>
          <w:sz w:val="16"/>
        </w:rPr>
        <w:t xml:space="preserve">  ★ 50/10</w:t>
      </w:r>
    </w:p>
    <w:p>
      <w:pPr>
        <w:spacing w:before="0" w:after="20"/>
        <w:ind w:left="600"/>
      </w:pPr>
      <w:r>
        <w:rPr>
          <w:color w:val="323232"/>
          <w:sz w:val="17"/>
        </w:rPr>
        <w:t>Le Sénégal, le Guatemala et le Panama ont réaffirmé leur soutien au plan d'autonomie marocain pour le Sahara, selon Linformation.ma. Cette annonce renforce la position diplomatique du Maroc sur la scène internationale. Elle intervient dans un contexte de reconnaissance croissante de l'initiative marocaine par plusieurs pays. Aucun impact direct sur</w:t>
      </w:r>
    </w:p>
    <w:p>
      <w:pPr>
        <w:spacing w:before="0" w:after="40"/>
        <w:ind w:left="600"/>
      </w:pPr>
      <w:r>
        <w:rPr>
          <w:color w:val="00643C"/>
          <w:sz w:val="16"/>
        </w:rPr>
        <w:t>Points clés : Le Sénégal, le Guatemala et le Panama soutiennent le plan d'autonomie marocain  •  Renforcement diplomatique du Maroc sur la question du Sahara  •  Aucune implication économique directe pour la zone UEMOA</w:t>
      </w:r>
    </w:p>
    <w:p>
      <w:pPr>
        <w:spacing w:before="0" w:after="60"/>
        <w:ind w:left="600"/>
      </w:pPr>
      <w:r>
        <w:rPr>
          <w:color w:val="0064B4"/>
          <w:sz w:val="15"/>
        </w:rPr>
        <w:t>Source : https://news.google.com/rss/articles/CBMi2gFBVV95cUxOY3NQM1VGbVZsOXVEbHRGY00zY0N</w:t>
      </w:r>
    </w:p>
    <w:p>
      <w:pPr>
        <w:spacing w:before="40" w:after="40"/>
        <w:ind w:left="360"/>
      </w:pPr>
      <w:r>
        <w:rPr>
          <w:color w:val="646464"/>
          <w:sz w:val="17"/>
        </w:rPr>
        <w:t xml:space="preserve">[09/10/2026] ⚪  </w:t>
      </w:r>
      <w:r>
        <w:rPr>
          <w:b/>
          <w:color w:val="505050"/>
          <w:sz w:val="18"/>
        </w:rPr>
        <w:t>Côte d'Ivoire : Nouvel organe électoral, Ezaley Philippe (PDCI) : « Nous avons effectivement soumis des suggestions, mai</w:t>
      </w:r>
      <w:r>
        <w:rPr>
          <w:color w:val="787878"/>
          <w:sz w:val="15"/>
        </w:rPr>
        <w:t xml:space="preserve">  [politique]</w:t>
      </w:r>
      <w:r>
        <w:rPr>
          <w:color w:val="B47800"/>
          <w:sz w:val="16"/>
        </w:rPr>
        <w:t xml:space="preserve">  ★ 50/10</w:t>
      </w:r>
    </w:p>
    <w:p>
      <w:pPr>
        <w:spacing w:before="0" w:after="20"/>
        <w:ind w:left="600"/>
      </w:pPr>
      <w:r>
        <w:rPr>
          <w:color w:val="323232"/>
          <w:sz w:val="17"/>
        </w:rPr>
        <w:t>Le PDCI, par la voix d'Ezaley Philippe, indique avoir soumis des suggestions concernant le nouvel organe électoral en Côte d'Ivoire, tout en soulignant la nécessité d'un dialogue avec le gouvernement. Cette déclaration intervient dans un contexte de discussions sur la composition et le fonctionnement de l'institution chargée des élections. Le parti</w:t>
      </w:r>
    </w:p>
    <w:p>
      <w:pPr>
        <w:spacing w:before="0" w:after="40"/>
        <w:ind w:left="600"/>
      </w:pPr>
      <w:r>
        <w:rPr>
          <w:color w:val="00643C"/>
          <w:sz w:val="16"/>
        </w:rPr>
        <w:t>Points clés : Le PDCI a soumis des suggestions sur le nouvel organe électoral  •  Le parti réclame un dialogue avec le gouvernement  •  Contexte de préparation des prochaines échéances électorales en Côte d'Ivoire</w:t>
      </w:r>
    </w:p>
    <w:p>
      <w:pPr>
        <w:spacing w:before="0" w:after="60"/>
        <w:ind w:left="600"/>
      </w:pPr>
      <w:r>
        <w:rPr>
          <w:color w:val="0064B4"/>
          <w:sz w:val="15"/>
        </w:rPr>
        <w:t>Source : https://news.google.com/rss/articles/CBMi2gJBVV95cUxPMHN1aGpJM09DV0dOVms5N2RMS2R</w:t>
      </w:r>
    </w:p>
    <w:p>
      <w:pPr>
        <w:spacing w:before="120" w:after="40"/>
      </w:pPr>
      <w:r>
        <w:rPr>
          <w:b/>
          <w:color w:val="00467F"/>
          <w:sz w:val="20"/>
        </w:rPr>
        <w:t>🔑 matieres_premieres  (3 alerte(s))</w:t>
      </w:r>
    </w:p>
    <w:p>
      <w:pPr>
        <w:spacing w:before="40" w:after="40"/>
        <w:ind w:left="360"/>
      </w:pPr>
      <w:r>
        <w:rPr>
          <w:color w:val="646464"/>
          <w:sz w:val="17"/>
        </w:rPr>
        <w:t xml:space="preserve">[09/10/2026] 🔴  </w:t>
      </w:r>
      <w:r>
        <w:rPr>
          <w:b/>
          <w:color w:val="C00000"/>
          <w:sz w:val="18"/>
        </w:rPr>
        <w:t>Le prix du pétrole brut et des métaux précieux a baissé.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brut et des métaux précieux a enregistré une baisse sur les marchés internationaux. Cette correction concerne à la fois les hydrocarbures et les métaux précieux comme l'or et l'argent. Les investisseurs suivent l'évolution de ces matières premières en raison de leur rôle de baromètre économique. Cette tendance pourrait influencer</w:t>
      </w:r>
    </w:p>
    <w:p>
      <w:pPr>
        <w:spacing w:before="0" w:after="40"/>
        <w:ind w:left="600"/>
      </w:pPr>
      <w:r>
        <w:rPr>
          <w:color w:val="00643C"/>
          <w:sz w:val="16"/>
        </w:rPr>
        <w:t>Points clés : Baisse simultanée du pétrole brut et des métaux précieux  •  Correction des prix sur les marchés internationaux  •  Impact potentiel sur les économies exportatrices de matières premières</w:t>
      </w:r>
    </w:p>
    <w:p>
      <w:pPr>
        <w:spacing w:before="0" w:after="60"/>
        <w:ind w:left="600"/>
      </w:pPr>
      <w:r>
        <w:rPr>
          <w:color w:val="0064B4"/>
          <w:sz w:val="15"/>
        </w:rPr>
        <w:t>Source : https://news.google.com/rss/articles/CBMic0FVX3lxTE5uTWw3M2ZrX210VHN2R205ZXRmamN</w:t>
      </w:r>
    </w:p>
    <w:p>
      <w:pPr>
        <w:spacing w:before="40" w:after="40"/>
        <w:ind w:left="360"/>
      </w:pPr>
      <w:r>
        <w:rPr>
          <w:color w:val="646464"/>
          <w:sz w:val="17"/>
        </w:rPr>
        <w:t xml:space="preserve">[09/10/2026] 🔴  </w:t>
      </w:r>
      <w:r>
        <w:rPr>
          <w:b/>
          <w:color w:val="C00000"/>
          <w:sz w:val="18"/>
        </w:rPr>
        <w:t>Le prix du pétrole brut a bondi de 4 % pour atteindre 104,28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brut a bondi de 4 % pour atteindre 104,28 dollars le baril, selon Vietnam.vn. Cette hausse significative reflète des tensions sur le marché des matières premières énergétiques. Elle pourrait avoir des répercussions sur les coûts de production et les prix à la consommation à l'échelle mondiale.</w:t>
      </w:r>
    </w:p>
    <w:p>
      <w:pPr>
        <w:spacing w:before="0" w:after="40"/>
        <w:ind w:left="600"/>
      </w:pPr>
      <w:r>
        <w:rPr>
          <w:color w:val="00643C"/>
          <w:sz w:val="16"/>
        </w:rPr>
        <w:t>Points clés : Hausse de 4 % du prix du pétrole brut  •  Prix atteignant 104,28 dollars le baril  •  Impact potentiel sur les marchés internationaux des matières premières</w:t>
      </w:r>
    </w:p>
    <w:p>
      <w:pPr>
        <w:spacing w:before="0" w:after="60"/>
        <w:ind w:left="600"/>
      </w:pPr>
      <w:r>
        <w:rPr>
          <w:color w:val="0064B4"/>
          <w:sz w:val="15"/>
        </w:rPr>
        <w:t>Source : https://news.google.com/rss/articles/CBMieEFVX3lxTE5wX3F6OGZwaEFfczhhemgtd0R2dWx</w:t>
      </w:r>
    </w:p>
    <w:p>
      <w:pPr>
        <w:spacing w:before="40" w:after="40"/>
        <w:ind w:left="360"/>
      </w:pPr>
      <w:r>
        <w:rPr>
          <w:color w:val="646464"/>
          <w:sz w:val="17"/>
        </w:rPr>
        <w:t xml:space="preserve">[09/10/2026] ⚪  </w:t>
      </w:r>
      <w:r>
        <w:rPr>
          <w:b/>
          <w:color w:val="505050"/>
          <w:sz w:val="18"/>
        </w:rPr>
        <w:t>Le prix du pétrole brut Brent se maintient autour de 100 dollars malgré une reprise de l'offre au Moyen-Orient. - Vietna</w:t>
      </w:r>
      <w:r>
        <w:rPr>
          <w:color w:val="787878"/>
          <w:sz w:val="15"/>
        </w:rPr>
        <w:t xml:space="preserve">  [matieres_premieres]</w:t>
      </w:r>
      <w:r>
        <w:rPr>
          <w:color w:val="B47800"/>
          <w:sz w:val="16"/>
        </w:rPr>
        <w:t xml:space="preserve">  ★ 50/10</w:t>
      </w:r>
    </w:p>
    <w:p>
      <w:pPr>
        <w:spacing w:before="0" w:after="20"/>
        <w:ind w:left="600"/>
      </w:pPr>
      <w:r>
        <w:rPr>
          <w:color w:val="323232"/>
          <w:sz w:val="17"/>
        </w:rPr>
        <w:t>Le prix du pétrole brut Brent se maintient autour de 100 dollars le baril, malgré une reprise de l'offre au Moyen-Orient. Cette stabilité suggère que la demande mondiale reste soutenue ou que d'autres facteurs géopolitiques compensent l'augmentation de l'offre. Pour les marchés financiers, notamment la BRVM, cette situation pourrait avoir des impli</w:t>
      </w:r>
    </w:p>
    <w:p>
      <w:pPr>
        <w:spacing w:before="0" w:after="40"/>
        <w:ind w:left="600"/>
      </w:pPr>
      <w:r>
        <w:rPr>
          <w:color w:val="00643C"/>
          <w:sz w:val="16"/>
        </w:rPr>
        <w:t>Points clés : Le Brent se maintient autour de 100 dollars malgré la reprise de l'offre au Moyen-Orient.  •  La stabilité des prix indique un équilibre entre offre et demande ou des tensions persistantes.  •  Impact potentiel sur les coûts énergétiques et les sociétés cotées à la BRVM.</w:t>
      </w:r>
    </w:p>
    <w:p>
      <w:pPr>
        <w:spacing w:before="0" w:after="60"/>
        <w:ind w:left="600"/>
      </w:pPr>
      <w:r>
        <w:rPr>
          <w:color w:val="0064B4"/>
          <w:sz w:val="15"/>
        </w:rPr>
        <w:t>Source : https://news.google.com/rss/articles/CBMimgFBVV95cUxObk5aWlV0dVRtT2Y0dktzYWJiRWd</w:t>
      </w:r>
    </w:p>
    <w:p>
      <w:pPr>
        <w:spacing w:before="120" w:after="40"/>
      </w:pPr>
      <w:r>
        <w:rPr>
          <w:b/>
          <w:color w:val="00467F"/>
          <w:sz w:val="20"/>
        </w:rPr>
        <w:t>🔑 politique_monetaire  (2 alerte(s))</w:t>
      </w:r>
    </w:p>
    <w:p>
      <w:pPr>
        <w:spacing w:before="40" w:after="40"/>
        <w:ind w:left="360"/>
      </w:pPr>
      <w:r>
        <w:rPr>
          <w:color w:val="646464"/>
          <w:sz w:val="17"/>
        </w:rPr>
        <w:t xml:space="preserve">[09/10/2026] ⚪  </w:t>
      </w:r>
      <w:r>
        <w:rPr>
          <w:b/>
          <w:color w:val="505050"/>
          <w:sz w:val="18"/>
        </w:rPr>
        <w:t>Les responsables de la Banque centrale européenne ne sont pas encore prêts à relever davantage les taux d'intérêt en oct</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Les responsables de la Banque centrale européenne (BCE) ne sont pas encore prêts à augmenter davantage les taux d'intérêt en octobre, selon un article de Vietnam.vn. Cette prudence suggère une pause dans le cycle de resserrement monétaire, alors que la BCE évalue l'impact des hausses précédentes sur l'inflation et la croissance. La décision finale </w:t>
      </w:r>
    </w:p>
    <w:p>
      <w:pPr>
        <w:spacing w:before="0" w:after="40"/>
        <w:ind w:left="600"/>
      </w:pPr>
      <w:r>
        <w:rPr>
          <w:color w:val="00643C"/>
          <w:sz w:val="16"/>
        </w:rPr>
        <w:t>Points clés : La BCE n'est pas prête à relever ses taux en octobre.  •  Une pause dans le resserrement monétaire est envisagée.  •  Les décisions futures dépendront des données économiques.</w:t>
      </w:r>
    </w:p>
    <w:p>
      <w:pPr>
        <w:spacing w:before="0" w:after="60"/>
        <w:ind w:left="600"/>
      </w:pPr>
      <w:r>
        <w:rPr>
          <w:color w:val="0064B4"/>
          <w:sz w:val="15"/>
        </w:rPr>
        <w:t>Source : https://news.google.com/rss/articles/CBMilwFBVV95cUxNd1lMaFFkTWoxZFByU2Z6ZjVCRlV</w:t>
      </w:r>
    </w:p>
    <w:p>
      <w:pPr>
        <w:spacing w:before="40" w:after="40"/>
        <w:ind w:left="360"/>
      </w:pPr>
      <w:r>
        <w:rPr>
          <w:color w:val="646464"/>
          <w:sz w:val="17"/>
        </w:rPr>
        <w:t xml:space="preserve">[08/10/2026] 🔴  </w:t>
      </w:r>
      <w:r>
        <w:rPr>
          <w:b/>
          <w:color w:val="C00000"/>
          <w:sz w:val="18"/>
        </w:rPr>
        <w:t>Les marchés obligataires de la zone euro annoncent-ils une récession face au ralentissement ? - Yahoo Finance France</w:t>
      </w:r>
      <w:r>
        <w:rPr>
          <w:color w:val="787878"/>
          <w:sz w:val="15"/>
        </w:rPr>
        <w:t xml:space="preserve">  [politique_monetaire]</w:t>
      </w:r>
      <w:r>
        <w:rPr>
          <w:color w:val="B47800"/>
          <w:sz w:val="16"/>
        </w:rPr>
        <w:t xml:space="preserve">  ★ 50/10</w:t>
      </w:r>
    </w:p>
    <w:p>
      <w:pPr>
        <w:spacing w:before="0" w:after="20"/>
        <w:ind w:left="600"/>
      </w:pPr>
      <w:r>
        <w:rPr>
          <w:color w:val="323232"/>
          <w:sz w:val="17"/>
        </w:rPr>
        <w:t>Les marchés obligataires de la zone euro envoient des signaux de plus en plus alarmants quant à une possible récession, alors que le ralentissement économique se confirme. L'inversion des courbes de rendement, notamment entre les taux allemands à 2 et 10 ans, est perçue comme un indicateur avancé de contraction. Les investisseurs s'inquiètent des e</w:t>
      </w:r>
    </w:p>
    <w:p>
      <w:pPr>
        <w:spacing w:before="0" w:after="40"/>
        <w:ind w:left="600"/>
      </w:pPr>
      <w:r>
        <w:rPr>
          <w:color w:val="00643C"/>
          <w:sz w:val="16"/>
        </w:rPr>
        <w:t>Points clés : Inversion de la courbe des taux en zone euro, signal classique de récession  •  Ralentissement économique confirmé par les dernières données  •  Politique monétaire restrictive de la BCE alimente les craintes  •  Impact potentiel sur les marchés financiers internationaux</w:t>
      </w:r>
    </w:p>
    <w:p>
      <w:pPr>
        <w:spacing w:before="0" w:after="60"/>
        <w:ind w:left="600"/>
      </w:pPr>
      <w:r>
        <w:rPr>
          <w:color w:val="0064B4"/>
          <w:sz w:val="15"/>
        </w:rPr>
        <w:t>Source : https://news.google.com/rss/articles/CBMiogFBVV95cUxQMVcwRldnaDB6cm1Kb0RKczctVVN</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3,190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7,800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2,250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8,250</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8,440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3,005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2,450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44,980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20,980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SEMC</w:t>
            </w:r>
          </w:p>
        </w:tc>
        <w:tc>
          <w:tcPr>
            <w:tcW w:type="dxa" w:w="1080"/>
            <w:shd w:fill="C6EFCE" w:val="clear"/>
          </w:tcPr>
          <w:p>
            <w:r>
              <w:rPr>
                <w:sz w:val="16"/>
              </w:rPr>
              <w:t>INDUSTRIELS</w:t>
            </w:r>
          </w:p>
        </w:tc>
        <w:tc>
          <w:tcPr>
            <w:tcW w:type="dxa" w:w="1080"/>
            <w:shd w:fill="C6EFCE" w:val="clear"/>
          </w:tcPr>
          <w:p>
            <w:r>
              <w:rPr>
                <w:sz w:val="16"/>
              </w:rPr>
              <w:t>1,495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14</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2,110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15</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16</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3,935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2,860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37,950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21,300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2,285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3,180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7,985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2,870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1,470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21,995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1,960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8,005</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11,295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30,005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10,400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4,105</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32,945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15,800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48,000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BOAN</w:t>
            </w:r>
          </w:p>
        </w:tc>
        <w:tc>
          <w:tcPr>
            <w:tcW w:type="dxa" w:w="1080"/>
            <w:shd w:fill="FEFEFE" w:val="clear"/>
          </w:tcPr>
          <w:p>
            <w:r>
              <w:rPr>
                <w:sz w:val="16"/>
              </w:rPr>
              <w:t>SERVICES FINANCIER</w:t>
            </w:r>
          </w:p>
        </w:tc>
        <w:tc>
          <w:tcPr>
            <w:tcW w:type="dxa" w:w="1080"/>
            <w:shd w:fill="FEFEFE" w:val="clear"/>
          </w:tcPr>
          <w:p>
            <w:r>
              <w:rPr>
                <w:sz w:val="16"/>
              </w:rPr>
              <w:t>4,785</w:t>
            </w:r>
          </w:p>
        </w:tc>
        <w:tc>
          <w:tcPr>
            <w:tcW w:type="dxa" w:w="1080"/>
            <w:shd w:fill="FEFEFE" w:val="clear"/>
          </w:tcPr>
          <w:p>
            <w:r>
              <w:rPr>
                <w:b/>
                <w:sz w:val="16"/>
              </w:rPr>
              <w:t>48/100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3,190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PALC</w:t>
            </w:r>
          </w:p>
        </w:tc>
        <w:tc>
          <w:tcPr>
            <w:tcW w:type="dxa" w:w="1728"/>
            <w:shd w:fill="DEEAF1" w:val="clear"/>
          </w:tcPr>
          <w:p>
            <w:r>
              <w:rPr>
                <w:sz w:val="17"/>
              </w:rPr>
              <w:t>PALC - PALM COTE D'IVOIRE</w:t>
            </w:r>
          </w:p>
        </w:tc>
        <w:tc>
          <w:tcPr>
            <w:tcW w:type="dxa" w:w="1728"/>
            <w:shd w:fill="DEEAF1" w:val="clear"/>
          </w:tcPr>
          <w:p>
            <w:r>
              <w:rPr>
                <w:sz w:val="17"/>
              </w:rPr>
              <w:t>7,800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2,250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8,250</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3,005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12,990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SEMC</w:t>
            </w:r>
          </w:p>
        </w:tc>
        <w:tc>
          <w:tcPr>
            <w:tcW w:type="dxa" w:w="1728"/>
            <w:shd w:fill="DEEAF1" w:val="clear"/>
          </w:tcPr>
          <w:p>
            <w:r>
              <w:rPr>
                <w:sz w:val="17"/>
              </w:rPr>
              <w:t>SEMC - EVIOSYS PACKAGING SIE</w:t>
            </w:r>
          </w:p>
        </w:tc>
        <w:tc>
          <w:tcPr>
            <w:tcW w:type="dxa" w:w="1728"/>
            <w:shd w:fill="DEEAF1" w:val="clear"/>
          </w:tcPr>
          <w:p>
            <w:r>
              <w:rPr>
                <w:sz w:val="17"/>
              </w:rPr>
              <w:t>1,495</w:t>
            </w:r>
          </w:p>
        </w:tc>
        <w:tc>
          <w:tcPr>
            <w:tcW w:type="dxa" w:w="1728"/>
            <w:shd w:fill="DEEAF1" w:val="clear"/>
          </w:tcPr>
          <w:p>
            <w:r>
              <w:rPr>
                <w:sz w:val="17"/>
              </w:rPr>
              <w:t>70/100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3,190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7,800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2,250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8,250</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8,440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3,005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2,450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39,000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3,190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7,800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2,250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8,250</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8,440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3,005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2,450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39,000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CABC — CABC - SICABLE COTE D'IVOIRE</w:t>
      </w:r>
    </w:p>
    <w:p>
      <w:pPr>
        <w:pStyle w:val="ListBullet"/>
        <w:spacing w:before="20"/>
        <w:ind w:left="400"/>
      </w:pPr>
      <w:r>
        <w:rPr>
          <w:sz w:val="18"/>
        </w:rPr>
        <w:t>⚠️ Cours à 0.2% du plus bas 100j (3,175 FCFA)</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Cours à 0.7% du plus bas 100j (1,460 FCFA)</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Cours à 1.1% du plus bas 100j (1,850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Cours à 2.2% du plus haut 100j (22,500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survente (29.2 &lt; 30) — opportunité potentielle</w:t>
      </w:r>
    </w:p>
    <w:p>
      <w:pPr>
        <w:pStyle w:val="ListBullet"/>
        <w:spacing w:before="20"/>
        <w:ind w:left="400"/>
      </w:pPr>
      <w:r>
        <w:rPr>
          <w:sz w:val="18"/>
        </w:rPr>
        <w:t>⚠️ Cours à 1.6% du plus bas 100j (7,680 FCFA)</w:t>
      </w:r>
    </w:p>
    <w:p>
      <w:pPr>
        <w:spacing w:before="120"/>
      </w:pPr>
      <w:r>
        <w:rPr>
          <w:b/>
          <w:color w:val="0050A0"/>
          <w:sz w:val="20"/>
        </w:rPr>
        <w:t>SIVC — SIVC - ERIUM CI (Ex AIR LIQUIDECI)</w:t>
      </w:r>
    </w:p>
    <w:p>
      <w:pPr>
        <w:pStyle w:val="ListBullet"/>
        <w:spacing w:before="20"/>
        <w:ind w:left="400"/>
      </w:pPr>
      <w:r>
        <w:rPr>
          <w:sz w:val="18"/>
        </w:rPr>
        <w:t>⚠️ Cours à 2.1% du plus bas 100j (1,920 FCFA)</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Cours à 2.8% du plus bas 100j (36,900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(76.6 &gt; 70) — risque de correction</w:t>
      </w:r>
    </w:p>
    <w:p>
      <w:pPr>
        <w:pStyle w:val="ListBullet"/>
        <w:spacing w:before="20"/>
        <w:ind w:left="400"/>
      </w:pPr>
      <w:r>
        <w:rPr>
          <w:sz w:val="18"/>
        </w:rPr>
        <w:t>⚠️ Cours à 0.0% du plus haut 100j (45,000 FCFA)</w:t>
      </w:r>
    </w:p>
    <w:p>
      <w:pPr>
        <w:spacing w:before="120"/>
      </w:pPr>
      <w:r>
        <w:rPr>
          <w:b/>
          <w:color w:val="0050A0"/>
          <w:sz w:val="20"/>
        </w:rPr>
        <w:t>UNLC — UNLC - UNILEVER COTE D'IVOIRE</w:t>
      </w:r>
    </w:p>
    <w:p>
      <w:pPr>
        <w:pStyle w:val="ListBullet"/>
        <w:spacing w:before="20"/>
        <w:ind w:left="400"/>
      </w:pPr>
      <w:r>
        <w:rPr>
          <w:sz w:val="18"/>
        </w:rPr>
        <w:t>⚠️ Cours à 1.7%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(17.0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(10,400 FCFA)</w:t>
      </w:r>
    </w:p>
    <w:p>
      <w:pPr>
        <w:spacing w:before="120"/>
      </w:pPr>
      <w:r>
        <w:rPr>
          <w:b/>
          <w:color w:val="0050A0"/>
          <w:sz w:val="20"/>
        </w:rPr>
        <w:t>BICB — BIIC BN - Banque internationale pour le commerce du benin</w:t>
      </w:r>
    </w:p>
    <w:p>
      <w:pPr>
        <w:pStyle w:val="ListBullet"/>
        <w:spacing w:before="20"/>
        <w:ind w:left="400"/>
      </w:pPr>
      <w:r>
        <w:rPr>
          <w:sz w:val="18"/>
        </w:rPr>
        <w:t>🟢 RSI survente (27.7 &lt; 30) — opportunité potentielle</w:t>
      </w:r>
    </w:p>
    <w:p>
      <w:pPr>
        <w:spacing w:before="120"/>
      </w:pPr>
      <w:r>
        <w:rPr>
          <w:b/>
          <w:color w:val="0050A0"/>
          <w:sz w:val="20"/>
        </w:rPr>
        <w:t>BNBC — BNBC - BERNABE CI</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Cours à 2.9% du plus haut 100j (8,500 FCFA)</w:t>
      </w:r>
    </w:p>
    <w:p>
      <w:pPr>
        <w:spacing w:before="120"/>
      </w:pPr>
      <w:r>
        <w:rPr>
          <w:b/>
          <w:color w:val="0050A0"/>
          <w:sz w:val="20"/>
        </w:rPr>
        <w:t>NEIC — NEIC - NEI-CEDA CI</w:t>
      </w:r>
    </w:p>
    <w:p>
      <w:pPr>
        <w:pStyle w:val="ListBullet"/>
        <w:spacing w:before="20"/>
        <w:ind w:left="400"/>
      </w:pPr>
      <w:r>
        <w:rPr>
          <w:sz w:val="18"/>
        </w:rPr>
        <w:t>🟢 RSI survente (19.6 &lt; 30) — opportunité potentielle</w:t>
      </w:r>
    </w:p>
    <w:p>
      <w:pPr>
        <w:spacing w:before="120"/>
      </w:pPr>
      <w:r>
        <w:rPr>
          <w:b/>
          <w:color w:val="0050A0"/>
          <w:sz w:val="20"/>
        </w:rPr>
        <w:t>NSBC — NSBC - NSIA BANQUE COTE D'IVOIRE</w:t>
      </w:r>
    </w:p>
    <w:p>
      <w:pPr>
        <w:pStyle w:val="ListBullet"/>
        <w:spacing w:before="20"/>
        <w:ind w:left="400"/>
      </w:pPr>
      <w:r>
        <w:rPr>
          <w:sz w:val="18"/>
        </w:rPr>
        <w:t>🟢 RSI survente (28.2 &lt; 30) — opportunité potentielle</w:t>
      </w:r>
    </w:p>
    <w:p>
      <w:pPr>
        <w:spacing w:before="120"/>
      </w:pPr>
      <w:r>
        <w:rPr>
          <w:b/>
          <w:color w:val="0050A0"/>
          <w:sz w:val="20"/>
        </w:rPr>
        <w:t>ONTBF — ONTBF - ONATEL BURKINA FASO</w:t>
      </w:r>
    </w:p>
    <w:p>
      <w:pPr>
        <w:pStyle w:val="ListBullet"/>
        <w:spacing w:before="20"/>
        <w:ind w:left="400"/>
      </w:pPr>
      <w:r>
        <w:rPr>
          <w:sz w:val="18"/>
        </w:rPr>
        <w:t>⚠️ Cours à 2.1% du plus haut 100j (3,070 FCFA)</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(25.1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(26.4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Cours à 2.2% du plus bas 100j (2,065 FCFA)</w:t>
      </w:r>
    </w:p>
    <w:p>
      <w:pPr>
        <w:spacing w:before="120"/>
      </w:pPr>
      <w:r>
        <w:rPr>
          <w:b/>
          <w:color w:val="0050A0"/>
          <w:sz w:val="20"/>
        </w:rPr>
        <w:t>STBC — STBC - SITAB COTE D'IVOIRE</w:t>
      </w:r>
    </w:p>
    <w:p>
      <w:pPr>
        <w:pStyle w:val="ListBullet"/>
        <w:spacing w:before="20"/>
        <w:ind w:left="400"/>
      </w:pPr>
      <w:r>
        <w:rPr>
          <w:sz w:val="18"/>
        </w:rPr>
        <w:t>⚠️ Cours à 1.9% du plus bas 100j (20,895 FCFA)</w:t>
      </w:r>
    </w:p>
    <w:p>
      <w:pPr>
        <w:spacing w:before="120"/>
      </w:pPr>
      <w:r>
        <w:rPr>
          <w:b/>
          <w:color w:val="0050A0"/>
          <w:sz w:val="20"/>
        </w:rPr>
        <w:t>TTLC — TTLC - TOTAL ENERGIES MARKETING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19.9/100</w:t>
            </w:r>
          </w:p>
        </w:tc>
        <w:tc>
          <w:tcPr>
            <w:tcW w:type="dxa" w:w="1644"/>
            <w:shd w:fill="DEEAF1" w:val="clear"/>
          </w:tcPr>
          <w:p>
            <w:r>
              <w:rPr>
                <w:b/>
                <w:color w:val="000000"/>
                <w:sz w:val="19"/>
              </w:rPr>
              <w:t>19.1/100</w:t>
            </w:r>
          </w:p>
        </w:tc>
      </w:tr>
    </w:tbl>
    <w:p/>
    <w:p>
      <w:r>
        <w:rPr>
          <w:i/>
          <w:color w:val="006400"/>
          <w:sz w:val="18"/>
        </w:rPr>
        <w:t>✅ Le marché BRVM présente globalement un profil de risque FAIBLE (score moyen 19.9/100).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32.8/100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SAFC (32.8/100 — Moyen) : </w:t>
      </w:r>
      <w:r>
        <w:rPr>
          <w:sz w:val="17"/>
        </w:rPr>
        <w:t>Volatilité=Élevée | Bêta=Agressif | Liquidité=Bonne | Divergence signaux=taux divergence=20% (Mixte ⚠️) | Stabilité=Modérée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SNTS (31.1/100 — Moyen) : </w:t>
      </w:r>
      <w:r>
        <w:rPr>
          <w:sz w:val="17"/>
        </w:rPr>
        <w:t>Volatilité=Élevée | Bêta=Agressif | Liquidité=Excellente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7.5/100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32.8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19.2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7.5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-0.58%  |  Médiane : -1.18%</w:t>
            </w:r>
          </w:p>
        </w:tc>
      </w:tr>
      <w:tr>
        <w:tc>
          <w:tcPr>
            <w:tcW w:type="dxa" w:w="2835"/>
            <w:shd w:fill="DEEAF1" w:val="clear"/>
          </w:tcPr>
          <w:p>
            <w:r>
              <w:rPr>
                <w:b/>
                <w:sz w:val="18"/>
              </w:rPr>
              <w:t>Répartition</w:t>
            </w:r>
          </w:p>
        </w:tc>
        <w:tc>
          <w:tcPr>
            <w:tcW w:type="dxa" w:w="7370"/>
          </w:tcPr>
          <w:p>
            <w:r>
              <w:rPr>
                <w:b/>
                <w:sz w:val="18"/>
              </w:rPr>
              <w:t>📈 13 sociétés en hausse (&gt;+1%)   📉 23 en baisse (&lt;-1%)   ➡️ 9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Les modèles n'anticipent pas de mouvement directionnel clair. La variation moyenne est de -0.58% avec 9 sociétés en zone neutre (±1%).</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2,450 FCFA</w:t>
            </w:r>
          </w:p>
        </w:tc>
        <w:tc>
          <w:tcPr>
            <w:tcW w:type="dxa" w:w="1417"/>
            <w:shd w:fill="FFFFFF" w:val="clear"/>
          </w:tcPr>
          <w:p>
            <w:r>
              <w:rPr>
                <w:sz w:val="16"/>
              </w:rPr>
              <w:t>3,181 FCFA</w:t>
            </w:r>
          </w:p>
        </w:tc>
        <w:tc>
          <w:tcPr>
            <w:tcW w:type="dxa" w:w="1134"/>
            <w:shd w:fill="C6EFCE" w:val="clear"/>
          </w:tcPr>
          <w:p>
            <w:r>
              <w:rPr>
                <w:b/>
                <w:color w:val="007800"/>
                <w:sz w:val="16"/>
              </w:rPr>
              <w:t>+29.82%</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21,300 FCFA</w:t>
            </w:r>
          </w:p>
        </w:tc>
        <w:tc>
          <w:tcPr>
            <w:tcW w:type="dxa" w:w="1417"/>
            <w:shd w:fill="FFFFFF" w:val="clear"/>
          </w:tcPr>
          <w:p>
            <w:r>
              <w:rPr>
                <w:sz w:val="16"/>
              </w:rPr>
              <w:t>24,099 FCFA</w:t>
            </w:r>
          </w:p>
        </w:tc>
        <w:tc>
          <w:tcPr>
            <w:tcW w:type="dxa" w:w="1134"/>
            <w:shd w:fill="C6EFCE" w:val="clear"/>
          </w:tcPr>
          <w:p>
            <w:r>
              <w:rPr>
                <w:b/>
                <w:color w:val="007800"/>
                <w:sz w:val="16"/>
              </w:rPr>
              <w:t>+13.14%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8,440 FCFA</w:t>
            </w:r>
          </w:p>
        </w:tc>
        <w:tc>
          <w:tcPr>
            <w:tcW w:type="dxa" w:w="1417"/>
            <w:shd w:fill="FFFFFF" w:val="clear"/>
          </w:tcPr>
          <w:p>
            <w:r>
              <w:rPr>
                <w:sz w:val="16"/>
              </w:rPr>
              <w:t>9,328 FCFA</w:t>
            </w:r>
          </w:p>
        </w:tc>
        <w:tc>
          <w:tcPr>
            <w:tcW w:type="dxa" w:w="1134"/>
            <w:shd w:fill="C6EFCE" w:val="clear"/>
          </w:tcPr>
          <w:p>
            <w:r>
              <w:rPr>
                <w:b/>
                <w:color w:val="007800"/>
                <w:sz w:val="16"/>
              </w:rPr>
              <w:t>+10.52%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CFAC — CFAC - CFAO MOTORS CI</w:t>
            </w:r>
          </w:p>
        </w:tc>
        <w:tc>
          <w:tcPr>
            <w:tcW w:type="dxa" w:w="1701"/>
            <w:shd w:fill="FFFFFF" w:val="clear"/>
          </w:tcPr>
          <w:p>
            <w:r>
              <w:rPr>
                <w:sz w:val="16"/>
              </w:rPr>
              <w:t>CONSOMMATION DISCRET</w:t>
            </w:r>
          </w:p>
        </w:tc>
        <w:tc>
          <w:tcPr>
            <w:tcW w:type="dxa" w:w="1417"/>
            <w:shd w:fill="FFFFFF" w:val="clear"/>
          </w:tcPr>
          <w:p>
            <w:r>
              <w:rPr>
                <w:sz w:val="16"/>
              </w:rPr>
              <w:t>1,470 FCFA</w:t>
            </w:r>
          </w:p>
        </w:tc>
        <w:tc>
          <w:tcPr>
            <w:tcW w:type="dxa" w:w="1417"/>
            <w:shd w:fill="FFFFFF" w:val="clear"/>
          </w:tcPr>
          <w:p>
            <w:r>
              <w:rPr>
                <w:sz w:val="16"/>
              </w:rPr>
              <w:t>1,552 FCFA</w:t>
            </w:r>
          </w:p>
        </w:tc>
        <w:tc>
          <w:tcPr>
            <w:tcW w:type="dxa" w:w="1134"/>
            <w:shd w:fill="C6EFCE" w:val="clear"/>
          </w:tcPr>
          <w:p>
            <w:r>
              <w:rPr>
                <w:b/>
                <w:color w:val="007800"/>
                <w:sz w:val="16"/>
              </w:rPr>
              <w:t>+5.56%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4,785 FCFA</w:t>
            </w:r>
          </w:p>
        </w:tc>
        <w:tc>
          <w:tcPr>
            <w:tcW w:type="dxa" w:w="1417"/>
            <w:shd w:fill="FFFFFF" w:val="clear"/>
          </w:tcPr>
          <w:p>
            <w:r>
              <w:rPr>
                <w:sz w:val="16"/>
              </w:rPr>
              <w:t>5,046 FCFA</w:t>
            </w:r>
          </w:p>
        </w:tc>
        <w:tc>
          <w:tcPr>
            <w:tcW w:type="dxa" w:w="1134"/>
            <w:shd w:fill="C6EFCE" w:val="clear"/>
          </w:tcPr>
          <w:p>
            <w:r>
              <w:rPr>
                <w:b/>
                <w:color w:val="007800"/>
                <w:sz w:val="16"/>
              </w:rPr>
              <w:t>+5.45%</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très forte (+29.8%) — signal potentiellement excessif, à croiser avec l'analyse technique. Trajectoire : 📈 Hausse continue. Cours actuel : 2,450 FCFA → prédit J+10 : 3,181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(+13.1%) — potentiel de revalorisation notable. Trajectoire : 📈 Hausse continue. Cours actuel : 21,300 FCFA → prédit J+10 : 24,099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significative (+10.5%) — potentiel de revalorisation notable. Trajectoire : 📈 Hausse continue. Cours actuel : 8,440 FCFA → prédit J+10 : 9,328 FCFA. ⚠️ Confiance limitée — volatilité élevée ou données insuffisantes. Résultat indicatif uniquement.</w:t>
      </w:r>
    </w:p>
    <w:p>
      <w:pPr>
        <w:pStyle w:val="ListBullet"/>
      </w:pPr>
      <w:r>
        <w:rPr>
          <w:b/>
          <w:color w:val="006400"/>
          <w:sz w:val="18"/>
        </w:rPr>
        <w:t xml:space="preserve">#4 CFAC </w:t>
      </w:r>
      <w:r>
        <w:rPr>
          <w:sz w:val="17"/>
        </w:rPr>
        <w:t>(CFAC - CFAO MOTORS CI) — hausse modérée (+5.6%) — signal raisonnable et crédible. Trajectoire : 📈 Hausse continue. Cours actuel : 1,470 FCFA → prédit J+10 : 1,552 FCFA. ⚠️ Confiance limitée — volatilité élevée ou données insuffisantes. Résultat indicatif uniquement.</w:t>
      </w:r>
    </w:p>
    <w:p>
      <w:pPr>
        <w:pStyle w:val="ListBullet"/>
      </w:pPr>
      <w:r>
        <w:rPr>
          <w:b/>
          <w:color w:val="006400"/>
          <w:sz w:val="18"/>
        </w:rPr>
        <w:t xml:space="preserve">#5 BOAN </w:t>
      </w:r>
      <w:r>
        <w:rPr>
          <w:sz w:val="17"/>
        </w:rPr>
        <w:t>(BANK OF AFRICA NIGER) — hausse modérée (+5.4%) — signal raisonnable et crédible. Trajectoire : 📈 Hausse continue. Cours actuel : 4,785 FCFA → prédit J+10 : 5,046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8,250 FCFA</w:t>
            </w:r>
          </w:p>
        </w:tc>
        <w:tc>
          <w:tcPr>
            <w:tcW w:type="dxa" w:w="1417"/>
            <w:shd w:fill="FFFFFF" w:val="clear"/>
          </w:tcPr>
          <w:p>
            <w:r>
              <w:rPr>
                <w:sz w:val="16"/>
              </w:rPr>
              <w:t>7,163 FCFA</w:t>
            </w:r>
          </w:p>
        </w:tc>
        <w:tc>
          <w:tcPr>
            <w:tcW w:type="dxa" w:w="1134"/>
            <w:shd w:fill="FFC7CE" w:val="clear"/>
          </w:tcPr>
          <w:p>
            <w:r>
              <w:rPr>
                <w:b/>
                <w:color w:val="B40000"/>
                <w:sz w:val="16"/>
              </w:rPr>
              <w:t>-13.17%</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20,980 FCFA</w:t>
            </w:r>
          </w:p>
        </w:tc>
        <w:tc>
          <w:tcPr>
            <w:tcW w:type="dxa" w:w="1417"/>
            <w:shd w:fill="FFFFFF" w:val="clear"/>
          </w:tcPr>
          <w:p>
            <w:r>
              <w:rPr>
                <w:sz w:val="16"/>
              </w:rPr>
              <w:t>18,790 FCFA</w:t>
            </w:r>
          </w:p>
        </w:tc>
        <w:tc>
          <w:tcPr>
            <w:tcW w:type="dxa" w:w="1134"/>
            <w:shd w:fill="FFC7CE" w:val="clear"/>
          </w:tcPr>
          <w:p>
            <w:r>
              <w:rPr>
                <w:b/>
                <w:color w:val="B40000"/>
                <w:sz w:val="16"/>
              </w:rPr>
              <w:t>-10.44%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6,100 FCFA</w:t>
            </w:r>
          </w:p>
        </w:tc>
        <w:tc>
          <w:tcPr>
            <w:tcW w:type="dxa" w:w="1417"/>
            <w:shd w:fill="FFFFFF" w:val="clear"/>
          </w:tcPr>
          <w:p>
            <w:r>
              <w:rPr>
                <w:sz w:val="16"/>
              </w:rPr>
              <w:t>5,511 FCFA</w:t>
            </w:r>
          </w:p>
        </w:tc>
        <w:tc>
          <w:tcPr>
            <w:tcW w:type="dxa" w:w="1134"/>
            <w:shd w:fill="FFC7CE" w:val="clear"/>
          </w:tcPr>
          <w:p>
            <w:r>
              <w:rPr>
                <w:b/>
                <w:color w:val="B40000"/>
                <w:sz w:val="16"/>
              </w:rPr>
              <w:t>-9.66%</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2,285 FCFA</w:t>
            </w:r>
          </w:p>
        </w:tc>
        <w:tc>
          <w:tcPr>
            <w:tcW w:type="dxa" w:w="1417"/>
            <w:shd w:fill="FFFFFF" w:val="clear"/>
          </w:tcPr>
          <w:p>
            <w:r>
              <w:rPr>
                <w:sz w:val="16"/>
              </w:rPr>
              <w:t>2,132 FCFA</w:t>
            </w:r>
          </w:p>
        </w:tc>
        <w:tc>
          <w:tcPr>
            <w:tcW w:type="dxa" w:w="1134"/>
            <w:shd w:fill="FFC7CE" w:val="clear"/>
          </w:tcPr>
          <w:p>
            <w:r>
              <w:rPr>
                <w:b/>
                <w:color w:val="B40000"/>
                <w:sz w:val="16"/>
              </w:rPr>
              <w:t>-6.68%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1,870 FCFA</w:t>
            </w:r>
          </w:p>
        </w:tc>
        <w:tc>
          <w:tcPr>
            <w:tcW w:type="dxa" w:w="1417"/>
            <w:shd w:fill="FFFFFF" w:val="clear"/>
          </w:tcPr>
          <w:p>
            <w:r>
              <w:rPr>
                <w:sz w:val="16"/>
              </w:rPr>
              <w:t>1,752 FCFA</w:t>
            </w:r>
          </w:p>
        </w:tc>
        <w:tc>
          <w:tcPr>
            <w:tcW w:type="dxa" w:w="1134"/>
            <w:shd w:fill="FFC7CE" w:val="clear"/>
          </w:tcPr>
          <w:p>
            <w:r>
              <w:rPr>
                <w:b/>
                <w:color w:val="B40000"/>
                <w:sz w:val="16"/>
              </w:rPr>
              <w:t>-6.34%</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(-13.2%) — repli technique attendu. Trajectoire : 📉 Baisse continue. Cours actuel : 8,250 FCFA → prédit J+10 : 7,163 FCFA. Confiance partielle — surveiller l'évolution réelle des premiers jours.</w:t>
      </w:r>
    </w:p>
    <w:p>
      <w:pPr>
        <w:pStyle w:val="ListBullet"/>
      </w:pPr>
      <w:r>
        <w:rPr>
          <w:b/>
          <w:color w:val="B40000"/>
          <w:sz w:val="18"/>
        </w:rPr>
        <w:t xml:space="preserve">#2 NSBC </w:t>
      </w:r>
      <w:r>
        <w:rPr>
          <w:sz w:val="17"/>
        </w:rPr>
        <w:t>(NSBC - NSIA BANQUE COTE D'IVOIRE) — baisse modérée (-10.4%) — repli technique attendu. Trajectoire : 📉 Baisse continue. Cours actuel : 20,980 FCFA → prédit J+10 : 18,790 FCFA. ⚠️ Confiance limitée — volatilité élevée. Ne pas agir sur ce seul signal.</w:t>
      </w:r>
    </w:p>
    <w:p>
      <w:pPr>
        <w:pStyle w:val="ListBullet"/>
      </w:pPr>
      <w:r>
        <w:rPr>
          <w:b/>
          <w:color w:val="B40000"/>
          <w:sz w:val="18"/>
        </w:rPr>
        <w:t xml:space="preserve">#3 BOAM </w:t>
      </w:r>
      <w:r>
        <w:rPr>
          <w:sz w:val="17"/>
        </w:rPr>
        <w:t>(BANK OF AFRICA MALI) — baisse modérée (-9.7%) — repli technique attendu. Trajectoire : 📉 Baisse continue. Cours actuel : 6,100 FCFA → prédit J+10 : 5,511 FCFA. ⚠️ Confiance limitée — volatilité élevée. Ne pas agir sur ce seul signal.</w:t>
      </w:r>
    </w:p>
    <w:p>
      <w:pPr>
        <w:pStyle w:val="ListBullet"/>
      </w:pPr>
      <w:r>
        <w:rPr>
          <w:b/>
          <w:color w:val="B40000"/>
          <w:sz w:val="18"/>
        </w:rPr>
        <w:t xml:space="preserve">#4 UNXC </w:t>
      </w:r>
      <w:r>
        <w:rPr>
          <w:sz w:val="17"/>
        </w:rPr>
        <w:t>(UNXC - UNIWAX COTE D'IVOIRE) — baisse modérée (-6.7%) — repli technique attendu. Trajectoire : 📉 Baisse continue. Cours actuel : 2,285 FCFA → prédit J+10 : 2,132 FCFA. ⚠️ Confiance limitée — volatilité élevée. Ne pas agir sur ce seul signal.</w:t>
      </w:r>
    </w:p>
    <w:p>
      <w:pPr>
        <w:pStyle w:val="ListBullet"/>
      </w:pPr>
      <w:r>
        <w:rPr>
          <w:b/>
          <w:color w:val="B40000"/>
          <w:sz w:val="18"/>
        </w:rPr>
        <w:t xml:space="preserve">#5 FTSC </w:t>
      </w:r>
      <w:r>
        <w:rPr>
          <w:sz w:val="17"/>
        </w:rPr>
        <w:t>(FTSC - FILTISAC COTE D'IVOIRE) — baisse modérée (-6.3%) — repli technique attendu. Trajectoire : 📉 Baisse continue. Cours actuel : 1,870 FCFA → prédit J+10 : 1,752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2,450</w:t>
            </w:r>
          </w:p>
        </w:tc>
        <w:tc>
          <w:tcPr>
            <w:tcW w:type="dxa" w:w="1417"/>
            <w:shd w:fill="FFFFFF" w:val="clear"/>
          </w:tcPr>
          <w:p>
            <w:r>
              <w:rPr>
                <w:sz w:val="16"/>
              </w:rPr>
              <w:t>3,181</w:t>
            </w:r>
          </w:p>
        </w:tc>
        <w:tc>
          <w:tcPr>
            <w:tcW w:type="dxa" w:w="1134"/>
            <w:shd w:fill="C6EFCE" w:val="clear"/>
          </w:tcPr>
          <w:p>
            <w:r>
              <w:rPr>
                <w:b/>
                <w:color w:val="007800"/>
                <w:sz w:val="16"/>
              </w:rPr>
              <w:t>+29.82%</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21,300</w:t>
            </w:r>
          </w:p>
        </w:tc>
        <w:tc>
          <w:tcPr>
            <w:tcW w:type="dxa" w:w="1417"/>
            <w:shd w:fill="FFFFFF" w:val="clear"/>
          </w:tcPr>
          <w:p>
            <w:r>
              <w:rPr>
                <w:sz w:val="16"/>
              </w:rPr>
              <w:t>24,099</w:t>
            </w:r>
          </w:p>
        </w:tc>
        <w:tc>
          <w:tcPr>
            <w:tcW w:type="dxa" w:w="1134"/>
            <w:shd w:fill="C6EFCE" w:val="clear"/>
          </w:tcPr>
          <w:p>
            <w:r>
              <w:rPr>
                <w:b/>
                <w:color w:val="007800"/>
                <w:sz w:val="16"/>
              </w:rPr>
              <w:t>+13.14%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8,440</w:t>
            </w:r>
          </w:p>
        </w:tc>
        <w:tc>
          <w:tcPr>
            <w:tcW w:type="dxa" w:w="1417"/>
            <w:shd w:fill="FFFFFF" w:val="clear"/>
          </w:tcPr>
          <w:p>
            <w:r>
              <w:rPr>
                <w:sz w:val="16"/>
              </w:rPr>
              <w:t>9,328</w:t>
            </w:r>
          </w:p>
        </w:tc>
        <w:tc>
          <w:tcPr>
            <w:tcW w:type="dxa" w:w="1134"/>
            <w:shd w:fill="C6EFCE" w:val="clear"/>
          </w:tcPr>
          <w:p>
            <w:r>
              <w:rPr>
                <w:b/>
                <w:color w:val="007800"/>
                <w:sz w:val="16"/>
              </w:rPr>
              <w:t>+10.52%</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1,470</w:t>
            </w:r>
          </w:p>
        </w:tc>
        <w:tc>
          <w:tcPr>
            <w:tcW w:type="dxa" w:w="1417"/>
            <w:shd w:fill="FFFFFF" w:val="clear"/>
          </w:tcPr>
          <w:p>
            <w:r>
              <w:rPr>
                <w:sz w:val="16"/>
              </w:rPr>
              <w:t>1,552</w:t>
            </w:r>
          </w:p>
        </w:tc>
        <w:tc>
          <w:tcPr>
            <w:tcW w:type="dxa" w:w="1134"/>
            <w:shd w:fill="C6EFCE" w:val="clear"/>
          </w:tcPr>
          <w:p>
            <w:r>
              <w:rPr>
                <w:b/>
                <w:color w:val="007800"/>
                <w:sz w:val="16"/>
              </w:rPr>
              <w:t>+5.56%</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4,785</w:t>
            </w:r>
          </w:p>
        </w:tc>
        <w:tc>
          <w:tcPr>
            <w:tcW w:type="dxa" w:w="1417"/>
            <w:shd w:fill="FFFFFF" w:val="clear"/>
          </w:tcPr>
          <w:p>
            <w:r>
              <w:rPr>
                <w:sz w:val="16"/>
              </w:rPr>
              <w:t>5,046</w:t>
            </w:r>
          </w:p>
        </w:tc>
        <w:tc>
          <w:tcPr>
            <w:tcW w:type="dxa" w:w="1134"/>
            <w:shd w:fill="C6EFCE" w:val="clear"/>
          </w:tcPr>
          <w:p>
            <w:r>
              <w:rPr>
                <w:b/>
                <w:color w:val="007800"/>
                <w:sz w:val="16"/>
              </w:rPr>
              <w:t>+5.45%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37,950</w:t>
            </w:r>
          </w:p>
        </w:tc>
        <w:tc>
          <w:tcPr>
            <w:tcW w:type="dxa" w:w="1417"/>
            <w:shd w:fill="FFFFFF" w:val="clear"/>
          </w:tcPr>
          <w:p>
            <w:r>
              <w:rPr>
                <w:sz w:val="16"/>
              </w:rPr>
              <w:t>39,199</w:t>
            </w:r>
          </w:p>
        </w:tc>
        <w:tc>
          <w:tcPr>
            <w:tcW w:type="dxa" w:w="1134"/>
            <w:shd w:fill="C6EFCE" w:val="clear"/>
          </w:tcPr>
          <w:p>
            <w:r>
              <w:rPr>
                <w:b/>
                <w:color w:val="007800"/>
                <w:sz w:val="16"/>
              </w:rPr>
              <w:t>+3.29%</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1,960</w:t>
            </w:r>
          </w:p>
        </w:tc>
        <w:tc>
          <w:tcPr>
            <w:tcW w:type="dxa" w:w="1417"/>
            <w:shd w:fill="FFFFFF" w:val="clear"/>
          </w:tcPr>
          <w:p>
            <w:r>
              <w:rPr>
                <w:sz w:val="16"/>
              </w:rPr>
              <w:t>2,011</w:t>
            </w:r>
          </w:p>
        </w:tc>
        <w:tc>
          <w:tcPr>
            <w:tcW w:type="dxa" w:w="1134"/>
            <w:shd w:fill="C6EFCE" w:val="clear"/>
          </w:tcPr>
          <w:p>
            <w:r>
              <w:rPr>
                <w:b/>
                <w:color w:val="007800"/>
                <w:sz w:val="16"/>
              </w:rPr>
              <w:t>+2.61%</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15,000</w:t>
            </w:r>
          </w:p>
        </w:tc>
        <w:tc>
          <w:tcPr>
            <w:tcW w:type="dxa" w:w="1417"/>
            <w:shd w:fill="FFFFFF" w:val="clear"/>
          </w:tcPr>
          <w:p>
            <w:r>
              <w:rPr>
                <w:sz w:val="16"/>
              </w:rPr>
              <w:t>15,224</w:t>
            </w:r>
          </w:p>
        </w:tc>
        <w:tc>
          <w:tcPr>
            <w:tcW w:type="dxa" w:w="1134"/>
            <w:shd w:fill="C6EFCE" w:val="clear"/>
          </w:tcPr>
          <w:p>
            <w:r>
              <w:rPr>
                <w:b/>
                <w:color w:val="007800"/>
                <w:sz w:val="16"/>
              </w:rPr>
              <w:t>+1.49%</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11,295</w:t>
            </w:r>
          </w:p>
        </w:tc>
        <w:tc>
          <w:tcPr>
            <w:tcW w:type="dxa" w:w="1417"/>
            <w:shd w:fill="FFFFFF" w:val="clear"/>
          </w:tcPr>
          <w:p>
            <w:r>
              <w:rPr>
                <w:sz w:val="16"/>
              </w:rPr>
              <w:t>11,458</w:t>
            </w:r>
          </w:p>
        </w:tc>
        <w:tc>
          <w:tcPr>
            <w:tcW w:type="dxa" w:w="1134"/>
            <w:shd w:fill="C6EFCE" w:val="clear"/>
          </w:tcPr>
          <w:p>
            <w:r>
              <w:rPr>
                <w:b/>
                <w:color w:val="007800"/>
                <w:sz w:val="16"/>
              </w:rPr>
              <w:t>+1.45%</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2,110</w:t>
            </w:r>
          </w:p>
        </w:tc>
        <w:tc>
          <w:tcPr>
            <w:tcW w:type="dxa" w:w="1417"/>
            <w:shd w:fill="FFFFFF" w:val="clear"/>
          </w:tcPr>
          <w:p>
            <w:r>
              <w:rPr>
                <w:sz w:val="16"/>
              </w:rPr>
              <w:t>2,139</w:t>
            </w:r>
          </w:p>
        </w:tc>
        <w:tc>
          <w:tcPr>
            <w:tcW w:type="dxa" w:w="1134"/>
            <w:shd w:fill="C6EFCE" w:val="clear"/>
          </w:tcPr>
          <w:p>
            <w:r>
              <w:rPr>
                <w:b/>
                <w:color w:val="007800"/>
                <w:sz w:val="16"/>
              </w:rPr>
              <w:t>+1.37%</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1,800</w:t>
            </w:r>
          </w:p>
        </w:tc>
        <w:tc>
          <w:tcPr>
            <w:tcW w:type="dxa" w:w="1417"/>
            <w:shd w:fill="FFFFFF" w:val="clear"/>
          </w:tcPr>
          <w:p>
            <w:r>
              <w:rPr>
                <w:sz w:val="16"/>
              </w:rPr>
              <w:t>1,822</w:t>
            </w:r>
          </w:p>
        </w:tc>
        <w:tc>
          <w:tcPr>
            <w:tcW w:type="dxa" w:w="1134"/>
            <w:shd w:fill="C6EFCE" w:val="clear"/>
          </w:tcPr>
          <w:p>
            <w:r>
              <w:rPr>
                <w:b/>
                <w:color w:val="007800"/>
                <w:sz w:val="16"/>
              </w:rPr>
              <w:t>+1.24%</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12,990</w:t>
            </w:r>
          </w:p>
        </w:tc>
        <w:tc>
          <w:tcPr>
            <w:tcW w:type="dxa" w:w="1417"/>
            <w:shd w:fill="FFFFFF" w:val="clear"/>
          </w:tcPr>
          <w:p>
            <w:r>
              <w:rPr>
                <w:sz w:val="16"/>
              </w:rPr>
              <w:t>13,122</w:t>
            </w:r>
          </w:p>
        </w:tc>
        <w:tc>
          <w:tcPr>
            <w:tcW w:type="dxa" w:w="1134"/>
            <w:shd w:fill="C6EFCE" w:val="clear"/>
          </w:tcPr>
          <w:p>
            <w:r>
              <w:rPr>
                <w:b/>
                <w:color w:val="007800"/>
                <w:sz w:val="16"/>
              </w:rPr>
              <w:t>+1.01%</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2,250</w:t>
            </w:r>
          </w:p>
        </w:tc>
        <w:tc>
          <w:tcPr>
            <w:tcW w:type="dxa" w:w="1417"/>
            <w:shd w:fill="FFFFFF" w:val="clear"/>
          </w:tcPr>
          <w:p>
            <w:r>
              <w:rPr>
                <w:sz w:val="16"/>
              </w:rPr>
              <w:t>2,273</w:t>
            </w:r>
          </w:p>
        </w:tc>
        <w:tc>
          <w:tcPr>
            <w:tcW w:type="dxa" w:w="1134"/>
            <w:shd w:fill="C6EFCE" w:val="clear"/>
          </w:tcPr>
          <w:p>
            <w:r>
              <w:rPr>
                <w:b/>
                <w:color w:val="007800"/>
                <w:sz w:val="16"/>
              </w:rPr>
              <w:t>+1.00%</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16,800</w:t>
            </w:r>
          </w:p>
        </w:tc>
        <w:tc>
          <w:tcPr>
            <w:tcW w:type="dxa" w:w="1417"/>
            <w:shd w:fill="FFFFFF" w:val="clear"/>
          </w:tcPr>
          <w:p>
            <w:r>
              <w:rPr>
                <w:sz w:val="16"/>
              </w:rPr>
              <w:t>16,949</w:t>
            </w:r>
          </w:p>
        </w:tc>
        <w:tc>
          <w:tcPr>
            <w:tcW w:type="dxa" w:w="1134"/>
            <w:shd w:fill="FFEB9C" w:val="clear"/>
          </w:tcPr>
          <w:p>
            <w:r>
              <w:rPr>
                <w:b/>
                <w:color w:val="646400"/>
                <w:sz w:val="16"/>
              </w:rPr>
              <w:t>+0.89%</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2,860</w:t>
            </w:r>
          </w:p>
        </w:tc>
        <w:tc>
          <w:tcPr>
            <w:tcW w:type="dxa" w:w="1417"/>
            <w:shd w:fill="FFFFFF" w:val="clear"/>
          </w:tcPr>
          <w:p>
            <w:r>
              <w:rPr>
                <w:sz w:val="16"/>
              </w:rPr>
              <w:t>2,882</w:t>
            </w:r>
          </w:p>
        </w:tc>
        <w:tc>
          <w:tcPr>
            <w:tcW w:type="dxa" w:w="1134"/>
            <w:shd w:fill="FFEB9C" w:val="clear"/>
          </w:tcPr>
          <w:p>
            <w:r>
              <w:rPr>
                <w:b/>
                <w:color w:val="646400"/>
                <w:sz w:val="16"/>
              </w:rPr>
              <w:t>+0.78%</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4,105</w:t>
            </w:r>
          </w:p>
        </w:tc>
        <w:tc>
          <w:tcPr>
            <w:tcW w:type="dxa" w:w="1417"/>
            <w:shd w:fill="FFFFFF" w:val="clear"/>
          </w:tcPr>
          <w:p>
            <w:r>
              <w:rPr>
                <w:sz w:val="16"/>
              </w:rPr>
              <w:t>4,133</w:t>
            </w:r>
          </w:p>
        </w:tc>
        <w:tc>
          <w:tcPr>
            <w:tcW w:type="dxa" w:w="1134"/>
            <w:shd w:fill="FFEB9C" w:val="clear"/>
          </w:tcPr>
          <w:p>
            <w:r>
              <w:rPr>
                <w:b/>
                <w:color w:val="646400"/>
                <w:sz w:val="16"/>
              </w:rPr>
              <w:t>+0.69%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3,935</w:t>
            </w:r>
          </w:p>
        </w:tc>
        <w:tc>
          <w:tcPr>
            <w:tcW w:type="dxa" w:w="1417"/>
            <w:shd w:fill="FFFFFF" w:val="clear"/>
          </w:tcPr>
          <w:p>
            <w:r>
              <w:rPr>
                <w:sz w:val="16"/>
              </w:rPr>
              <w:t>3,957</w:t>
            </w:r>
          </w:p>
        </w:tc>
        <w:tc>
          <w:tcPr>
            <w:tcW w:type="dxa" w:w="1134"/>
            <w:shd w:fill="FFEB9C" w:val="clear"/>
          </w:tcPr>
          <w:p>
            <w:r>
              <w:rPr>
                <w:b/>
                <w:color w:val="646400"/>
                <w:sz w:val="16"/>
              </w:rPr>
              <w:t>+0.55%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4,150</w:t>
            </w:r>
          </w:p>
        </w:tc>
        <w:tc>
          <w:tcPr>
            <w:tcW w:type="dxa" w:w="1417"/>
            <w:shd w:fill="FFFFFF" w:val="clear"/>
          </w:tcPr>
          <w:p>
            <w:r>
              <w:rPr>
                <w:sz w:val="16"/>
              </w:rPr>
              <w:t>4,164</w:t>
            </w:r>
          </w:p>
        </w:tc>
        <w:tc>
          <w:tcPr>
            <w:tcW w:type="dxa" w:w="1134"/>
            <w:shd w:fill="FFEB9C" w:val="clear"/>
          </w:tcPr>
          <w:p>
            <w:r>
              <w:rPr>
                <w:b/>
                <w:color w:val="646400"/>
                <w:sz w:val="16"/>
              </w:rPr>
              <w:t>+0.33%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3,180</w:t>
            </w:r>
          </w:p>
        </w:tc>
        <w:tc>
          <w:tcPr>
            <w:tcW w:type="dxa" w:w="1417"/>
            <w:shd w:fill="FFFFFF" w:val="clear"/>
          </w:tcPr>
          <w:p>
            <w:r>
              <w:rPr>
                <w:sz w:val="16"/>
              </w:rPr>
              <w:t>3,183</w:t>
            </w:r>
          </w:p>
        </w:tc>
        <w:tc>
          <w:tcPr>
            <w:tcW w:type="dxa" w:w="1134"/>
            <w:shd w:fill="FFEB9C" w:val="clear"/>
          </w:tcPr>
          <w:p>
            <w:r>
              <w:rPr>
                <w:b/>
                <w:color w:val="646400"/>
                <w:sz w:val="16"/>
              </w:rPr>
              <w:t>+0.09%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2,870</w:t>
            </w:r>
          </w:p>
        </w:tc>
        <w:tc>
          <w:tcPr>
            <w:tcW w:type="dxa" w:w="1417"/>
            <w:shd w:fill="FFFFFF" w:val="clear"/>
          </w:tcPr>
          <w:p>
            <w:r>
              <w:rPr>
                <w:sz w:val="16"/>
              </w:rPr>
              <w:t>2,869</w:t>
            </w:r>
          </w:p>
        </w:tc>
        <w:tc>
          <w:tcPr>
            <w:tcW w:type="dxa" w:w="1134"/>
            <w:shd w:fill="FFEB9C" w:val="clear"/>
          </w:tcPr>
          <w:p>
            <w:r>
              <w:rPr>
                <w:b/>
                <w:color w:val="646400"/>
                <w:sz w:val="16"/>
              </w:rPr>
              <w:t>-0.04%</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48,000</w:t>
            </w:r>
          </w:p>
        </w:tc>
        <w:tc>
          <w:tcPr>
            <w:tcW w:type="dxa" w:w="1417"/>
            <w:shd w:fill="FFFFFF" w:val="clear"/>
          </w:tcPr>
          <w:p>
            <w:r>
              <w:rPr>
                <w:sz w:val="16"/>
              </w:rPr>
              <w:t>47,914</w:t>
            </w:r>
          </w:p>
        </w:tc>
        <w:tc>
          <w:tcPr>
            <w:tcW w:type="dxa" w:w="1134"/>
            <w:shd w:fill="FFEB9C" w:val="clear"/>
          </w:tcPr>
          <w:p>
            <w:r>
              <w:rPr>
                <w:b/>
                <w:color w:val="646400"/>
                <w:sz w:val="16"/>
              </w:rPr>
              <w:t>-0.18%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15,800</w:t>
            </w:r>
          </w:p>
        </w:tc>
        <w:tc>
          <w:tcPr>
            <w:tcW w:type="dxa" w:w="1417"/>
            <w:shd w:fill="FFFFFF" w:val="clear"/>
          </w:tcPr>
          <w:p>
            <w:r>
              <w:rPr>
                <w:sz w:val="16"/>
              </w:rPr>
              <w:t>15,647</w:t>
            </w:r>
          </w:p>
        </w:tc>
        <w:tc>
          <w:tcPr>
            <w:tcW w:type="dxa" w:w="1134"/>
            <w:shd w:fill="FFEB9C" w:val="clear"/>
          </w:tcPr>
          <w:p>
            <w:r>
              <w:rPr>
                <w:b/>
                <w:color w:val="646400"/>
                <w:sz w:val="16"/>
              </w:rPr>
              <w:t>-0.97%</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44,980</w:t>
            </w:r>
          </w:p>
        </w:tc>
        <w:tc>
          <w:tcPr>
            <w:tcW w:type="dxa" w:w="1417"/>
            <w:shd w:fill="FFFFFF" w:val="clear"/>
          </w:tcPr>
          <w:p>
            <w:r>
              <w:rPr>
                <w:sz w:val="16"/>
              </w:rPr>
              <w:t>44,448</w:t>
            </w:r>
          </w:p>
        </w:tc>
        <w:tc>
          <w:tcPr>
            <w:tcW w:type="dxa" w:w="1134"/>
            <w:shd w:fill="FFC7CE" w:val="clear"/>
          </w:tcPr>
          <w:p>
            <w:r>
              <w:rPr>
                <w:b/>
                <w:color w:val="B40000"/>
                <w:sz w:val="16"/>
              </w:rPr>
              <w:t>-1.18%</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3,650</w:t>
            </w:r>
          </w:p>
        </w:tc>
        <w:tc>
          <w:tcPr>
            <w:tcW w:type="dxa" w:w="1417"/>
            <w:shd w:fill="FFFFFF" w:val="clear"/>
          </w:tcPr>
          <w:p>
            <w:r>
              <w:rPr>
                <w:sz w:val="16"/>
              </w:rPr>
              <w:t>3,590</w:t>
            </w:r>
          </w:p>
        </w:tc>
        <w:tc>
          <w:tcPr>
            <w:tcW w:type="dxa" w:w="1134"/>
            <w:shd w:fill="FFC7CE" w:val="clear"/>
          </w:tcPr>
          <w:p>
            <w:r>
              <w:rPr>
                <w:b/>
                <w:color w:val="B40000"/>
                <w:sz w:val="16"/>
              </w:rPr>
              <w:t>-1.64%</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38,175</w:t>
            </w:r>
          </w:p>
        </w:tc>
        <w:tc>
          <w:tcPr>
            <w:tcW w:type="dxa" w:w="1134"/>
            <w:shd w:fill="FFC7CE" w:val="clear"/>
          </w:tcPr>
          <w:p>
            <w:r>
              <w:rPr>
                <w:b/>
                <w:color w:val="B40000"/>
                <w:sz w:val="16"/>
              </w:rPr>
              <w:t>-2.12%</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66</w:t>
            </w:r>
          </w:p>
        </w:tc>
        <w:tc>
          <w:tcPr>
            <w:tcW w:type="dxa" w:w="1134"/>
            <w:shd w:fill="FFC7CE" w:val="clear"/>
          </w:tcPr>
          <w:p>
            <w:r>
              <w:rPr>
                <w:b/>
                <w:color w:val="B40000"/>
                <w:sz w:val="16"/>
              </w:rPr>
              <w:t>-2.22%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21,995</w:t>
            </w:r>
          </w:p>
        </w:tc>
        <w:tc>
          <w:tcPr>
            <w:tcW w:type="dxa" w:w="1417"/>
            <w:shd w:fill="FFFFFF" w:val="clear"/>
          </w:tcPr>
          <w:p>
            <w:r>
              <w:rPr>
                <w:sz w:val="16"/>
              </w:rPr>
              <w:t>21,497</w:t>
            </w:r>
          </w:p>
        </w:tc>
        <w:tc>
          <w:tcPr>
            <w:tcW w:type="dxa" w:w="1134"/>
            <w:shd w:fill="FFC7CE" w:val="clear"/>
          </w:tcPr>
          <w:p>
            <w:r>
              <w:rPr>
                <w:b/>
                <w:color w:val="B40000"/>
                <w:sz w:val="16"/>
              </w:rPr>
              <w:t>-2.26%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2,925</w:t>
            </w:r>
          </w:p>
        </w:tc>
        <w:tc>
          <w:tcPr>
            <w:tcW w:type="dxa" w:w="1134"/>
            <w:shd w:fill="FFC7CE" w:val="clear"/>
          </w:tcPr>
          <w:p>
            <w:r>
              <w:rPr>
                <w:b/>
                <w:color w:val="B40000"/>
                <w:sz w:val="16"/>
              </w:rPr>
              <w:t>-2.49%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9,400</w:t>
            </w:r>
          </w:p>
        </w:tc>
        <w:tc>
          <w:tcPr>
            <w:tcW w:type="dxa" w:w="1417"/>
            <w:shd w:fill="FFFFFF" w:val="clear"/>
          </w:tcPr>
          <w:p>
            <w:r>
              <w:rPr>
                <w:sz w:val="16"/>
              </w:rPr>
              <w:t>9,154</w:t>
            </w:r>
          </w:p>
        </w:tc>
        <w:tc>
          <w:tcPr>
            <w:tcW w:type="dxa" w:w="1134"/>
            <w:shd w:fill="FFC7CE" w:val="clear"/>
          </w:tcPr>
          <w:p>
            <w:r>
              <w:rPr>
                <w:b/>
                <w:color w:val="B40000"/>
                <w:sz w:val="16"/>
              </w:rPr>
              <w:t>-2.62%</w:t>
            </w:r>
          </w:p>
        </w:tc>
        <w:tc>
          <w:tcPr>
            <w:tcW w:type="dxa" w:w="1134"/>
            <w:shd w:fill="FFEB9C" w:val="clear"/>
          </w:tcPr>
          <w:p>
            <w:r>
              <w:rPr>
                <w:sz w:val="16"/>
              </w:rPr>
              <w:t>Moyenne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6,300</w:t>
            </w:r>
          </w:p>
        </w:tc>
        <w:tc>
          <w:tcPr>
            <w:tcW w:type="dxa" w:w="1417"/>
            <w:shd w:fill="FFFFFF" w:val="clear"/>
          </w:tcPr>
          <w:p>
            <w:r>
              <w:rPr>
                <w:sz w:val="16"/>
              </w:rPr>
              <w:t>6,128</w:t>
            </w:r>
          </w:p>
        </w:tc>
        <w:tc>
          <w:tcPr>
            <w:tcW w:type="dxa" w:w="1134"/>
            <w:shd w:fill="FFC7CE" w:val="clear"/>
          </w:tcPr>
          <w:p>
            <w:r>
              <w:rPr>
                <w:b/>
                <w:color w:val="B40000"/>
                <w:sz w:val="16"/>
              </w:rPr>
              <w:t>-2.73%</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8,005</w:t>
            </w:r>
          </w:p>
        </w:tc>
        <w:tc>
          <w:tcPr>
            <w:tcW w:type="dxa" w:w="1417"/>
            <w:shd w:fill="FFFFFF" w:val="clear"/>
          </w:tcPr>
          <w:p>
            <w:r>
              <w:rPr>
                <w:sz w:val="16"/>
              </w:rPr>
              <w:t>7,765</w:t>
            </w:r>
          </w:p>
        </w:tc>
        <w:tc>
          <w:tcPr>
            <w:tcW w:type="dxa" w:w="1134"/>
            <w:shd w:fill="FFC7CE" w:val="clear"/>
          </w:tcPr>
          <w:p>
            <w:r>
              <w:rPr>
                <w:b/>
                <w:color w:val="B40000"/>
                <w:sz w:val="16"/>
              </w:rPr>
              <w:t>-2.99%</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7,985</w:t>
            </w:r>
          </w:p>
        </w:tc>
        <w:tc>
          <w:tcPr>
            <w:tcW w:type="dxa" w:w="1417"/>
            <w:shd w:fill="FFFFFF" w:val="clear"/>
          </w:tcPr>
          <w:p>
            <w:r>
              <w:rPr>
                <w:sz w:val="16"/>
              </w:rPr>
              <w:t>7,725</w:t>
            </w:r>
          </w:p>
        </w:tc>
        <w:tc>
          <w:tcPr>
            <w:tcW w:type="dxa" w:w="1134"/>
            <w:shd w:fill="FFC7CE" w:val="clear"/>
          </w:tcPr>
          <w:p>
            <w:r>
              <w:rPr>
                <w:b/>
                <w:color w:val="B40000"/>
                <w:sz w:val="16"/>
              </w:rPr>
              <w:t>-3.26%</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7,800</w:t>
            </w:r>
          </w:p>
        </w:tc>
        <w:tc>
          <w:tcPr>
            <w:tcW w:type="dxa" w:w="1417"/>
            <w:shd w:fill="FFFFFF" w:val="clear"/>
          </w:tcPr>
          <w:p>
            <w:r>
              <w:rPr>
                <w:sz w:val="16"/>
              </w:rPr>
              <w:t>7,526</w:t>
            </w:r>
          </w:p>
        </w:tc>
        <w:tc>
          <w:tcPr>
            <w:tcW w:type="dxa" w:w="1134"/>
            <w:shd w:fill="FFC7CE" w:val="clear"/>
          </w:tcPr>
          <w:p>
            <w:r>
              <w:rPr>
                <w:b/>
                <w:color w:val="B40000"/>
                <w:sz w:val="16"/>
              </w:rPr>
              <w:t>-3.52%</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3,005</w:t>
            </w:r>
          </w:p>
        </w:tc>
        <w:tc>
          <w:tcPr>
            <w:tcW w:type="dxa" w:w="1417"/>
            <w:shd w:fill="FFFFFF" w:val="clear"/>
          </w:tcPr>
          <w:p>
            <w:r>
              <w:rPr>
                <w:sz w:val="16"/>
              </w:rPr>
              <w:t>2,890</w:t>
            </w:r>
          </w:p>
        </w:tc>
        <w:tc>
          <w:tcPr>
            <w:tcW w:type="dxa" w:w="1134"/>
            <w:shd w:fill="FFC7CE" w:val="clear"/>
          </w:tcPr>
          <w:p>
            <w:r>
              <w:rPr>
                <w:b/>
                <w:color w:val="B40000"/>
                <w:sz w:val="16"/>
              </w:rPr>
              <w:t>-3.82%</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2,150</w:t>
            </w:r>
          </w:p>
        </w:tc>
        <w:tc>
          <w:tcPr>
            <w:tcW w:type="dxa" w:w="1417"/>
            <w:shd w:fill="FFFFFF" w:val="clear"/>
          </w:tcPr>
          <w:p>
            <w:r>
              <w:rPr>
                <w:sz w:val="16"/>
              </w:rPr>
              <w:t>2,056</w:t>
            </w:r>
          </w:p>
        </w:tc>
        <w:tc>
          <w:tcPr>
            <w:tcW w:type="dxa" w:w="1134"/>
            <w:shd w:fill="FFC7CE" w:val="clear"/>
          </w:tcPr>
          <w:p>
            <w:r>
              <w:rPr>
                <w:b/>
                <w:color w:val="B40000"/>
                <w:sz w:val="16"/>
              </w:rPr>
              <w:t>-4.37%</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30,005</w:t>
            </w:r>
          </w:p>
        </w:tc>
        <w:tc>
          <w:tcPr>
            <w:tcW w:type="dxa" w:w="1417"/>
            <w:shd w:fill="FFFFFF" w:val="clear"/>
          </w:tcPr>
          <w:p>
            <w:r>
              <w:rPr>
                <w:sz w:val="16"/>
              </w:rPr>
              <w:t>28,686</w:t>
            </w:r>
          </w:p>
        </w:tc>
        <w:tc>
          <w:tcPr>
            <w:tcW w:type="dxa" w:w="1134"/>
            <w:shd w:fill="FFC7CE" w:val="clear"/>
          </w:tcPr>
          <w:p>
            <w:r>
              <w:rPr>
                <w:b/>
                <w:color w:val="B40000"/>
                <w:sz w:val="16"/>
              </w:rPr>
              <w:t>-4.40%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8,800</w:t>
            </w:r>
          </w:p>
        </w:tc>
        <w:tc>
          <w:tcPr>
            <w:tcW w:type="dxa" w:w="1417"/>
            <w:shd w:fill="FFFFFF" w:val="clear"/>
          </w:tcPr>
          <w:p>
            <w:r>
              <w:rPr>
                <w:sz w:val="16"/>
              </w:rPr>
              <w:t>8,382</w:t>
            </w:r>
          </w:p>
        </w:tc>
        <w:tc>
          <w:tcPr>
            <w:tcW w:type="dxa" w:w="1134"/>
            <w:shd w:fill="FFC7CE" w:val="clear"/>
          </w:tcPr>
          <w:p>
            <w:r>
              <w:rPr>
                <w:b/>
                <w:color w:val="B40000"/>
                <w:sz w:val="16"/>
              </w:rPr>
              <w:t>-4.75%</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32,945</w:t>
            </w:r>
          </w:p>
        </w:tc>
        <w:tc>
          <w:tcPr>
            <w:tcW w:type="dxa" w:w="1417"/>
            <w:shd w:fill="FFFFFF" w:val="clear"/>
          </w:tcPr>
          <w:p>
            <w:r>
              <w:rPr>
                <w:sz w:val="16"/>
              </w:rPr>
              <w:t>31,379</w:t>
            </w:r>
          </w:p>
        </w:tc>
        <w:tc>
          <w:tcPr>
            <w:tcW w:type="dxa" w:w="1134"/>
            <w:shd w:fill="FFC7CE" w:val="clear"/>
          </w:tcPr>
          <w:p>
            <w:r>
              <w:rPr>
                <w:b/>
                <w:color w:val="B40000"/>
                <w:sz w:val="16"/>
              </w:rPr>
              <w:t>-4.75%</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8,000</w:t>
            </w:r>
          </w:p>
        </w:tc>
        <w:tc>
          <w:tcPr>
            <w:tcW w:type="dxa" w:w="1417"/>
            <w:shd w:fill="FFFFFF" w:val="clear"/>
          </w:tcPr>
          <w:p>
            <w:r>
              <w:rPr>
                <w:sz w:val="16"/>
              </w:rPr>
              <w:t>7,603</w:t>
            </w:r>
          </w:p>
        </w:tc>
        <w:tc>
          <w:tcPr>
            <w:tcW w:type="dxa" w:w="1134"/>
            <w:shd w:fill="FFC7CE" w:val="clear"/>
          </w:tcPr>
          <w:p>
            <w:r>
              <w:rPr>
                <w:b/>
                <w:color w:val="B40000"/>
                <w:sz w:val="16"/>
              </w:rPr>
              <w:t>-4.96%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3,190</w:t>
            </w:r>
          </w:p>
        </w:tc>
        <w:tc>
          <w:tcPr>
            <w:tcW w:type="dxa" w:w="1417"/>
            <w:shd w:fill="FFFFFF" w:val="clear"/>
          </w:tcPr>
          <w:p>
            <w:r>
              <w:rPr>
                <w:sz w:val="16"/>
              </w:rPr>
              <w:t>3,004</w:t>
            </w:r>
          </w:p>
        </w:tc>
        <w:tc>
          <w:tcPr>
            <w:tcW w:type="dxa" w:w="1134"/>
            <w:shd w:fill="FFC7CE" w:val="clear"/>
          </w:tcPr>
          <w:p>
            <w:r>
              <w:rPr>
                <w:b/>
                <w:color w:val="B40000"/>
                <w:sz w:val="16"/>
              </w:rPr>
              <w:t>-5.83%</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1,870</w:t>
            </w:r>
          </w:p>
        </w:tc>
        <w:tc>
          <w:tcPr>
            <w:tcW w:type="dxa" w:w="1417"/>
            <w:shd w:fill="FFFFFF" w:val="clear"/>
          </w:tcPr>
          <w:p>
            <w:r>
              <w:rPr>
                <w:sz w:val="16"/>
              </w:rPr>
              <w:t>1,752</w:t>
            </w:r>
          </w:p>
        </w:tc>
        <w:tc>
          <w:tcPr>
            <w:tcW w:type="dxa" w:w="1134"/>
            <w:shd w:fill="FFC7CE" w:val="clear"/>
          </w:tcPr>
          <w:p>
            <w:r>
              <w:rPr>
                <w:b/>
                <w:color w:val="B40000"/>
                <w:sz w:val="16"/>
              </w:rPr>
              <w:t>-6.34%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2,285</w:t>
            </w:r>
          </w:p>
        </w:tc>
        <w:tc>
          <w:tcPr>
            <w:tcW w:type="dxa" w:w="1417"/>
            <w:shd w:fill="FFFFFF" w:val="clear"/>
          </w:tcPr>
          <w:p>
            <w:r>
              <w:rPr>
                <w:sz w:val="16"/>
              </w:rPr>
              <w:t>2,132</w:t>
            </w:r>
          </w:p>
        </w:tc>
        <w:tc>
          <w:tcPr>
            <w:tcW w:type="dxa" w:w="1134"/>
            <w:shd w:fill="FFC7CE" w:val="clear"/>
          </w:tcPr>
          <w:p>
            <w:r>
              <w:rPr>
                <w:b/>
                <w:color w:val="B40000"/>
                <w:sz w:val="16"/>
              </w:rPr>
              <w:t>-6.68%</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6,100</w:t>
            </w:r>
          </w:p>
        </w:tc>
        <w:tc>
          <w:tcPr>
            <w:tcW w:type="dxa" w:w="1417"/>
            <w:shd w:fill="FFFFFF" w:val="clear"/>
          </w:tcPr>
          <w:p>
            <w:r>
              <w:rPr>
                <w:sz w:val="16"/>
              </w:rPr>
              <w:t>5,511</w:t>
            </w:r>
          </w:p>
        </w:tc>
        <w:tc>
          <w:tcPr>
            <w:tcW w:type="dxa" w:w="1134"/>
            <w:shd w:fill="FFC7CE" w:val="clear"/>
          </w:tcPr>
          <w:p>
            <w:r>
              <w:rPr>
                <w:b/>
                <w:color w:val="B40000"/>
                <w:sz w:val="16"/>
              </w:rPr>
              <w:t>-9.66%</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20,980</w:t>
            </w:r>
          </w:p>
        </w:tc>
        <w:tc>
          <w:tcPr>
            <w:tcW w:type="dxa" w:w="1417"/>
            <w:shd w:fill="FFFFFF" w:val="clear"/>
          </w:tcPr>
          <w:p>
            <w:r>
              <w:rPr>
                <w:sz w:val="16"/>
              </w:rPr>
              <w:t>18,790</w:t>
            </w:r>
          </w:p>
        </w:tc>
        <w:tc>
          <w:tcPr>
            <w:tcW w:type="dxa" w:w="1134"/>
            <w:shd w:fill="FFC7CE" w:val="clear"/>
          </w:tcPr>
          <w:p>
            <w:r>
              <w:rPr>
                <w:b/>
                <w:color w:val="B40000"/>
                <w:sz w:val="16"/>
              </w:rPr>
              <w:t>-10.44%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8,250</w:t>
            </w:r>
          </w:p>
        </w:tc>
        <w:tc>
          <w:tcPr>
            <w:tcW w:type="dxa" w:w="1417"/>
            <w:shd w:fill="FFFFFF" w:val="clear"/>
          </w:tcPr>
          <w:p>
            <w:r>
              <w:rPr>
                <w:sz w:val="16"/>
              </w:rPr>
              <w:t>7,163</w:t>
            </w:r>
          </w:p>
        </w:tc>
        <w:tc>
          <w:tcPr>
            <w:tcW w:type="dxa" w:w="1134"/>
            <w:shd w:fill="FFC7CE" w:val="clear"/>
          </w:tcPr>
          <w:p>
            <w:r>
              <w:rPr>
                <w:b/>
                <w:color w:val="B40000"/>
                <w:sz w:val="16"/>
              </w:rPr>
              <w:t>-13.17%</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45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(2025)</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-2.54%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-1.97%</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-2.15%</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-624.11 M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6.21%</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FFFFFF" w:val="clear"/>
          </w:tcPr>
          <w:p>
            <w:r>
              <w:rPr>
                <w:b/>
                <w:color w:val="000000"/>
                <w:sz w:val="16"/>
              </w:rPr>
              <w:t>77.01%</w:t>
            </w:r>
          </w:p>
        </w:tc>
        <w:tc>
          <w:tcPr>
            <w:tcW w:type="dxa" w:w="1053"/>
            <w:shd w:fill="FFFFFF" w:val="clear"/>
          </w:tcPr>
          <w:p>
            <w:r>
              <w:rPr>
                <w:b/>
                <w:color w:val="000000"/>
                <w:sz w:val="16"/>
              </w:rPr>
              <w:t>24.10%</w:t>
            </w:r>
          </w:p>
        </w:tc>
        <w:tc>
          <w:tcPr>
            <w:tcW w:type="dxa" w:w="1053"/>
            <w:shd w:fill="C6EFCE" w:val="clear"/>
          </w:tcPr>
          <w:p>
            <w:r>
              <w:rPr>
                <w:b/>
                <w:color w:val="006400"/>
                <w:sz w:val="16"/>
              </w:rPr>
              <w:t>77.58%</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FFFFFF" w:val="clear"/>
          </w:tcPr>
          <w:p>
            <w:r>
              <w:rPr>
                <w:b/>
                <w:color w:val="0000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C6EFCE" w:val="clear"/>
          </w:tcPr>
          <w:p>
            <w:r>
              <w:rPr>
                <w:b/>
                <w:color w:val="006400"/>
                <w:sz w:val="16"/>
              </w:rPr>
              <w:t>1.50%</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FFFFFF" w:val="clear"/>
          </w:tcPr>
          <w:p>
            <w:r>
              <w:rPr>
                <w:b/>
                <w:color w:val="000000"/>
                <w:sz w:val="16"/>
              </w:rPr>
              <w:t>435.02%</w:t>
            </w:r>
          </w:p>
        </w:tc>
        <w:tc>
          <w:tcPr>
            <w:tcW w:type="dxa" w:w="1053"/>
            <w:shd w:fill="FFFFFF" w:val="clear"/>
          </w:tcPr>
          <w:p>
            <w:r>
              <w:rPr>
                <w:b/>
                <w:color w:val="000000"/>
                <w:sz w:val="16"/>
              </w:rPr>
              <w:t>131.76%</w:t>
            </w:r>
          </w:p>
        </w:tc>
        <w:tc>
          <w:tcPr>
            <w:tcW w:type="dxa" w:w="1053"/>
            <w:shd w:fill="C6EFCE" w:val="clear"/>
          </w:tcPr>
          <w:p>
            <w:r>
              <w:rPr>
                <w:b/>
                <w:color w:val="006400"/>
                <w:sz w:val="16"/>
              </w:rPr>
              <w:t>445.93%</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346.19%</w:t>
            </w:r>
          </w:p>
        </w:tc>
      </w:tr>
      <w:tr>
        <w:tc>
          <w:tcPr>
            <w:tcW w:type="dxa" w:w="2551"/>
            <w:shd w:fill="EEF2F7" w:val="clear"/>
          </w:tcPr>
          <w:p>
            <w:r>
              <w:rPr>
                <w:b/>
                <w:sz w:val="15"/>
              </w:rPr>
              <w:t>Free Cash Flow</w:t>
            </w:r>
          </w:p>
        </w:tc>
        <w:tc>
          <w:tcPr>
            <w:tcW w:type="dxa" w:w="1053"/>
            <w:shd w:fill="C6EFCE" w:val="clear"/>
          </w:tcPr>
          <w:p>
            <w:r>
              <w:rPr>
                <w:b/>
                <w:color w:val="0064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FFFF" w:val="clear"/>
          </w:tcPr>
          <w:p>
            <w:r>
              <w:rPr>
                <w:b/>
                <w:color w:val="000000"/>
                <w:sz w:val="16"/>
              </w:rPr>
              <w:t>-2.616 Mds FCFA</w:t>
            </w:r>
          </w:p>
        </w:tc>
        <w:tc>
          <w:tcPr>
            <w:tcW w:type="dxa" w:w="1053"/>
            <w:shd w:fill="FFC7CE" w:val="clear"/>
          </w:tcPr>
          <w:p>
            <w:r>
              <w:rPr>
                <w:b/>
                <w:color w:val="B40000"/>
                <w:sz w:val="16"/>
              </w:rPr>
              <w:t>-8.239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-1.46%</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45.8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325.0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-2.54%</w:t>
            </w:r>
          </w:p>
        </w:tc>
        <w:tc>
          <w:tcPr>
            <w:tcW w:type="dxa" w:w="5669"/>
            <w:shd w:fill="FFFFFF" w:val="clear"/>
          </w:tcPr>
          <w:p>
            <w:r>
              <w:rPr>
                <w:sz w:val="15"/>
              </w:rPr>
              <w:t>❌ ROE négatif (-2.5%)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-1.97%</w:t>
            </w:r>
          </w:p>
        </w:tc>
        <w:tc>
          <w:tcPr>
            <w:tcW w:type="dxa" w:w="5669"/>
            <w:shd w:fill="FFFFFF" w:val="clear"/>
          </w:tcPr>
          <w:p>
            <w:r>
              <w:rPr>
                <w:sz w:val="15"/>
              </w:rPr>
              <w:t>❌ ROA négatif (-1.97%) — actifs non rentables.</w:t>
            </w:r>
          </w:p>
        </w:tc>
      </w:tr>
      <w:tr>
        <w:tc>
          <w:tcPr>
            <w:tcW w:type="dxa" w:w="2268"/>
            <w:shd w:fill="EEF2F7" w:val="clear"/>
          </w:tcPr>
          <w:p>
            <w:r>
              <w:rPr>
                <w:b/>
                <w:sz w:val="15"/>
              </w:rPr>
              <w:t>Marge nette</w:t>
            </w:r>
          </w:p>
        </w:tc>
        <w:tc>
          <w:tcPr>
            <w:tcW w:type="dxa" w:w="1984"/>
            <w:shd w:fill="FFC7CE" w:val="clear"/>
          </w:tcPr>
          <w:p>
            <w:r>
              <w:rPr>
                <w:b/>
                <w:color w:val="B40000"/>
                <w:sz w:val="17"/>
              </w:rPr>
              <w:t>-2.15%</w:t>
            </w:r>
          </w:p>
        </w:tc>
        <w:tc>
          <w:tcPr>
            <w:tcW w:type="dxa" w:w="5669"/>
            <w:shd w:fill="FFFFFF" w:val="clear"/>
          </w:tcPr>
          <w:p>
            <w:r>
              <w:rPr>
                <w:sz w:val="15"/>
              </w:rPr>
              <w:t>❌ Marge nette négative (-2.1%)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-624.11 M FCFA</w:t>
            </w:r>
          </w:p>
        </w:tc>
        <w:tc>
          <w:tcPr>
            <w:tcW w:type="dxa" w:w="5669"/>
            <w:shd w:fill="FFFFFF" w:val="clear"/>
          </w:tcPr>
          <w:p>
            <w:r>
              <w:rPr>
                <w:sz w:val="15"/>
              </w:rPr>
              <w:t>❌ Perte nette de 624.11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6.21%</w:t>
            </w:r>
          </w:p>
        </w:tc>
        <w:tc>
          <w:tcPr>
            <w:tcW w:type="dxa" w:w="5669"/>
            <w:shd w:fill="FFFFFF" w:val="clear"/>
          </w:tcPr>
          <w:p>
            <w:r>
              <w:rPr>
                <w:sz w:val="15"/>
              </w:rPr>
              <w:t>✅ Croissance de 6.2%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77.58%</w:t>
            </w:r>
          </w:p>
        </w:tc>
        <w:tc>
          <w:tcPr>
            <w:tcW w:type="dxa" w:w="5669"/>
            <w:shd w:fill="FFFFFF" w:val="clear"/>
          </w:tcPr>
          <w:p>
            <w:r>
              <w:rPr>
                <w:sz w:val="15"/>
              </w:rPr>
              <w:t>✅ Autonomie financière de 77.6%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1.50%</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445.93%</w:t>
            </w:r>
          </w:p>
        </w:tc>
        <w:tc>
          <w:tcPr>
            <w:tcW w:type="dxa" w:w="5669"/>
            <w:shd w:fill="FFFFFF" w:val="clear"/>
          </w:tcPr>
          <w:p>
            <w:r>
              <w:rPr>
                <w:sz w:val="15"/>
              </w:rPr>
              <w:t>✅ Solvabilité de 446%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346.19%</w:t>
            </w:r>
          </w:p>
        </w:tc>
        <w:tc>
          <w:tcPr>
            <w:tcW w:type="dxa" w:w="5669"/>
            <w:shd w:fill="FFFFFF" w:val="clear"/>
          </w:tcPr>
          <w:p>
            <w:r>
              <w:rPr>
                <w:sz w:val="15"/>
              </w:rPr>
              <w:t>✅ Liquidité générale de 346x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-8.239 Mds FCFA</w:t>
            </w:r>
          </w:p>
        </w:tc>
        <w:tc>
          <w:tcPr>
            <w:tcW w:type="dxa" w:w="5669"/>
            <w:shd w:fill="FFFFFF" w:val="clear"/>
          </w:tcPr>
          <w:p>
            <w:r>
              <w:rPr>
                <w:sz w:val="15"/>
              </w:rPr>
              <w:t>❌ FCF négatif significatif (-8.239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-1.46%</w:t>
            </w:r>
          </w:p>
        </w:tc>
        <w:tc>
          <w:tcPr>
            <w:tcW w:type="dxa" w:w="5669"/>
            <w:shd w:fill="FFFFFF" w:val="clear"/>
          </w:tcPr>
          <w:p>
            <w:r>
              <w:rPr>
                <w:sz w:val="15"/>
              </w:rPr>
              <w:t>❌ Marge opérationnelle négative (-1.5%)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45.8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325.0 j</w:t>
            </w:r>
          </w:p>
        </w:tc>
        <w:tc>
          <w:tcPr>
            <w:tcW w:type="dxa" w:w="5669"/>
            <w:shd w:fill="FFFFFF" w:val="clear"/>
          </w:tcPr>
          <w:p>
            <w:r>
              <w:rPr>
                <w:sz w:val="15"/>
              </w:rPr>
              <w:t>❌ Stock quasi-bloqué (325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-2.54%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-2.15%</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UNXC</w:t>
            </w:r>
          </w:p>
        </w:tc>
        <w:tc>
          <w:tcPr>
            <w:tcW w:type="dxa" w:w="1728"/>
            <w:shd w:fill="C6EFCE" w:val="clear"/>
          </w:tcPr>
          <w:p>
            <w:r>
              <w:rPr>
                <w:color w:val="006400"/>
                <w:sz w:val="16"/>
              </w:rPr>
              <w:t>77.58%</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ABJC</w:t>
            </w:r>
          </w:p>
        </w:tc>
        <w:tc>
          <w:tcPr>
            <w:tcW w:type="dxa" w:w="1728"/>
            <w:shd w:fill="C6EFCE" w:val="clear"/>
          </w:tcPr>
          <w:p>
            <w:r>
              <w:rPr>
                <w:color w:val="006400"/>
                <w:sz w:val="16"/>
              </w:rPr>
              <w:t>619.83 M FCFA</w:t>
            </w:r>
          </w:p>
        </w:tc>
        <w:tc>
          <w:tcPr>
            <w:tcW w:type="dxa" w:w="1728"/>
            <w:shd w:fill="FFC7CE" w:val="clear"/>
          </w:tcPr>
          <w:p>
            <w:r>
              <w:rPr>
                <w:b/>
                <w:color w:val="B40000"/>
                <w:sz w:val="16"/>
              </w:rPr>
              <w:t>UNXC</w:t>
            </w:r>
          </w:p>
        </w:tc>
        <w:tc>
          <w:tcPr>
            <w:tcW w:type="dxa" w:w="1728"/>
            <w:shd w:fill="FFC7CE" w:val="clear"/>
          </w:tcPr>
          <w:p>
            <w:r>
              <w:rPr>
                <w:color w:val="B40000"/>
                <w:sz w:val="16"/>
              </w:rPr>
              <w:t>-8.239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(2025)</w:t>
            </w:r>
          </w:p>
        </w:tc>
        <w:tc>
          <w:tcPr>
            <w:tcW w:type="dxa" w:w="1474"/>
            <w:shd w:fill="1F4E79" w:val="clear"/>
          </w:tcPr>
          <w:p>
            <w:r>
              <w:rPr>
                <w:b/>
                <w:color w:val="FFFFFF"/>
                <w:sz w:val="15"/>
              </w:rPr>
              <w:t>SIVC (2025)</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C6EFCE" w:val="clear"/>
          </w:tcPr>
          <w:p>
            <w:r>
              <w:rPr>
                <w:b/>
                <w:color w:val="006400"/>
                <w:sz w:val="16"/>
              </w:rPr>
              <w:t>15.40%</w:t>
            </w:r>
          </w:p>
        </w:tc>
        <w:tc>
          <w:tcPr>
            <w:tcW w:type="dxa" w:w="1474"/>
            <w:shd w:fill="FFFFFF" w:val="clear"/>
          </w:tcPr>
          <w:p>
            <w:r>
              <w:rPr>
                <w:b/>
                <w:color w:val="000000"/>
                <w:sz w:val="16"/>
              </w:rPr>
              <w:t>2.97%</w:t>
            </w:r>
          </w:p>
        </w:tc>
        <w:tc>
          <w:tcPr>
            <w:tcW w:type="dxa" w:w="1474"/>
            <w:shd w:fill="FFFFFF" w:val="clear"/>
          </w:tcPr>
          <w:p>
            <w:r>
              <w:rPr>
                <w:b/>
                <w:color w:val="000000"/>
                <w:sz w:val="16"/>
              </w:rPr>
              <w:t>1.07%</w:t>
            </w:r>
          </w:p>
        </w:tc>
        <w:tc>
          <w:tcPr>
            <w:tcW w:type="dxa" w:w="1474"/>
            <w:shd w:fill="FFFFFF" w:val="clear"/>
          </w:tcPr>
          <w:p>
            <w:r>
              <w:rPr>
                <w:b/>
                <w:color w:val="000000"/>
                <w:sz w:val="16"/>
              </w:rPr>
              <w:t>7.10%</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C6EFCE" w:val="clear"/>
          </w:tcPr>
          <w:p>
            <w:r>
              <w:rPr>
                <w:b/>
                <w:color w:val="006400"/>
                <w:sz w:val="16"/>
              </w:rPr>
              <w:t>6.10%</w:t>
            </w:r>
          </w:p>
        </w:tc>
        <w:tc>
          <w:tcPr>
            <w:tcW w:type="dxa" w:w="1474"/>
            <w:shd w:fill="FFFFFF" w:val="clear"/>
          </w:tcPr>
          <w:p>
            <w:r>
              <w:rPr>
                <w:b/>
                <w:color w:val="000000"/>
                <w:sz w:val="16"/>
              </w:rPr>
              <w:t>1.19%</w:t>
            </w:r>
          </w:p>
        </w:tc>
        <w:tc>
          <w:tcPr>
            <w:tcW w:type="dxa" w:w="1474"/>
            <w:shd w:fill="FFFFFF" w:val="clear"/>
          </w:tcPr>
          <w:p>
            <w:r>
              <w:rPr>
                <w:b/>
                <w:color w:val="000000"/>
                <w:sz w:val="16"/>
              </w:rPr>
              <w:t>0.30%</w:t>
            </w:r>
          </w:p>
        </w:tc>
        <w:tc>
          <w:tcPr>
            <w:tcW w:type="dxa" w:w="1474"/>
            <w:shd w:fill="FFFFFF" w:val="clear"/>
          </w:tcPr>
          <w:p>
            <w:r>
              <w:rPr>
                <w:b/>
                <w:color w:val="000000"/>
                <w:sz w:val="16"/>
              </w:rPr>
              <w:t>1.23%</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C6EFCE" w:val="clear"/>
          </w:tcPr>
          <w:p>
            <w:r>
              <w:rPr>
                <w:b/>
                <w:color w:val="006400"/>
                <w:sz w:val="16"/>
              </w:rPr>
              <w:t>6.77%</w:t>
            </w:r>
          </w:p>
        </w:tc>
        <w:tc>
          <w:tcPr>
            <w:tcW w:type="dxa" w:w="1474"/>
            <w:shd w:fill="FFFFFF" w:val="clear"/>
          </w:tcPr>
          <w:p>
            <w:r>
              <w:rPr>
                <w:b/>
                <w:color w:val="000000"/>
                <w:sz w:val="16"/>
              </w:rPr>
              <w:t>1.45%</w:t>
            </w:r>
          </w:p>
        </w:tc>
        <w:tc>
          <w:tcPr>
            <w:tcW w:type="dxa" w:w="1474"/>
            <w:shd w:fill="FFFFFF" w:val="clear"/>
          </w:tcPr>
          <w:p>
            <w:r>
              <w:rPr>
                <w:b/>
                <w:color w:val="000000"/>
                <w:sz w:val="16"/>
              </w:rPr>
              <w:t>0.85%</w:t>
            </w:r>
          </w:p>
        </w:tc>
        <w:tc>
          <w:tcPr>
            <w:tcW w:type="dxa" w:w="1474"/>
            <w:shd w:fill="FFFFFF" w:val="clear"/>
          </w:tcPr>
          <w:p>
            <w:r>
              <w:rPr>
                <w:b/>
                <w:color w:val="000000"/>
                <w:sz w:val="16"/>
              </w:rPr>
              <w:t>1.78%</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C6EFCE" w:val="clear"/>
          </w:tcPr>
          <w:p>
            <w:r>
              <w:rPr>
                <w:b/>
                <w:color w:val="006400"/>
                <w:sz w:val="16"/>
              </w:rPr>
              <w:t>1.439 Mds FCFA</w:t>
            </w:r>
          </w:p>
        </w:tc>
        <w:tc>
          <w:tcPr>
            <w:tcW w:type="dxa" w:w="1474"/>
            <w:shd w:fill="FFFFFF" w:val="clear"/>
          </w:tcPr>
          <w:p>
            <w:r>
              <w:rPr>
                <w:b/>
                <w:color w:val="000000"/>
                <w:sz w:val="16"/>
              </w:rPr>
              <w:t>465.98 M FCFA</w:t>
            </w:r>
          </w:p>
        </w:tc>
        <w:tc>
          <w:tcPr>
            <w:tcW w:type="dxa" w:w="1474"/>
            <w:shd w:fill="FFFFFF" w:val="clear"/>
          </w:tcPr>
          <w:p>
            <w:r>
              <w:rPr>
                <w:b/>
                <w:color w:val="000000"/>
                <w:sz w:val="16"/>
              </w:rPr>
              <w:t>784.97 M FCFA</w:t>
            </w:r>
          </w:p>
        </w:tc>
        <w:tc>
          <w:tcPr>
            <w:tcW w:type="dxa" w:w="1474"/>
            <w:shd w:fill="FFFFFF" w:val="clear"/>
          </w:tcPr>
          <w:p>
            <w:r>
              <w:rPr>
                <w:b/>
                <w:color w:val="000000"/>
                <w:sz w:val="16"/>
              </w:rPr>
              <w:t>179.29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C7CE" w:val="clear"/>
          </w:tcPr>
          <w:p>
            <w:r>
              <w:rPr>
                <w:b/>
                <w:color w:val="B40000"/>
                <w:sz w:val="16"/>
              </w:rPr>
              <w:t>4.61%</w:t>
            </w:r>
          </w:p>
        </w:tc>
        <w:tc>
          <w:tcPr>
            <w:tcW w:type="dxa" w:w="1474"/>
            <w:shd w:fill="FFFFFF" w:val="clear"/>
          </w:tcPr>
          <w:p>
            <w:r>
              <w:rPr>
                <w:b/>
                <w:color w:val="000000"/>
                <w:sz w:val="16"/>
              </w:rPr>
              <w:t>7.43%</w:t>
            </w:r>
          </w:p>
        </w:tc>
        <w:tc>
          <w:tcPr>
            <w:tcW w:type="dxa" w:w="1474"/>
            <w:shd w:fill="FFFFFF" w:val="clear"/>
          </w:tcPr>
          <w:p>
            <w:r>
              <w:rPr>
                <w:b/>
                <w:color w:val="000000"/>
                <w:sz w:val="16"/>
              </w:rPr>
              <w:t>8.53%</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C6EFCE" w:val="clear"/>
          </w:tcPr>
          <w:p>
            <w:r>
              <w:rPr>
                <w:b/>
                <w:color w:val="006400"/>
                <w:sz w:val="16"/>
              </w:rPr>
              <w:t>40.11%</w:t>
            </w:r>
          </w:p>
        </w:tc>
        <w:tc>
          <w:tcPr>
            <w:tcW w:type="dxa" w:w="1474"/>
            <w:shd w:fill="FFFFFF" w:val="clear"/>
          </w:tcPr>
          <w:p>
            <w:r>
              <w:rPr>
                <w:b/>
                <w:color w:val="000000"/>
                <w:sz w:val="16"/>
              </w:rPr>
              <w:t>28.35%</w:t>
            </w:r>
          </w:p>
        </w:tc>
        <w:tc>
          <w:tcPr>
            <w:tcW w:type="dxa" w:w="1474"/>
            <w:shd w:fill="FFFFFF" w:val="clear"/>
          </w:tcPr>
          <w:p>
            <w:r>
              <w:rPr>
                <w:b/>
                <w:color w:val="000000"/>
                <w:sz w:val="16"/>
              </w:rPr>
              <w:t>17.29%</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FFFF" w:val="clear"/>
          </w:tcPr>
          <w:p>
            <w:r>
              <w:rPr>
                <w:b/>
                <w:color w:val="000000"/>
                <w:sz w:val="16"/>
              </w:rPr>
              <w:t>97.60%</w:t>
            </w:r>
          </w:p>
        </w:tc>
        <w:tc>
          <w:tcPr>
            <w:tcW w:type="dxa" w:w="1474"/>
            <w:shd w:fill="C6EFCE" w:val="clear"/>
          </w:tcPr>
          <w:p>
            <w:r>
              <w:rPr>
                <w:b/>
                <w:color w:val="006400"/>
                <w:sz w:val="16"/>
              </w:rPr>
              <w:t>13.91%</w:t>
            </w:r>
          </w:p>
        </w:tc>
        <w:tc>
          <w:tcPr>
            <w:tcW w:type="dxa" w:w="1474"/>
            <w:shd w:fill="FFC7CE" w:val="clear"/>
          </w:tcPr>
          <w:p>
            <w:r>
              <w:rPr>
                <w:b/>
                <w:color w:val="B40000"/>
                <w:sz w:val="16"/>
              </w:rPr>
              <w:t>228.41%</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C6EFCE" w:val="clear"/>
          </w:tcPr>
          <w:p>
            <w:r>
              <w:rPr>
                <w:b/>
                <w:color w:val="006400"/>
                <w:sz w:val="16"/>
              </w:rPr>
              <w:t>166.98%</w:t>
            </w:r>
          </w:p>
        </w:tc>
        <w:tc>
          <w:tcPr>
            <w:tcW w:type="dxa" w:w="1474"/>
            <w:shd w:fill="FFFFFF" w:val="clear"/>
          </w:tcPr>
          <w:p>
            <w:r>
              <w:rPr>
                <w:b/>
                <w:color w:val="000000"/>
                <w:sz w:val="16"/>
              </w:rPr>
              <w:t>139.57%</w:t>
            </w:r>
          </w:p>
        </w:tc>
        <w:tc>
          <w:tcPr>
            <w:tcW w:type="dxa" w:w="1474"/>
            <w:shd w:fill="FFFFFF" w:val="clear"/>
          </w:tcPr>
          <w:p>
            <w:r>
              <w:rPr>
                <w:b/>
                <w:color w:val="000000"/>
                <w:sz w:val="16"/>
              </w:rPr>
              <w:t>120.91%</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109.82%</w:t>
            </w:r>
          </w:p>
        </w:tc>
        <w:tc>
          <w:tcPr>
            <w:tcW w:type="dxa" w:w="1474"/>
            <w:shd w:fill="FFC7CE" w:val="clear"/>
          </w:tcPr>
          <w:p>
            <w:r>
              <w:rPr>
                <w:b/>
                <w:color w:val="B40000"/>
                <w:sz w:val="16"/>
              </w:rPr>
              <w:t>73.09%</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55.471 Mds FCFA</w:t>
            </w:r>
          </w:p>
        </w:tc>
        <w:tc>
          <w:tcPr>
            <w:tcW w:type="dxa" w:w="1474"/>
            <w:shd w:fill="FFFFFF" w:val="clear"/>
          </w:tcPr>
          <w:p>
            <w:r>
              <w:rPr>
                <w:b/>
                <w:color w:val="000000"/>
                <w:sz w:val="16"/>
              </w:rPr>
              <w:t>-935.89 M FCFA</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-2.47%</w:t>
            </w:r>
          </w:p>
        </w:tc>
        <w:tc>
          <w:tcPr>
            <w:tcW w:type="dxa" w:w="1474"/>
            <w:shd w:fill="FFFFFF" w:val="clear"/>
          </w:tcPr>
          <w:p>
            <w:r>
              <w:rPr>
                <w:b/>
                <w:color w:val="000000"/>
                <w:sz w:val="16"/>
              </w:rPr>
              <w:t>8.60%</w:t>
            </w:r>
          </w:p>
        </w:tc>
        <w:tc>
          <w:tcPr>
            <w:tcW w:type="dxa" w:w="1474"/>
            <w:shd w:fill="FFC7CE" w:val="clear"/>
          </w:tcPr>
          <w:p>
            <w:r>
              <w:rPr>
                <w:b/>
                <w:color w:val="B40000"/>
                <w:sz w:val="16"/>
              </w:rPr>
              <w:t>-19.90%</w:t>
            </w:r>
          </w:p>
        </w:tc>
      </w:tr>
      <w:tr>
        <w:tc>
          <w:tcPr>
            <w:tcW w:type="dxa" w:w="2551"/>
            <w:shd w:fill="EEF2F7" w:val="clear"/>
          </w:tcPr>
          <w:p>
            <w:r>
              <w:rPr>
                <w:b/>
                <w:sz w:val="15"/>
              </w:rPr>
              <w:t>Délai clients</w:t>
            </w:r>
          </w:p>
        </w:tc>
        <w:tc>
          <w:tcPr>
            <w:tcW w:type="dxa" w:w="1474"/>
            <w:shd w:fill="FFFFFF" w:val="clear"/>
          </w:tcPr>
          <w:p>
            <w:r>
              <w:rPr>
                <w:b/>
                <w:color w:val="000000"/>
                <w:sz w:val="16"/>
              </w:rPr>
              <w:t>144.7 j</w:t>
            </w:r>
          </w:p>
        </w:tc>
        <w:tc>
          <w:tcPr>
            <w:tcW w:type="dxa" w:w="1474"/>
            <w:shd w:fill="FFC7CE" w:val="clear"/>
          </w:tcPr>
          <w:p>
            <w:r>
              <w:rPr>
                <w:b/>
                <w:color w:val="B40000"/>
                <w:sz w:val="16"/>
              </w:rPr>
              <w:t>213.7 j</w:t>
            </w:r>
          </w:p>
        </w:tc>
        <w:tc>
          <w:tcPr>
            <w:tcW w:type="dxa" w:w="1474"/>
            <w:shd w:fill="F2F2F2" w:val="clear"/>
          </w:tcPr>
          <w:p>
            <w:r>
              <w:rPr>
                <w:b/>
                <w:sz w:val="16"/>
              </w:rPr>
              <w:t>N/D</w:t>
            </w:r>
          </w:p>
        </w:tc>
        <w:tc>
          <w:tcPr>
            <w:tcW w:type="dxa" w:w="1474"/>
            <w:shd w:fill="C6EFCE" w:val="clear"/>
          </w:tcPr>
          <w:p>
            <w:r>
              <w:rPr>
                <w:b/>
                <w:color w:val="006400"/>
                <w:sz w:val="16"/>
              </w:rPr>
              <w:t>79.3 j</w:t>
            </w:r>
          </w:p>
        </w:tc>
        <w:tc>
          <w:tcPr>
            <w:tcW w:type="dxa" w:w="1474"/>
            <w:shd w:fill="F2F2F2" w:val="clear"/>
          </w:tcPr>
          <w:p>
            <w:r>
              <w:rPr>
                <w:b/>
                <w:sz w:val="16"/>
              </w:rPr>
              <w:t>N/D</w:t>
            </w:r>
          </w:p>
        </w:tc>
      </w:tr>
      <w:tr>
        <w:tc>
          <w:tcPr>
            <w:tcW w:type="dxa" w:w="2551"/>
            <w:shd w:fill="EEF2F7" w:val="clear"/>
          </w:tcPr>
          <w:p>
            <w:r>
              <w:rPr>
                <w:b/>
                <w:sz w:val="15"/>
              </w:rPr>
              <w:t>Durée stockage</w:t>
            </w:r>
          </w:p>
        </w:tc>
        <w:tc>
          <w:tcPr>
            <w:tcW w:type="dxa" w:w="1474"/>
            <w:shd w:fill="C6EFCE" w:val="clear"/>
          </w:tcPr>
          <w:p>
            <w:r>
              <w:rPr>
                <w:b/>
                <w:color w:val="006400"/>
                <w:sz w:val="16"/>
              </w:rPr>
              <w:t>152.1 j</w:t>
            </w:r>
          </w:p>
        </w:tc>
        <w:tc>
          <w:tcPr>
            <w:tcW w:type="dxa" w:w="1474"/>
            <w:shd w:fill="FFC7CE" w:val="clear"/>
          </w:tcPr>
          <w:p>
            <w:r>
              <w:rPr>
                <w:b/>
                <w:color w:val="B40000"/>
                <w:sz w:val="16"/>
              </w:rPr>
              <w:t>214.7 j</w:t>
            </w:r>
          </w:p>
        </w:tc>
        <w:tc>
          <w:tcPr>
            <w:tcW w:type="dxa" w:w="1474"/>
            <w:shd w:fill="F2F2F2" w:val="clear"/>
          </w:tcPr>
          <w:p>
            <w:r>
              <w:rPr>
                <w:b/>
                <w:sz w:val="16"/>
              </w:rPr>
              <w:t>N/D</w:t>
            </w:r>
          </w:p>
        </w:tc>
        <w:tc>
          <w:tcPr>
            <w:tcW w:type="dxa" w:w="1474"/>
            <w:shd w:fill="FFFFFF" w:val="clear"/>
          </w:tcPr>
          <w:p>
            <w:r>
              <w:rPr>
                <w:b/>
                <w:color w:val="000000"/>
                <w:sz w:val="16"/>
              </w:rPr>
              <w:t>189.3 j</w:t>
            </w:r>
          </w:p>
        </w:tc>
        <w:tc>
          <w:tcPr>
            <w:tcW w:type="dxa" w:w="1474"/>
            <w:shd w:fill="F2F2F2" w:val="clear"/>
          </w:tcPr>
          <w:p>
            <w:r>
              <w:rPr>
                <w:b/>
                <w:sz w:val="16"/>
              </w:rPr>
              <w:t>N/D</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r>
        <w:tc>
          <w:tcPr>
            <w:tcW w:type="dxa" w:w="2268"/>
            <w:shd w:fill="EEF2F7" w:val="clear"/>
          </w:tcPr>
          <w:p>
            <w:r>
              <w:rPr>
                <w:b/>
                <w:sz w:val="15"/>
              </w:rPr>
              <w:t>Délai clients</w:t>
            </w:r>
          </w:p>
        </w:tc>
        <w:tc>
          <w:tcPr>
            <w:tcW w:type="dxa" w:w="1984"/>
            <w:shd w:fill="FFC7CE" w:val="clear"/>
          </w:tcPr>
          <w:p>
            <w:r>
              <w:rPr>
                <w:b/>
                <w:color w:val="007800"/>
                <w:sz w:val="17"/>
              </w:rPr>
              <w:t>144.7 j</w:t>
            </w:r>
          </w:p>
        </w:tc>
        <w:tc>
          <w:tcPr>
            <w:tcW w:type="dxa" w:w="5669"/>
            <w:shd w:fill="FFFFFF" w:val="clear"/>
          </w:tcPr>
          <w:p>
            <w:r>
              <w:rPr>
                <w:sz w:val="15"/>
              </w:rPr>
              <w:t>❌ Délai critique de 145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152.1 j</w:t>
            </w:r>
          </w:p>
        </w:tc>
        <w:tc>
          <w:tcPr>
            <w:tcW w:type="dxa" w:w="5669"/>
            <w:shd w:fill="FFFFFF" w:val="clear"/>
          </w:tcPr>
          <w:p>
            <w:r>
              <w:rPr>
                <w:sz w:val="15"/>
              </w:rPr>
              <w:t>❌ Stock quasi-bloqué (152 jours) — capital fortement immobilisé, risque d'obsolescence élevé.</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213.7 j</w:t>
            </w:r>
          </w:p>
        </w:tc>
        <w:tc>
          <w:tcPr>
            <w:tcW w:type="dxa" w:w="5669"/>
            <w:shd w:fill="FFFFFF" w:val="clear"/>
          </w:tcPr>
          <w:p>
            <w:r>
              <w:rPr>
                <w:sz w:val="15"/>
              </w:rPr>
              <w:t>❌ Délai critique de 214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214.7 j</w:t>
            </w:r>
          </w:p>
        </w:tc>
        <w:tc>
          <w:tcPr>
            <w:tcW w:type="dxa" w:w="5669"/>
            <w:shd w:fill="FFFFFF" w:val="clear"/>
          </w:tcPr>
          <w:p>
            <w:r>
              <w:rPr>
                <w:sz w:val="15"/>
              </w:rPr>
              <w:t>❌ Stock quasi-bloqué (215 jours) — capital fortement immobilisé, risque d'obsolescence élevé.</w:t>
            </w:r>
          </w:p>
        </w:tc>
      </w:tr>
    </w:tbl>
    <w:p/>
    <w:p>
      <w:pPr>
        <w:spacing w:before="160"/>
      </w:pPr>
      <w:r>
        <w:rPr>
          <w:b/>
          <w:color w:val="003366"/>
          <w:sz w:val="20"/>
        </w:rPr>
        <w:t xml:space="preserve">▶ SDSC — SDSC - AFRICA GLOBAL LOGISTICS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1.07%</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0.30%</w:t>
            </w:r>
          </w:p>
        </w:tc>
        <w:tc>
          <w:tcPr>
            <w:tcW w:type="dxa" w:w="5669"/>
            <w:shd w:fill="FFFFFF" w:val="clear"/>
          </w:tcPr>
          <w:p>
            <w:r>
              <w:rPr>
                <w:sz w:val="15"/>
              </w:rPr>
              <w:t>⚠️ ROA de 0.30%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0.85%</w:t>
            </w:r>
          </w:p>
        </w:tc>
        <w:tc>
          <w:tcPr>
            <w:tcW w:type="dxa" w:w="5669"/>
            <w:shd w:fill="FFFFFF" w:val="clear"/>
          </w:tcPr>
          <w:p>
            <w:r>
              <w:rPr>
                <w:sz w:val="15"/>
              </w:rPr>
              <w:t>⚠️ Marge nette quasi-nulle (0.85%)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784.97 M FCFA</w:t>
            </w:r>
          </w:p>
        </w:tc>
        <w:tc>
          <w:tcPr>
            <w:tcW w:type="dxa" w:w="5669"/>
            <w:shd w:fill="FFFFFF" w:val="clear"/>
          </w:tcPr>
          <w:p>
            <w:r>
              <w:rPr>
                <w:sz w:val="15"/>
              </w:rPr>
              <w:t>✅ Résultat net positif de 784.97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7.43%</w:t>
            </w:r>
          </w:p>
        </w:tc>
        <w:tc>
          <w:tcPr>
            <w:tcW w:type="dxa" w:w="5669"/>
            <w:shd w:fill="FFFFFF" w:val="clear"/>
          </w:tcPr>
          <w:p>
            <w:r>
              <w:rPr>
                <w:sz w:val="15"/>
              </w:rPr>
              <w:t>✅ Croissance de 7.4%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28.35%</w:t>
            </w:r>
          </w:p>
        </w:tc>
        <w:tc>
          <w:tcPr>
            <w:tcW w:type="dxa" w:w="5669"/>
            <w:shd w:fill="FFFFFF" w:val="clear"/>
          </w:tcPr>
          <w:p>
            <w:r>
              <w:rPr>
                <w:sz w:val="15"/>
              </w:rPr>
              <w:t>✅ Autonomie financière correcte (28.3%)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13.91%</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139.57%</w:t>
            </w:r>
          </w:p>
        </w:tc>
        <w:tc>
          <w:tcPr>
            <w:tcW w:type="dxa" w:w="5669"/>
            <w:shd w:fill="FFFFFF" w:val="clear"/>
          </w:tcPr>
          <w:p>
            <w:r>
              <w:rPr>
                <w:sz w:val="15"/>
              </w:rPr>
              <w:t>✅ Solvabilité satisfaisante (140%)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109.82%</w:t>
            </w:r>
          </w:p>
        </w:tc>
        <w:tc>
          <w:tcPr>
            <w:tcW w:type="dxa" w:w="5669"/>
            <w:shd w:fill="FFFFFF" w:val="clear"/>
          </w:tcPr>
          <w:p>
            <w:r>
              <w:rPr>
                <w:sz w:val="15"/>
              </w:rPr>
              <w:t>⚠️ Liquidité générale limite (109.82x)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55.471 Mds FCFA</w:t>
            </w:r>
          </w:p>
        </w:tc>
        <w:tc>
          <w:tcPr>
            <w:tcW w:type="dxa" w:w="5669"/>
            <w:shd w:fill="FFFFFF" w:val="clear"/>
          </w:tcPr>
          <w:p>
            <w:r>
              <w:rPr>
                <w:sz w:val="15"/>
              </w:rPr>
              <w:t>✅ FCF positif de 55.471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-2.47%</w:t>
            </w:r>
          </w:p>
        </w:tc>
        <w:tc>
          <w:tcPr>
            <w:tcW w:type="dxa" w:w="5669"/>
            <w:shd w:fill="FFFFFF" w:val="clear"/>
          </w:tcPr>
          <w:p>
            <w:r>
              <w:rPr>
                <w:sz w:val="15"/>
              </w:rPr>
              <w:t>❌ Marge opérationnelle négative (-2.5%) — l'activité principale est déficitaire.</w:t>
            </w:r>
          </w:p>
        </w:tc>
      </w:tr>
    </w:tbl>
    <w:p/>
    <w:p>
      <w:pPr>
        <w:spacing w:before="160"/>
      </w:pPr>
      <w:r>
        <w:rPr>
          <w:b/>
          <w:color w:val="003366"/>
          <w:sz w:val="20"/>
        </w:rPr>
        <w:t xml:space="preserve">▶ SIVC — SIVC - ERIUM CI (Ex AIR LIQUIDECI)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7.10%</w:t>
            </w:r>
          </w:p>
        </w:tc>
        <w:tc>
          <w:tcPr>
            <w:tcW w:type="dxa" w:w="5669"/>
            <w:shd w:fill="FFFFFF" w:val="clear"/>
          </w:tcPr>
          <w:p>
            <w:r>
              <w:rPr>
                <w:sz w:val="15"/>
              </w:rPr>
              <w:t>⚠️ ROE de 7.1%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1.23%</w:t>
            </w:r>
          </w:p>
        </w:tc>
        <w:tc>
          <w:tcPr>
            <w:tcW w:type="dxa" w:w="5669"/>
            <w:shd w:fill="FFFFFF" w:val="clear"/>
          </w:tcPr>
          <w:p>
            <w:r>
              <w:rPr>
                <w:sz w:val="15"/>
              </w:rPr>
              <w:t>⚠️ ROA de 1.23%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1.78%</w:t>
            </w:r>
          </w:p>
        </w:tc>
        <w:tc>
          <w:tcPr>
            <w:tcW w:type="dxa" w:w="5669"/>
            <w:shd w:fill="FFFFFF" w:val="clear"/>
          </w:tcPr>
          <w:p>
            <w:r>
              <w:rPr>
                <w:sz w:val="15"/>
              </w:rPr>
              <w:t>⚠️ Marge nette de 1.8%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179.29 M FCFA</w:t>
            </w:r>
          </w:p>
        </w:tc>
        <w:tc>
          <w:tcPr>
            <w:tcW w:type="dxa" w:w="5669"/>
            <w:shd w:fill="FFFFFF" w:val="clear"/>
          </w:tcPr>
          <w:p>
            <w:r>
              <w:rPr>
                <w:sz w:val="15"/>
              </w:rPr>
              <w:t>✅ Résultat net positif de 179.29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8.53%</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17.29%</w:t>
            </w:r>
          </w:p>
        </w:tc>
        <w:tc>
          <w:tcPr>
            <w:tcW w:type="dxa" w:w="5669"/>
            <w:shd w:fill="FFFFFF" w:val="clear"/>
          </w:tcPr>
          <w:p>
            <w:r>
              <w:rPr>
                <w:sz w:val="15"/>
              </w:rPr>
              <w:t>⚠️ Autonomie limitée (17.3%)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228.41%</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120.91%</w:t>
            </w:r>
          </w:p>
        </w:tc>
        <w:tc>
          <w:tcPr>
            <w:tcW w:type="dxa" w:w="5669"/>
            <w:shd w:fill="FFFFFF" w:val="clear"/>
          </w:tcPr>
          <w:p>
            <w:r>
              <w:rPr>
                <w:sz w:val="15"/>
              </w:rPr>
              <w:t>✅ Solvabilité satisfaisante (121%)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73.09%</w:t>
            </w:r>
          </w:p>
        </w:tc>
        <w:tc>
          <w:tcPr>
            <w:tcW w:type="dxa" w:w="5669"/>
            <w:shd w:fill="FFFFFF" w:val="clear"/>
          </w:tcPr>
          <w:p>
            <w:r>
              <w:rPr>
                <w:sz w:val="15"/>
              </w:rPr>
              <w:t>❌ Liquidité insuffisante (73.09x)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-935.89 M FCFA</w:t>
            </w:r>
          </w:p>
        </w:tc>
        <w:tc>
          <w:tcPr>
            <w:tcW w:type="dxa" w:w="5669"/>
            <w:shd w:fill="FFFFFF" w:val="clear"/>
          </w:tcPr>
          <w:p>
            <w:r>
              <w:rPr>
                <w:sz w:val="15"/>
              </w:rPr>
              <w:t>❌ FCF négatif significatif (-935.89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8.60%</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EB9C" w:val="clear"/>
          </w:tcPr>
          <w:p>
            <w:r>
              <w:rPr>
                <w:b/>
                <w:color w:val="007800"/>
                <w:sz w:val="17"/>
              </w:rPr>
              <w:t>79.3 j</w:t>
            </w:r>
          </w:p>
        </w:tc>
        <w:tc>
          <w:tcPr>
            <w:tcW w:type="dxa" w:w="5669"/>
            <w:shd w:fill="FFFFFF" w:val="clear"/>
          </w:tcPr>
          <w:p>
            <w:r>
              <w:rPr>
                <w:sz w:val="15"/>
              </w:rPr>
              <w:t>⚠️ Délai long (79 jours) — risque d'impayés accru, pression sur la trésorerie CT.</w:t>
            </w:r>
          </w:p>
        </w:tc>
      </w:tr>
      <w:tr>
        <w:tc>
          <w:tcPr>
            <w:tcW w:type="dxa" w:w="2268"/>
            <w:shd w:fill="EEF2F7" w:val="clear"/>
          </w:tcPr>
          <w:p>
            <w:r>
              <w:rPr>
                <w:b/>
                <w:sz w:val="15"/>
              </w:rPr>
              <w:t>Durée stockage</w:t>
            </w:r>
          </w:p>
        </w:tc>
        <w:tc>
          <w:tcPr>
            <w:tcW w:type="dxa" w:w="1984"/>
            <w:shd w:fill="FFC7CE" w:val="clear"/>
          </w:tcPr>
          <w:p>
            <w:r>
              <w:rPr>
                <w:b/>
                <w:color w:val="007800"/>
                <w:sz w:val="17"/>
              </w:rPr>
              <w:t>189.3 j</w:t>
            </w:r>
          </w:p>
        </w:tc>
        <w:tc>
          <w:tcPr>
            <w:tcW w:type="dxa" w:w="5669"/>
            <w:shd w:fill="FFFFFF" w:val="clear"/>
          </w:tcPr>
          <w:p>
            <w:r>
              <w:rPr>
                <w:sz w:val="15"/>
              </w:rPr>
              <w:t>❌ Stock quasi-bloqué (189 jours) — capital fortement immobilisé, risque d'obsolescence élevé.</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CABC</w:t>
            </w:r>
          </w:p>
        </w:tc>
        <w:tc>
          <w:tcPr>
            <w:tcW w:type="dxa" w:w="1728"/>
            <w:shd w:fill="C6EFCE" w:val="clear"/>
          </w:tcPr>
          <w:p>
            <w:r>
              <w:rPr>
                <w:color w:val="006400"/>
                <w:sz w:val="16"/>
              </w:rPr>
              <w:t>15.40%</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CABC</w:t>
            </w:r>
          </w:p>
        </w:tc>
        <w:tc>
          <w:tcPr>
            <w:tcW w:type="dxa" w:w="1728"/>
            <w:shd w:fill="C6EFCE" w:val="clear"/>
          </w:tcPr>
          <w:p>
            <w:r>
              <w:rPr>
                <w:color w:val="006400"/>
                <w:sz w:val="16"/>
              </w:rPr>
              <w:t>6.77%</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FTSC</w:t>
            </w:r>
          </w:p>
        </w:tc>
        <w:tc>
          <w:tcPr>
            <w:tcW w:type="dxa" w:w="1728"/>
            <w:shd w:fill="FFC7CE" w:val="clear"/>
          </w:tcPr>
          <w:p>
            <w:r>
              <w:rPr>
                <w:color w:val="B40000"/>
                <w:sz w:val="16"/>
              </w:rPr>
              <w:t>4.61%</w:t>
            </w:r>
          </w:p>
        </w:tc>
      </w:tr>
      <w:tr>
        <w:tc>
          <w:tcPr>
            <w:tcW w:type="dxa" w:w="1728"/>
            <w:shd w:fill="EEF2F7" w:val="clear"/>
          </w:tcPr>
          <w:p>
            <w:r>
              <w:rPr>
                <w:b/>
                <w:sz w:val="16"/>
              </w:rPr>
              <w:t>Autonomie fin.</w:t>
            </w:r>
          </w:p>
        </w:tc>
        <w:tc>
          <w:tcPr>
            <w:tcW w:type="dxa" w:w="1728"/>
            <w:shd w:fill="C6EFCE" w:val="clear"/>
          </w:tcPr>
          <w:p>
            <w:r>
              <w:rPr>
                <w:b/>
                <w:color w:val="006400"/>
                <w:sz w:val="16"/>
              </w:rPr>
              <w:t>FTSC</w:t>
            </w:r>
          </w:p>
        </w:tc>
        <w:tc>
          <w:tcPr>
            <w:tcW w:type="dxa" w:w="1728"/>
            <w:shd w:fill="C6EFCE" w:val="clear"/>
          </w:tcPr>
          <w:p>
            <w:r>
              <w:rPr>
                <w:color w:val="006400"/>
                <w:sz w:val="16"/>
              </w:rPr>
              <w:t>40.11%</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73.09%</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55.471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Services Financiers</w:t>
      </w:r>
    </w:p>
    <w:p>
      <w:r>
        <w:rPr>
          <w:sz w:val="18"/>
        </w:rPr>
        <w:t>1 société(s) avec données financières sur 1 cotée(s) dans ce secteur. Exercice(s) analysé(s) : 2025.</w:t>
      </w:r>
    </w:p>
    <w:p/>
    <w:p>
      <w:pPr>
        <w:pStyle w:val="Heading3"/>
      </w:pPr>
      <w:r>
        <w:t>📊 Tableau comparatif des indicateurs clés</w:t>
      </w:r>
    </w:p>
    <w:tbl>
      <w:tblPr>
        <w:tblStyle w:val="TableGrid"/>
        <w:tblW w:type="auto" w:w="0"/>
        <w:tblLook w:firstColumn="1" w:firstRow="1" w:lastColumn="0" w:lastRow="0" w:noHBand="0" w:noVBand="1" w:val="04A0"/>
      </w:tblPr>
      <w:tblGrid>
        <w:gridCol w:w="4320"/>
        <w:gridCol w:w="4320"/>
      </w:tblGrid>
      <w:tr>
        <w:tc>
          <w:tcPr>
            <w:tcW w:type="dxa" w:w="2551"/>
            <w:shd w:fill="1F4E79" w:val="clear"/>
          </w:tcPr>
          <w:p>
            <w:r>
              <w:rPr>
                <w:b/>
                <w:color w:val="FFFFFF"/>
                <w:sz w:val="16"/>
              </w:rPr>
              <w:t>Indicateur</w:t>
            </w:r>
          </w:p>
        </w:tc>
        <w:tc>
          <w:tcPr>
            <w:tcW w:type="dxa" w:w="7370"/>
            <w:shd w:fill="1F4E79" w:val="clear"/>
          </w:tcPr>
          <w:p>
            <w:r>
              <w:rPr>
                <w:b/>
                <w:color w:val="FFFFFF"/>
                <w:sz w:val="15"/>
              </w:rPr>
              <w:t>BBGC (2025)</w:t>
            </w:r>
          </w:p>
        </w:tc>
      </w:tr>
      <w:tr>
        <w:tc>
          <w:tcPr>
            <w:tcW w:type="dxa" w:w="2551"/>
            <w:shd w:fill="EEF2F7" w:val="clear"/>
          </w:tcPr>
          <w:p>
            <w:r>
              <w:rPr>
                <w:b/>
                <w:sz w:val="15"/>
              </w:rPr>
              <w:t>ROE</w:t>
            </w:r>
          </w:p>
        </w:tc>
        <w:tc>
          <w:tcPr>
            <w:tcW w:type="dxa" w:w="7370"/>
            <w:shd w:fill="FFFFFF" w:val="clear"/>
          </w:tcPr>
          <w:p>
            <w:r>
              <w:rPr>
                <w:b/>
                <w:color w:val="000000"/>
                <w:sz w:val="16"/>
              </w:rPr>
              <w:t>25.87%</w:t>
            </w:r>
          </w:p>
        </w:tc>
      </w:tr>
      <w:tr>
        <w:tc>
          <w:tcPr>
            <w:tcW w:type="dxa" w:w="2551"/>
            <w:shd w:fill="EEF2F7" w:val="clear"/>
          </w:tcPr>
          <w:p>
            <w:r>
              <w:rPr>
                <w:b/>
                <w:sz w:val="15"/>
              </w:rPr>
              <w:t>ROA</w:t>
            </w:r>
          </w:p>
        </w:tc>
        <w:tc>
          <w:tcPr>
            <w:tcW w:type="dxa" w:w="7370"/>
            <w:shd w:fill="FFFFFF" w:val="clear"/>
          </w:tcPr>
          <w:p>
            <w:r>
              <w:rPr>
                <w:b/>
                <w:color w:val="000000"/>
                <w:sz w:val="16"/>
              </w:rPr>
              <w:t>1.91%</w:t>
            </w:r>
          </w:p>
        </w:tc>
      </w:tr>
      <w:tr>
        <w:tc>
          <w:tcPr>
            <w:tcW w:type="dxa" w:w="2551"/>
            <w:shd w:fill="EEF2F7" w:val="clear"/>
          </w:tcPr>
          <w:p>
            <w:r>
              <w:rPr>
                <w:b/>
                <w:sz w:val="15"/>
              </w:rPr>
              <w:t>Marge nette</w:t>
            </w:r>
          </w:p>
        </w:tc>
        <w:tc>
          <w:tcPr>
            <w:tcW w:type="dxa" w:w="7370"/>
            <w:shd w:fill="FFFFFF" w:val="clear"/>
          </w:tcPr>
          <w:p>
            <w:r>
              <w:rPr>
                <w:b/>
                <w:color w:val="000000"/>
                <w:sz w:val="16"/>
              </w:rPr>
              <w:t>40.10%</w:t>
            </w:r>
          </w:p>
        </w:tc>
      </w:tr>
      <w:tr>
        <w:tc>
          <w:tcPr>
            <w:tcW w:type="dxa" w:w="2551"/>
            <w:shd w:fill="EEF2F7" w:val="clear"/>
          </w:tcPr>
          <w:p>
            <w:r>
              <w:rPr>
                <w:b/>
                <w:sz w:val="15"/>
              </w:rPr>
              <w:t>Résultat net</w:t>
            </w:r>
          </w:p>
        </w:tc>
        <w:tc>
          <w:tcPr>
            <w:tcW w:type="dxa" w:w="7370"/>
            <w:shd w:fill="FFFFFF" w:val="clear"/>
          </w:tcPr>
          <w:p>
            <w:r>
              <w:rPr>
                <w:b/>
                <w:color w:val="000000"/>
                <w:sz w:val="16"/>
              </w:rPr>
              <w:t>27.197 Mds FCFA</w:t>
            </w:r>
          </w:p>
        </w:tc>
      </w:tr>
      <w:tr>
        <w:tc>
          <w:tcPr>
            <w:tcW w:type="dxa" w:w="2551"/>
            <w:shd w:fill="EEF2F7" w:val="clear"/>
          </w:tcPr>
          <w:p>
            <w:r>
              <w:rPr>
                <w:b/>
                <w:sz w:val="15"/>
              </w:rPr>
              <w:t>Taux croissance CA/PNB</w:t>
            </w:r>
          </w:p>
        </w:tc>
        <w:tc>
          <w:tcPr>
            <w:tcW w:type="dxa" w:w="7370"/>
            <w:shd w:fill="FFFFFF" w:val="clear"/>
          </w:tcPr>
          <w:p>
            <w:r>
              <w:rPr>
                <w:b/>
                <w:color w:val="000000"/>
                <w:sz w:val="16"/>
              </w:rPr>
              <w:t>15.71%</w:t>
            </w:r>
          </w:p>
        </w:tc>
      </w:tr>
      <w:tr>
        <w:tc>
          <w:tcPr>
            <w:tcW w:type="dxa" w:w="2551"/>
            <w:shd w:fill="EEF2F7" w:val="clear"/>
          </w:tcPr>
          <w:p>
            <w:r>
              <w:rPr>
                <w:b/>
                <w:sz w:val="15"/>
              </w:rPr>
              <w:t>Autonomie financière</w:t>
            </w:r>
          </w:p>
        </w:tc>
        <w:tc>
          <w:tcPr>
            <w:tcW w:type="dxa" w:w="7370"/>
            <w:shd w:fill="FFFFFF" w:val="clear"/>
          </w:tcPr>
          <w:p>
            <w:r>
              <w:rPr>
                <w:b/>
                <w:color w:val="000000"/>
                <w:sz w:val="16"/>
              </w:rPr>
              <w:t>7.37%</w:t>
            </w:r>
          </w:p>
        </w:tc>
      </w:tr>
      <w:tr>
        <w:tc>
          <w:tcPr>
            <w:tcW w:type="dxa" w:w="2551"/>
            <w:shd w:fill="EEF2F7" w:val="clear"/>
          </w:tcPr>
          <w:p>
            <w:r>
              <w:rPr>
                <w:b/>
                <w:sz w:val="15"/>
              </w:rPr>
              <w:t>Ratio endettement</w:t>
            </w:r>
          </w:p>
        </w:tc>
        <w:tc>
          <w:tcPr>
            <w:tcW w:type="dxa" w:w="7370"/>
            <w:shd w:fill="FFFFFF" w:val="clear"/>
          </w:tcPr>
          <w:p>
            <w:r>
              <w:rPr>
                <w:b/>
                <w:color w:val="000000"/>
                <w:sz w:val="16"/>
              </w:rPr>
              <w:t>1257.65%</w:t>
            </w:r>
          </w:p>
        </w:tc>
      </w:tr>
      <w:tr>
        <w:tc>
          <w:tcPr>
            <w:tcW w:type="dxa" w:w="2551"/>
            <w:shd w:fill="EEF2F7" w:val="clear"/>
          </w:tcPr>
          <w:p>
            <w:r>
              <w:rPr>
                <w:b/>
                <w:sz w:val="15"/>
              </w:rPr>
              <w:t>Solvabilité générale</w:t>
            </w:r>
          </w:p>
        </w:tc>
        <w:tc>
          <w:tcPr>
            <w:tcW w:type="dxa" w:w="7370"/>
            <w:shd w:fill="FFFFFF" w:val="clear"/>
          </w:tcPr>
          <w:p>
            <w:r>
              <w:rPr>
                <w:b/>
                <w:color w:val="000000"/>
                <w:sz w:val="16"/>
              </w:rPr>
              <w:t>107.95%</w:t>
            </w:r>
          </w:p>
        </w:tc>
      </w:tr>
      <w:tr>
        <w:tc>
          <w:tcPr>
            <w:tcW w:type="dxa" w:w="2551"/>
            <w:shd w:fill="EEF2F7" w:val="clear"/>
          </w:tcPr>
          <w:p>
            <w:r>
              <w:rPr>
                <w:b/>
                <w:sz w:val="15"/>
              </w:rPr>
              <w:t>Coeff. exploitation</w:t>
            </w:r>
          </w:p>
        </w:tc>
        <w:tc>
          <w:tcPr>
            <w:tcW w:type="dxa" w:w="7370"/>
            <w:shd w:fill="FFFFFF" w:val="clear"/>
          </w:tcPr>
          <w:p>
            <w:r>
              <w:rPr>
                <w:b/>
                <w:color w:val="000000"/>
                <w:sz w:val="16"/>
              </w:rPr>
              <w:t>41.85%</w:t>
            </w:r>
          </w:p>
        </w:tc>
      </w:tr>
      <w:tr>
        <w:tc>
          <w:tcPr>
            <w:tcW w:type="dxa" w:w="2551"/>
            <w:shd w:fill="EEF2F7" w:val="clear"/>
          </w:tcPr>
          <w:p>
            <w:r>
              <w:rPr>
                <w:b/>
                <w:sz w:val="15"/>
              </w:rPr>
              <w:t>Marge opérationnelle</w:t>
            </w:r>
          </w:p>
        </w:tc>
        <w:tc>
          <w:tcPr>
            <w:tcW w:type="dxa" w:w="7370"/>
            <w:shd w:fill="FFFFFF" w:val="clear"/>
          </w:tcPr>
          <w:p>
            <w:r>
              <w:rPr>
                <w:b/>
                <w:color w:val="000000"/>
                <w:sz w:val="16"/>
              </w:rPr>
              <w:t>48.12%</w:t>
            </w:r>
          </w:p>
        </w:tc>
      </w:tr>
    </w:tbl>
    <w:p/>
    <w:p>
      <w:pPr>
        <w:pStyle w:val="Heading3"/>
      </w:pPr>
      <w:r>
        <w:t>🔍 Analyse détaillée par société</w:t>
      </w:r>
    </w:p>
    <w:p>
      <w:pPr>
        <w:spacing w:before="160"/>
      </w:pPr>
      <w:r>
        <w:rPr>
          <w:b/>
          <w:color w:val="003366"/>
          <w:sz w:val="20"/>
        </w:rPr>
        <w:t xml:space="preserve">▶ BBGC — BRIDGE BANK GROUP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25.87%</w:t>
            </w:r>
          </w:p>
        </w:tc>
        <w:tc>
          <w:tcPr>
            <w:tcW w:type="dxa" w:w="5669"/>
            <w:shd w:fill="FFFFFF" w:val="clear"/>
          </w:tcPr>
          <w:p>
            <w:r>
              <w:rPr>
                <w:sz w:val="15"/>
              </w:rPr>
              <w:t>✅ ROE de 25.9%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1.91%</w:t>
            </w:r>
          </w:p>
        </w:tc>
        <w:tc>
          <w:tcPr>
            <w:tcW w:type="dxa" w:w="5669"/>
            <w:shd w:fill="FFFFFF" w:val="clear"/>
          </w:tcPr>
          <w:p>
            <w:r>
              <w:rPr>
                <w:sz w:val="15"/>
              </w:rPr>
              <w:t>✅ ROA de 1.91%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40.10%</w:t>
            </w:r>
          </w:p>
        </w:tc>
        <w:tc>
          <w:tcPr>
            <w:tcW w:type="dxa" w:w="5669"/>
            <w:shd w:fill="FFFFFF" w:val="clear"/>
          </w:tcPr>
          <w:p>
            <w:r>
              <w:rPr>
                <w:sz w:val="15"/>
              </w:rPr>
              <w:t>✅ Marge nette de 40.1%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27.197 Mds FCFA</w:t>
            </w:r>
          </w:p>
        </w:tc>
        <w:tc>
          <w:tcPr>
            <w:tcW w:type="dxa" w:w="5669"/>
            <w:shd w:fill="FFFFFF" w:val="clear"/>
          </w:tcPr>
          <w:p>
            <w:r>
              <w:rPr>
                <w:sz w:val="15"/>
              </w:rPr>
              <w:t>✅ Résultat net positif de 27.197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15.71%</w:t>
            </w:r>
          </w:p>
        </w:tc>
        <w:tc>
          <w:tcPr>
            <w:tcW w:type="dxa" w:w="5669"/>
            <w:shd w:fill="FFFFFF" w:val="clear"/>
          </w:tcPr>
          <w:p>
            <w:r>
              <w:rPr>
                <w:sz w:val="15"/>
              </w:rPr>
              <w:t>✅ Croissance de 15.7%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7.37%</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1257.65%</w:t>
            </w:r>
          </w:p>
        </w:tc>
        <w:tc>
          <w:tcPr>
            <w:tcW w:type="dxa" w:w="5669"/>
            <w:shd w:fill="FFFFFF" w:val="clear"/>
          </w:tcPr>
          <w:p>
            <w:r>
              <w:rPr>
                <w:sz w:val="15"/>
              </w:rPr>
              <w:t>❌ Gearing de 1258%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107.95%</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41.85%</w:t>
            </w:r>
          </w:p>
        </w:tc>
        <w:tc>
          <w:tcPr>
            <w:tcW w:type="dxa" w:w="5669"/>
            <w:shd w:fill="FFFFFF" w:val="clear"/>
          </w:tcPr>
          <w:p>
            <w:r>
              <w:rPr>
                <w:sz w:val="15"/>
              </w:rPr>
              <w:t>✅ Coeff. d'exploitation de 41.8%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48.12%</w:t>
            </w:r>
          </w:p>
        </w:tc>
        <w:tc>
          <w:tcPr>
            <w:tcW w:type="dxa" w:w="5669"/>
            <w:shd w:fill="FFFFFF" w:val="clear"/>
          </w:tcPr>
          <w:p>
            <w:r>
              <w:rPr>
                <w:sz w:val="15"/>
              </w:rPr>
              <w:t>✅ Marge opérationnelle de 48.1% — excellente efficacité de l'exploitation principale.</w:t>
            </w:r>
          </w:p>
        </w:tc>
      </w:tr>
    </w:tbl>
    <w:p/>
    <w:p>
      <w:pPr>
        <w:pStyle w:val="Heading3"/>
      </w:pPr>
      <w:r>
        <w:t>🏆 Synthèse sectorielle — Points forts et points faibles</w:t>
      </w:r>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34.81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3,267 titres</w:t>
            </w:r>
          </w:p>
        </w:tc>
        <w:tc>
          <w:tcPr>
            <w:tcW w:type="dxa" w:w="2268"/>
            <w:shd w:fill="FFF2CC" w:val="clear"/>
          </w:tcPr>
          <w:p>
            <w:r>
              <w:rPr>
                <w:b/>
                <w:color w:val="503200"/>
                <w:sz w:val="16"/>
              </w:rPr>
              <w:t xml:space="preserve">Cours actuel : </w:t>
            </w:r>
            <w:r>
              <w:rPr>
                <w:color w:val="000000"/>
                <w:sz w:val="17"/>
              </w:rPr>
              <w:t>3,190 FCFA</w:t>
            </w:r>
          </w:p>
          <w:p>
            <w:r>
              <w:rPr>
                <w:b/>
                <w:color w:val="503200"/>
                <w:sz w:val="16"/>
              </w:rPr>
              <w:t xml:space="preserve">Var. 100 jours : </w:t>
            </w:r>
            <w:r>
              <w:rPr>
                <w:b/>
                <w:color w:val="007800"/>
                <w:sz w:val="17"/>
              </w:rPr>
              <w:t>+12.13%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10.80% (Moyenne) — μ=3,351 FCFA, σ=362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β=0.3096 (Défensif) — Cov=0.000023, Var(idx)=0.000074, ρ=0.093,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3,052</w:t>
            </w:r>
          </w:p>
        </w:tc>
        <w:tc>
          <w:tcPr>
            <w:tcW w:type="dxa" w:w="1440"/>
            <w:shd w:fill="FAFAFA" w:val="clear"/>
          </w:tcPr>
          <w:p>
            <w:r>
              <w:rPr>
                <w:b/>
                <w:sz w:val="17"/>
              </w:rPr>
              <w:t>3,185</w:t>
            </w:r>
          </w:p>
        </w:tc>
        <w:tc>
          <w:tcPr>
            <w:tcW w:type="dxa" w:w="1440"/>
            <w:shd w:fill="FAFAFA" w:val="clear"/>
          </w:tcPr>
          <w:p>
            <w:r>
              <w:rPr>
                <w:sz w:val="17"/>
              </w:rPr>
              <w:t>3,317</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2,969</w:t>
            </w:r>
          </w:p>
        </w:tc>
        <w:tc>
          <w:tcPr>
            <w:tcW w:type="dxa" w:w="1440"/>
            <w:shd w:fill="FAFAFA" w:val="clear"/>
          </w:tcPr>
          <w:p>
            <w:r>
              <w:rPr>
                <w:b/>
                <w:sz w:val="17"/>
              </w:rPr>
              <w:t>3,155</w:t>
            </w:r>
          </w:p>
        </w:tc>
        <w:tc>
          <w:tcPr>
            <w:tcW w:type="dxa" w:w="1440"/>
            <w:shd w:fill="FAFAFA" w:val="clear"/>
          </w:tcPr>
          <w:p>
            <w:r>
              <w:rPr>
                <w:sz w:val="17"/>
              </w:rPr>
              <w:t>3,341</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2,908</w:t>
            </w:r>
          </w:p>
        </w:tc>
        <w:tc>
          <w:tcPr>
            <w:tcW w:type="dxa" w:w="1440"/>
            <w:shd w:fill="FAFAFA" w:val="clear"/>
          </w:tcPr>
          <w:p>
            <w:r>
              <w:rPr>
                <w:b/>
                <w:sz w:val="17"/>
              </w:rPr>
              <w:t>3,135</w:t>
            </w:r>
          </w:p>
        </w:tc>
        <w:tc>
          <w:tcPr>
            <w:tcW w:type="dxa" w:w="1440"/>
            <w:shd w:fill="FAFAFA" w:val="clear"/>
          </w:tcPr>
          <w:p>
            <w:r>
              <w:rPr>
                <w:sz w:val="17"/>
              </w:rPr>
              <w:t>3,361</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2,855</w:t>
            </w:r>
          </w:p>
        </w:tc>
        <w:tc>
          <w:tcPr>
            <w:tcW w:type="dxa" w:w="1440"/>
            <w:shd w:fill="FFDCE0" w:val="clear"/>
          </w:tcPr>
          <w:p>
            <w:r>
              <w:rPr>
                <w:b/>
                <w:sz w:val="17"/>
              </w:rPr>
              <w:t>3,115</w:t>
            </w:r>
          </w:p>
        </w:tc>
        <w:tc>
          <w:tcPr>
            <w:tcW w:type="dxa" w:w="1440"/>
            <w:shd w:fill="FFDCE0" w:val="clear"/>
          </w:tcPr>
          <w:p>
            <w:r>
              <w:rPr>
                <w:sz w:val="17"/>
              </w:rPr>
              <w:t>3,374</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2,807</w:t>
            </w:r>
          </w:p>
        </w:tc>
        <w:tc>
          <w:tcPr>
            <w:tcW w:type="dxa" w:w="1440"/>
            <w:shd w:fill="FFDCE0" w:val="clear"/>
          </w:tcPr>
          <w:p>
            <w:r>
              <w:rPr>
                <w:b/>
                <w:sz w:val="17"/>
              </w:rPr>
              <w:t>3,095</w:t>
            </w:r>
          </w:p>
        </w:tc>
        <w:tc>
          <w:tcPr>
            <w:tcW w:type="dxa" w:w="1440"/>
            <w:shd w:fill="FFDCE0" w:val="clear"/>
          </w:tcPr>
          <w:p>
            <w:r>
              <w:rPr>
                <w:sz w:val="17"/>
              </w:rPr>
              <w:t>3,383</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2,762</w:t>
            </w:r>
          </w:p>
        </w:tc>
        <w:tc>
          <w:tcPr>
            <w:tcW w:type="dxa" w:w="1440"/>
            <w:shd w:fill="FFDCE0" w:val="clear"/>
          </w:tcPr>
          <w:p>
            <w:r>
              <w:rPr>
                <w:b/>
                <w:sz w:val="17"/>
              </w:rPr>
              <w:t>3,075</w:t>
            </w:r>
          </w:p>
        </w:tc>
        <w:tc>
          <w:tcPr>
            <w:tcW w:type="dxa" w:w="1440"/>
            <w:shd w:fill="FFDCE0" w:val="clear"/>
          </w:tcPr>
          <w:p>
            <w:r>
              <w:rPr>
                <w:sz w:val="17"/>
              </w:rPr>
              <w:t>3,389</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2,720</w:t>
            </w:r>
          </w:p>
        </w:tc>
        <w:tc>
          <w:tcPr>
            <w:tcW w:type="dxa" w:w="1440"/>
            <w:shd w:fill="FFDCE0" w:val="clear"/>
          </w:tcPr>
          <w:p>
            <w:r>
              <w:rPr>
                <w:b/>
                <w:sz w:val="17"/>
              </w:rPr>
              <w:t>3,057</w:t>
            </w:r>
          </w:p>
        </w:tc>
        <w:tc>
          <w:tcPr>
            <w:tcW w:type="dxa" w:w="1440"/>
            <w:shd w:fill="FFDCE0" w:val="clear"/>
          </w:tcPr>
          <w:p>
            <w:r>
              <w:rPr>
                <w:sz w:val="17"/>
              </w:rPr>
              <w:t>3,393</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2,680</w:t>
            </w:r>
          </w:p>
        </w:tc>
        <w:tc>
          <w:tcPr>
            <w:tcW w:type="dxa" w:w="1440"/>
            <w:shd w:fill="FFDCE0" w:val="clear"/>
          </w:tcPr>
          <w:p>
            <w:r>
              <w:rPr>
                <w:b/>
                <w:sz w:val="17"/>
              </w:rPr>
              <w:t>3,038</w:t>
            </w:r>
          </w:p>
        </w:tc>
        <w:tc>
          <w:tcPr>
            <w:tcW w:type="dxa" w:w="1440"/>
            <w:shd w:fill="FFDCE0" w:val="clear"/>
          </w:tcPr>
          <w:p>
            <w:r>
              <w:rPr>
                <w:sz w:val="17"/>
              </w:rPr>
              <w:t>3,396</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2,643</w:t>
            </w:r>
          </w:p>
        </w:tc>
        <w:tc>
          <w:tcPr>
            <w:tcW w:type="dxa" w:w="1440"/>
            <w:shd w:fill="FFDCE0" w:val="clear"/>
          </w:tcPr>
          <w:p>
            <w:r>
              <w:rPr>
                <w:b/>
                <w:sz w:val="17"/>
              </w:rPr>
              <w:t>3,021</w:t>
            </w:r>
          </w:p>
        </w:tc>
        <w:tc>
          <w:tcPr>
            <w:tcW w:type="dxa" w:w="1440"/>
            <w:shd w:fill="FFDCE0" w:val="clear"/>
          </w:tcPr>
          <w:p>
            <w:r>
              <w:rPr>
                <w:sz w:val="17"/>
              </w:rPr>
              <w:t>3,399</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2,608</w:t>
            </w:r>
          </w:p>
        </w:tc>
        <w:tc>
          <w:tcPr>
            <w:tcW w:type="dxa" w:w="1440"/>
            <w:shd w:fill="FFDCE0" w:val="clear"/>
          </w:tcPr>
          <w:p>
            <w:r>
              <w:rPr>
                <w:b/>
                <w:sz w:val="17"/>
              </w:rPr>
              <w:t>3,004</w:t>
            </w:r>
          </w:p>
        </w:tc>
        <w:tc>
          <w:tcPr>
            <w:tcW w:type="dxa" w:w="1440"/>
            <w:shd w:fill="FFDCE0" w:val="clear"/>
          </w:tcPr>
          <w:p>
            <w:r>
              <w:rPr>
                <w:sz w:val="17"/>
              </w:rPr>
              <w:t>3,400</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 / Restauration aérienne*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34,81 milliards FCFA, ABJC se positionne comme une valeur de taille intermédiaire sur la cote BRVM, loin des poids lourds bancaires et télécoms mais suffisamment liquide pour intéresser les investisseurs institutionnels régionaux. Le BPA de 124 FCFA/action signifie que chaque titre génère un bénéfice net de 124 FCFA, ce qui, rapporté au cours actuel de 3 190 FCFA, aboutit à un PER de 25,8x — soit plus du double de la moyenne BRVM (8-12x), signalant que le marché intègre déjà une forte prime de croissance ou, à l'inverse, une possible surévaluation. Le P/B de 6,75x confirme cette exigence : les investisseurs paient près de 7 fois la valeur comptable des fonds propres, un niveau très supérieur au seuil de 4x généralement considéré comme déjà tendu. Enfin, l'EV/EBITDA de 13,0x, dans le haut de la fourchette 10-15x, traduit une valorisation pleine de la capacité opérationnelle ; l'ensemble de ces ratios dessine donc un titre « cher » dont la justification dépend étroitement de la capacité à restaurer la croissance bénéficiaire.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variation totale positive de +12,13%, mais la dernière séance (J-1) marque un net repli de -3,04%, signe d'une pression vendeuse récente. Le titre a évolué dans un range large de 2 800 FCFA (plus bas) à 4 095 FCFA (plus haut), soit un spread de près de 46%, avant de se stabiliser à 3 190 FCFA — nettement sous ses sommets, ce qui traduit une tendance haussière de fond mais essoufflée à court terme. Les statistiques descriptives révèlent une moyenne de 3 351 FCFA supérieure à la médiane de 3 278 FCFA, confirmant une asymétrie positive (skewness de 0,595) : les journées sous la moyenne sont plus fréquentes, mais quelques pics hauts tirent la moyenne vers le haut. L'écart-type de 364 FCFA (CV de 10,9%) indique une dispersion modérée autour de la tendance, tandis que le kurtosis de -0,804 (mésokurtique) suggère un comportement proche d'une loi normale, sans risque marqué de pics extrêmes. Avec une volatilité annualisée de 45,1%, le titre se classe dans la catégorie des valeurs à volatilité élevée (&gt;30%), ce qui implique un risque de marché conséquent et justifie une approche prudente en termes de sizing.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(3 720 FCFA) et la MM50 (3 552,3 FCFA) se situent toutes deux bien au-dessus du cours actuel (3 190 FCFA), ce qui place le titre en position de faiblesse relative par rapport à ses tendances court et moyen terme. La décision affichée « Achat » repose sur le croisement favorable MM20 &gt; MM50 (configuration haussière de fond), mais l'écart négatif entre le prix et ces moyennes invite à la prudence : un retournement baissier n'est pas exclu si le cours ne réintègre pas rapidement la zone des 3 500 FCFA.</w:t>
      </w:r>
    </w:p>
    <w:p>
      <w:pPr>
        <w:spacing w:after="120" w:line="276" w:lineRule="auto"/>
      </w:pPr>
      <w:r>
        <w:t>**Bandes de Bollinger** : Le cours (3 190 FCFA) évolue dans la partie basse du canal, entre la borne inférieure (3 075,26 FCFA) et la borne supérieure (4 364,74 FCFA), sans franchissement de seuil. La décision « Neutre » traduit l'absence de signal directionnel fort : le titre n'est ni en survente extrême (proche borne basse) ni en surachat, et la largeur des bandes confirme une volatilité encore présente mais en cours de compression.</w:t>
      </w:r>
    </w:p>
    <w:p>
      <w:pPr>
        <w:spacing w:after="120" w:line="276" w:lineRule="auto"/>
      </w:pPr>
      <w:r>
        <w:t>**MACD** : La valeur du MACD (-122,999) est nettement inférieure à son signal (-35,104), avec un histogramme négatif et creusé, ce qui matérialise un momentum baissier dominant. La décision « Vente » est cohérente : la divergence négative MACD-Signal indique que la dynamique de court terme reste défavorable malgré la tendance haussière de fond.</w:t>
      </w:r>
    </w:p>
    <w:p>
      <w:pPr>
        <w:spacing w:after="120" w:line="276" w:lineRule="auto"/>
      </w:pPr>
      <w:r>
        <w:t>**RSI** : À 16,964, le RSI se situe très en dessous du seuil de survente (30), ce qui constitue un signal d'achat technique classique — le titre est statistiquement survendu et pourrait rebondir à court terme. La décision « Achat » est donc justifiée par cette configuration extrême, mais un RSI aussi bas peut aussi signaler une faiblesse structurelle persistante.</w:t>
      </w:r>
    </w:p>
    <w:p>
      <w:pPr>
        <w:spacing w:after="120" w:line="276" w:lineRule="auto"/>
      </w:pPr>
      <w:r>
        <w:t>**Stochastique** : Avec un %K à 0,0 et un %D à 2,916, l'oscillateur stochastique est au plancher absolu, confirmant une survente extrême. La décision « Achat » découle de cette position extrême, mais l'absence de croisement haussier %K/%D pour l'instant incite à attendre une confirmation avant d'agir.</w:t>
      </w:r>
    </w:p>
    <w:p>
      <w:pPr>
        <w:spacing w:after="120" w:line="276" w:lineRule="auto"/>
      </w:pPr>
      <w:r>
        <w:t>**Conclusion technique** : Les indicateurs sont divergents — les oscillateurs (RSI, Stochastique) crient à la survente et suggèrent un rebond imminent, tandis que le MACD et la position sous les moyennes mobiles plaident pour une poursuite de la correction. La configuration globale est celle d'un titre survendu en tendance haussière de fond, ce qui offre un potentiel de rebond mais avec un risque de fausse sortie si le support des 3 075 FCFA (borne basse de Bollinger) venait à céder.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certifiés de Servair Abidjan affichent un chiffre d'affaires de 13,298 milliards FCFA, en croissance de +6,67% par rapport à 2024, porté par la reprise du trafic aérien et la diversification vers les activités non aériennes (cantines, contrats de collectivité). Le résultat net s'établit à 1,351 milliard FCFA, en recul de -12,1% selon le rapport financier 2025 (daté du 31/12/2025), principalement en raison d'une charge d'impôt en forte hausse (+46,7% à 848 millions FCFA) ; la marge nette reste néanmoins correcte à 10,16%. Les ratios de rentabilité demeurent solides avec un ROE de 26,18% (excellent, &gt;15%) et un ROA de 14,64%, tandis que la structure financière est très saine : autonomie financière de 55,92%, ratio d'endettement de 44,08%, et une trésorerie nette de 4,035 milliards FCFA. Sur le plan opérationnel, le BFR est positif à 257,45 millions FCFA, avec un délai clients de 70,10 jours (risque de trésorerie modéré) et un délai fournisseurs de 92,11 jours (favorable à la trésorerie), tandis que la rotation des stocks (29,40 jours) reste maîtrisée. Les rapports trimestriels récents nuancent toutefois ce tableau : le T1 2026 (publié le 30/04/2026) montre un CA de 3,237 milliards FCFA (+1,9% seulement) mais une chute du résultat net de -35,6% à 222,6 millions FCFA, sous l'effet d'ajustements de redevances aéroportuaires et de tensions géopolitiques au Moyen-Orient affectant certaines compagnies clientes. Le T3 2025 (daté du 30/09/2025) avait pourtant affiché un rebond avec un CA trimestriel de 10,218 milliards FCFA (+10,3%) et un résultat net de 1,325 milliard FCFA (+17,1%), confirmant la cyclicité de l'activité. On estime donc que l'exercice 2026 devrait rester sous pression avec un résultat net annuel probablement en retrait par rapport à 2025, avant une normalisation en 2027 si les contrats de modernisation DSP et la diversification non aérienne portent leurs fruits. La recommandation fondamentale est de **conserver** le titre : la solidité bilancielle et la trésorerie abondante protègent le capital, mais la dégradation récente de la rentabilité et la valorisation exigeante limitent le potentiel haussier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La **valorisation (Partie 0)** est clairement tendue : PER de 25,8x, P/B de 6,75x et EV/EBITDA de 13,0x placent ABJC dans le haut du spectre BRVM, ce qui intègre déjà une prime de croissance que les résultats récents ne confirment pas encore. Le **comportement du cours (Partie 1)** est ambigu : tendance haussière de fond (+12,13% sur 100 jours) mais correction récente (-3,04% en J-1), avec une volatilité élevée (45,1%) et une asymétrie positive (skewness 0,595) qui suggère que les baisses sont plus fréquentes que les hausses — un profil risqué. Les **signaux techniques (Partie 2)** sont divergents : les oscillateurs (RSI 16,96, Stochastique à 0) plaident pour un rebond imminent, mais le MACD baissier et la position sous les moyennes mobiles tempèrent cet optimisme. Les **fondamentaux (Partie 3)** demeurent solides (ROE 26,18%, trésorerie nette de 4,035 milliards FCFA, autonomie financière de 55,92%) mais la dynamique bénéficiaire se dégrade (résultat net -35,6% au T1 2026), ce qui fragilise la justification de la prime de valorisation. Enfin, les **prédictions IA (J+1 à J+10)** anticipent une poursuite de la baisse jusqu'à 3 095 FCFA le 16/10/2026, confirmant la pression baissière de court terme. Sur cette base, la recommandation finale est **CONSERVER**, avec un niveau de confiance **Moyen** et un risque global **Élevé** : le titre offre un potentiel de rebond technique (survente extrême) mais la valorisation exigeante et la dégradation des résultats trimestriels incitent à la prudence. L'horizon d'investissement optimal est le **moyen terme (3-12 mois)**, le temps que la société normalise sa rentabilité et que le marché réévalue le titre à un niveau plus cohérent avec ses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35,556 titres</w:t>
            </w:r>
          </w:p>
        </w:tc>
        <w:tc>
          <w:tcPr>
            <w:tcW w:type="dxa" w:w="2268"/>
            <w:shd w:fill="FFF2CC" w:val="clear"/>
          </w:tcPr>
          <w:p>
            <w:r>
              <w:rPr>
                <w:b/>
                <w:color w:val="503200"/>
                <w:sz w:val="16"/>
              </w:rPr>
              <w:t xml:space="preserve">Cours actuel : </w:t>
            </w:r>
            <w:r>
              <w:rPr>
                <w:color w:val="000000"/>
                <w:sz w:val="17"/>
              </w:rPr>
              <w:t>10,400 FCFA</w:t>
            </w:r>
          </w:p>
          <w:p>
            <w:r>
              <w:rPr>
                <w:b/>
                <w:color w:val="503200"/>
                <w:sz w:val="16"/>
              </w:rPr>
              <w:t xml:space="preserve">Var. 100 jours : </w:t>
            </w:r>
            <w:r>
              <w:rPr>
                <w:b/>
                <w:color w:val="007800"/>
                <w:sz w:val="17"/>
              </w:rPr>
              <w:t>+43.35%</w:t>
            </w:r>
          </w:p>
          <w:p>
            <w:r>
              <w:rPr>
                <w:b/>
                <w:color w:val="503200"/>
                <w:sz w:val="16"/>
              </w:rPr>
              <w:t xml:space="preserve">Plus haut 100j : </w:t>
            </w:r>
            <w:r>
              <w:rPr>
                <w:color w:val="000000"/>
                <w:sz w:val="17"/>
              </w:rPr>
              <w:t>10,400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19.2/100 → Faible</w:t>
      </w:r>
    </w:p>
    <w:p>
      <w:pPr>
        <w:spacing w:before="40" w:after="80"/>
      </w:pPr>
      <w:r>
        <w:rPr>
          <w:rFonts w:ascii="Courier New" w:hAnsi="Courier New"/>
          <w:color w:val="006400"/>
          <w:sz w:val="18"/>
        </w:rPr>
        <w:t>███░░░░░░░░░░░░░░░░░  19.2/100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10.35% (Moyenne) — μ=9,056 FCFA, σ=937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β≈1.03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β≈1.03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35,556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204.985 Mds FCFA</w:t>
            </w:r>
          </w:p>
        </w:tc>
        <w:tc>
          <w:tcPr>
            <w:tcW w:type="dxa" w:w="5669"/>
            <w:shd w:fill="FFFFFF" w:val="clear"/>
          </w:tcPr>
          <w:p>
            <w:r>
              <w:rPr>
                <w:color w:val="282828"/>
                <w:sz w:val="15"/>
              </w:rPr>
              <w:t>Représente 14.4%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297.260 Mds FCFA</w:t>
            </w:r>
          </w:p>
        </w:tc>
        <w:tc>
          <w:tcPr>
            <w:tcW w:type="dxa" w:w="5669"/>
            <w:shd w:fill="FFFFFF" w:val="clear"/>
          </w:tcPr>
          <w:p>
            <w:r>
              <w:rPr>
                <w:color w:val="282828"/>
                <w:sz w:val="15"/>
              </w:rPr>
              <w:t>Titres d'État détenus (20.8%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72.277 Mds FCFA</w:t>
            </w:r>
          </w:p>
        </w:tc>
        <w:tc>
          <w:tcPr>
            <w:tcW w:type="dxa" w:w="5669"/>
            <w:shd w:fill="FFFFFF" w:val="clear"/>
          </w:tcPr>
          <w:p>
            <w:r>
              <w:rPr>
                <w:color w:val="282828"/>
                <w:sz w:val="15"/>
              </w:rPr>
              <w:t>Prêts aux autres banques (5.1%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768.574 Mds FCFA</w:t>
            </w:r>
          </w:p>
        </w:tc>
        <w:tc>
          <w:tcPr>
            <w:tcW w:type="dxa" w:w="5669"/>
            <w:shd w:fill="FFFFFF" w:val="clear"/>
          </w:tcPr>
          <w:p>
            <w:r>
              <w:rPr>
                <w:color w:val="282828"/>
                <w:sz w:val="15"/>
              </w:rPr>
              <w:t>Portefeuille crédits (53.8%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6.725 Mds FCFA</w:t>
            </w:r>
          </w:p>
        </w:tc>
        <w:tc>
          <w:tcPr>
            <w:tcW w:type="dxa" w:w="5669"/>
            <w:shd w:fill="FFFFFF" w:val="clear"/>
          </w:tcPr>
          <w:p>
            <w:r>
              <w:rPr>
                <w:color w:val="282828"/>
                <w:sz w:val="15"/>
              </w:rPr>
              <w:t>Brevets, logiciels, fonds commercial (0.5%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21.324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28.164 Mds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1427.417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18.074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105.139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129.547 Mds FCFA</w:t>
            </w:r>
          </w:p>
        </w:tc>
        <w:tc>
          <w:tcPr>
            <w:tcW w:type="dxa" w:w="5669"/>
            <w:shd w:fill="FFFFFF" w:val="clear"/>
          </w:tcPr>
          <w:p>
            <w:r>
              <w:rPr>
                <w:color w:val="282828"/>
                <w:sz w:val="15"/>
              </w:rPr>
              <w:t>Capitaux permanents / Actif immobilisé = 4.60x.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128.033 Mds FCFA</w:t>
            </w:r>
          </w:p>
        </w:tc>
        <w:tc>
          <w:tcPr>
            <w:tcW w:type="dxa" w:w="5669"/>
            <w:shd w:fill="FFFFFF" w:val="clear"/>
          </w:tcPr>
          <w:p>
            <w:r>
              <w:rPr>
                <w:color w:val="282828"/>
                <w:sz w:val="15"/>
              </w:rPr>
              <w:t>Refinancement interbancaire (9.0%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1138.119 Mds FCFA</w:t>
            </w:r>
          </w:p>
        </w:tc>
        <w:tc>
          <w:tcPr>
            <w:tcW w:type="dxa" w:w="5669"/>
            <w:shd w:fill="FFFFFF" w:val="clear"/>
          </w:tcPr>
          <w:p>
            <w:r>
              <w:rPr>
                <w:color w:val="282828"/>
                <w:sz w:val="15"/>
              </w:rPr>
              <w:t>Dépôts clients = 79.7%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24.408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152.441 Mds FCFA</w:t>
            </w:r>
          </w:p>
        </w:tc>
        <w:tc>
          <w:tcPr>
            <w:tcW w:type="dxa" w:w="5669"/>
            <w:shd w:fill="FFFFFF" w:val="clear"/>
          </w:tcPr>
          <w:p>
            <w:r>
              <w:rPr>
                <w:color w:val="282828"/>
                <w:sz w:val="15"/>
              </w:rPr>
              <w:t>Dette financière totale = 145%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1322.278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67.824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67.824 Mds FCFA</w:t>
            </w:r>
          </w:p>
        </w:tc>
        <w:tc>
          <w:tcPr>
            <w:tcW w:type="dxa" w:w="5669"/>
            <w:shd w:fill="FFFFFF" w:val="clear"/>
          </w:tcPr>
          <w:p>
            <w:r>
              <w:rPr>
                <w:color w:val="282828"/>
                <w:sz w:val="15"/>
              </w:rPr>
              <w:t>Revenu bancaire central (≡ CA). Croissance: 15.7%. ✅ PNB en progression — dynamisme commercial.</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14.357 Mds FCFA</w:t>
            </w:r>
          </w:p>
        </w:tc>
        <w:tc>
          <w:tcPr>
            <w:tcW w:type="dxa" w:w="5669"/>
            <w:shd w:fill="FFFFFF" w:val="clear"/>
          </w:tcPr>
          <w:p>
            <w:r>
              <w:rPr>
                <w:color w:val="282828"/>
                <w:sz w:val="15"/>
              </w:rPr>
              <w:t>Masse salariale = 21.2%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39.441 Mds FCFA</w:t>
            </w:r>
          </w:p>
        </w:tc>
        <w:tc>
          <w:tcPr>
            <w:tcW w:type="dxa" w:w="5669"/>
            <w:shd w:fill="FFFFFF" w:val="clear"/>
          </w:tcPr>
          <w:p>
            <w:r>
              <w:rPr>
                <w:color w:val="282828"/>
                <w:sz w:val="15"/>
              </w:rPr>
              <w:t>RBE = 58.2%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32.637 Mds FCFA</w:t>
            </w:r>
          </w:p>
        </w:tc>
        <w:tc>
          <w:tcPr>
            <w:tcW w:type="dxa" w:w="5669"/>
            <w:shd w:fill="FFFFFF" w:val="clear"/>
          </w:tcPr>
          <w:p>
            <w:r>
              <w:rPr>
                <w:color w:val="282828"/>
                <w:sz w:val="15"/>
              </w:rPr>
              <w:t>Profit d'exploitation = 48.1%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6.804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27.197 Mds FCFA</w:t>
            </w:r>
          </w:p>
        </w:tc>
        <w:tc>
          <w:tcPr>
            <w:tcW w:type="dxa" w:w="5669"/>
            <w:shd w:fill="FFFFFF" w:val="clear"/>
          </w:tcPr>
          <w:p>
            <w:r>
              <w:rPr>
                <w:color w:val="282828"/>
                <w:sz w:val="15"/>
              </w:rPr>
              <w:t>Marge nette = 40.1%.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40.10%</w:t>
            </w:r>
          </w:p>
        </w:tc>
        <w:tc>
          <w:tcPr>
            <w:tcW w:type="dxa" w:w="5669"/>
            <w:shd w:fill="FFFFFF" w:val="clear"/>
          </w:tcPr>
          <w:p>
            <w:r>
              <w:rPr>
                <w:color w:val="282828"/>
                <w:sz w:val="15"/>
              </w:rPr>
              <w:t>Résultat net / revenus = 40.10%.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48.12%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25.87%</w:t>
            </w:r>
          </w:p>
        </w:tc>
        <w:tc>
          <w:tcPr>
            <w:tcW w:type="dxa" w:w="5669"/>
            <w:shd w:fill="FFFFFF" w:val="clear"/>
          </w:tcPr>
          <w:p>
            <w:r>
              <w:rPr>
                <w:color w:val="282828"/>
                <w:sz w:val="15"/>
              </w:rPr>
              <w:t>Résultat net / capitaux propres = 25.87%.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1.91%</w:t>
            </w:r>
          </w:p>
        </w:tc>
        <w:tc>
          <w:tcPr>
            <w:tcW w:type="dxa" w:w="5669"/>
            <w:shd w:fill="FFFFFF" w:val="clear"/>
          </w:tcPr>
          <w:p>
            <w:r>
              <w:rPr>
                <w:color w:val="282828"/>
                <w:sz w:val="15"/>
              </w:rPr>
              <w:t>Résultat net / total actif = 1.91%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4.75%</w:t>
            </w:r>
          </w:p>
        </w:tc>
        <w:tc>
          <w:tcPr>
            <w:tcW w:type="dxa" w:w="5669"/>
            <w:shd w:fill="FFFFFF" w:val="clear"/>
          </w:tcPr>
          <w:p>
            <w:r>
              <w:rPr>
                <w:color w:val="282828"/>
                <w:sz w:val="15"/>
              </w:rPr>
              <w:t>CA / total actif = 4.75x.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41.85%</w:t>
            </w:r>
          </w:p>
        </w:tc>
        <w:tc>
          <w:tcPr>
            <w:tcW w:type="dxa" w:w="5669"/>
            <w:shd w:fill="FFFFFF" w:val="clear"/>
          </w:tcPr>
          <w:p>
            <w:r>
              <w:rPr>
                <w:color w:val="282828"/>
                <w:sz w:val="15"/>
              </w:rPr>
              <w:t>Charges / PNB = 41.85% (cost-to-income). ✅ Excellent — banque très efficiente.</w:t>
            </w:r>
          </w:p>
        </w:tc>
      </w:tr>
      <w:tr>
        <w:tc>
          <w:tcPr>
            <w:tcW w:type="dxa" w:w="2268"/>
            <w:shd w:fill="EEF2F7" w:val="clear"/>
          </w:tcPr>
          <w:p>
            <w:r>
              <w:rPr>
                <w:b/>
                <w:color w:val="1E1E3C"/>
                <w:sz w:val="16"/>
              </w:rPr>
              <w:t>Coût du risque</w:t>
            </w:r>
          </w:p>
        </w:tc>
        <w:tc>
          <w:tcPr>
            <w:tcW w:type="dxa" w:w="1984"/>
            <w:shd w:fill="C6EFCE" w:val="clear"/>
          </w:tcPr>
          <w:p>
            <w:r>
              <w:rPr>
                <w:b/>
                <w:color w:val="006400"/>
                <w:sz w:val="17"/>
              </w:rPr>
              <w:t>0.89%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15.71%</w:t>
            </w:r>
          </w:p>
        </w:tc>
        <w:tc>
          <w:tcPr>
            <w:tcW w:type="dxa" w:w="5669"/>
            <w:shd w:fill="FFFFFF" w:val="clear"/>
          </w:tcPr>
          <w:p>
            <w:r>
              <w:rPr>
                <w:color w:val="282828"/>
                <w:sz w:val="15"/>
              </w:rPr>
              <w:t>Croissance PNB vs exercice précédent = 15.71%.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7.37%</w:t>
            </w:r>
          </w:p>
        </w:tc>
        <w:tc>
          <w:tcPr>
            <w:tcW w:type="dxa" w:w="5669"/>
            <w:shd w:fill="FFFFFF" w:val="clear"/>
          </w:tcPr>
          <w:p>
            <w:r>
              <w:rPr>
                <w:color w:val="282828"/>
                <w:sz w:val="15"/>
              </w:rPr>
              <w:t>Fonds propres / total bilan = 7.37%.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92.63%</w:t>
            </w:r>
          </w:p>
        </w:tc>
        <w:tc>
          <w:tcPr>
            <w:tcW w:type="dxa" w:w="5669"/>
            <w:shd w:fill="FFFFFF" w:val="clear"/>
          </w:tcPr>
          <w:p>
            <w:r>
              <w:rPr>
                <w:color w:val="282828"/>
                <w:sz w:val="15"/>
              </w:rPr>
              <w:t>Dettes financières / total bilan = 92.63%.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1257.65%</w:t>
            </w:r>
          </w:p>
        </w:tc>
        <w:tc>
          <w:tcPr>
            <w:tcW w:type="dxa" w:w="5669"/>
            <w:shd w:fill="FFFFFF" w:val="clear"/>
          </w:tcPr>
          <w:p>
            <w:r>
              <w:rPr>
                <w:color w:val="282828"/>
                <w:sz w:val="15"/>
              </w:rPr>
              <w:t>Dettes totales / fonds propres = 1257.65%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107.95%</w:t>
            </w:r>
          </w:p>
        </w:tc>
        <w:tc>
          <w:tcPr>
            <w:tcW w:type="dxa" w:w="5669"/>
            <w:shd w:fill="FFFFFF" w:val="clear"/>
          </w:tcPr>
          <w:p>
            <w:r>
              <w:rPr>
                <w:color w:val="282828"/>
                <w:sz w:val="15"/>
              </w:rPr>
              <w:t>Total actif / dettes totales = 107.95x. ✅ Solvable.</w:t>
            </w:r>
          </w:p>
        </w:tc>
      </w:tr>
    </w:tbl>
    <w:p/>
    <w:p>
      <w:pPr>
        <w:spacing w:after="120" w:line="276" w:lineRule="auto"/>
      </w:pPr>
      <w:r>
        <w:t># RAPPORT D'ANALYSE FINANCIÈRE — BBGC (BRIDGE BANK GROUP COTE D'IVOIRE)</w:t>
        <w:br/>
        <w:t>**Marché : BRVM | Secteur : Banque | Date d'analyse :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**520,00 Mds FCFA**, BBGC s'impose comme l'une des plus importantes capitalisations du compartiment bancaire de la BRVM, ce qui témoigne de la confiance du marché envers cette valeur fraîchement introduite. Le **BPA de 544 FCFA/action** signifie que chaque titre génère près de 544 FCFA de bénéfice net, un niveau élevé qui traduit la forte rentabilité de la banque. Le **PER de 19,1x** se situe nettement au-dessus de la moyenne du marché BRVM (généralement comprise entre 8x et 12x), ce qui indique que les investisseurs acceptent de payer une prime significative pour la croissance attendue — la valorisation n'est donc pas bon marché mais reste défendable au regard de la dynamique bénéficiaire. Le **P/B de 4,95x** confirme cette prime : le marché valorise BBGC à près de cinq fois ses fonds propres comptables, un niveau exigeant qui suppose une rentabilité durablement supérieure à la moyenne. Enfin, l'**EV/EBITDA de 17,0x** (au-dessus du seuil de 15x) renforce le constat d'une valorisation tendue,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BBGC affiche une performance remarquable de **+43,35%**, avec une dernière séance en hausse de **+1,96%**, confirmant un momentum haussier intact. Le cours actuel de **10 400 FCFA** coïncide avec le plus haut de la période, tandis que le plus bas s'établit à **7 255 FCFA**, soit un range de trading de près de 43% — signe d'une forte appréciation continue sans correction majeure. La tendance générale est donc clairement **haussière**, portée par l'intérêt suscité par l'introduction en bourse et les résultats semestriels solides. Les statistiques descriptives révèlent une **moyenne de 9 056 FCFA** légèrement supérieure à la **médiane et au mode de 9 000 FCFA**, ce qui traduit une distribution légèrement tirée vers le haut par les séances récentes. L'**écart-type de 983 FCFA (CV = 10,9%)** indique une dispersion modérée du cours autour de sa moyenne, tandis que le **kurtosis de -0,757 (mésokurtique)** suggère une distribution proche de la normale, sans risque excessif de pics extrêmes. Le **skewness de -0,369** confirme une asymétrie légèrement négative, avec quelques séances de baisse plus marquées que les hausses. La **volatilité annualisée de 52,4%** classe le titre dans la catégorie **élevée (&gt;30%)**, ce qui est cohérent avec une valeur récemment introduite en bourse et encore en phase de découverte de prix.</w:t>
      </w:r>
    </w:p>
    <w:p>
      <w:pPr>
        <w:spacing w:after="120" w:line="276" w:lineRule="auto"/>
      </w:pPr>
      <w:r>
        <w:t>---</w:t>
      </w:r>
    </w:p>
    <w:p>
      <w:pPr>
        <w:spacing w:after="120" w:line="276" w:lineRule="auto"/>
      </w:pPr>
      <w:r>
        <w:t>## PARTIE 2 : ANALYSE TECHNIQUE DÉTAILLÉE</w:t>
      </w:r>
    </w:p>
    <w:p>
      <w:pPr>
        <w:spacing w:after="120" w:line="276" w:lineRule="auto"/>
      </w:pPr>
      <w:r>
        <w:t>**Moyennes Mobiles :** Les MM20 et MM50 ne sont pas disponibles (valeurs NaN), ce qui s'explique probablement par l'historique de cotation encore trop court pour calculer ces moyennes de manière fiable. Aucune décision technique ne peut donc être dérivée de cet indicateur, et il convient de se référer aux autres signaux pour évaluer la tendance.</w:t>
      </w:r>
    </w:p>
    <w:p>
      <w:pPr>
        <w:spacing w:after="120" w:line="276" w:lineRule="auto"/>
      </w:pPr>
      <w:r>
        <w:t>**Bandes de Bollinger :** Les bornes supérieure et inférieure sont également indisponibles (NaN), pour la même raison liée à l'historique insuffisant. Le cours actuel de 10 400 FCFA ne peut donc être positionné par rapport à ces bandes, privant l'analyste d'un repère de volatilité relative.</w:t>
      </w:r>
    </w:p>
    <w:p>
      <w:pPr>
        <w:spacing w:after="120" w:line="276" w:lineRule="auto"/>
      </w:pPr>
      <w:r>
        <w:t>**MACD :** La valeur du MACD et celle de son signal sont indisponibles (NaN), empêchant toute analyse de divergence ou de momentum. Cet indicateur, qui aurait été précieux pour confirmer la tendance haussière, ne peut être exploité en l'état.</w:t>
      </w:r>
    </w:p>
    <w:p>
      <w:pPr>
        <w:spacing w:after="120" w:line="276" w:lineRule="auto"/>
      </w:pPr>
      <w:r>
        <w:t>**RSI :** Le RSI n'est pas calculé (NaN), ce qui ne permet pas de déterminer si le titre est en zone de surachat (&gt;70) ou de survente (&lt;30). Compte tenu de la hausse de +43% sur 100 jours, un RSI élevé aurait probablement signalé un risque de consolidation à court terme.</w:t>
      </w:r>
    </w:p>
    <w:p>
      <w:pPr>
        <w:spacing w:after="120" w:line="276" w:lineRule="auto"/>
      </w:pPr>
      <w:r>
        <w:t>**Stochastique :** Les valeurs %K et %D sont indisponibles (NaN), rendant impossible l'analyse des croisements et des zones de retournement. Cet indicateur aurait permis d'affiner le timing d'entrée ou de sortie.</w:t>
      </w:r>
    </w:p>
    <w:p>
      <w:pPr>
        <w:spacing w:after="120" w:line="276" w:lineRule="auto"/>
      </w:pPr>
      <w:r>
        <w:t>**Conclusion technique :** L'ensemble des indicateurs techniques étant indisponibles en raison de l'historique de cotation trop court, l'analyse technique ne peut fournir de signal fiable. Le seul élément exploitable reste la tendance haussière marquée (+43,35%) et la position du cours sur son plus haut, ce qui suggère une dynamique positive mais également un risque de correction après une telle progression. Dans ce contexte, la prudence recommande de s'appuyer davantage sur les fondamentaux que sur la technique pour toute décision d'investissement.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BBGC affiche un **Produit Net Bancaire (PNB) de 67,824 Mds FCFA**, équivalent du chiffre d'affaires pour une banque, pour un **résultat net de 27,197 Mds FCFA**, soit une **marge nette exceptionnelle de 40,10%**. La rentabilité des fonds propres (**ROE de 25,87%**) dépasse largement le seuil d'excellence de 15%, tandis que le **ROA de 1,91%** reste solide pour le secteur bancaire. Le **coefficient d'exploitation de 41,85%** — bien en dessous du seuil de 60% — témoigne d'une efficacité opérationnelle remarquable, et le **coût du risque de 0,89%** indique un portefeuille de crédits sain. La structure financière montre une **autonomie financière de 7,37%** (faible, mais typique des banques dont le modèle repose sur les dépôts) et un **ratio dépôts/crédits de 1 138,119/768,574 = 148%**, traduisant une surliquidité confortable et une capacité de transformation maîtrisée.</w:t>
      </w:r>
    </w:p>
    <w:p>
      <w:pPr>
        <w:spacing w:after="120" w:line="276" w:lineRule="auto"/>
      </w:pPr>
      <w:r>
        <w:t>**Estimations basées sur les rapports semestriels :** Le rapport S1 2026 (publié le 30 juin 2026, analysé par DeepSeek le 28/09/2026) révèle un **PNB de 37,7 Mds FCFA (+25%)** et un **résultat net de 15,2 Mds FCFA (+46%)**, avec un coefficient d'exploitation amélioré à **40,3%**. Les crédits à la clientèle progressent de **+28% à 823,9 Mds FCFA** et les dépôts de **+46% à 1 318,3 Mds FCFA**. Sur cette base, on peut **estimer** que l'exercice 2026 devrait enregistrer un PNB annuel d'environ **75-78 Mds FCFA** et un résultat net de l'ordre de **30-32 Mds FCFA**, confirmant la trajectoire de croissance. L'OPV sursouscrite à **6 750 FCFA/action** (20% du capital, 67,5 Mds FCFA levés) constitue un signal fort de confiance du marché.</w:t>
      </w:r>
    </w:p>
    <w:p>
      <w:pPr>
        <w:spacing w:after="120" w:line="276" w:lineRule="auto"/>
      </w:pPr>
      <w:r>
        <w:t>**Recommandation fondamentale :** La solidité financière de BBGC est indéniable (ROE &gt;25%, coefficient d'exploitation &lt;42%, coût du risque faible), et la croissance du S1 2026 (+46% de résultat net) valide la dynamique. Les principaux risques résident dans la hausse du coût du risque (+14%), l'expansion régionale au Burkina Faso (risque d'exécution) et l'absence d'information sur la politique de dividende. La valorisation exigeante (PER 19,1x, P/B 4,95x) laisse peu de marge d'erreur, mais les fondamentaux justifient une prime.</w:t>
      </w:r>
    </w:p>
    <w:p>
      <w:pPr>
        <w:spacing w:after="120" w:line="276" w:lineRule="auto"/>
      </w:pPr>
      <w:r>
        <w:t>---</w:t>
      </w:r>
    </w:p>
    <w:p>
      <w:pPr>
        <w:spacing w:after="120" w:line="276" w:lineRule="auto"/>
      </w:pPr>
      <w:r>
        <w:t>## PARTIE 4 : CONCLUSION D'INVESTISSEMENT</w:t>
      </w:r>
    </w:p>
    <w:p>
      <w:pPr>
        <w:spacing w:after="120" w:line="276" w:lineRule="auto"/>
      </w:pPr>
      <w:r>
        <w:t>La **valorisation (Partie 0)** de BBGC apparaît tendue avec un PER de 19,1x et un P/B de 4,95x, nettement supérieurs aux moyennes du marché BRVM, ce qui suggère une **surévaluation relative** mais justifiée par la qualité des fondamentaux. Le **comportement du cours (Partie 1)** est résolument haussier (+43,35% sur 100 jours), avec une volatilité élevée (52,4%) et une distribution proche de la normale (kurtosis -0,757), ce qui est favorable mais expose à des corrections. Les **signaux techniques (Partie 2)** sont indisponibles (MM, Bollinger, MACD, RSI, Stochastique tous en NaN), privant l'analyse d'un timing précis, mais la position du cours sur son plus haut historique constitue un signal haussier implicite. Les **fondamentaux (Partie 3)** sont excellents : ROE de 25,87%, coefficient d'exploitation de 41,85%, résultat net 2025 de 27,197 Mds FCFA, et les estimations issues du rapport S1 2026 (résultat net +46%) confirment une trajectoire de croissance robuste. Les **prédictions IA** ne sont pas disponibles, ce qui ne permet pas de confirmer ou contredire les autres signaux. Sur la base de cette synthèse, la convergence entre fondamentaux solides et dynamique haussière soutient une recommandation d'**ACHAT**, avec un **niveau de confiance Moyen** (en raison de l'absence de signaux techniques et de prédictions) et un **risque global Élevé** (volatilité de 52,4%, valorisation exigeante, historique de cotation court). L'**horizon d'investissement optimal** est le **moyen terme (3-12 mois)**, le temps que la société confirme ses résultats annuels 2026 et précise sa politique de dividende, tout en laissant la liquidité du titre s'améliorer sur la BRVM.</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13,861 titres</w:t>
            </w:r>
          </w:p>
        </w:tc>
        <w:tc>
          <w:tcPr>
            <w:tcW w:type="dxa" w:w="2268"/>
            <w:shd w:fill="FFF2CC" w:val="clear"/>
          </w:tcPr>
          <w:p>
            <w:r>
              <w:rPr>
                <w:b/>
                <w:color w:val="503200"/>
                <w:sz w:val="16"/>
              </w:rPr>
              <w:t xml:space="preserve">Cours actuel : </w:t>
            </w:r>
            <w:r>
              <w:rPr>
                <w:color w:val="000000"/>
                <w:sz w:val="17"/>
              </w:rPr>
              <w:t>8,440 FCFA</w:t>
            </w:r>
          </w:p>
          <w:p>
            <w:r>
              <w:rPr>
                <w:b/>
                <w:color w:val="503200"/>
                <w:sz w:val="16"/>
              </w:rPr>
              <w:t xml:space="preserve">Var. 100 jours : </w:t>
            </w:r>
            <w:r>
              <w:rPr>
                <w:b/>
                <w:color w:val="007800"/>
                <w:sz w:val="17"/>
              </w:rPr>
              <w:t>+65.33%</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22.72% (Élevée) — μ=7,415 FCFA, σ=1,685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β=0.8333 (Neutre (suit le marché)) — Cov=0.000061, Var(idx)=0.000074, ρ=0.265,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13,861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2026-10-12</w:t>
            </w:r>
          </w:p>
        </w:tc>
        <w:tc>
          <w:tcPr>
            <w:tcW w:type="dxa" w:w="1440"/>
            <w:shd w:fill="C6EFCE" w:val="clear"/>
          </w:tcPr>
          <w:p>
            <w:r>
              <w:rPr>
                <w:sz w:val="17"/>
              </w:rPr>
              <w:t>8,375</w:t>
            </w:r>
          </w:p>
        </w:tc>
        <w:tc>
          <w:tcPr>
            <w:tcW w:type="dxa" w:w="1440"/>
            <w:shd w:fill="C6EFCE" w:val="clear"/>
          </w:tcPr>
          <w:p>
            <w:r>
              <w:rPr>
                <w:b/>
                <w:sz w:val="17"/>
              </w:rPr>
              <w:t>8,907</w:t>
            </w:r>
          </w:p>
        </w:tc>
        <w:tc>
          <w:tcPr>
            <w:tcW w:type="dxa" w:w="1440"/>
            <w:shd w:fill="C6EFCE" w:val="clear"/>
          </w:tcPr>
          <w:p>
            <w:r>
              <w:rPr>
                <w:sz w:val="17"/>
              </w:rPr>
              <w:t>9,440</w:t>
            </w:r>
          </w:p>
        </w:tc>
        <w:tc>
          <w:tcPr>
            <w:tcW w:type="dxa" w:w="1440"/>
            <w:shd w:fill="C6EFCE" w:val="clear"/>
          </w:tcPr>
          <w:p>
            <w:r>
              <w:rPr>
                <w:b/>
                <w:color w:val="008000"/>
                <w:sz w:val="17"/>
              </w:rPr>
              <w:t>+5.5%</w:t>
            </w:r>
          </w:p>
        </w:tc>
      </w:tr>
      <w:tr>
        <w:tc>
          <w:tcPr>
            <w:tcW w:type="dxa" w:w="1440"/>
            <w:shd w:fill="C6EFCE" w:val="clear"/>
          </w:tcPr>
          <w:p>
            <w:r>
              <w:rPr>
                <w:sz w:val="17"/>
              </w:rPr>
              <w:t>J+2  ⭐</w:t>
            </w:r>
          </w:p>
        </w:tc>
        <w:tc>
          <w:tcPr>
            <w:tcW w:type="dxa" w:w="1440"/>
            <w:shd w:fill="C6EFCE" w:val="clear"/>
          </w:tcPr>
          <w:p>
            <w:r>
              <w:rPr>
                <w:sz w:val="17"/>
              </w:rPr>
              <w:t>2026-10-13</w:t>
            </w:r>
          </w:p>
        </w:tc>
        <w:tc>
          <w:tcPr>
            <w:tcW w:type="dxa" w:w="1440"/>
            <w:shd w:fill="C6EFCE" w:val="clear"/>
          </w:tcPr>
          <w:p>
            <w:r>
              <w:rPr>
                <w:sz w:val="17"/>
              </w:rPr>
              <w:t>8,195</w:t>
            </w:r>
          </w:p>
        </w:tc>
        <w:tc>
          <w:tcPr>
            <w:tcW w:type="dxa" w:w="1440"/>
            <w:shd w:fill="C6EFCE" w:val="clear"/>
          </w:tcPr>
          <w:p>
            <w:r>
              <w:rPr>
                <w:b/>
                <w:sz w:val="17"/>
              </w:rPr>
              <w:t>8,952</w:t>
            </w:r>
          </w:p>
        </w:tc>
        <w:tc>
          <w:tcPr>
            <w:tcW w:type="dxa" w:w="1440"/>
            <w:shd w:fill="C6EFCE" w:val="clear"/>
          </w:tcPr>
          <w:p>
            <w:r>
              <w:rPr>
                <w:sz w:val="17"/>
              </w:rPr>
              <w:t>9,709</w:t>
            </w:r>
          </w:p>
        </w:tc>
        <w:tc>
          <w:tcPr>
            <w:tcW w:type="dxa" w:w="1440"/>
            <w:shd w:fill="C6EFCE" w:val="clear"/>
          </w:tcPr>
          <w:p>
            <w:r>
              <w:rPr>
                <w:b/>
                <w:color w:val="008000"/>
                <w:sz w:val="17"/>
              </w:rPr>
              <w:t>+6.1%</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8,081</w:t>
            </w:r>
          </w:p>
        </w:tc>
        <w:tc>
          <w:tcPr>
            <w:tcW w:type="dxa" w:w="1440"/>
            <w:shd w:fill="C6EFCE" w:val="clear"/>
          </w:tcPr>
          <w:p>
            <w:r>
              <w:rPr>
                <w:b/>
                <w:sz w:val="17"/>
              </w:rPr>
              <w:t>9,014</w:t>
            </w:r>
          </w:p>
        </w:tc>
        <w:tc>
          <w:tcPr>
            <w:tcW w:type="dxa" w:w="1440"/>
            <w:shd w:fill="C6EFCE" w:val="clear"/>
          </w:tcPr>
          <w:p>
            <w:r>
              <w:rPr>
                <w:sz w:val="17"/>
              </w:rPr>
              <w:t>9,948</w:t>
            </w:r>
          </w:p>
        </w:tc>
        <w:tc>
          <w:tcPr>
            <w:tcW w:type="dxa" w:w="1440"/>
            <w:shd w:fill="C6EFCE" w:val="clear"/>
          </w:tcPr>
          <w:p>
            <w:r>
              <w:rPr>
                <w:b/>
                <w:color w:val="008000"/>
                <w:sz w:val="17"/>
              </w:rPr>
              <w:t>+6.8%</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7,991</w:t>
            </w:r>
          </w:p>
        </w:tc>
        <w:tc>
          <w:tcPr>
            <w:tcW w:type="dxa" w:w="1440"/>
            <w:shd w:fill="C6EFCE" w:val="clear"/>
          </w:tcPr>
          <w:p>
            <w:r>
              <w:rPr>
                <w:b/>
                <w:sz w:val="17"/>
              </w:rPr>
              <w:t>9,077</w:t>
            </w:r>
          </w:p>
        </w:tc>
        <w:tc>
          <w:tcPr>
            <w:tcW w:type="dxa" w:w="1440"/>
            <w:shd w:fill="C6EFCE" w:val="clear"/>
          </w:tcPr>
          <w:p>
            <w:r>
              <w:rPr>
                <w:sz w:val="17"/>
              </w:rPr>
              <w:t>10,162</w:t>
            </w:r>
          </w:p>
        </w:tc>
        <w:tc>
          <w:tcPr>
            <w:tcW w:type="dxa" w:w="1440"/>
            <w:shd w:fill="C6EFCE" w:val="clear"/>
          </w:tcPr>
          <w:p>
            <w:r>
              <w:rPr>
                <w:b/>
                <w:color w:val="008000"/>
                <w:sz w:val="17"/>
              </w:rPr>
              <w:t>+7.5%</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7,913</w:t>
            </w:r>
          </w:p>
        </w:tc>
        <w:tc>
          <w:tcPr>
            <w:tcW w:type="dxa" w:w="1440"/>
            <w:shd w:fill="C6EFCE" w:val="clear"/>
          </w:tcPr>
          <w:p>
            <w:r>
              <w:rPr>
                <w:b/>
                <w:sz w:val="17"/>
              </w:rPr>
              <w:t>9,134</w:t>
            </w:r>
          </w:p>
        </w:tc>
        <w:tc>
          <w:tcPr>
            <w:tcW w:type="dxa" w:w="1440"/>
            <w:shd w:fill="C6EFCE" w:val="clear"/>
          </w:tcPr>
          <w:p>
            <w:r>
              <w:rPr>
                <w:sz w:val="17"/>
              </w:rPr>
              <w:t>10,355</w:t>
            </w:r>
          </w:p>
        </w:tc>
        <w:tc>
          <w:tcPr>
            <w:tcW w:type="dxa" w:w="1440"/>
            <w:shd w:fill="C6EFCE" w:val="clear"/>
          </w:tcPr>
          <w:p>
            <w:r>
              <w:rPr>
                <w:b/>
                <w:color w:val="008000"/>
                <w:sz w:val="17"/>
              </w:rPr>
              <w:t>+8.2%</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7,839</w:t>
            </w:r>
          </w:p>
        </w:tc>
        <w:tc>
          <w:tcPr>
            <w:tcW w:type="dxa" w:w="1440"/>
            <w:shd w:fill="C6EFCE" w:val="clear"/>
          </w:tcPr>
          <w:p>
            <w:r>
              <w:rPr>
                <w:b/>
                <w:sz w:val="17"/>
              </w:rPr>
              <w:t>9,184</w:t>
            </w:r>
          </w:p>
        </w:tc>
        <w:tc>
          <w:tcPr>
            <w:tcW w:type="dxa" w:w="1440"/>
            <w:shd w:fill="C6EFCE" w:val="clear"/>
          </w:tcPr>
          <w:p>
            <w:r>
              <w:rPr>
                <w:sz w:val="17"/>
              </w:rPr>
              <w:t>10,530</w:t>
            </w:r>
          </w:p>
        </w:tc>
        <w:tc>
          <w:tcPr>
            <w:tcW w:type="dxa" w:w="1440"/>
            <w:shd w:fill="C6EFCE" w:val="clear"/>
          </w:tcPr>
          <w:p>
            <w:r>
              <w:rPr>
                <w:b/>
                <w:color w:val="008000"/>
                <w:sz w:val="17"/>
              </w:rPr>
              <w:t>+8.8%</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7,768</w:t>
            </w:r>
          </w:p>
        </w:tc>
        <w:tc>
          <w:tcPr>
            <w:tcW w:type="dxa" w:w="1440"/>
            <w:shd w:fill="C6EFCE" w:val="clear"/>
          </w:tcPr>
          <w:p>
            <w:r>
              <w:rPr>
                <w:b/>
                <w:sz w:val="17"/>
              </w:rPr>
              <w:t>9,228</w:t>
            </w:r>
          </w:p>
        </w:tc>
        <w:tc>
          <w:tcPr>
            <w:tcW w:type="dxa" w:w="1440"/>
            <w:shd w:fill="C6EFCE" w:val="clear"/>
          </w:tcPr>
          <w:p>
            <w:r>
              <w:rPr>
                <w:sz w:val="17"/>
              </w:rPr>
              <w:t>10,688</w:t>
            </w:r>
          </w:p>
        </w:tc>
        <w:tc>
          <w:tcPr>
            <w:tcW w:type="dxa" w:w="1440"/>
            <w:shd w:fill="C6EFCE" w:val="clear"/>
          </w:tcPr>
          <w:p>
            <w:r>
              <w:rPr>
                <w:b/>
                <w:color w:val="008000"/>
                <w:sz w:val="17"/>
              </w:rPr>
              <w:t>+9.3%</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7,699</w:t>
            </w:r>
          </w:p>
        </w:tc>
        <w:tc>
          <w:tcPr>
            <w:tcW w:type="dxa" w:w="1440"/>
            <w:shd w:fill="C6EFCE" w:val="clear"/>
          </w:tcPr>
          <w:p>
            <w:r>
              <w:rPr>
                <w:b/>
                <w:sz w:val="17"/>
              </w:rPr>
              <w:t>9,267</w:t>
            </w:r>
          </w:p>
        </w:tc>
        <w:tc>
          <w:tcPr>
            <w:tcW w:type="dxa" w:w="1440"/>
            <w:shd w:fill="C6EFCE" w:val="clear"/>
          </w:tcPr>
          <w:p>
            <w:r>
              <w:rPr>
                <w:sz w:val="17"/>
              </w:rPr>
              <w:t>10,834</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7,631</w:t>
            </w:r>
          </w:p>
        </w:tc>
        <w:tc>
          <w:tcPr>
            <w:tcW w:type="dxa" w:w="1440"/>
            <w:shd w:fill="C6EFCE" w:val="clear"/>
          </w:tcPr>
          <w:p>
            <w:r>
              <w:rPr>
                <w:b/>
                <w:sz w:val="17"/>
              </w:rPr>
              <w:t>9,300</w:t>
            </w:r>
          </w:p>
        </w:tc>
        <w:tc>
          <w:tcPr>
            <w:tcW w:type="dxa" w:w="1440"/>
            <w:shd w:fill="C6EFCE" w:val="clear"/>
          </w:tcPr>
          <w:p>
            <w:r>
              <w:rPr>
                <w:sz w:val="17"/>
              </w:rPr>
              <w:t>10,968</w:t>
            </w:r>
          </w:p>
        </w:tc>
        <w:tc>
          <w:tcPr>
            <w:tcW w:type="dxa" w:w="1440"/>
            <w:shd w:fill="C6EFCE" w:val="clear"/>
          </w:tcPr>
          <w:p>
            <w:r>
              <w:rPr>
                <w:b/>
                <w:color w:val="008000"/>
                <w:sz w:val="17"/>
              </w:rPr>
              <w:t>+10.2%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7,564</w:t>
            </w:r>
          </w:p>
        </w:tc>
        <w:tc>
          <w:tcPr>
            <w:tcW w:type="dxa" w:w="1440"/>
            <w:shd w:fill="C6EFCE" w:val="clear"/>
          </w:tcPr>
          <w:p>
            <w:r>
              <w:rPr>
                <w:b/>
                <w:sz w:val="17"/>
              </w:rPr>
              <w:t>9,328</w:t>
            </w:r>
          </w:p>
        </w:tc>
        <w:tc>
          <w:tcPr>
            <w:tcW w:type="dxa" w:w="1440"/>
            <w:shd w:fill="C6EFCE" w:val="clear"/>
          </w:tcPr>
          <w:p>
            <w:r>
              <w:rPr>
                <w:sz w:val="17"/>
              </w:rPr>
              <w:t>11,092</w:t>
            </w:r>
          </w:p>
        </w:tc>
        <w:tc>
          <w:tcPr>
            <w:tcW w:type="dxa" w:w="1440"/>
            <w:shd w:fill="C6EFCE" w:val="clear"/>
          </w:tcPr>
          <w:p>
            <w:r>
              <w:rPr>
                <w:b/>
                <w:color w:val="008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*Banque Internationale pour l'Industrie et le Commerce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487,49 milliards FCFA, la BICB s'impose comme l'une des plus importantes capitalisations du compartiment bancaire de la BRVM, ce qui témoigne de son statut de valeur de référence pour les investisseurs institutionnels de la zone UEMOA. Le BPA de 627 FCFA par action signifie que chaque titre détenu génère près de 627 FCFA de bénéfice net, un niveau de rentabilité unitaire remarquable. Le PER de 13,5x traduit une valorisation modérée mais légèrement supérieure à la moyenne du marché BRVM (8-12x), ce qui suggère que les investisseurs acceptent de payer une prime pour la qualité de la signature. Le P/B de 3,61x indique que le marché valorise la banque à plus de trois fois sa valeur comptable, une prime de croissance justifiée par un ROE de 26,8% très supérieur au coût du capital. En revanche, l'EV/EBITDA de 24,0x apparaît très exigeant (seuil d'alerte &gt;15x), signalant que la valeur d'entreprise intègre déjà une grande partie des anticipations de croissance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+65,33%, passant d'un plus bas de 5 105 FCFA à un plus haut de 10 790 FCFA, avant de se replier légèrement pour clôturer à 8 440 FCFA (recul de -0,94% sur la dernière séance). Ce range de trading de plus de 5 600 FCFA illustre une tendance nettement haussière, portée par l'engouement des investisseurs pour les valeurs bancaires de la zone. Les statistiques descriptives révèlent une moyenne de 7 415 FCFA légèrement inférieure à la médiane de 7 590 FCFA, ce qui indique une asymétrie positive modérée (skewness de 0,334) : les pics haussiers tirent la moyenne vers le bas relativement à la médiane, confirmant que la distribution est globalement symétrique avec une légère prédominance des mouvements haussiers. L'écart-type de 1 693 FCFA (CV de 22,8%) traduit une dispersion modérée du cours autour de sa moyenne, tandis que le kurtosis négatif (-1,084, distribution platykurtique) signale une faible concentration des rendements et un risque de pics extrêmes limité — un élément rassurant pour la gestion du risque. La volatilité annualisée de 42,6% positionne le titre dans la catégorie des valeurs à volatilité élevée (&gt;30%), ce qui est cohérent avec la dynamique haussière récente et le contexte de forte croissance des résultats.</w:t>
      </w:r>
    </w:p>
    <w:p>
      <w:pPr>
        <w:spacing w:after="120" w:line="276" w:lineRule="auto"/>
      </w:pPr>
      <w:r>
        <w:t>---</w:t>
      </w:r>
    </w:p>
    <w:p>
      <w:pPr>
        <w:spacing w:after="120" w:line="276" w:lineRule="auto"/>
      </w:pPr>
      <w:r>
        <w:t>## PARTIE 2 : ANALYSE TECHNIQUE DÉTAILLÉE</w:t>
      </w:r>
    </w:p>
    <w:p>
      <w:pPr>
        <w:spacing w:after="120" w:line="276" w:lineRule="auto"/>
      </w:pPr>
      <w:r>
        <w:t>**Moyennes Mobiles** : La MM20 (9 220 FCFA) et la MM50 (8 878 FCFA) se situent toutes deux au-dessus du cours actuel (8 440 FCFA), ce qui place le titre en position baissière à court terme par rapport à ses références mobiles. Toutefois, la MM20 reste supérieure à la MM50, confirmant que la tendance de fond demeure haussière malgré la correction récente. La décision technique affichée est « Achat », suggérant que le repli actuel constitue une opportunité de renforcement dans un trend haussier intact.</w:t>
      </w:r>
    </w:p>
    <w:p>
      <w:pPr>
        <w:spacing w:after="120" w:line="276" w:lineRule="auto"/>
      </w:pPr>
      <w:r>
        <w:t>**Bandes de Bollinger** : Le cours actuel (8 440 FCFA) se situe dans la moitié inférieure de la bande, entre la borne inférieure (7 417 FCFA) et la borne supérieure (11 023 FCFA), ce qui traduit une volatilité modérée et une absence de signal extrême. La décision « Neutre » reflète cette position centrale, sans pression acheteuse ou vendeuse dominante. L'écart entre les bornes (3 606 FCFA) confirme une volatilité significative mais non exceptionnelle.</w:t>
      </w:r>
    </w:p>
    <w:p>
      <w:pPr>
        <w:spacing w:after="120" w:line="276" w:lineRule="auto"/>
      </w:pPr>
      <w:r>
        <w:t>**MACD** : La valeur du MACD (-185,348) est inférieure à son signal (-67,199), générant un croisement baissier qui indique un momentum négatif à court terme. Cette configuration suggère que la pression vendeuse persiste depuis quelques séances, justifiant la décision « Vente ». Toutefois, l'ampleur de la divergence reste contenue, ce qui pourrait annoncer un retournement prochain si le cours se stabilise.</w:t>
      </w:r>
    </w:p>
    <w:p>
      <w:pPr>
        <w:spacing w:after="120" w:line="276" w:lineRule="auto"/>
      </w:pPr>
      <w:r>
        <w:t>**RSI** : À 27,733, le RSI se situe en zone de survente (&lt;30), signalant que le titre a été excessivement vendu à court terme et qu'un rebond technique est probable. La décision « Achat » est cohérente avec cette lecture contrarienne : les investisseurs opportunistes pourraient profiter de cette survente pour se positionner.</w:t>
      </w:r>
    </w:p>
    <w:p>
      <w:pPr>
        <w:spacing w:after="120" w:line="276" w:lineRule="auto"/>
      </w:pPr>
      <w:r>
        <w:t>**Stochastique** : Le %K (25,0) et le %D (27,141) évoluent tous deux en zone basse, sans croisement haussier confirmé pour l'instant. La décision « Neutre » traduit cette absence de signal directionnel clair, bien que la proximité de la zone de survente laisse entrevoir un potentiel de rebond.</w:t>
      </w:r>
    </w:p>
    <w:p>
      <w:pPr>
        <w:spacing w:after="120" w:line="276" w:lineRule="auto"/>
      </w:pPr>
      <w:r>
        <w:t>**Conclusion technique** : Les indicateurs techniques présentent un tableau contrasté : le RSI en survente et la décision « Achat » des moyennes mobiles plaident pour un rebond à court terme, tandis que le MACD baissier et la position du cours sous les MM20/MM50 tempèrent cet optimisme. La convergence des signaux de survente (RSI, Stochastique) suggère qu'un point d'entrée se dessine, mais la confirmation d'un retournement de momentum reste nécessaire avant d'envisager une position agressive.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BICB a réalisé un Produit Net Bancaire (PNB) de 52,805 milliards FCFA, en croissance de +16,49% par rapport à 2024, portée par une marge d'intérêt nette de 40,1 milliards FCFA (+17,1%) et des commissions nettes de 11,3 milliards FCFA (+18,1%). Le résultat net s'établit à 36,237 milliards FCFA, en progression de +24,7%, générant un ROE exceptionnel de 26,82% (très supérieur au seuil de 15% considéré comme excellent) et un ROA de 1,96%. Le coefficient d'exploitation de 31,12% classe la banque parmi les établissements les plus efficaces de la zone UEMOA (&lt;60% = efficace, &lt;50% = excellente). Le coût du risque de 9,61% reste modéré, bien qu'en légère hausse, et le ratio crédits nets/dépôts de 97,5% (contre 91,9% en 2024) signale une transformation tendue qui mérite surveillance. La structure financière affiche une autonomie financière de 7,33% (faible pour une banque, mais compensée par un ratio de solvabilité de 19,64%, bien au-dessus du minimum réglementaire de 11,5%) et une capacité de remboursement de 0,89 an, très confortable.</w:t>
      </w:r>
    </w:p>
    <w:p>
      <w:pPr>
        <w:spacing w:after="120" w:line="276" w:lineRule="auto"/>
      </w:pPr>
      <w:r>
        <w:t>**Estimations basées sur les rapports trimestriels** : Le rapport du T1 2026 (publié en 2026) révèle un PNB de 14,6 milliards FCFA (+35%) et un résultat net de 8,0 milliards FCFA (+48%), confirmant l'accélération de la dynamique commerciale. Le rapport du S1 2026 (publié en 2026) fait état d'un PNB de 31,882 milliards FCFA (+19%) et d'un résultat net de 18,368 milliards FCFA (+11%), avec un RBE en bond de +31% à 22,910 milliards FCFA. Sur la base de ces performances, on peut estimer que l'exercice 2026 devrait afficher un PNB supérieur à 60 milliards FCFA et un résultat net proche de 38-40 milliards FCFA, soit une croissance de 5-10% par rapport à 2025. Le rapport du T3 2025 (daté du 30 septembre 2025) soulignait déjà un PNB cumulé de 35,945 milliards FCFA (+26%) mais un résultat net en recul de -9% à 13,128 milliards FCFA, sous l'effet d'un coût du risque en forte hausse — une tendance qui s'est normalisée au S1 2026 avec un coût du risque revenu à -3,579 milliards FCFA.</w:t>
      </w:r>
    </w:p>
    <w:p>
      <w:pPr>
        <w:spacing w:after="120" w:line="276" w:lineRule="auto"/>
      </w:pPr>
      <w:r>
        <w:t>**Recommandation fondamentale** : La BICB affiche des fondamentaux solides, portés par une croissance rentable, une efficacité opérationnelle remarquable et une solvabilité robuste. Les risques identifiés — tension sur la liquidité (ratio crédits/dépôts de 97,5%), normalisation du coût du risque et dépendance à la croissance des crédits — sont réels mais gérables dans un contexte de croissance économique soutenue au Bénin (+6,5% attendu). La recommandation fondamentale est **CONSERVER**, avec un biais positif pour les investisseurs déjà positionnés, en attendant la confirmation de la tendance sur le second semestre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le plan de la **valorisation (Partie 0)**, le PER de 13,5x et le P/B de 3,61x indiquent une légère surévaluation par rapport à la moyenne du marché BRVM, mais cette prime se justifie par un ROE de 26,8% et une croissance des bénéfices de +24,7% en 2025 ; l'EV/EBITDA de 24,0x reste toutefois très exigeant et limite le potentiel de revalorisation à court terme. Le **comportement du cours (Partie 1)** est marqué par une tendance haussière spectaculaire (+65,33% sur 100 jours) avec une volatilité élevée (42,6%) et une distribution platykurtique (kurtosis -1,084) qui limite le risque de pics extrêmes, mais le repli récent de -0,94% et la position sous les moyennes mobiles suggèrent une consolidation en cours. Les **signaux techniques (Partie 2)** sont mitigés : le RSI en survente (27,7) et la décision « Achat » des MM plaident pour un rebond, mais le MACD baissier et la position neutre des Bollinger et du Stochastique appellent à la prudence. Les **fondamentaux (Partie 3)** demeurent solides, avec un PNB de 52,8 milliards FCFA en 2025, un résultat net de 36,2 milliards FCFA et un ROE de 26,8%, tandis que les rapports T1 2026 et S1 2026 confirment la poursuite de la croissance (+35% et +19% de PNB respectivement). Les **prédictions IA (J+1 à J+10)** anticipent une trajectoire haussière modérée, avec un cours cible de 9 134 FCFA à J+10 (+8,2% par rapport au cours actuel de 8 440 FCFA), ce qui confirme le potentiel de rebond technique identifié par le RSI.</w:t>
      </w:r>
    </w:p>
    <w:p>
      <w:pPr>
        <w:spacing w:after="120" w:line="276" w:lineRule="auto"/>
      </w:pPr>
      <w:r>
        <w:t>**Recommandation finale : CONSERVER (avec biais acheteur pour les investisseurs opportunistes)**</w:t>
      </w:r>
    </w:p>
    <w:p>
      <w:pPr>
        <w:spacing w:after="120" w:line="276" w:lineRule="auto"/>
      </w:pPr>
      <w:r>
        <w:t>La convergence entre la survente technique (RSI), la croissance fondamentale confirmée par les rapports trimestriels 2026 et les prédictions IA haussières plaide pour un rebond à court terme. Toutefois, la valorisation exigeante (EV/EBITDA de 24,0x) et les risques de liquidité (ratio crédits/dépôts de 97,5%) limitent le potentiel de hausse à long terme sans correction préalable. Le niveau de confiance est **Moyen** : les signaux techniques et fondamentaux sont alignés, mais la volatilité élevée et la sensibilité au coût du risque introduisent une incertitude. Le niveau de risque global est **Moyen à Élevé**, compte tenu de la volatilité de 42,6% et de la dépendance à la qualité du portefeuille de crédits. L'horizon d'investissement optimal est **moyen terme (3-12 mois)** : les investisseurs déjà positionnés peuvent conserver en profitant du rebond anticipé, tandis que les nouveaux entrants pourraient envisager un achat progressif sur repli vers 8 000-8 200 FCFA, avec un objectif de 9 500-10 000 FCFA à moyen terme.</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549.08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686 titres</w:t>
            </w:r>
          </w:p>
        </w:tc>
        <w:tc>
          <w:tcPr>
            <w:tcW w:type="dxa" w:w="2268"/>
            <w:shd w:fill="FFF2CC" w:val="clear"/>
          </w:tcPr>
          <w:p>
            <w:r>
              <w:rPr>
                <w:b/>
                <w:color w:val="503200"/>
                <w:sz w:val="16"/>
              </w:rPr>
              <w:t xml:space="preserve">Cours actuel : </w:t>
            </w:r>
            <w:r>
              <w:rPr>
                <w:color w:val="000000"/>
                <w:sz w:val="17"/>
              </w:rPr>
              <w:t>32,945 FCFA</w:t>
            </w:r>
          </w:p>
          <w:p>
            <w:r>
              <w:rPr>
                <w:b/>
                <w:color w:val="503200"/>
                <w:sz w:val="16"/>
              </w:rPr>
              <w:t xml:space="preserve">Var. 100 jours : </w:t>
            </w:r>
            <w:r>
              <w:rPr>
                <w:b/>
                <w:color w:val="007800"/>
                <w:sz w:val="17"/>
              </w:rPr>
              <w:t>+24.56%</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26,450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6.27% (Moyenne) — μ=29,535 FCFA, σ=1,851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β=1.0656 (Neutre (suit le marché)) — Cov=0.000079, Var(idx)=0.000074, ρ=0.394,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686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2026-10-12</w:t>
            </w:r>
          </w:p>
        </w:tc>
        <w:tc>
          <w:tcPr>
            <w:tcW w:type="dxa" w:w="1440"/>
            <w:shd w:fill="FFDCE0" w:val="clear"/>
          </w:tcPr>
          <w:p>
            <w:r>
              <w:rPr>
                <w:sz w:val="17"/>
              </w:rPr>
              <w:t>30,108</w:t>
            </w:r>
          </w:p>
        </w:tc>
        <w:tc>
          <w:tcPr>
            <w:tcW w:type="dxa" w:w="1440"/>
            <w:shd w:fill="FFDCE0" w:val="clear"/>
          </w:tcPr>
          <w:p>
            <w:r>
              <w:rPr>
                <w:b/>
                <w:sz w:val="17"/>
              </w:rPr>
              <w:t>31,974</w:t>
            </w:r>
          </w:p>
        </w:tc>
        <w:tc>
          <w:tcPr>
            <w:tcW w:type="dxa" w:w="1440"/>
            <w:shd w:fill="FFDCE0" w:val="clear"/>
          </w:tcPr>
          <w:p>
            <w:r>
              <w:rPr>
                <w:sz w:val="17"/>
              </w:rPr>
              <w:t>33,839</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29,344</w:t>
            </w:r>
          </w:p>
        </w:tc>
        <w:tc>
          <w:tcPr>
            <w:tcW w:type="dxa" w:w="1440"/>
            <w:shd w:fill="FFDCE0" w:val="clear"/>
          </w:tcPr>
          <w:p>
            <w:r>
              <w:rPr>
                <w:b/>
                <w:sz w:val="17"/>
              </w:rPr>
              <w:t>31,983</w:t>
            </w:r>
          </w:p>
        </w:tc>
        <w:tc>
          <w:tcPr>
            <w:tcW w:type="dxa" w:w="1440"/>
            <w:shd w:fill="FFDCE0" w:val="clear"/>
          </w:tcPr>
          <w:p>
            <w:r>
              <w:rPr>
                <w:sz w:val="17"/>
              </w:rPr>
              <w:t>34,622</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28,651</w:t>
            </w:r>
          </w:p>
        </w:tc>
        <w:tc>
          <w:tcPr>
            <w:tcW w:type="dxa" w:w="1440"/>
            <w:shd w:fill="FFDCE0" w:val="clear"/>
          </w:tcPr>
          <w:p>
            <w:r>
              <w:rPr>
                <w:b/>
                <w:sz w:val="17"/>
              </w:rPr>
              <w:t>31,871</w:t>
            </w:r>
          </w:p>
        </w:tc>
        <w:tc>
          <w:tcPr>
            <w:tcW w:type="dxa" w:w="1440"/>
            <w:shd w:fill="FFDCE0" w:val="clear"/>
          </w:tcPr>
          <w:p>
            <w:r>
              <w:rPr>
                <w:sz w:val="17"/>
              </w:rPr>
              <w:t>35,092</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28,065</w:t>
            </w:r>
          </w:p>
        </w:tc>
        <w:tc>
          <w:tcPr>
            <w:tcW w:type="dxa" w:w="1440"/>
            <w:shd w:fill="FFDCE0" w:val="clear"/>
          </w:tcPr>
          <w:p>
            <w:r>
              <w:rPr>
                <w:b/>
                <w:sz w:val="17"/>
              </w:rPr>
              <w:t>31,772</w:t>
            </w:r>
          </w:p>
        </w:tc>
        <w:tc>
          <w:tcPr>
            <w:tcW w:type="dxa" w:w="1440"/>
            <w:shd w:fill="FFDCE0" w:val="clear"/>
          </w:tcPr>
          <w:p>
            <w:r>
              <w:rPr>
                <w:sz w:val="17"/>
              </w:rPr>
              <w:t>35,480</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27,561</w:t>
            </w:r>
          </w:p>
        </w:tc>
        <w:tc>
          <w:tcPr>
            <w:tcW w:type="dxa" w:w="1440"/>
            <w:shd w:fill="FFDCE0" w:val="clear"/>
          </w:tcPr>
          <w:p>
            <w:r>
              <w:rPr>
                <w:b/>
                <w:sz w:val="17"/>
              </w:rPr>
              <w:t>31,696</w:t>
            </w:r>
          </w:p>
        </w:tc>
        <w:tc>
          <w:tcPr>
            <w:tcW w:type="dxa" w:w="1440"/>
            <w:shd w:fill="FFDCE0" w:val="clear"/>
          </w:tcPr>
          <w:p>
            <w:r>
              <w:rPr>
                <w:sz w:val="17"/>
              </w:rPr>
              <w:t>35,831</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27,108</w:t>
            </w:r>
          </w:p>
        </w:tc>
        <w:tc>
          <w:tcPr>
            <w:tcW w:type="dxa" w:w="1440"/>
            <w:shd w:fill="FFDCE0" w:val="clear"/>
          </w:tcPr>
          <w:p>
            <w:r>
              <w:rPr>
                <w:b/>
                <w:sz w:val="17"/>
              </w:rPr>
              <w:t>31,629</w:t>
            </w:r>
          </w:p>
        </w:tc>
        <w:tc>
          <w:tcPr>
            <w:tcW w:type="dxa" w:w="1440"/>
            <w:shd w:fill="FFDCE0" w:val="clear"/>
          </w:tcPr>
          <w:p>
            <w:r>
              <w:rPr>
                <w:sz w:val="17"/>
              </w:rPr>
              <w:t>36,149</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26,691</w:t>
            </w:r>
          </w:p>
        </w:tc>
        <w:tc>
          <w:tcPr>
            <w:tcW w:type="dxa" w:w="1440"/>
            <w:shd w:fill="FFDCE0" w:val="clear"/>
          </w:tcPr>
          <w:p>
            <w:r>
              <w:rPr>
                <w:b/>
                <w:sz w:val="17"/>
              </w:rPr>
              <w:t>31,564</w:t>
            </w:r>
          </w:p>
        </w:tc>
        <w:tc>
          <w:tcPr>
            <w:tcW w:type="dxa" w:w="1440"/>
            <w:shd w:fill="FFDCE0" w:val="clear"/>
          </w:tcPr>
          <w:p>
            <w:r>
              <w:rPr>
                <w:sz w:val="17"/>
              </w:rPr>
              <w:t>36,436</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26,302</w:t>
            </w:r>
          </w:p>
        </w:tc>
        <w:tc>
          <w:tcPr>
            <w:tcW w:type="dxa" w:w="1440"/>
            <w:shd w:fill="FFDCE0" w:val="clear"/>
          </w:tcPr>
          <w:p>
            <w:r>
              <w:rPr>
                <w:b/>
                <w:sz w:val="17"/>
              </w:rPr>
              <w:t>31,500</w:t>
            </w:r>
          </w:p>
        </w:tc>
        <w:tc>
          <w:tcPr>
            <w:tcW w:type="dxa" w:w="1440"/>
            <w:shd w:fill="FFDCE0" w:val="clear"/>
          </w:tcPr>
          <w:p>
            <w:r>
              <w:rPr>
                <w:sz w:val="17"/>
              </w:rPr>
              <w:t>36,698</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25,936</w:t>
            </w:r>
          </w:p>
        </w:tc>
        <w:tc>
          <w:tcPr>
            <w:tcW w:type="dxa" w:w="1440"/>
            <w:shd w:fill="FFDCE0" w:val="clear"/>
          </w:tcPr>
          <w:p>
            <w:r>
              <w:rPr>
                <w:b/>
                <w:sz w:val="17"/>
              </w:rPr>
              <w:t>31,438</w:t>
            </w:r>
          </w:p>
        </w:tc>
        <w:tc>
          <w:tcPr>
            <w:tcW w:type="dxa" w:w="1440"/>
            <w:shd w:fill="FFDCE0" w:val="clear"/>
          </w:tcPr>
          <w:p>
            <w:r>
              <w:rPr>
                <w:sz w:val="17"/>
              </w:rPr>
              <w:t>36,941</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25,589</w:t>
            </w:r>
          </w:p>
        </w:tc>
        <w:tc>
          <w:tcPr>
            <w:tcW w:type="dxa" w:w="1440"/>
            <w:shd w:fill="FFDCE0" w:val="clear"/>
          </w:tcPr>
          <w:p>
            <w:r>
              <w:rPr>
                <w:b/>
                <w:sz w:val="17"/>
              </w:rPr>
              <w:t>31,379</w:t>
            </w:r>
          </w:p>
        </w:tc>
        <w:tc>
          <w:tcPr>
            <w:tcW w:type="dxa" w:w="1440"/>
            <w:shd w:fill="FFDCE0" w:val="clear"/>
          </w:tcPr>
          <w:p>
            <w:r>
              <w:rPr>
                <w:sz w:val="17"/>
              </w:rPr>
              <w:t>37,168</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ACTION BICC (BICICI)</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549,08 milliards FCFA, BICC s'impose comme l'une des valeurs les plus capitalisées de la cote BRVM, ce qui en fait un pilier de l'indice BRVM Composite et un titre de référence pour les investisseurs institutionnels de la zone UEMOA. Le BPA de 2 191 FCFA/action traduit la capacité bénéficiaire unitaire de la banque, tandis que le PER de 15,0x — supérieur à la moyenne du marché BRVM (généralement située entre 8 et 12x) — indique que les investisseurs acceptent de payer une prime pour la qualité de la signature BICICI (Groupe BNP Paribas), sa croissance à deux chiffres et sa régularité bénéficiaire. Le P/B de 4,55x, nettement supérieur au seuil de 4x, confirme cette valorisation exigeante : le marché valorise la banque à plus de quatre fois ses fonds propres comptables (120,57 Mds FCFA), ce qui se justifie par un ROE exceptionnel de 30,29% — bien au-delà du seuil de 15% considéré comme excellent. Enfin, l'EV/EBITDA de 11,0x, dans la fourchette haute (10-15x), signale que la valeur d'entreprise intègre déjà une part significative de la performance opérationnelle future,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remarquable de **+24,56%**, avec une dernière séance particulièrement dynamique (+4,75% en J-1), portant le cours actuel à 32 945 FCFA. Le range de trading s'est établi entre un plus bas de 26 450 FCFA et un plus haut de 34 895 FCFA, soit une amplitude d'environ 32%, témoignant d'une tendance nettement haussière mais ponctuée de corrections. La moyenne du cours sur la période (29 535 FCFA) se situe légèrement au-dessus de la médiane (28 998 FCFA) et du mode (29 000 FCFA), ce qui, combiné à un skewness positif de 1,011, indique une asymétrie vers la droite : le titre a passé davantage de séances sous sa moyenne, mais les poussées haussières ont été suffisamment puissantes pour tirer la moyenne vers le haut — un profil typique d'accumulation avec des accélérations brutales. L'écart-type de 1 860 FCFA (CV de 6,3%) révèle une dispersion modérée du cours autour de sa moyenne, tandis que le kurtosis de 0,215 (mésokurtique) suggère une distribution proche de la normale, sans risque excessif de pics extrêmes. La volatilité annualisée de 37,2% classe le titre dans la catégorie **élevée** (&gt;30%), ce qui est cohérent avec une valeur bancaire de croissance sur un marché frontière, et implique une gestion du risque rigoureuse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(31 973,5 FCFA) et la MM50 (30 793,1 FCFA) se situent toutes deux sous le cours actuel (32 945 FCFA), avec la MM20 au-dessus de la MM50 — configuration haussière classique en « golden cross ». Le cours évoluant au-dessus de ses deux moyennes, la dynamique de fond reste positive, ce qui justifie la décision technique d'**Achat**.</w:t>
      </w:r>
    </w:p>
    <w:p>
      <w:pPr>
        <w:spacing w:after="120" w:line="276" w:lineRule="auto"/>
      </w:pPr>
      <w:r>
        <w:t>**Bandes de Bollinger :** Le cours (32 945 FCFA) se positionne dans la partie haute de la bande, entre la borne inférieure (29 632,755 FCFA) et la borne supérieure (34 314,245 FCFA), sans la franchir. Cette position médiane-haute traduit une volatilité contenue et l'absence de signal de surachat extrême, d'où la décision **Neutre** — le titre n'est ni en zone d'achat agressive ni en zone de correction imminente.</w:t>
      </w:r>
    </w:p>
    <w:p>
      <w:pPr>
        <w:spacing w:after="120" w:line="276" w:lineRule="auto"/>
      </w:pPr>
      <w:r>
        <w:t>**MACD :** La valeur du MACD (348,292) est inférieure à son signal (439,072), générant une divergence baissière qui indique un essoufflement du momentum haussier malgré la tendance positive du cours. Cette configuration, typique d'une phase de consolidation après une forte hausse, justifie la décision de **Vente** à court terme — un signal de prudence plutôt qu'une inversion de tendance.</w:t>
      </w:r>
    </w:p>
    <w:p>
      <w:pPr>
        <w:spacing w:after="120" w:line="276" w:lineRule="auto"/>
      </w:pPr>
      <w:r>
        <w:t>**RSI :** À 54,233, le RSI se situe en zone neutre (entre 30 et 70), sans signal de surachat (&gt;70) ni de survente (&lt;30). Cette position équilibrée indique que le titre dispose encore d'un potentiel de hausse sans être techniquement tendu, ce qui justifie la décision **Neutre**.</w:t>
      </w:r>
    </w:p>
    <w:p>
      <w:pPr>
        <w:spacing w:after="120" w:line="276" w:lineRule="auto"/>
      </w:pPr>
      <w:r>
        <w:t>**Stochastique :** Le %K (62,136) est supérieur au %D (43,107), avec un croisement récent à la hausse qui suggère une reprise du momentum acheteur à court terme. Toutefois, les deux lignes restant en zone intermédiaire, la décision demeure **Neutre** — le signal est encourageant mais non confirmé.</w:t>
      </w:r>
    </w:p>
    <w:p>
      <w:pPr>
        <w:spacing w:after="120" w:line="276" w:lineRule="auto"/>
      </w:pPr>
      <w:r>
        <w:t>**Conclusion technique :** Les indicateurs présentent un tableau mitigé : les moyennes mobiles confirment une tendance haussière de fond (Achat), mais le MACD signale un essoufflement du momentum (Vente), tandis que le RSI, les Bandes de Bollinger et le Stochastique restent neutres. Cette divergence suggère que le titre, après sa forte progression de +24,56%, entre dans une phase de consolidation ou de respiration, avec un biais haussier résiduel mais un risque de correction à court terme. La convergence des signaux vers le neutre plaide pour une approche attentiste avant tout renforcement de position.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BICICI affiche un Produit Net Bancaire (équivalent du chiffre d'affaires pour une banque) de **79,563 Mds FCFA**, en croissance de **+16,90%**, et un résultat net de **36,520 Mds FCFA**, soit une marge nette exceptionnelle de **45,90%**. Le ROE s'établit à **30,29%** — largement supérieur au seuil de 15% considéré comme excellent — et le ROA à **3,24%**, confirmant une rentabilité des actifs solide pour le secteur bancaire. Le coefficient d'exploitation de **50,83%** place la banque en zone d'excellence (&lt;50% = excellente, &lt;60% = efficace), signe d'une maîtrise remarquable des charges. Le coût du risque, mesuré à **-12,15%** (provisions/charges financières), reste contenu, indiquant un portefeuille de crédits de bonne qualité. La structure financière révèle une autonomie financière de **10,71%** (capitaux propres/total bilan) — faible en apparence, mais caractéristique du modèle bancaire où les dépôts clientèle (952,872 Mds FCFA) constituent la principale ressource — et une solvabilité générale de **111,99%** (actif/dettes), confirmant la solidité du bilan. Le ratio de couverture des intérêts de **329,33%** témoigne d'une capacité confortable à servir la dette, tandis que la capacité de remboursement de **0,40 an** (dettes financières/CAF) traduit une trésorerie abondante.</w:t>
      </w:r>
    </w:p>
    <w:p>
      <w:pPr>
        <w:spacing w:after="120" w:line="276" w:lineRule="auto"/>
      </w:pPr>
      <w:r>
        <w:t>**Estimations basées sur les rapports trimestriels :** Le rapport du **1er trimestre 2026** (publié en 2026) confirme l'accélération de la dynamique : PNB de 21 214 MFCFA (+17,01% en glissement annuel), résultat net de 10 387 MFCFA (+29,66%), marge nette portée à **49,0%** (contre 44,2% au T1 2025), et dépôts clientèle en hausse de **+14,5%** à 996 392 MFCFA. Sur cette base, on peut estimer que l'exercice 2026 devrait enregistrer un PNB annuel supérieur à 85 Mds FCFA et un résultat net approchant 42-44 Mds FCFA, soit une nouvelle progression à deux chiffres. Le rapport du **3e trimestre 2025** (30/09/2025) faisait déjà état d'un PNB cumulé de 58 119 MFCFA (+16,4%) et d'un résultat net de 27 402 MFCFA (+50,8%), avec une marge nette de 47,1% — confirmant la trajectoire ascendante. Le rapport du **1er semestre 2025** (30/06/2025) relevait une marge nette de 43,8% et une réduction spectaculaire du coût du risque (-72,8%), tandis que les états financiers **2024** (31/12/2024) affichaient un ROE de 28,6% et un résultat net de 26 226 MFCFA (+57,1%). L'évolution temporelle est donc sans ambiguïté : croissance soutenue du PNB, expansion continue des marges, maîtrise des coûts et des risques. Le principal point de vigilance réside dans la contraction des encours de crédits (-4,47% au T1 2026, -3,6% au T3 2025), compensée par une forte collecte de dépôts et une amélioration des marges — signe d'une sélectivité accrue plutôt que d'une dégradation. **Conclusion fondamentale :** BICICI présente un profil de banque solide, rentable et en croissance, avec des fondamentaux de qualité supérieure à la moyenne du secteur sur la BRVM.</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globalement favorable mais nuancé. **Sur le plan de la valorisation (Partie 0)**, les ratios PER (15,0x), P/B (4,55x) et EV/EBITDA (11,0x) indiquent une valeur correctement valorisée à légèrement surévaluée par rapport à la moyenne du marché BRVM, mais cette prime se justifie par un ROE de 30,29% et une croissance à deux chiffres — il n'y a donc pas de décote évidente à saisir, mais pas de bulle manifeste non plus. **Sur le plan du comportement du cours (Partie 1)**, la tendance haussière (+24,56%) est solide, la volatilité élevée (37,2%) est compensée par une distribution proche de la normale (kurtosis 0,215) et un skewness positif (1,011) qui suggère un biais haussier résiduel — profil favorable pour un investisseur moyen terme. **Sur le plan technique (Partie 2)**, les signaux sont divergents : les moyennes mobiles confirment la tendance haussière, mais le MACD signale un essoufflement et les autres indicateurs sont neutres — ce qui plaide pour une consolidation avant une nouvelle jambe de hausse. **Sur le plan fondamental (Partie 3)**, la solidité est incontestable : PNB en croissance de +16,90%, résultat net de 36,520 Mds FCFA, ROE de 30,29%, coefficient d'exploitation de 50,83%, et les rapports trimestriels 2025-2026 confirment l'accélération (marge nette à 49,0% au T1 2026). **Les prédictions IA (J+1 à J+10)** anticipent une légère consolidation autour de 31 700-32 000 FCFA, ce qui contredit partiellement le momentum haussier récent mais reste cohérent avec le signal de vente du MACD et la phase de respiration attendue. **Recommandation finale : ACHAT** — la convergence entre des fondamentaux excellents, une tendance de fond haussière et une valorisation justifiée par la qualité de la signature l'emporte sur les signaux techniques de court terme. Le niveau de confiance est **Moyen** (en raison de la divergence technique et de la valorisation exigeante) et le niveau de risque global est **Moyen** (volatilité élevée mais fondamentaux solides). L'horizon d'investissement optimal est le **moyen terme (3-12 mois)**, le temps que la consolidation technique s'achève et que les résultats annuels 2026 confirment les estimations de croissance.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11.92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2,899 titres</w:t>
            </w:r>
          </w:p>
        </w:tc>
        <w:tc>
          <w:tcPr>
            <w:tcW w:type="dxa" w:w="2268"/>
            <w:shd w:fill="FFF2CC" w:val="clear"/>
          </w:tcPr>
          <w:p>
            <w:r>
              <w:rPr>
                <w:b/>
                <w:color w:val="503200"/>
                <w:sz w:val="16"/>
              </w:rPr>
              <w:t xml:space="preserve">Cours actuel : </w:t>
            </w:r>
            <w:r>
              <w:rPr>
                <w:color w:val="000000"/>
                <w:sz w:val="17"/>
              </w:rPr>
              <w:t>1,800 FCFA</w:t>
            </w:r>
          </w:p>
          <w:p>
            <w:r>
              <w:rPr>
                <w:b/>
                <w:color w:val="503200"/>
                <w:sz w:val="16"/>
              </w:rPr>
              <w:t xml:space="preserve">Var. 100 jours : </w:t>
            </w:r>
            <w:r>
              <w:rPr>
                <w:b/>
                <w:color w:val="007800"/>
                <w:sz w:val="17"/>
              </w:rPr>
              <w:t>+16.50%</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9.62% (Moyenne) — μ=1,928 FCFA, σ=185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β=0.5033 (Défensif) — Cov=0.000037, Var(idx)=0.000074, ρ=0.133,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1,712</w:t>
            </w:r>
          </w:p>
        </w:tc>
        <w:tc>
          <w:tcPr>
            <w:tcW w:type="dxa" w:w="1440"/>
            <w:shd w:fill="FAFAFA" w:val="clear"/>
          </w:tcPr>
          <w:p>
            <w:r>
              <w:rPr>
                <w:b/>
                <w:sz w:val="17"/>
              </w:rPr>
              <w:t>1,823</w:t>
            </w:r>
          </w:p>
        </w:tc>
        <w:tc>
          <w:tcPr>
            <w:tcW w:type="dxa" w:w="1440"/>
            <w:shd w:fill="FAFAFA" w:val="clear"/>
          </w:tcPr>
          <w:p>
            <w:r>
              <w:rPr>
                <w:sz w:val="17"/>
              </w:rPr>
              <w:t>1,935</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1,654</w:t>
            </w:r>
          </w:p>
        </w:tc>
        <w:tc>
          <w:tcPr>
            <w:tcW w:type="dxa" w:w="1440"/>
            <w:shd w:fill="FAFAFA" w:val="clear"/>
          </w:tcPr>
          <w:p>
            <w:r>
              <w:rPr>
                <w:b/>
                <w:sz w:val="17"/>
              </w:rPr>
              <w:t>1,811</w:t>
            </w:r>
          </w:p>
        </w:tc>
        <w:tc>
          <w:tcPr>
            <w:tcW w:type="dxa" w:w="1440"/>
            <w:shd w:fill="FAFAFA" w:val="clear"/>
          </w:tcPr>
          <w:p>
            <w:r>
              <w:rPr>
                <w:sz w:val="17"/>
              </w:rPr>
              <w:t>1,968</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1,621</w:t>
            </w:r>
          </w:p>
        </w:tc>
        <w:tc>
          <w:tcPr>
            <w:tcW w:type="dxa" w:w="1440"/>
            <w:shd w:fill="FAFAFA" w:val="clear"/>
          </w:tcPr>
          <w:p>
            <w:r>
              <w:rPr>
                <w:b/>
                <w:sz w:val="17"/>
              </w:rPr>
              <w:t>1,813</w:t>
            </w:r>
          </w:p>
        </w:tc>
        <w:tc>
          <w:tcPr>
            <w:tcW w:type="dxa" w:w="1440"/>
            <w:shd w:fill="FAFAFA" w:val="clear"/>
          </w:tcPr>
          <w:p>
            <w:r>
              <w:rPr>
                <w:sz w:val="17"/>
              </w:rPr>
              <w:t>2,005</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1,594</w:t>
            </w:r>
          </w:p>
        </w:tc>
        <w:tc>
          <w:tcPr>
            <w:tcW w:type="dxa" w:w="1440"/>
            <w:shd w:fill="FAFAFA" w:val="clear"/>
          </w:tcPr>
          <w:p>
            <w:r>
              <w:rPr>
                <w:b/>
                <w:sz w:val="17"/>
              </w:rPr>
              <w:t>1,816</w:t>
            </w:r>
          </w:p>
        </w:tc>
        <w:tc>
          <w:tcPr>
            <w:tcW w:type="dxa" w:w="1440"/>
            <w:shd w:fill="FAFAFA" w:val="clear"/>
          </w:tcPr>
          <w:p>
            <w:r>
              <w:rPr>
                <w:sz w:val="17"/>
              </w:rPr>
              <w:t>2,038</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1,569</w:t>
            </w:r>
          </w:p>
        </w:tc>
        <w:tc>
          <w:tcPr>
            <w:tcW w:type="dxa" w:w="1440"/>
            <w:shd w:fill="FAFAFA" w:val="clear"/>
          </w:tcPr>
          <w:p>
            <w:r>
              <w:rPr>
                <w:b/>
                <w:sz w:val="17"/>
              </w:rPr>
              <w:t>1,818</w:t>
            </w:r>
          </w:p>
        </w:tc>
        <w:tc>
          <w:tcPr>
            <w:tcW w:type="dxa" w:w="1440"/>
            <w:shd w:fill="FAFAFA" w:val="clear"/>
          </w:tcPr>
          <w:p>
            <w:r>
              <w:rPr>
                <w:sz w:val="17"/>
              </w:rPr>
              <w:t>2,067</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1,547</w:t>
            </w:r>
          </w:p>
        </w:tc>
        <w:tc>
          <w:tcPr>
            <w:tcW w:type="dxa" w:w="1440"/>
            <w:shd w:fill="FAFAFA" w:val="clear"/>
          </w:tcPr>
          <w:p>
            <w:r>
              <w:rPr>
                <w:b/>
                <w:sz w:val="17"/>
              </w:rPr>
              <w:t>1,820</w:t>
            </w:r>
          </w:p>
        </w:tc>
        <w:tc>
          <w:tcPr>
            <w:tcW w:type="dxa" w:w="1440"/>
            <w:shd w:fill="FAFAFA" w:val="clear"/>
          </w:tcPr>
          <w:p>
            <w:r>
              <w:rPr>
                <w:sz w:val="17"/>
              </w:rPr>
              <w:t>2,092</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1,526</w:t>
            </w:r>
          </w:p>
        </w:tc>
        <w:tc>
          <w:tcPr>
            <w:tcW w:type="dxa" w:w="1440"/>
            <w:shd w:fill="FAFAFA" w:val="clear"/>
          </w:tcPr>
          <w:p>
            <w:r>
              <w:rPr>
                <w:b/>
                <w:sz w:val="17"/>
              </w:rPr>
              <w:t>1,820</w:t>
            </w:r>
          </w:p>
        </w:tc>
        <w:tc>
          <w:tcPr>
            <w:tcW w:type="dxa" w:w="1440"/>
            <w:shd w:fill="FAFAFA" w:val="clear"/>
          </w:tcPr>
          <w:p>
            <w:r>
              <w:rPr>
                <w:sz w:val="17"/>
              </w:rPr>
              <w:t>2,115</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1,506</w:t>
            </w:r>
          </w:p>
        </w:tc>
        <w:tc>
          <w:tcPr>
            <w:tcW w:type="dxa" w:w="1440"/>
            <w:shd w:fill="FAFAFA" w:val="clear"/>
          </w:tcPr>
          <w:p>
            <w:r>
              <w:rPr>
                <w:b/>
                <w:sz w:val="17"/>
              </w:rPr>
              <w:t>1,821</w:t>
            </w:r>
          </w:p>
        </w:tc>
        <w:tc>
          <w:tcPr>
            <w:tcW w:type="dxa" w:w="1440"/>
            <w:shd w:fill="FAFAFA" w:val="clear"/>
          </w:tcPr>
          <w:p>
            <w:r>
              <w:rPr>
                <w:sz w:val="17"/>
              </w:rPr>
              <w:t>2,136</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1,488</w:t>
            </w:r>
          </w:p>
        </w:tc>
        <w:tc>
          <w:tcPr>
            <w:tcW w:type="dxa" w:w="1440"/>
            <w:shd w:fill="FAFAFA" w:val="clear"/>
          </w:tcPr>
          <w:p>
            <w:r>
              <w:rPr>
                <w:b/>
                <w:sz w:val="17"/>
              </w:rPr>
              <w:t>1,822</w:t>
            </w:r>
          </w:p>
        </w:tc>
        <w:tc>
          <w:tcPr>
            <w:tcW w:type="dxa" w:w="1440"/>
            <w:shd w:fill="FAFAFA" w:val="clear"/>
          </w:tcPr>
          <w:p>
            <w:r>
              <w:rPr>
                <w:sz w:val="17"/>
              </w:rPr>
              <w:t>2,156</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1,470</w:t>
            </w:r>
          </w:p>
        </w:tc>
        <w:tc>
          <w:tcPr>
            <w:tcW w:type="dxa" w:w="1440"/>
            <w:shd w:fill="FAFAFA" w:val="clear"/>
          </w:tcPr>
          <w:p>
            <w:r>
              <w:rPr>
                <w:b/>
                <w:sz w:val="17"/>
              </w:rPr>
              <w:t>1,822</w:t>
            </w:r>
          </w:p>
        </w:tc>
        <w:tc>
          <w:tcPr>
            <w:tcW w:type="dxa" w:w="1440"/>
            <w:shd w:fill="FAFAFA" w:val="clear"/>
          </w:tcPr>
          <w:p>
            <w:r>
              <w:rPr>
                <w:sz w:val="17"/>
              </w:rPr>
              <w:t>2,175</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11,92 Mds FCFA, BNBC se situe dans la catégorie des petites capitalisations de la BRVM, ce qui expose le titre à une liquidité limitée (volume moyen de 2 899 titres/jour) et à une plus grande sensibilité aux mouvements de portefeuille. Le BPA de 3 FCFA/action est symbolique et traduit une rentabilité nette quasi-nulle, tandis que le PER de 534,2x — très largement supérieur à la moyenne BRVM (~8-12x) — signale que les investisseurs paient un prix déconnecté des bénéfices actuels, ce qui n'est justifiable que par une anticipation de redressement futur. À l'inverse, le P/B de 0,67x indique que le marché valorise le titre à 33% en dessous de sa valeur comptable (capitaux propres de 17,77 Mds FCFA pour une capitalisation de 11,92 Mds FCFA), ce qui constitue une opportunité potentielle en cas de retournement. Enfin, l'EV/EBITDA de 23,6x (&gt; 15x) reste très exigeant et suggère que la valeur d'entreprise intègre déjà une amélioration opérationnelle significative, laissant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affiche une variation totale positive de +16,50%, mais la dernière séance (J-1) enregistre une chute brutale de -5,51%, signalant une pression vendeuse récente qui contraste avec la tendance haussière de fond. Le cours actuel de 1 800 FCFA se situe dans la partie basse du range de trading (plus haut : 2 400 FCFA ; plus bas : 1 495 FCFA), ce qui traduit une correction après un sommet marqué. La moyenne (1 928 FCFA) est légèrement inférieure à la médiane (1 962 FCFA) et au mode (1 990 FCFA), indiquant une distribution légèrement asymétrique vers le bas, cohérente avec le skewness de -0,262 (distribution symétrique avec une queue gauche légèrement plus épaisse). L'écart-type de 186 FCFA et le coefficient de variation de 9,7% révèlent une dispersion modérée du cours autour de sa moyenne, tandis que le kurtosis de 0,386 (mésokurtique) suggère un risque de pics de volatilité proche d'une distribution normale, sans excès de queues épaisses. La volatilité annualisée de 52,0% classe le titre dans la catégorie des valeurs à volatilité élevée (&gt;30%), ce qui implique un risque de perte en capital important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(1 983,5 FCFA) et la MM50 (2 025,4 FCFA) sont toutes deux supérieures au cours actuel (1 800 FCFA), et la MM20 est en dessous de la MM50, configurant une structure baissière de court terme. Le croisement baissier des moyennes mobiles et la position du cours sous ces deux références justifient la décision de **Vente**, le titre n'ayant pas encore trouvé de support technique solide.</w:t>
      </w:r>
    </w:p>
    <w:p>
      <w:pPr>
        <w:spacing w:after="120" w:line="276" w:lineRule="auto"/>
      </w:pPr>
      <w:r>
        <w:t>**Bandes de Bollinger** : Le cours (1 800 FCFA) se situe entre la borne inférieure (1 712,846 FCFA) et la borne supérieure (2 254,154 FCFA), plus proche de la borne basse, ce qui indique une pression vendeuse sans situation de survente extrême. La largeur des bandes reflète une volatilité élevée, et la décision **Neutre** suggère que le titre pourrait évoluer dans ce canal avant une cassure directionnelle.</w:t>
      </w:r>
    </w:p>
    <w:p>
      <w:pPr>
        <w:spacing w:after="120" w:line="276" w:lineRule="auto"/>
      </w:pPr>
      <w:r>
        <w:t>**MACD** : La valeur du MACD (-57,975) est inférieure à son signal (-44,51), confirmant un momentum baissier durable et une divergence négative qui pèse sur le titre. La décision de **Vente** est cohérente avec cette configuration, le MACD n'ayant pas encore amorcé de retournement à la hausse.</w:t>
      </w:r>
    </w:p>
    <w:p>
      <w:pPr>
        <w:spacing w:after="120" w:line="276" w:lineRule="auto"/>
      </w:pPr>
      <w:r>
        <w:t>**RSI** : À 37,013, le RSI se situe dans la zone neutre basse (30-70), sans atteindre le seuil de survente (&lt;30), ce qui laisse présager une possible poursuite de la baisse avant un rebond technique. La décision **Neutre** traduit l'absence de signal fort, mais la proximité de la zone de survente appelle à la vigilance.</w:t>
      </w:r>
    </w:p>
    <w:p>
      <w:pPr>
        <w:spacing w:after="120" w:line="276" w:lineRule="auto"/>
      </w:pPr>
      <w:r>
        <w:t>**Stochastique** : Le %K (0,0) est en dessous du %D (34,5), avec un croisement baissier marqué et un %K au plus bas, ce qui génère paradoxalement une décision d'**Achat** par anticipation d'un rebond technique à court terme. Cette configuration extrême indique que le titre est survendu à très court terme, ce qui pourrait entraîner un sursaut.</w:t>
      </w:r>
    </w:p>
    <w:p>
      <w:pPr>
        <w:spacing w:after="120" w:line="276" w:lineRule="auto"/>
      </w:pPr>
      <w:r>
        <w:t>**Conclusion technique** : Les indicateurs sont majoritairement baissiers (MM, MACD), avec un RSI neutre et un stochastique en zone de survente extrême. Cette divergence entre la tendance de fond (baissière) et le signal de court terme (rebond possible) suggère une phase de consolidation volatile, avec un risque de poursuite de la baisse à moyen terme mais une probabilité de rebond technique à très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BNBC affiche un chiffre d'affaires de 42,454 Mds FCFA, en recul de -6,31% par rapport à 2024 (45,312 Mds FCFA), signalant une perte de dynamique commerciale. Le résultat net s'établit à 22,318 M FCFA (contre 7,313 M FCFA en 2024), mais la marge nette reste quasi-nulle à 0,0526%, et le ROE de 0,1256% comme le ROA de 0,0454% traduisent une rentabilité anémique, très éloignée des standards d'excellence (&gt;15% pour le ROE). Les délais d'exploitation sont préoccupants : 104,40 jours de délai clients (risque de trésorerie élevé) et 339,23 jours de durée de stockage (immobilisation massive de capital), tandis que le BFR de 29,373 Mds FCFA et la trésorerie nette de -16,689 Mds FCFA révèlent une situation de liquidité critique. Le ratio d'endettement de 105,48% et la capacité de remboursement de 19,17 années (dettes financières/CAF) soulignent une dépendance excessive aux financements externes, bien que l'autonomie financière de 36,16% reste supérieure au seuil de 30%. Sur la base du rapport T1 2026 (publié en 2026), le chiffre d'affaires est stable à 11,194 Mds FCFA (-0,12% vs T1 2025) et le résultat net redevient positif à 65,566 M FCFA (contre une perte de 16,147 M FCFA au T1 2025), soit une amélioration spectaculaire de +506%, portée par l'intégration de la division Équipement. On estime que l'exercice 2026 pourrait confirmer ce redressement si la montée en puissance des divisions Équipement et Power se matérialise, mais le rapport du T3 2025 (daté du 30/09/2025) indiquait déjà une perte nette de -157,03 M FCFA sur 9 mois, et le rapport annuel 2025 (daté du 31/12/2025) ne prévoit aucun dividende. La recommandation fondamentale est de **CONSERVER** avec une surveillance accrue : la société présente des signes de retournement opérationnel (T1 2026 positif), mais les fondamentaux restent fragiles (trésorerie négative, rentabilité structurellement faible, absence de dividende) et le risque de liquidité demeure élevé.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paradoxe : un PER de 534,2x et un EV/EBITDA de 23,6x suggèrent une surévaluation manifeste par rapport aux bénéfices actuels, mais le P/B de 0,67x indique une sous-évaluation par rapport à la valeur comptable, ce qui crée une opportunité conditionnelle à un redressement des marges. Le comportement du cours (Partie 1) est préoccupant à court terme : la chute de -5,51% en J-1, la position basse dans le range (1 800 FCFA vs plus haut de 2 400 FCFA) et la volatilité élevée (52%) traduisent une pression vendeuse, bien que la tendance sur 100 jours reste positive (+16,50%). Les signaux techniques (Partie 2) sont majoritairement baissiers (MM20 &lt; MM50, MACD négatif), mais le stochastique en zone de survente extrême (%K=0,0) et le RSI à 37,013 suggèrent un rebond technique imminent, créant une divergence entre le court terme (rebond possible) et le moyen terme (tendance baissière). Les fondamentaux (Partie 3) montrent une amélioration au T1 2026 (résultat net positif de 65,566 M FCFA) mais une situation financière toujours fragile (trésorerie nette de -16,689 Mds FCFA, marge nette de 0,0526% en 2025). Les prédictions IA (J+1 à J+10) tablent sur une stabilisation autour de 1 811-1 823 FCFA, ce qui confirme l'absence de tendance directionnelle forte et valide l'hypothèse d'une consolidation. Sur la base de cette synthèse, la recommandation finale est **CONSERVER** avec un niveau de confiance **Moyen** et un risque global **Élevé**. L'horizon d'investissement optimal est le **moyen terme (3-12 mois)**, en attendant la confirmation du redressement opérationnel au T2 2026 et une amélioration durable de la trésorerie ; une position vendeuse serait justifiée si le titre casse le support de 1 712 FCFA (borne inférieure de Bollinger), tandis qu'un passage à l'achat serait envisageable si le cours repasse au-dessus de la MM20 (1 983,5 FCFA) avec un volume confirmé.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381.27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5,503 titres</w:t>
            </w:r>
          </w:p>
        </w:tc>
        <w:tc>
          <w:tcPr>
            <w:tcW w:type="dxa" w:w="2268"/>
            <w:shd w:fill="FFF2CC" w:val="clear"/>
          </w:tcPr>
          <w:p>
            <w:r>
              <w:rPr>
                <w:b/>
                <w:color w:val="503200"/>
                <w:sz w:val="16"/>
              </w:rPr>
              <w:t xml:space="preserve">Cours actuel : </w:t>
            </w:r>
            <w:r>
              <w:rPr>
                <w:color w:val="000000"/>
                <w:sz w:val="17"/>
              </w:rPr>
              <w:t>9,400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μ=9,174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β=0.5343 (Défensif) — Cov=0.000039, Var(idx)=0.000074, ρ=0.251,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9,049</w:t>
            </w:r>
          </w:p>
        </w:tc>
        <w:tc>
          <w:tcPr>
            <w:tcW w:type="dxa" w:w="1440"/>
            <w:shd w:fill="FAFAFA" w:val="clear"/>
          </w:tcPr>
          <w:p>
            <w:r>
              <w:rPr>
                <w:b/>
                <w:sz w:val="17"/>
              </w:rPr>
              <w:t>9,344</w:t>
            </w:r>
          </w:p>
        </w:tc>
        <w:tc>
          <w:tcPr>
            <w:tcW w:type="dxa" w:w="1440"/>
            <w:shd w:fill="FAFAFA" w:val="clear"/>
          </w:tcPr>
          <w:p>
            <w:r>
              <w:rPr>
                <w:sz w:val="17"/>
              </w:rPr>
              <w:t>9,638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8,897</w:t>
            </w:r>
          </w:p>
        </w:tc>
        <w:tc>
          <w:tcPr>
            <w:tcW w:type="dxa" w:w="1440"/>
            <w:shd w:fill="FAFAFA" w:val="clear"/>
          </w:tcPr>
          <w:p>
            <w:r>
              <w:rPr>
                <w:b/>
                <w:sz w:val="17"/>
              </w:rPr>
              <w:t>9,312</w:t>
            </w:r>
          </w:p>
        </w:tc>
        <w:tc>
          <w:tcPr>
            <w:tcW w:type="dxa" w:w="1440"/>
            <w:shd w:fill="FAFAFA" w:val="clear"/>
          </w:tcPr>
          <w:p>
            <w:r>
              <w:rPr>
                <w:sz w:val="17"/>
              </w:rPr>
              <w:t>9,728</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8,778</w:t>
            </w:r>
          </w:p>
        </w:tc>
        <w:tc>
          <w:tcPr>
            <w:tcW w:type="dxa" w:w="1440"/>
            <w:shd w:fill="FAFAFA" w:val="clear"/>
          </w:tcPr>
          <w:p>
            <w:r>
              <w:rPr>
                <w:b/>
                <w:sz w:val="17"/>
              </w:rPr>
              <w:t>9,285</w:t>
            </w:r>
          </w:p>
        </w:tc>
        <w:tc>
          <w:tcPr>
            <w:tcW w:type="dxa" w:w="1440"/>
            <w:shd w:fill="FAFAFA" w:val="clear"/>
          </w:tcPr>
          <w:p>
            <w:r>
              <w:rPr>
                <w:sz w:val="17"/>
              </w:rPr>
              <w:t>9,792</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8,678</w:t>
            </w:r>
          </w:p>
        </w:tc>
        <w:tc>
          <w:tcPr>
            <w:tcW w:type="dxa" w:w="1440"/>
            <w:shd w:fill="FAFAFA" w:val="clear"/>
          </w:tcPr>
          <w:p>
            <w:r>
              <w:rPr>
                <w:b/>
                <w:sz w:val="17"/>
              </w:rPr>
              <w:t>9,262</w:t>
            </w:r>
          </w:p>
        </w:tc>
        <w:tc>
          <w:tcPr>
            <w:tcW w:type="dxa" w:w="1440"/>
            <w:shd w:fill="FAFAFA" w:val="clear"/>
          </w:tcPr>
          <w:p>
            <w:r>
              <w:rPr>
                <w:sz w:val="17"/>
              </w:rPr>
              <w:t>9,846</w:t>
            </w:r>
          </w:p>
        </w:tc>
        <w:tc>
          <w:tcPr>
            <w:tcW w:type="dxa" w:w="1440"/>
            <w:shd w:fill="FAFAFA" w:val="clear"/>
          </w:tcPr>
          <w:p>
            <w:r>
              <w:rPr>
                <w:b/>
                <w:color w:val="C00000"/>
                <w:sz w:val="17"/>
              </w:rPr>
              <w:t>-1.5%</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8,590</w:t>
            </w:r>
          </w:p>
        </w:tc>
        <w:tc>
          <w:tcPr>
            <w:tcW w:type="dxa" w:w="1440"/>
            <w:shd w:fill="FAFAFA" w:val="clear"/>
          </w:tcPr>
          <w:p>
            <w:r>
              <w:rPr>
                <w:b/>
                <w:sz w:val="17"/>
              </w:rPr>
              <w:t>9,241</w:t>
            </w:r>
          </w:p>
        </w:tc>
        <w:tc>
          <w:tcPr>
            <w:tcW w:type="dxa" w:w="1440"/>
            <w:shd w:fill="FAFAFA" w:val="clear"/>
          </w:tcPr>
          <w:p>
            <w:r>
              <w:rPr>
                <w:sz w:val="17"/>
              </w:rPr>
              <w:t>9,893</w:t>
            </w:r>
          </w:p>
        </w:tc>
        <w:tc>
          <w:tcPr>
            <w:tcW w:type="dxa" w:w="1440"/>
            <w:shd w:fill="FAFAFA" w:val="clear"/>
          </w:tcPr>
          <w:p>
            <w:r>
              <w:rPr>
                <w:b/>
                <w:color w:val="C00000"/>
                <w:sz w:val="17"/>
              </w:rPr>
              <w:t>-1.7%</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8,510</w:t>
            </w:r>
          </w:p>
        </w:tc>
        <w:tc>
          <w:tcPr>
            <w:tcW w:type="dxa" w:w="1440"/>
            <w:shd w:fill="FAFAFA" w:val="clear"/>
          </w:tcPr>
          <w:p>
            <w:r>
              <w:rPr>
                <w:b/>
                <w:sz w:val="17"/>
              </w:rPr>
              <w:t>9,222</w:t>
            </w:r>
          </w:p>
        </w:tc>
        <w:tc>
          <w:tcPr>
            <w:tcW w:type="dxa" w:w="1440"/>
            <w:shd w:fill="FAFAFA" w:val="clear"/>
          </w:tcPr>
          <w:p>
            <w:r>
              <w:rPr>
                <w:sz w:val="17"/>
              </w:rPr>
              <w:t>9,934</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8,436</w:t>
            </w:r>
          </w:p>
        </w:tc>
        <w:tc>
          <w:tcPr>
            <w:tcW w:type="dxa" w:w="1440"/>
            <w:shd w:fill="FFDCE0" w:val="clear"/>
          </w:tcPr>
          <w:p>
            <w:r>
              <w:rPr>
                <w:b/>
                <w:sz w:val="17"/>
              </w:rPr>
              <w:t>9,204</w:t>
            </w:r>
          </w:p>
        </w:tc>
        <w:tc>
          <w:tcPr>
            <w:tcW w:type="dxa" w:w="1440"/>
            <w:shd w:fill="FFDCE0" w:val="clear"/>
          </w:tcPr>
          <w:p>
            <w:r>
              <w:rPr>
                <w:sz w:val="17"/>
              </w:rPr>
              <w:t>9,971</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8,367</w:t>
            </w:r>
          </w:p>
        </w:tc>
        <w:tc>
          <w:tcPr>
            <w:tcW w:type="dxa" w:w="1440"/>
            <w:shd w:fill="FFDCE0" w:val="clear"/>
          </w:tcPr>
          <w:p>
            <w:r>
              <w:rPr>
                <w:b/>
                <w:sz w:val="17"/>
              </w:rPr>
              <w:t>9,186</w:t>
            </w:r>
          </w:p>
        </w:tc>
        <w:tc>
          <w:tcPr>
            <w:tcW w:type="dxa" w:w="1440"/>
            <w:shd w:fill="FFDCE0" w:val="clear"/>
          </w:tcPr>
          <w:p>
            <w:r>
              <w:rPr>
                <w:sz w:val="17"/>
              </w:rPr>
              <w:t>10,005</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8,302</w:t>
            </w:r>
          </w:p>
        </w:tc>
        <w:tc>
          <w:tcPr>
            <w:tcW w:type="dxa" w:w="1440"/>
            <w:shd w:fill="FFDCE0" w:val="clear"/>
          </w:tcPr>
          <w:p>
            <w:r>
              <w:rPr>
                <w:b/>
                <w:sz w:val="17"/>
              </w:rPr>
              <w:t>9,170</w:t>
            </w:r>
          </w:p>
        </w:tc>
        <w:tc>
          <w:tcPr>
            <w:tcW w:type="dxa" w:w="1440"/>
            <w:shd w:fill="FFDCE0" w:val="clear"/>
          </w:tcPr>
          <w:p>
            <w:r>
              <w:rPr>
                <w:sz w:val="17"/>
              </w:rPr>
              <w:t>10,037</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8,241</w:t>
            </w:r>
          </w:p>
        </w:tc>
        <w:tc>
          <w:tcPr>
            <w:tcW w:type="dxa" w:w="1440"/>
            <w:shd w:fill="FFDCE0" w:val="clear"/>
          </w:tcPr>
          <w:p>
            <w:r>
              <w:rPr>
                <w:b/>
                <w:sz w:val="17"/>
              </w:rPr>
              <w:t>9,154</w:t>
            </w:r>
          </w:p>
        </w:tc>
        <w:tc>
          <w:tcPr>
            <w:tcW w:type="dxa" w:w="1440"/>
            <w:shd w:fill="FFDCE0" w:val="clear"/>
          </w:tcPr>
          <w:p>
            <w:r>
              <w:rPr>
                <w:sz w:val="17"/>
              </w:rPr>
              <w:t>10,066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381,27 milliards FCFA, BOAB s'affirme comme l'une des valeurs bancaires les plus capitalisées de la BRVM, ce qui témoigne de sa liquidité relative et de son poids dans l'indice sectoriel. Le BPA de 496 FCFA/action signifie que chaque titre génère près de 500 FCFA de bénéfice net, un niveau confortable pour un cours de 9 400 FCFA. Le PER de 19,0x traduit une valorisation nettement supérieure à la moyenne du marché BRVM (8-12x), les investisseurs acceptant de payer une prime pour la qualité et la régularité des résultats de la banque. Le P/B de 3,24x indique que le marché valorise BOAB à plus de trois fois sa valeur comptable, une prime de croissance significative mais justifiée par un ROE de 17,1%. Enfin, l'EV/EBITDA de 19,5x, supérieur au seuil de 15x, confirme une valorisation exigeante qui intègre déjà une bonne partie du potentiel de croissance dans les cours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BOAB affiche une variation totale de +0,00% et une variation J-1 de +0,00%, traduisant une phase de stabilisation marquée autour du cours actuel de 9 400 FCFA. Le titre a évolué dans un range de 1 830 FCFA, entre un plus bas de 8 520 FCFA et un plus haut de 10 350 FCFA, ce qui représente une amplitude de trading de près de 21% — significative pour une valeur bancaire. La tendance générale apparaît donc latérale, avec une légère pression haussière historique (le cours actuel se situe au-dessus de la moyenne de 9 174 FCFA). Les statistiques descriptives révèlent une moyenne (9 174 FCFA) supérieure à la médiane (8 950 FCFA), signe d'une asymétrie positive confirmée par le skewness de 0,933 : le cours a passé plus de journées sous sa moyenne, mais quelques pics haussiers tirent la moyenne vers le haut. L'écart-type de 557 FCFA (CV de 6,1%) indique une dispersion modérée du cours, tandis que le kurtosis de -0,543 (mésokurtique) suggère une distribution proche de la normale, sans risque excessif de pics extrêmes. La volatilité annualisée de 28,7% positionne le titre dans la catégorie modérée (15-30%), ce qui est cohérent avec un profil bancaire stable mais sensible aux annonces de résultats.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(9 519,5 FCFA) et la MM50 (9 482,9 FCFA) se situent toutes deux au-dessus du cours actuel (9 400 FCFA), ce qui place le titre en position de faiblesse relative à court terme. Toutefois, la MM20 reste supérieure à la MM50, maintenant une configuration haussière de fond. La décision technique affichée est "Achat", suggérant que le croisement des moyennes et leur orientation plaident pour une reprise à moyen terme malgré la pression actuelle.</w:t>
      </w:r>
    </w:p>
    <w:p>
      <w:pPr>
        <w:spacing w:after="120" w:line="276" w:lineRule="auto"/>
      </w:pPr>
      <w:r>
        <w:t>**Bandes de Bollinger** : Le cours (9 400 FCFA) évolue dans la partie inférieure de la bande, entre la borne inférieure (8 652,76 FCFA) et la borne supérieure (10 386,24 FCFA), sans atteindre les extrêmes. Cette position médiane-basse traduit une volatilité contenue et une absence de signal directionnel fort. La décision "Neutre" confirme que le titre n'est ni en surachat ni en survente selon ce critère.</w:t>
      </w:r>
    </w:p>
    <w:p>
      <w:pPr>
        <w:spacing w:after="120" w:line="276" w:lineRule="auto"/>
      </w:pPr>
      <w:r>
        <w:t>**MACD** : La valeur du MACD (-86,064) est inférieure à son signal (-74,998), générant un croisement baissier et une décision "Vente". Ce momentum négatif indique que la dynamique de court terme reste défavorable, avec une pression vendeuse persistante. La divergence négative entre les deux lignes suggère que la correction pourrait se poursuivre à court terme.</w:t>
      </w:r>
    </w:p>
    <w:p>
      <w:pPr>
        <w:spacing w:after="120" w:line="276" w:lineRule="auto"/>
      </w:pPr>
      <w:r>
        <w:t>**RSI** : À 40,964, le RSI se situe dans la zone neutre (30-70), sans signal de surachat ni de survente. La décision "Neutre" reflète un équilibre entre acheteurs et vendeurs, avec une légère tendance baissière puisque le RSI est sous la barre des 50. Un franchissement à la baisse de 30 serait nécessaire pour envisager un rebond technique.</w:t>
      </w:r>
    </w:p>
    <w:p>
      <w:pPr>
        <w:spacing w:after="120" w:line="276" w:lineRule="auto"/>
      </w:pPr>
      <w:r>
        <w:t>**Stochastique** : Le %K (63,542) est supérieur au %D (54,867), ce qui constitue un croisement haussier potentiel, bien que les deux indicateurs restent dans la zone neutre-haute. La décision "Neutre" suggère que le signal n'est pas encore confirmé, mais la configuration actuelle plaide pour une stabilisation voire un rebond à très court terme.</w:t>
      </w:r>
    </w:p>
    <w:p>
      <w:pPr>
        <w:spacing w:after="120" w:line="276" w:lineRule="auto"/>
      </w:pPr>
      <w:r>
        <w:t>**Conclusion technique** : Les indicateurs techniques présentent un tableau mitigé. Les moyennes mobiles restent haussières de fond mais le cours évolue en dessous, le MACD est baissier, tandis que le RSI et le stochastique sont neutres avec une légère inflexion positive pour ce dernier. Les bandes de Bollinger confirment l'absence de direction claire. Dans l'ensemble, le titre se trouve dans une phase de consolidation sans signal fort, avec un léger avantage aux vendeurs à court terme mais un potentiel de rebond technique à surveiller.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(base brvm_donnees_financieres) révèlent une banque solide et rentable. Le Produit Net Bancaire (PNB), équivalent du chiffre d'affaires pour une banque, s'établit à 51,274 milliards FCFA, en croissance de 10,2% sur un an. Le résultat net atteint 20,107 milliards FCFA, soit une marge nette remarquable de 39,2%. Le ROE de 17,11% dépasse le seuil d'excellence de 15%, confirmant la capacité de la banque à générer des profits sur ses fonds propres (117,507 milliards FCFA). Le ROA de 2,08% reste correct pour le secteur. Le coefficient d'exploitation de 49,53% est inférieur au seuil de 60%, signe d'une excellente efficacité opérationnelle. Le coût du risque, à 22,50% des charges financières, est élevé et constitue un point de vigilance sur la qualité du portefeuille de crédits. La structure financière montre une autonomie financière de 12,18% (faible mais typique des banques) et un ratio de solvabilité générale de 113,87%, assurant la couverture des dettes. Les dépôts clientèle (711,642 milliards FCFA) couvrent largement les créances clientèle (391,724 milliards FCFA), avec un ratio de transformation de 55%, indiquant une gestion prudente des liquidités.</w:t>
      </w:r>
    </w:p>
    <w:p>
      <w:pPr>
        <w:spacing w:after="120" w:line="276" w:lineRule="auto"/>
      </w:pPr>
      <w:r>
        <w:t>Les rapports narratifs confirment cette dynamique. Le rapport du T1 2026 (publié le 31/12/2026, analysé le 12/09/2026) fait état d'un PNB de 12,329 milliards FCFA (+11% en glissement annuel), tiré par les commissions (+18,9%) et la marge nette bancaire (+8,5%). Le résultat net progresse de seulement 1% à 4,502 milliards FCFA, en raison d'une pression sur les coûts. Les dépôts clientèle atteignent 753,7 milliards FCFA (+3,5% sur l'année glissante). Le rapport du T3 2025 (30/09/2025) montrait déjà un PNB trimestriel de 37,065 milliards FCFA (+9%) et un résultat net de 15,880 milliards FCFA (+13%), avec une contraction des crédits (-10%) et des dépôts (-5%) liée à des remboursements anticipés. Le rapport du S1 2025 (30/06/2025) indiquait un PNB de 24,556 milliards FCFA (+5,91%) et un résultat net de 11,012 milliards FCFA (+0,75%), pénalisé par une forte hausse du coût du risque (+394,66%). Le rapport annuel 2024 (31/12/2024) faisait état d'un résultat net de 19,647 milliards FCFA (-8,7%) et d'une augmentation de capital portant les capitaux propres à 117,4 milliards FCFA.</w:t>
      </w:r>
    </w:p>
    <w:p>
      <w:pPr>
        <w:spacing w:after="120" w:line="276" w:lineRule="auto"/>
      </w:pPr>
      <w:r>
        <w:t>Sur la base du rapport T1 2026 (PNB +11%, résultat net +1%), on peut estimer que l'exercice 2026 devrait maintenir une croissance du PNB autour de 10%, mais la progression du résultat net pourrait rester limitée à 2-4% si la pression sur les coûts persiste. La banque affiche des fondamentaux solides (ROE élevé, coefficient d'exploitation excellent, base de dépôts en croissance), mais les risques identifiés — coût du risque élevé, stagnation des créances clientèle, dépendance à l'environnement économique béninois — nécessitent une surveillance accrue. La recommandation fondamentale est de **conserver** le titre, avec un potentiel de revalorisation à moyen terme si la maîtrise des coûts s'améliore.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apparaît exigeante : le PER de 19,0x et l'EV/EBITDA de 19,5x intègrent déjà une prime de qualité, tandis que le P/B de 3,24x reflète une confiance du marché dans la rentabilité future. Le comportement du cours sur 100 jours est stable (+0,00%), avec une volatilité modérée (28,7%) et une asymétrie positive (skewness 0,933) qui suggère un potentiel de pics haussiers, mais le kurtosis proche de la normale n'indique pas de risque extrême. Les signaux techniques sont mitigés : les moyennes mobiles restent haussières de fond mais le MACD est baissier, le RSI et le stochastique sont neutres, et les bandes de Bollinger ne montrent pas de direction claire — le titre est en consolidation. Les fondamentaux sont solides (ROE 17,1%, coefficient d'exploitation 49,5%, PNB +10,2% en 2025), mais la croissance du résultat net est freinée par un coût du risque élevé (22,5%) et une pression sur les coûts, comme le montre le T1 2026 (résultat net +1%). Les prédictions IA pour les 10 prochains jours (9 344 → 9 241 FCFA) anticipent une légère baisse de -1,7%, ce qui contredit le signal d'achat des moyennes mobiles mais confirme la pression baissière du MACD.</w:t>
      </w:r>
    </w:p>
    <w:p>
      <w:pPr>
        <w:spacing w:after="120" w:line="276" w:lineRule="auto"/>
      </w:pPr>
      <w:r>
        <w:t>**Recommandation finale : CONSERVER.** La convergence entre une valorisation exigeante, des signaux techniques mitigés, des fondamentaux solides mais une croissance nette ralentie, et des prédictions baissières à court terme plaide pour une position attentiste. Le niveau de confiance est **Moyen** (les indicateurs sont contradictoires) et le risque global est **Moyen** (volatilité modérée, mais valorisation tendue). L'horizon d'investissement optimal est le **moyen terme (3-12 mois)**, en attendant une clarification des tendances techniques et une amélioration de la rentabilité nette. Un passage à l'achat serait justifié si le cours revenait vers 8 800-9 000 FCFA (zone de support) ou si le MACD se retournait à la hausse.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6,404 titres</w:t>
            </w:r>
          </w:p>
        </w:tc>
        <w:tc>
          <w:tcPr>
            <w:tcW w:type="dxa" w:w="2268"/>
            <w:shd w:fill="FFF2CC" w:val="clear"/>
          </w:tcPr>
          <w:p>
            <w:r>
              <w:rPr>
                <w:b/>
                <w:color w:val="503200"/>
                <w:sz w:val="16"/>
              </w:rPr>
              <w:t xml:space="preserve">Cours actuel : </w:t>
            </w:r>
            <w:r>
              <w:rPr>
                <w:color w:val="000000"/>
                <w:sz w:val="17"/>
              </w:rPr>
              <w:t>8,005 FCFA</w:t>
            </w:r>
          </w:p>
          <w:p>
            <w:r>
              <w:rPr>
                <w:b/>
                <w:color w:val="503200"/>
                <w:sz w:val="16"/>
              </w:rPr>
              <w:t xml:space="preserve">Var. 100 jours : </w:t>
            </w:r>
            <w:r>
              <w:rPr>
                <w:b/>
                <w:color w:val="007800"/>
                <w:sz w:val="17"/>
              </w:rPr>
              <w:t>+48.24%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17.36% (Élevée) — μ=6,966 FCFA, σ=1,209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β=0.7532 (Défensif) — Cov=0.000056, Var(idx)=0.000074, ρ=0.283,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7,664</w:t>
            </w:r>
          </w:p>
        </w:tc>
        <w:tc>
          <w:tcPr>
            <w:tcW w:type="dxa" w:w="1440"/>
            <w:shd w:fill="FAFAFA" w:val="clear"/>
          </w:tcPr>
          <w:p>
            <w:r>
              <w:rPr>
                <w:b/>
                <w:sz w:val="17"/>
              </w:rPr>
              <w:t>7,958</w:t>
            </w:r>
          </w:p>
        </w:tc>
        <w:tc>
          <w:tcPr>
            <w:tcW w:type="dxa" w:w="1440"/>
            <w:shd w:fill="FAFAFA" w:val="clear"/>
          </w:tcPr>
          <w:p>
            <w:r>
              <w:rPr>
                <w:sz w:val="17"/>
              </w:rPr>
              <w:t>8,252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7,509</w:t>
            </w:r>
          </w:p>
        </w:tc>
        <w:tc>
          <w:tcPr>
            <w:tcW w:type="dxa" w:w="1440"/>
            <w:shd w:fill="FAFAFA" w:val="clear"/>
          </w:tcPr>
          <w:p>
            <w:r>
              <w:rPr>
                <w:b/>
                <w:sz w:val="17"/>
              </w:rPr>
              <w:t>7,923</w:t>
            </w:r>
          </w:p>
        </w:tc>
        <w:tc>
          <w:tcPr>
            <w:tcW w:type="dxa" w:w="1440"/>
            <w:shd w:fill="FAFAFA" w:val="clear"/>
          </w:tcPr>
          <w:p>
            <w:r>
              <w:rPr>
                <w:sz w:val="17"/>
              </w:rPr>
              <w:t>8,337</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7,387</w:t>
            </w:r>
          </w:p>
        </w:tc>
        <w:tc>
          <w:tcPr>
            <w:tcW w:type="dxa" w:w="1440"/>
            <w:shd w:fill="FAFAFA" w:val="clear"/>
          </w:tcPr>
          <w:p>
            <w:r>
              <w:rPr>
                <w:b/>
                <w:sz w:val="17"/>
              </w:rPr>
              <w:t>7,892</w:t>
            </w:r>
          </w:p>
        </w:tc>
        <w:tc>
          <w:tcPr>
            <w:tcW w:type="dxa" w:w="1440"/>
            <w:shd w:fill="FAFAFA" w:val="clear"/>
          </w:tcPr>
          <w:p>
            <w:r>
              <w:rPr>
                <w:sz w:val="17"/>
              </w:rPr>
              <w:t>8,397</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7,287</w:t>
            </w:r>
          </w:p>
        </w:tc>
        <w:tc>
          <w:tcPr>
            <w:tcW w:type="dxa" w:w="1440"/>
            <w:shd w:fill="FAFAFA" w:val="clear"/>
          </w:tcPr>
          <w:p>
            <w:r>
              <w:rPr>
                <w:b/>
                <w:sz w:val="17"/>
              </w:rPr>
              <w:t>7,868</w:t>
            </w:r>
          </w:p>
        </w:tc>
        <w:tc>
          <w:tcPr>
            <w:tcW w:type="dxa" w:w="1440"/>
            <w:shd w:fill="FAFAFA" w:val="clear"/>
          </w:tcPr>
          <w:p>
            <w:r>
              <w:rPr>
                <w:sz w:val="17"/>
              </w:rPr>
              <w:t>8,449</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7,200</w:t>
            </w:r>
          </w:p>
        </w:tc>
        <w:tc>
          <w:tcPr>
            <w:tcW w:type="dxa" w:w="1440"/>
            <w:shd w:fill="FAFAFA" w:val="clear"/>
          </w:tcPr>
          <w:p>
            <w:r>
              <w:rPr>
                <w:b/>
                <w:sz w:val="17"/>
              </w:rPr>
              <w:t>7,848</w:t>
            </w:r>
          </w:p>
        </w:tc>
        <w:tc>
          <w:tcPr>
            <w:tcW w:type="dxa" w:w="1440"/>
            <w:shd w:fill="FAFAFA" w:val="clear"/>
          </w:tcPr>
          <w:p>
            <w:r>
              <w:rPr>
                <w:sz w:val="17"/>
              </w:rPr>
              <w:t>8,496</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7,121</w:t>
            </w:r>
          </w:p>
        </w:tc>
        <w:tc>
          <w:tcPr>
            <w:tcW w:type="dxa" w:w="1440"/>
            <w:shd w:fill="FFDCE0" w:val="clear"/>
          </w:tcPr>
          <w:p>
            <w:r>
              <w:rPr>
                <w:b/>
                <w:sz w:val="17"/>
              </w:rPr>
              <w:t>7,830</w:t>
            </w:r>
          </w:p>
        </w:tc>
        <w:tc>
          <w:tcPr>
            <w:tcW w:type="dxa" w:w="1440"/>
            <w:shd w:fill="FFDCE0" w:val="clear"/>
          </w:tcPr>
          <w:p>
            <w:r>
              <w:rPr>
                <w:sz w:val="17"/>
              </w:rPr>
              <w:t>8,538</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7,049</w:t>
            </w:r>
          </w:p>
        </w:tc>
        <w:tc>
          <w:tcPr>
            <w:tcW w:type="dxa" w:w="1440"/>
            <w:shd w:fill="FFDCE0" w:val="clear"/>
          </w:tcPr>
          <w:p>
            <w:r>
              <w:rPr>
                <w:b/>
                <w:sz w:val="17"/>
              </w:rPr>
              <w:t>7,813</w:t>
            </w:r>
          </w:p>
        </w:tc>
        <w:tc>
          <w:tcPr>
            <w:tcW w:type="dxa" w:w="1440"/>
            <w:shd w:fill="FFDCE0" w:val="clear"/>
          </w:tcPr>
          <w:p>
            <w:r>
              <w:rPr>
                <w:sz w:val="17"/>
              </w:rPr>
              <w:t>8,576</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6,982</w:t>
            </w:r>
          </w:p>
        </w:tc>
        <w:tc>
          <w:tcPr>
            <w:tcW w:type="dxa" w:w="1440"/>
            <w:shd w:fill="FFDCE0" w:val="clear"/>
          </w:tcPr>
          <w:p>
            <w:r>
              <w:rPr>
                <w:b/>
                <w:sz w:val="17"/>
              </w:rPr>
              <w:t>7,796</w:t>
            </w:r>
          </w:p>
        </w:tc>
        <w:tc>
          <w:tcPr>
            <w:tcW w:type="dxa" w:w="1440"/>
            <w:shd w:fill="FFDCE0" w:val="clear"/>
          </w:tcPr>
          <w:p>
            <w:r>
              <w:rPr>
                <w:sz w:val="17"/>
              </w:rPr>
              <w:t>8,611</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6,919</w:t>
            </w:r>
          </w:p>
        </w:tc>
        <w:tc>
          <w:tcPr>
            <w:tcW w:type="dxa" w:w="1440"/>
            <w:shd w:fill="FFDCE0" w:val="clear"/>
          </w:tcPr>
          <w:p>
            <w:r>
              <w:rPr>
                <w:b/>
                <w:sz w:val="17"/>
              </w:rPr>
              <w:t>7,781</w:t>
            </w:r>
          </w:p>
        </w:tc>
        <w:tc>
          <w:tcPr>
            <w:tcW w:type="dxa" w:w="1440"/>
            <w:shd w:fill="FFDCE0" w:val="clear"/>
          </w:tcPr>
          <w:p>
            <w:r>
              <w:rPr>
                <w:sz w:val="17"/>
              </w:rPr>
              <w:t>8,643</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6,859</w:t>
            </w:r>
          </w:p>
        </w:tc>
        <w:tc>
          <w:tcPr>
            <w:tcW w:type="dxa" w:w="1440"/>
            <w:shd w:fill="FFDCE0" w:val="clear"/>
          </w:tcPr>
          <w:p>
            <w:r>
              <w:rPr>
                <w:b/>
                <w:sz w:val="17"/>
              </w:rPr>
              <w:t>7,765</w:t>
            </w:r>
          </w:p>
        </w:tc>
        <w:tc>
          <w:tcPr>
            <w:tcW w:type="dxa" w:w="1440"/>
            <w:shd w:fill="FFDCE0" w:val="clear"/>
          </w:tcPr>
          <w:p>
            <w:r>
              <w:rPr>
                <w:sz w:val="17"/>
              </w:rPr>
              <w:t>8,672</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352,22 milliards FCFA, BOABF s'impose comme l'une des valeurs bancaires de référence de la cote BRVM, témoignant de la solidité de son assise institutionnelle au sein du groupe Bank of Africa. Le BPA de 438 FCFA par action signifie que chaque titre génère près de 438 FCFA de bénéfice net, ce qui, rapporté au cours actuel de 8 005 FCFA, aboutit à un PER de 18,3x. Ce niveau, supérieur à la moyenne du marché BRVM (généralement comprise entre 8 et 12x), indique que les investisseurs paient une prime significative pour les bénéfices de la banque, ce qui peut se justifier par sa qualité de signature mais expose le titre à un risque de correction en cas de déception sur les résultats. Le P/B de 2,78x confirme cette lecture : le marché valorise BOABF à près de trois fois sa valeur comptable, traduisant une prime de croissance et de rentabilité attendue. Enfin, l'EV/EBITDA de 8,1x, situé dans la fourchette raisonnable de 5 à 10x, suggère que la valeur d'entreprise reste cohérente avec la capacité opérationnelle de la banque, sans exagération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 enregistré une progression spectaculaire de +48,24%, portée par la dernière séance qui affiche encore +0,69%, confirmant une dynamique haussière toujours active. Le titre a évolué dans un range très large, entre un plus bas de 5 300 FCFA et un plus haut de 9 090 FCFA, soit un écart de plus de 71% entre les deux extrêmes, ce qui traduit une forte amplitude de trading et une tendance nettement haussière sur la période. Le cours actuel de 8 005 FCFA se situe à environ 12% sous son plus haut, suggérant une phase de consolidation après le rallye. Les statistiques descriptives révèlent une moyenne de 6 966 FCFA légèrement inférieure à la médiane de 7 148 FCFA, ce qui indique une asymétrie légère vers la droite (quelques séances de forte hausse tirent la moyenne vers le bas relativement à la médiane), cohérente avec un skewness positif de 0,168 qualifié de distribution symétrique. L'écart-type de 1 215 FCFA avec un coefficient de variation de 17,4% traduit une dispersion modérée du cours autour de sa moyenne, tandis que le kurtosis de -1,272 (distribution platykurtique) signale une faible concentration des rendements et un risque de pics de volatilité moins prononcé qu'une distribution normale — un élément rassurant pour la gestion du risque. La volatilité annualisée de 35,9% classe le titre dans la catégorie des valeurs à volatilité élevée (&gt;30%), ce qui est cohérent avec son statut de valeur bancaire africaine exposée aux aléas macroéconomiques et sécuritaires régionaux.</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8 056,75 FCFA et la MM50 à 7 986,70 FCFA, toutes deux supérieures au cours actuel de 8 005 FCFA pour la MM50 mais légèrement au-dessus pour la MM20. Le croisement haussier (MM20 &gt; MM50) et la position du cours à proximité immédiate de ces moyennes confirment la décision d'**Achat**, le titre évoluant dans une zone de support dynamique.</w:t>
      </w:r>
    </w:p>
    <w:p>
      <w:pPr>
        <w:spacing w:after="120" w:line="276" w:lineRule="auto"/>
      </w:pPr>
      <w:r>
        <w:t>**Bandes de Bollinger :** La borne supérieure est à 8 807,66 FCFA et la borne inférieure à 7 305,84 FCFA, avec un cours actuel de 8 005 FCFA positionné dans la moitié inférieure de la bande. Cette position médiane, ni en surachat ni en survente, justifie la décision **Neutre**, la volatilité restant contenue dans les bandes sans signal d'extension imminente.</w:t>
      </w:r>
    </w:p>
    <w:p>
      <w:pPr>
        <w:spacing w:after="120" w:line="276" w:lineRule="auto"/>
      </w:pPr>
      <w:r>
        <w:t>**MACD :** La valeur du MACD est de -45,268 contre un signal à -15,707, soit une divergence négative où le MACD est inférieur à son signal. Ce croisement baissier indique un momentum négatif à court terme, justifiant la décision de **Vente** technique, bien que l'amplitude reste modérée.</w:t>
      </w:r>
    </w:p>
    <w:p>
      <w:pPr>
        <w:spacing w:after="120" w:line="276" w:lineRule="auto"/>
      </w:pPr>
      <w:r>
        <w:t>**RSI :** À 55,616, le RSI se situe dans la zone neutre (30-70), sans signal de surachat (&gt;70) ni de survente (&lt;30). Cette position médiane confirme la décision **Neutre**, le titre conservant un potentiel de hausse sans être techniquement épuisé.</w:t>
      </w:r>
    </w:p>
    <w:p>
      <w:pPr>
        <w:spacing w:after="120" w:line="276" w:lineRule="auto"/>
      </w:pPr>
      <w:r>
        <w:t>**Stochastique :** Le %K est à 67,222 et le %D à 61,296, avec un %K supérieur au %D, ce qui constitue un signal haussier modéré. Cependant, les deux courbes restant sous le seuil de 80, la décision reste **Neutre**, le croisement n'étant pas encore confirmé en zone de surachat.</w:t>
      </w:r>
    </w:p>
    <w:p>
      <w:pPr>
        <w:spacing w:after="120" w:line="276" w:lineRule="auto"/>
      </w:pPr>
      <w:r>
        <w:t>**Conclusion technique :** Les indicateurs techniques présentent un tableau mitigé : les moyennes mobiles et le stochastique sont haussiers, le RSI et les Bollinger sont neutres, tandis que le MACD est baissier. Cette divergence suggère une phase de consolidation après le rallye de +48%, avec un avantage légèrement favorable aux acheteurs mais sans signal directionnel fort. La prudence est de mise à court terme, le titre ayant besoin de confirmer son support au-dessus de 7 986 FCFA (MM50) pour relancer la dynamique haussière.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BOABF a réalisé un Produit Net Bancaire (PNB) de 57 820 millions FCFA, quasi stable par rapport à 2024 (+0,6%), avec un résultat net de 19 252 millions FCFA, en recul de -14,1% sur un an. Cette baisse s'explique principalement par un coût du risque qui a quasiment doublé, passant de -4 303 à -8 355 millions FCFA, pesant lourdement sur la rentabilité. Le ROE s'établit à 15,22%, niveau excellent (&gt;15%), et le ROA à 1,68%, confirmant la solidité de la rentabilité des fonds propres malgré la pression sur les résultats. Le coefficient d'exploitation de 47,19% classe la banque parmi les établissements les plus efficaces (&lt;50% = excellente), et le ratio de couverture des intérêts de 90,05% reste correct. Le coût du risque rapporté aux charges financières s'élève à 33,92%, un niveau élevé qui traduit un risque de crédit significatif, mais dont la normalisation est en cours.</w:t>
      </w:r>
    </w:p>
    <w:p>
      <w:pPr>
        <w:spacing w:after="120" w:line="276" w:lineRule="auto"/>
      </w:pPr>
      <w:r>
        <w:t>**Adaptation au secteur bancaire :** La structure bilancielle révèle une collecte de dépôts clientèle de 877 822 millions FCFA contre des créances clientèle de 474 064 millions FCFA, soit un ratio de transformation de 54%, indiquant une marge de progression dans l'octroi de crédits. Les créances interbancaires ont bondi à 213 132 millions FCFA (contre 53 994 millions fin 2024), traduisant un placement massif de liquidités sur le marché interbancaire plutôt qu'un développement du crédit client, ce qui limite la marge d'intérêt mais sécurise le bilan. L'autonomie financière de 11,01% reste faible (&lt;30% = sain), mais c'est une caractéristique structurelle du secteur bancaire où les dépôts constituent la principale ressource.</w:t>
      </w:r>
    </w:p>
    <w:p>
      <w:pPr>
        <w:spacing w:after="120" w:line="276" w:lineRule="auto"/>
      </w:pPr>
      <w:r>
        <w:t>**Estimations basées sur les rapports trimestriels :** Le rapport du T1 2026 (publié le 31/03/2026) indique un PNB de 12 694 millions FCFA, en baisse de -10,75% sur un an, et un résultat net de 4 520 millions FCFA (-12,99%). Le rapport du S1 2026 (publié le 30/06/2026) montre un PNB de 27 539 millions FCFA (-5,2%) mais un résultat net de 10 770 millions FCFA (+31,0%), porté par une amélioration de 65,2% du coût du risque. Sur la base de ces tendances, on estime que l'exercice 2026 devrait enregistrer un PNB annuel autour de 55 000 millions FCFA (en léger repli), mais un résultat net en nette amélioration, potentiellement entre 21 000 et 23 000 millions FCFA, grâce à la normalisation du coût du risque. La recommandation des analystes pour le S1 2026 est **CONSERVER**, soulignant que l'essentiel du gain de rentabilité vient d'une base de comparaison favorable sur le risque, et non d'une accélération commerciale.</w:t>
      </w:r>
    </w:p>
    <w:p>
      <w:pPr>
        <w:spacing w:after="120" w:line="276" w:lineRule="auto"/>
      </w:pPr>
      <w:r>
        <w:t>**Recommandation fondamentale :** BOABF présente une solidité financière indéniable (ROE &gt;15%, coefficient d'exploitation &lt;50%), mais fait face à un défi majeur : la stagnation de son PNB et la contraction de son portefeuille de crédits client (-19,3% en 2025). La normalisation du coût du risque en 2026 est un signal positif, mais elle ne suffit pas à masquer la faiblesse de la dynamique commerciale. Le titre reste fondamentalement solide mais nécessite une confirmation de la reprise de l'activité crédit pour justifier une valorisation plus élevée.</w:t>
      </w:r>
    </w:p>
    <w:p>
      <w:pPr>
        <w:spacing w:after="120" w:line="276" w:lineRule="auto"/>
      </w:pPr>
      <w:r>
        <w:t>---</w:t>
      </w:r>
    </w:p>
    <w:p>
      <w:pPr>
        <w:spacing w:after="120" w:line="276" w:lineRule="auto"/>
      </w:pPr>
      <w:r>
        <w:t>### PARTIE 4 : CONCLUSION D'INVESTISSEMENT</w:t>
      </w:r>
    </w:p>
    <w:p>
      <w:pPr>
        <w:spacing w:after="120" w:line="276" w:lineRule="auto"/>
      </w:pPr>
      <w:r>
        <w:t>La valorisation de BOABF (PER 18,3x, P/B 2,78x, EV/EBITDA 8,1x) indique une prime significative par rapport au marché BRVM, ce qui suggère que le titre est correctement valorisé, voire légèrement surévalué à court terme, sauf si la reprise des bénéfices se confirme. Le comportement du cours sur 100 jours (+48,24%) est impressionnant, mais la volatilité élevée (35,9%) et la distribution platykurtique (kurtosis -1,272) signalent un risque de correction après un tel rallye, bien que la symétrie de la distribution (skewness 0,168) n'induise pas de biais directionnel marqué. Les signaux techniques sont divergents : les moyennes mobiles et le stochastique sont haussiers, mais le MACD est baissier et le RSI neutre, ce qui plaide pour une consolidation avant une nouvelle impulsion. Les fondamentaux révèlent une banque solide (ROE 15,22%, coefficient d'exploitation 47,19%) mais confrontée à une stagnation de son PNB et à un coût du risque encore élevé, avec une amélioration attendue en 2026 selon les rapports T1 et S1. Les prédictions IA (J+1 à J+10) anticipent une légère baisse vers 7 848 FCFA, ce qui contredit la dynamique haussière récente et confirme la thèse d'une consolidation à court terme. **Recommandation finale : CONSERVER**, avec un niveau de confiance **Moyen** et un risque global **Moyen**. Le titre mérite d'être conservé pour son rendement et sa solidité, mais les investisseurs devraient attendre une confirmation de la reprise du PNB et un retournement du MACD avant d'envisager un renforcement. L'horizon d'investissement optimal est le **moyen terme (3-12 mois)**, le temps que la normalisation du coût du risque se matérialise pleinement dans les résultats et que la dynamique commerciale se redresse.</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451.80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10,736 titres</w:t>
            </w:r>
          </w:p>
        </w:tc>
        <w:tc>
          <w:tcPr>
            <w:tcW w:type="dxa" w:w="2268"/>
            <w:shd w:fill="FFF2CC" w:val="clear"/>
          </w:tcPr>
          <w:p>
            <w:r>
              <w:rPr>
                <w:b/>
                <w:color w:val="503200"/>
                <w:sz w:val="16"/>
              </w:rPr>
              <w:t xml:space="preserve">Cours actuel : </w:t>
            </w:r>
            <w:r>
              <w:rPr>
                <w:color w:val="000000"/>
                <w:sz w:val="17"/>
              </w:rPr>
              <w:t>11,295 FCFA</w:t>
            </w:r>
          </w:p>
          <w:p>
            <w:r>
              <w:rPr>
                <w:b/>
                <w:color w:val="503200"/>
                <w:sz w:val="16"/>
              </w:rPr>
              <w:t xml:space="preserve">Var. 100 jours : </w:t>
            </w:r>
            <w:r>
              <w:rPr>
                <w:b/>
                <w:color w:val="007800"/>
                <w:sz w:val="17"/>
              </w:rPr>
              <w:t>+30.50%</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8,655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14.16% (Moyenne) — μ=10,663 FCFA, σ=1,510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β=0.7471 (Défensif) — Cov=0.000055, Var(idx)=0.000074, ρ=0.361,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10,992</w:t>
            </w:r>
          </w:p>
        </w:tc>
        <w:tc>
          <w:tcPr>
            <w:tcW w:type="dxa" w:w="1440"/>
            <w:shd w:fill="FAFAFA" w:val="clear"/>
          </w:tcPr>
          <w:p>
            <w:r>
              <w:rPr>
                <w:b/>
                <w:sz w:val="17"/>
              </w:rPr>
              <w:t>11,317</w:t>
            </w:r>
          </w:p>
        </w:tc>
        <w:tc>
          <w:tcPr>
            <w:tcW w:type="dxa" w:w="1440"/>
            <w:shd w:fill="FAFAFA" w:val="clear"/>
          </w:tcPr>
          <w:p>
            <w:r>
              <w:rPr>
                <w:sz w:val="17"/>
              </w:rPr>
              <w:t>11,641</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10,873</w:t>
            </w:r>
          </w:p>
        </w:tc>
        <w:tc>
          <w:tcPr>
            <w:tcW w:type="dxa" w:w="1440"/>
            <w:shd w:fill="FAFAFA" w:val="clear"/>
          </w:tcPr>
          <w:p>
            <w:r>
              <w:rPr>
                <w:b/>
                <w:sz w:val="17"/>
              </w:rPr>
              <w:t>11,333</w:t>
            </w:r>
          </w:p>
        </w:tc>
        <w:tc>
          <w:tcPr>
            <w:tcW w:type="dxa" w:w="1440"/>
            <w:shd w:fill="FAFAFA" w:val="clear"/>
          </w:tcPr>
          <w:p>
            <w:r>
              <w:rPr>
                <w:sz w:val="17"/>
              </w:rPr>
              <w:t>11,792</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10,787</w:t>
            </w:r>
          </w:p>
        </w:tc>
        <w:tc>
          <w:tcPr>
            <w:tcW w:type="dxa" w:w="1440"/>
            <w:shd w:fill="FAFAFA" w:val="clear"/>
          </w:tcPr>
          <w:p>
            <w:r>
              <w:rPr>
                <w:b/>
                <w:sz w:val="17"/>
              </w:rPr>
              <w:t>11,350</w:t>
            </w:r>
          </w:p>
        </w:tc>
        <w:tc>
          <w:tcPr>
            <w:tcW w:type="dxa" w:w="1440"/>
            <w:shd w:fill="FAFAFA" w:val="clear"/>
          </w:tcPr>
          <w:p>
            <w:r>
              <w:rPr>
                <w:sz w:val="17"/>
              </w:rPr>
              <w:t>11,914</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10,716</w:t>
            </w:r>
          </w:p>
        </w:tc>
        <w:tc>
          <w:tcPr>
            <w:tcW w:type="dxa" w:w="1440"/>
            <w:shd w:fill="FAFAFA" w:val="clear"/>
          </w:tcPr>
          <w:p>
            <w:r>
              <w:rPr>
                <w:b/>
                <w:sz w:val="17"/>
              </w:rPr>
              <w:t>11,368</w:t>
            </w:r>
          </w:p>
        </w:tc>
        <w:tc>
          <w:tcPr>
            <w:tcW w:type="dxa" w:w="1440"/>
            <w:shd w:fill="FAFAFA" w:val="clear"/>
          </w:tcPr>
          <w:p>
            <w:r>
              <w:rPr>
                <w:sz w:val="17"/>
              </w:rPr>
              <w:t>12,019</w:t>
            </w:r>
          </w:p>
        </w:tc>
        <w:tc>
          <w:tcPr>
            <w:tcW w:type="dxa" w:w="1440"/>
            <w:shd w:fill="FAFAFA" w:val="clear"/>
          </w:tcPr>
          <w:p>
            <w:r>
              <w:rPr>
                <w:b/>
                <w:color w:val="008000"/>
                <w:sz w:val="17"/>
              </w:rPr>
              <w:t>+0.6%</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10,654</w:t>
            </w:r>
          </w:p>
        </w:tc>
        <w:tc>
          <w:tcPr>
            <w:tcW w:type="dxa" w:w="1440"/>
            <w:shd w:fill="FAFAFA" w:val="clear"/>
          </w:tcPr>
          <w:p>
            <w:r>
              <w:rPr>
                <w:b/>
                <w:sz w:val="17"/>
              </w:rPr>
              <w:t>11,384</w:t>
            </w:r>
          </w:p>
        </w:tc>
        <w:tc>
          <w:tcPr>
            <w:tcW w:type="dxa" w:w="1440"/>
            <w:shd w:fill="FAFAFA" w:val="clear"/>
          </w:tcPr>
          <w:p>
            <w:r>
              <w:rPr>
                <w:sz w:val="17"/>
              </w:rPr>
              <w:t>12,114</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10,600</w:t>
            </w:r>
          </w:p>
        </w:tc>
        <w:tc>
          <w:tcPr>
            <w:tcW w:type="dxa" w:w="1440"/>
            <w:shd w:fill="FAFAFA" w:val="clear"/>
          </w:tcPr>
          <w:p>
            <w:r>
              <w:rPr>
                <w:b/>
                <w:sz w:val="17"/>
              </w:rPr>
              <w:t>11,400</w:t>
            </w:r>
          </w:p>
        </w:tc>
        <w:tc>
          <w:tcPr>
            <w:tcW w:type="dxa" w:w="1440"/>
            <w:shd w:fill="FAFAFA" w:val="clear"/>
          </w:tcPr>
          <w:p>
            <w:r>
              <w:rPr>
                <w:sz w:val="17"/>
              </w:rPr>
              <w:t>12,201</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10,550</w:t>
            </w:r>
          </w:p>
        </w:tc>
        <w:tc>
          <w:tcPr>
            <w:tcW w:type="dxa" w:w="1440"/>
            <w:shd w:fill="FAFAFA" w:val="clear"/>
          </w:tcPr>
          <w:p>
            <w:r>
              <w:rPr>
                <w:b/>
                <w:sz w:val="17"/>
              </w:rPr>
              <w:t>11,416</w:t>
            </w:r>
          </w:p>
        </w:tc>
        <w:tc>
          <w:tcPr>
            <w:tcW w:type="dxa" w:w="1440"/>
            <w:shd w:fill="FAFAFA" w:val="clear"/>
          </w:tcPr>
          <w:p>
            <w:r>
              <w:rPr>
                <w:sz w:val="17"/>
              </w:rPr>
              <w:t>12,281</w:t>
            </w:r>
          </w:p>
        </w:tc>
        <w:tc>
          <w:tcPr>
            <w:tcW w:type="dxa" w:w="1440"/>
            <w:shd w:fill="FAFAFA" w:val="clear"/>
          </w:tcPr>
          <w:p>
            <w:r>
              <w:rPr>
                <w:b/>
                <w:color w:val="008000"/>
                <w:sz w:val="17"/>
              </w:rPr>
              <w:t>+1.1%</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10,504</w:t>
            </w:r>
          </w:p>
        </w:tc>
        <w:tc>
          <w:tcPr>
            <w:tcW w:type="dxa" w:w="1440"/>
            <w:shd w:fill="FAFAFA" w:val="clear"/>
          </w:tcPr>
          <w:p>
            <w:r>
              <w:rPr>
                <w:b/>
                <w:sz w:val="17"/>
              </w:rPr>
              <w:t>11,430</w:t>
            </w:r>
          </w:p>
        </w:tc>
        <w:tc>
          <w:tcPr>
            <w:tcW w:type="dxa" w:w="1440"/>
            <w:shd w:fill="FAFAFA" w:val="clear"/>
          </w:tcPr>
          <w:p>
            <w:r>
              <w:rPr>
                <w:sz w:val="17"/>
              </w:rPr>
              <w:t>12,357</w:t>
            </w:r>
          </w:p>
        </w:tc>
        <w:tc>
          <w:tcPr>
            <w:tcW w:type="dxa" w:w="1440"/>
            <w:shd w:fill="FAFAFA" w:val="clear"/>
          </w:tcPr>
          <w:p>
            <w:r>
              <w:rPr>
                <w:b/>
                <w:color w:val="008000"/>
                <w:sz w:val="17"/>
              </w:rPr>
              <w:t>+1.2%</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10,460</w:t>
            </w:r>
          </w:p>
        </w:tc>
        <w:tc>
          <w:tcPr>
            <w:tcW w:type="dxa" w:w="1440"/>
            <w:shd w:fill="FAFAFA" w:val="clear"/>
          </w:tcPr>
          <w:p>
            <w:r>
              <w:rPr>
                <w:b/>
                <w:sz w:val="17"/>
              </w:rPr>
              <w:t>11,445</w:t>
            </w:r>
          </w:p>
        </w:tc>
        <w:tc>
          <w:tcPr>
            <w:tcW w:type="dxa" w:w="1440"/>
            <w:shd w:fill="FAFAFA" w:val="clear"/>
          </w:tcPr>
          <w:p>
            <w:r>
              <w:rPr>
                <w:sz w:val="17"/>
              </w:rPr>
              <w:t>12,429</w:t>
            </w:r>
          </w:p>
        </w:tc>
        <w:tc>
          <w:tcPr>
            <w:tcW w:type="dxa" w:w="1440"/>
            <w:shd w:fill="FAFAFA" w:val="clear"/>
          </w:tcPr>
          <w:p>
            <w:r>
              <w:rPr>
                <w:b/>
                <w:color w:val="008000"/>
                <w:sz w:val="17"/>
              </w:rPr>
              <w:t>+1.3%</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10,420</w:t>
            </w:r>
          </w:p>
        </w:tc>
        <w:tc>
          <w:tcPr>
            <w:tcW w:type="dxa" w:w="1440"/>
            <w:shd w:fill="FAFAFA" w:val="clear"/>
          </w:tcPr>
          <w:p>
            <w:r>
              <w:rPr>
                <w:b/>
                <w:sz w:val="17"/>
              </w:rPr>
              <w:t>11,458</w:t>
            </w:r>
          </w:p>
        </w:tc>
        <w:tc>
          <w:tcPr>
            <w:tcW w:type="dxa" w:w="1440"/>
            <w:shd w:fill="FAFAFA" w:val="clear"/>
          </w:tcPr>
          <w:p>
            <w:r>
              <w:rPr>
                <w:sz w:val="17"/>
              </w:rPr>
              <w:t>12,497</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 RAPPORT D'ANALYSE FINANCIÈRE — BOAC (Bank of Africa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451,80 milliards FCFA, BOAC s'impose comme l'une des valeurs bancaires les plus capitalisées de la BRVM, ce qui en fait un pilier de l'indice BRVM-30 et un titre de référence pour les investisseurs institutionnels régionaux. Le BPA de 888 FCFA par action signifie que chaque titre détenu génère près de 888 FCFA de bénéfice net, un niveau de rentabilité par action particulièrement élevé dans le contexte ouest-africain. Le PER de 12,7x se situe légèrement au-dessus de la moyenne BRVM (~8-12x), traduisant une prime modérée justifiée par la qualité des fondamentaux, mais sans exubérance manifeste. Le P/B de 3,55x indique que le marché valorise la banque à plus de trois fois sa valeur comptable, une prime de croissance significative qui reflète la confiance dans la rentabilité des fonds propres (ROE de 27,9%). En revanche, l'EV/EBITDA de 26,4x apparaît très exigeant (&gt;15x), signalant que la valeur d'entreprise intègre déjà une forte anticipation de croissance opérationnelle — un niveau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progression remarquable de +30,50%, portant le cours actuel à 11 295 FCFA, avec une dernière séance stable (variation J-1 de 0,00%). Le range de trading est particulièrement large, oscillant entre un plus bas de 8 655 FCFA et un plus haut de 13 450 FCFA, soit un écart de près de 4 800 FCFA qui témoigne d'une dynamique haussière puissante mais aussi de corrections significatives. La tendance générale reste haussière sur la période, bien que le cours actuel se situe en retrait de 16% par rapport à son sommet, suggérant une phase de consolidation après le rallye. Les statistiques descriptives révèlent une moyenne de 10 663 FCFA légèrement inférieure à la médiane de 10 800 FCFA, indiquant une asymétrie positive modérée (skewness de 0,184, distribution quasi-symétrique) avec quelques pics haussiers tirant la moyenne vers le bas relativement à la médiane. L'écart-type de 1 517 FCFA (CV de 14,2%) traduit une dispersion modérée du cours autour de sa moyenne, tandis que le kurtosis négatif de -1,463 (distribution platykurtique) signale une faible concentration des rendements et un risque de pics extrêmes limité — un profil rassurant pour la gestion du risque. La volatilité annualisée de 27,9% positionne le titre dans la catégorie modérée (15-30%), cohérente avec une valeur bancaire de qualité mais offrant un potentiel de rendement attractif.</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11 619,25 FCFA et la MM50 à 12 045,70 FCFA, toutes deux supérieures au cours actuel de 11 295 FCFA. Cette configuration baissière (prix sous les deux moyennes) avec MM20 &lt; MM50 confirme une pression vendeuse de court terme et justifie la décision technique de **Vente**. Le croisement potentiel des moyennes à la baisse renforcerait ce signal si le cours ne parvient pas à se redresser rapidement.</w:t>
      </w:r>
    </w:p>
    <w:p>
      <w:pPr>
        <w:spacing w:after="120" w:line="276" w:lineRule="auto"/>
      </w:pPr>
      <w:r>
        <w:t>**Bandes de Bollinger :** Le cours actuel (11 295 FCFA) se situe dans la moitié inférieure de la bande, entre la borne inférieure (10 781,78 FCFA) et la borne supérieure (12 456,72 FCFA), mais plus proche du bas que du haut. Cette position médiane-basse, avec une largeur de bande reflétant une volatilité modérée, génère une décision **Neutre** — le titre n'est ni en zone de survente extrême ni en zone de surachat, laissant la porte ouverte à une reprise comme à une poursuite de la correction.</w:t>
      </w:r>
    </w:p>
    <w:p>
      <w:pPr>
        <w:spacing w:after="120" w:line="276" w:lineRule="auto"/>
      </w:pPr>
      <w:r>
        <w:t>**MACD :** La valeur du MACD (-210,43) est inférieure à son signal (-178,73), confirmant une divergence baissière et un momentum négatif. Le MACD évolue en territoire négatif, ce qui justifie pleinement la décision de **Vente** — la dynamique de court terme reste défavorable malgré la performance haussière sur 100 jours, indiquant que la correction actuelle n'est pas encore terminée.</w:t>
      </w:r>
    </w:p>
    <w:p>
      <w:pPr>
        <w:spacing w:after="120" w:line="276" w:lineRule="auto"/>
      </w:pPr>
      <w:r>
        <w:t>**RSI :** À 39,06, le RSI se situe dans la zone neutre basse (30-70), sans atteindre le seuil de survente (&lt;30). Cette valeur indique que le titre n'est pas encore survendu mais que la pression baissière domine, justifiant une décision **Neutre** — un rebond technique pourrait survenir si le RSI se rapproche de 30, mais aucun signal d'achat n'est encore présent.</w:t>
      </w:r>
    </w:p>
    <w:p>
      <w:pPr>
        <w:spacing w:after="120" w:line="276" w:lineRule="auto"/>
      </w:pPr>
      <w:r>
        <w:t>**Stochastique :** Le %K (61,88) est supérieur au %D (50,93), suggérant un croisement haussier naissant et un début de redressement du momentum. Cependant, les deux lignes restent dans une zone médiane, générant une décision **Neutre** — ce signal précoce doit être confirmé par une poursuite de la hausse du %K au-dessus de 80 pour valider un retournement.</w:t>
      </w:r>
    </w:p>
    <w:p>
      <w:pPr>
        <w:spacing w:after="120" w:line="276" w:lineRule="auto"/>
      </w:pPr>
      <w:r>
        <w:t>**Conclusion technique :** Les indicateurs techniques présentent un tableau mitigé avec une majorité de signaux baissiers (MM, MACD) et neutres (Bollinger, RSI, Stochastique). Le titre se trouve dans une phase de consolidation après un rallye de +30%, avec un momentum négatif mais des signes précurseurs de stabilisation (Stochastique haussier, RSI proche de la survente). La convergence des signaux suggère une prudence à court terme, avec un potentiel de rebond technique si le cours parvient à se maintenir au-dessus de 11 000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BOAC affiche un Produit Net Bancaire (PNB) de 73 545 millions FCFA en 2025, en légère hausse de +1,1% par rapport à 2024 (72 724 millions), marquant un ralentissement notable après la croissance de +19,6% enregistrée en 2024. Le résultat net s'établit à 35 540 millions FCFA, en progression de +10,9% sur un an, porté par l'amélioration du coût du risque (-27,8%, passant de -6 791 à -4 902 millions FCFA). La rentabilité des fonds propres (ROE) atteint 27,91%, un niveau exceptionnel (&gt;15% = excellent), tandis que le ROA de 3,22% confirme une bonne efficacité dans l'utilisation des actifs. Le coefficient d'exploitation de 36,70% positionne la banque parmi les plus efficaces du secteur (&lt;60% = efficace, &lt;50% = excellente), témoignant d'une maîtrise remarquable des charges. Le ratio de dépendance financière de 88,46% (capitaux propres/total bilan de 11,54%) reste faible, typique du modèle bancaire, mais la solvabilité générale (113,05%) et la liquidité générale (3 684%) assurent une solidité structurelle. Le point de vigilance majeur réside dans la hausse de +52,1% des créances en souffrance sur l'année, avec un taux de sinistralité de 8,59% et un taux de provisionnement de 65,76% — un risque de crédit à surveiller malgré l'amélioration comptable du coût du risque.</w:t>
      </w:r>
    </w:p>
    <w:p>
      <w:pPr>
        <w:spacing w:after="120" w:line="276" w:lineRule="auto"/>
      </w:pPr>
      <w:r>
        <w:t>**Estimations basées sur les rapports trimestriels :** Le rapport du T1 2026 (publié le 31/03/2026) révèle un PNB de 18 960 millions FCFA (+3,09% vs T1 2025) et un résultat net de 10 801 millions FCFA (+0,91%), avec un coefficient d'exploitation stable à 35,68%. Cependant, le coût net du risque bondit de +314,75% (-652 vs -157 millions FCFA), un signal préoccupant qui pourrait peser sur les trimestres suivants si la tendance se confirme. Les dépôts de la clientèle progressent fortement (+21,44% à 923 307 millions FCFA) tandis que les crédits nets restent quasi stables (-0,29% à 442 169 millions), reflétant une stratégie prudente de transformation. Sur la base de ces éléments, on estime que l'exercice 2026 devrait afficher une croissance modérée du PNB (autour de +3-5%) et un résultat net en légère progression, sous réserve que le coût du risque ne continue pas à se dégrader. Le rapport d'examen limité des commissaires aux comptes (Forvis Mazars et Eritedge, émis le 30/09/2026) confirme l'absence d'anomalie significative dans les états financiers semestriels au 30/06/2026, renforçant la crédibilité des perspectives.</w:t>
      </w:r>
    </w:p>
    <w:p>
      <w:pPr>
        <w:spacing w:after="120" w:line="276" w:lineRule="auto"/>
      </w:pPr>
      <w:r>
        <w:t>**Recommandation fondamentale :** BOAC présente des fondamentaux solides avec une rentabilité exceptionnelle (ROE 27,9%), une efficacité opérationnelle remarquable (coefficient d'exploitation 36,7%) et une structure financière saine. Les risques identifiés — hausse des créances en souffrance, bond du coût du risque au T1 2026, ralentissement de la croissance du PNB — nécessitent une surveillance étroite. La recommandation fondamentale est **CONSERVER**, avec un biais positif pour les investisseurs de long terme, en attendant la confirmation de la maîtrise du risque de crédit sur les prochains trimestres.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 le PER de 12,7x et le P/B de 3,55x indiquent une valorisation raisonnable mais non décotée, tandis que l'EV/EBITDA de 26,4x signale une anticipation de croissance déjà bien intégrée dans les cours — le titre n'est ni sous-évalué ni excessivement surévalué. **Le comportement du cours (Partie 1)** est haussier sur 100 jours (+30,50%) mais montre des signes de consolidation, avec une volatilité modérée (27,9%) et une distribution équilibrée (skewness 0,184, kurtosis -1,463) qui limite le risque de pics extrêmes. **Les signaux techniques (Partie 2)** sont majoritairement baissiers à court terme (MM sous le cours, MACD négatif) mais des signes de stabilisation émergent (Stochastique haussier, RSI proche de la survente), suggérant une possible reprise technique. **Les fondamentaux (Partie 3)** restent solides avec un ROE de 27,9%, un coefficient d'exploitation de 36,7% et une croissance du résultat net de +10,9% en 2025, mais le bond du coût du risque au T1 2026 (+314,75%) constitue un risque majeur à surveiller. **Les prédictions IA (J+1 à J+10)** anticipent une légère hausse progressive de 11 317 à 11 384 FCFA, confirmant une stabilisation voire un rebond modéré à court terme.</w:t>
      </w:r>
    </w:p>
    <w:p>
      <w:pPr>
        <w:spacing w:after="120" w:line="276" w:lineRule="auto"/>
      </w:pPr>
      <w:r>
        <w:t>**Recommandation finale : CONSERVER** — Les fondamentaux solides et la rentabilité exceptionnelle justifient une position d'attente, mais les signaux techniques baissiers et le risque de crédit croissant incitent à la prudence. La convergence entre la valorisation raisonnable, les fondamentaux robustes et les prédictions IA légèrement haussières soutient cette recommandation, sans toutefois justifier un achat agressif tant que le cours n'aura pas confirmé son retour au-dessus des moyennes mobiles. **Niveau de confiance : Moyen** — Les données fondamentales sont fiables mais les perspectives à court terme restent incertaines. **Niveau de risque global : Moyen** — La qualité de la banque limite le risque, mais la dégradation du coût du risque et la volatilité du titre nécessitent une vigilance accrue. **Horizon d'investissement optimal : Moyen terme (3-12 mois)** — Le temps de la consolidation technique et de la confirmation de la maîtrise du risque de crédit devrait permettre une appréciation du titre vers ses plus hauts (13 450 FCFA), avec un potentiel de +19% par rapport au cours actuel.</w:t>
      </w:r>
    </w:p>
    <w:p>
      <w:pPr>
        <w:spacing w:after="120" w:line="276" w:lineRule="auto"/>
      </w:pPr>
      <w:r>
        <w:t>---</w:t>
      </w:r>
    </w:p>
    <w:p>
      <w:pPr>
        <w:spacing w:after="120" w:line="276" w:lineRule="auto"/>
      </w:pPr>
      <w:r>
        <w:t>*⚠️ Avertissement : Ce rapport est fourni à titre informatif et ne constitue pas un conseil en investissement. Les investisseurs doivent effectuer leurs propres recherches et consulter un conseiller financier avant toute décision d'investissement.*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6,405 titres</w:t>
            </w:r>
          </w:p>
        </w:tc>
        <w:tc>
          <w:tcPr>
            <w:tcW w:type="dxa" w:w="2268"/>
            <w:shd w:fill="FFF2CC" w:val="clear"/>
          </w:tcPr>
          <w:p>
            <w:r>
              <w:rPr>
                <w:b/>
                <w:color w:val="503200"/>
                <w:sz w:val="16"/>
              </w:rPr>
              <w:t xml:space="preserve">Cours actuel : </w:t>
            </w:r>
            <w:r>
              <w:rPr>
                <w:color w:val="000000"/>
                <w:sz w:val="17"/>
              </w:rPr>
              <w:t>6,100 FCFA</w:t>
            </w:r>
          </w:p>
          <w:p>
            <w:r>
              <w:rPr>
                <w:b/>
                <w:color w:val="503200"/>
                <w:sz w:val="16"/>
              </w:rPr>
              <w:t xml:space="preserve">Var. 100 jours : </w:t>
            </w:r>
            <w:r>
              <w:rPr>
                <w:b/>
                <w:color w:val="007800"/>
                <w:sz w:val="17"/>
              </w:rPr>
              <w:t>+30.06%</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13.41% (Moyenne) — μ=5,659 FCFA, σ=759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β=1.3513 (Agressif) — Cov=0.000100, Var(idx)=0.000074, ρ=0.419,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5,703</w:t>
            </w:r>
          </w:p>
        </w:tc>
        <w:tc>
          <w:tcPr>
            <w:tcW w:type="dxa" w:w="1440"/>
            <w:shd w:fill="FAFAFA" w:val="clear"/>
          </w:tcPr>
          <w:p>
            <w:r>
              <w:rPr>
                <w:b/>
                <w:sz w:val="17"/>
              </w:rPr>
              <w:t>6,041</w:t>
            </w:r>
          </w:p>
        </w:tc>
        <w:tc>
          <w:tcPr>
            <w:tcW w:type="dxa" w:w="1440"/>
            <w:shd w:fill="FAFAFA" w:val="clear"/>
          </w:tcPr>
          <w:p>
            <w:r>
              <w:rPr>
                <w:sz w:val="17"/>
              </w:rPr>
              <w:t>6,379</w:t>
            </w:r>
          </w:p>
        </w:tc>
        <w:tc>
          <w:tcPr>
            <w:tcW w:type="dxa" w:w="1440"/>
            <w:shd w:fill="FAFAFA" w:val="clear"/>
          </w:tcPr>
          <w:p>
            <w:r>
              <w:rPr>
                <w:b/>
                <w:color w:val="C00000"/>
                <w:sz w:val="17"/>
              </w:rPr>
              <w:t>-1.0%</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5,490</w:t>
            </w:r>
          </w:p>
        </w:tc>
        <w:tc>
          <w:tcPr>
            <w:tcW w:type="dxa" w:w="1440"/>
            <w:shd w:fill="FFDCE0" w:val="clear"/>
          </w:tcPr>
          <w:p>
            <w:r>
              <w:rPr>
                <w:b/>
                <w:sz w:val="17"/>
              </w:rPr>
              <w:t>5,962</w:t>
            </w:r>
          </w:p>
        </w:tc>
        <w:tc>
          <w:tcPr>
            <w:tcW w:type="dxa" w:w="1440"/>
            <w:shd w:fill="FFDCE0" w:val="clear"/>
          </w:tcPr>
          <w:p>
            <w:r>
              <w:rPr>
                <w:sz w:val="17"/>
              </w:rPr>
              <w:t>6,434</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5,315</w:t>
            </w:r>
          </w:p>
        </w:tc>
        <w:tc>
          <w:tcPr>
            <w:tcW w:type="dxa" w:w="1440"/>
            <w:shd w:fill="FFDCE0" w:val="clear"/>
          </w:tcPr>
          <w:p>
            <w:r>
              <w:rPr>
                <w:b/>
                <w:sz w:val="17"/>
              </w:rPr>
              <w:t>5,886</w:t>
            </w:r>
          </w:p>
        </w:tc>
        <w:tc>
          <w:tcPr>
            <w:tcW w:type="dxa" w:w="1440"/>
            <w:shd w:fill="FFDCE0" w:val="clear"/>
          </w:tcPr>
          <w:p>
            <w:r>
              <w:rPr>
                <w:sz w:val="17"/>
              </w:rPr>
              <w:t>6,456</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5,167</w:t>
            </w:r>
          </w:p>
        </w:tc>
        <w:tc>
          <w:tcPr>
            <w:tcW w:type="dxa" w:w="1440"/>
            <w:shd w:fill="FFDCE0" w:val="clear"/>
          </w:tcPr>
          <w:p>
            <w:r>
              <w:rPr>
                <w:b/>
                <w:sz w:val="17"/>
              </w:rPr>
              <w:t>5,818</w:t>
            </w:r>
          </w:p>
        </w:tc>
        <w:tc>
          <w:tcPr>
            <w:tcW w:type="dxa" w:w="1440"/>
            <w:shd w:fill="FFDCE0" w:val="clear"/>
          </w:tcPr>
          <w:p>
            <w:r>
              <w:rPr>
                <w:sz w:val="17"/>
              </w:rPr>
              <w:t>6,470</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5,037</w:t>
            </w:r>
          </w:p>
        </w:tc>
        <w:tc>
          <w:tcPr>
            <w:tcW w:type="dxa" w:w="1440"/>
            <w:shd w:fill="FFDCE0" w:val="clear"/>
          </w:tcPr>
          <w:p>
            <w:r>
              <w:rPr>
                <w:b/>
                <w:sz w:val="17"/>
              </w:rPr>
              <w:t>5,758</w:t>
            </w:r>
          </w:p>
        </w:tc>
        <w:tc>
          <w:tcPr>
            <w:tcW w:type="dxa" w:w="1440"/>
            <w:shd w:fill="FFDCE0" w:val="clear"/>
          </w:tcPr>
          <w:p>
            <w:r>
              <w:rPr>
                <w:sz w:val="17"/>
              </w:rPr>
              <w:t>6,479</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4,921</w:t>
            </w:r>
          </w:p>
        </w:tc>
        <w:tc>
          <w:tcPr>
            <w:tcW w:type="dxa" w:w="1440"/>
            <w:shd w:fill="FFDCE0" w:val="clear"/>
          </w:tcPr>
          <w:p>
            <w:r>
              <w:rPr>
                <w:b/>
                <w:sz w:val="17"/>
              </w:rPr>
              <w:t>5,703</w:t>
            </w:r>
          </w:p>
        </w:tc>
        <w:tc>
          <w:tcPr>
            <w:tcW w:type="dxa" w:w="1440"/>
            <w:shd w:fill="FFDCE0" w:val="clear"/>
          </w:tcPr>
          <w:p>
            <w:r>
              <w:rPr>
                <w:sz w:val="17"/>
              </w:rPr>
              <w:t>6,485</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4,814</w:t>
            </w:r>
          </w:p>
        </w:tc>
        <w:tc>
          <w:tcPr>
            <w:tcW w:type="dxa" w:w="1440"/>
            <w:shd w:fill="FFDCE0" w:val="clear"/>
          </w:tcPr>
          <w:p>
            <w:r>
              <w:rPr>
                <w:b/>
                <w:sz w:val="17"/>
              </w:rPr>
              <w:t>5,651</w:t>
            </w:r>
          </w:p>
        </w:tc>
        <w:tc>
          <w:tcPr>
            <w:tcW w:type="dxa" w:w="1440"/>
            <w:shd w:fill="FFDCE0" w:val="clear"/>
          </w:tcPr>
          <w:p>
            <w:r>
              <w:rPr>
                <w:sz w:val="17"/>
              </w:rPr>
              <w:t>6,488</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4,715</w:t>
            </w:r>
          </w:p>
        </w:tc>
        <w:tc>
          <w:tcPr>
            <w:tcW w:type="dxa" w:w="1440"/>
            <w:shd w:fill="FFDCE0" w:val="clear"/>
          </w:tcPr>
          <w:p>
            <w:r>
              <w:rPr>
                <w:b/>
                <w:sz w:val="17"/>
              </w:rPr>
              <w:t>5,602</w:t>
            </w:r>
          </w:p>
        </w:tc>
        <w:tc>
          <w:tcPr>
            <w:tcW w:type="dxa" w:w="1440"/>
            <w:shd w:fill="FFDCE0" w:val="clear"/>
          </w:tcPr>
          <w:p>
            <w:r>
              <w:rPr>
                <w:sz w:val="17"/>
              </w:rPr>
              <w:t>6,489</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4,622</w:t>
            </w:r>
          </w:p>
        </w:tc>
        <w:tc>
          <w:tcPr>
            <w:tcW w:type="dxa" w:w="1440"/>
            <w:shd w:fill="FFDCE0" w:val="clear"/>
          </w:tcPr>
          <w:p>
            <w:r>
              <w:rPr>
                <w:b/>
                <w:sz w:val="17"/>
              </w:rPr>
              <w:t>5,555</w:t>
            </w:r>
          </w:p>
        </w:tc>
        <w:tc>
          <w:tcPr>
            <w:tcW w:type="dxa" w:w="1440"/>
            <w:shd w:fill="FFDCE0" w:val="clear"/>
          </w:tcPr>
          <w:p>
            <w:r>
              <w:rPr>
                <w:sz w:val="17"/>
              </w:rPr>
              <w:t>6,488</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4,535</w:t>
            </w:r>
          </w:p>
        </w:tc>
        <w:tc>
          <w:tcPr>
            <w:tcW w:type="dxa" w:w="1440"/>
            <w:shd w:fill="FFDCE0" w:val="clear"/>
          </w:tcPr>
          <w:p>
            <w:r>
              <w:rPr>
                <w:b/>
                <w:sz w:val="17"/>
              </w:rPr>
              <w:t>5,511</w:t>
            </w:r>
          </w:p>
        </w:tc>
        <w:tc>
          <w:tcPr>
            <w:tcW w:type="dxa" w:w="1440"/>
            <w:shd w:fill="FFDCE0" w:val="clear"/>
          </w:tcPr>
          <w:p>
            <w:r>
              <w:rPr>
                <w:sz w:val="17"/>
              </w:rPr>
              <w:t>6,486</w:t>
            </w:r>
          </w:p>
        </w:tc>
        <w:tc>
          <w:tcPr>
            <w:tcW w:type="dxa" w:w="1440"/>
            <w:shd w:fill="FFDCE0" w:val="clear"/>
          </w:tcPr>
          <w:p>
            <w:r>
              <w:rPr>
                <w:b/>
                <w:color w:val="C00000"/>
                <w:sz w:val="17"/>
              </w:rPr>
              <w:t>-9.7%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167,44 milliards FCFA, BOA Mali se positionne comme une valeur bancaire de taille intermédiaire sur la BRVM, représentant un poids significatif dans l'indice sectoriel bancaire. Le BPA de 404 FCFA par action signifie que chaque titre génère près de 404 FCFA de bénéfice net annuel, ce qui, rapporté au cours actuel de 6 100 FCFA, confère un PER de 15,1x — légèrement supérieur à la moyenne du marché BRVM (8-12x), traduisant une prime de qualité consentie par les investisseurs pour la régularité des résultats. Le P/B de 3,36x indique que le marché valorise la banque à plus de trois fois ses fonds propres comptables, une prime de croissance justifiée par un ROE supérieur à 22%. Enfin, l'EV/EBITDA de 7,8x, bien que moins pertinent pour une banque, situe la valeur totale de l'entreprise dans une fourchette raisonnable (5-10x) au regard de sa capacité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remarquable de +30,06%, avec une dernière séance quasi stable (+0,08%), confirmant une dynamique haussière solidement ancrée. Le titre a évolué dans un range large de 2 770 FCFA, oscillant entre un plus bas de 4 425 FCFA et un plus haut de 7 195 FCFA, ce qui témoigne d'une forte amplitude de trading. La moyenne (5 659 FCFA) et la médiane (5 662 FCFA) sont quasi confondues, indiquant une distribution symétrique du cours sur la période, sans biais directionnel marqué. L'écart-type de 762 FCFA, couplé à un coefficient de variation de 13,5%, révèle une dispersion modérée autour de la moyenne, tandis que le kurtosis de -0,995 (mésokurtique) suggère une distribution proche de la normale, sans risque excessif de pics extrêmes. Le skewness de 0,139 confirme cette symétrie, avec une légère inclinaison positive. La volatilité annualisée de 43,5% classe le titre dans la catégorie des valeurs à volatilité élevée (&gt;30%), ce qui implique un risque de marché significatif mais aussi des opportunités de rendement accrues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(6 327,75 FCFA) et la MM50 (6 278,00 FCFA) se situent toutes deux au-dessus du cours actuel (6 100 FCFA), ce qui place le titre en position de repli sous ses moyennes court et moyen terme. Cependant, la MM20 reste supérieure à la MM50, conservant une configuration haussière de fond. La décision technique affichée est "Achat", suggérant que ce repli pourrait constituer une opportunité d'entrée dans la tendance haussière.</w:t>
      </w:r>
    </w:p>
    <w:p>
      <w:pPr>
        <w:spacing w:after="120" w:line="276" w:lineRule="auto"/>
      </w:pPr>
      <w:r>
        <w:t>**Bandes de Bollinger** : Le cours actuel (6 100 FCFA) se situe dans la moitié inférieure de la bande, entre la borne inférieure (5 383,39 FCFA) et la borne supérieure (7 272,11 FCFA). Cette position médiane, sans contact avec les extrêmes, traduit une absence de signal directionnel fort. La décision "Neutre" reflète cette indécision, la volatilité restant contenue dans les bandes sans breakout imminent.</w:t>
      </w:r>
    </w:p>
    <w:p>
      <w:pPr>
        <w:spacing w:after="120" w:line="276" w:lineRule="auto"/>
      </w:pPr>
      <w:r>
        <w:t>**MACD** : La valeur du MACD (-95,121) est inférieure à son signal (-67,169), générant un histogramme négatif et une décision de "Vente". Cette configuration indique un momentum baissier à court terme, avec une pression vendeuse persistante. Toutefois, l'écart entre les deux lignes reste modéré, n'excluant pas un retournement prochain si le cours se stabilise.</w:t>
      </w:r>
    </w:p>
    <w:p>
      <w:pPr>
        <w:spacing w:after="120" w:line="276" w:lineRule="auto"/>
      </w:pPr>
      <w:r>
        <w:t>**RSI** : À 38,207, le RSI se situe dans la zone neutre basse (30-70), sans atteindre la zone de survente (&lt;30). La décision "Neutre" suggère que le titre n'est ni suracheté ni survendu, mais la proximité de la zone de survente pourrait attirer les acheteurs à contre-tendance.</w:t>
      </w:r>
    </w:p>
    <w:p>
      <w:pPr>
        <w:spacing w:after="120" w:line="276" w:lineRule="auto"/>
      </w:pPr>
      <w:r>
        <w:t>**Stochastique** : Le %K (76,829) est supérieur au %D (57,048), avec un croisement récent à la hausse, ce qui est généralement un signal d'achat à court terme. Cependant, la décision affichée est "Neutre", probablement en raison de la position déjà élevée du %K, proche de la zone de surachat (&gt;80), limitant le potentiel de hausse immédiat.</w:t>
      </w:r>
    </w:p>
    <w:p>
      <w:pPr>
        <w:spacing w:after="120" w:line="276" w:lineRule="auto"/>
      </w:pPr>
      <w:r>
        <w:t>**Conclusion technique** : Les indicateurs techniques présentent un tableau mitigé. Les moyennes mobiles conservent une structure haussière malgré le repli du cours, tandis que le MACD signale une pression baissière à court terme. Le RSI et les bandes de Bollinger sont neutres, et le stochastique offre un léger signal d'achat. Dans l'ensemble, le titre semble en phase de consolidation après sa forte hausse, avec un biais haussier résiduel mais des risques de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certifiés de l'exercice 2025 (données structurées brvm_donnees_financieres) révèlent une banque solide et rentable. Le Produit Net Bancaire (PNB) s'établit à 37,996 milliards FCFA, en croissance de 5,08% par rapport à 2024, porté par les intérêts et produits assimilés (33,306 milliards FCFA) et les commissions (11,289 milliards FCFA). Le résultat net atteint 11,081 milliards FCFA, soit une marge nette de 29,16%, un niveau exceptionnel pour le secteur bancaire. Le ROE de 22,24% et le ROA de 1,87% confirment une excellente rentabilité des fonds propres et des actifs. Le coefficient d'exploitation de 63,14% reste supérieur au seuil de 60% (efficacité optimale), mais s'améliore par rapport aux exercices précédents. Le coût du risque, mesuré à 43,39% des charges financières, demeure élevé, reflétant un portefeuille de crédits à risque significatif (créances clientèle de 253,648 milliards FCFA pour des dépôts de 502,890 milliards FCFA, soit un ratio de transformation de 50,4%). La structure financière affiche une autonomie financière de 8,40% (capitaux propres/total bilan), inférieure au seuil de 30% recommandé, mais typique des banques à effet de levier élevé. La capacité de remboursement de 1,79 an (dettes financières/CAF) est satisfaisante.</w:t>
      </w:r>
    </w:p>
    <w:p>
      <w:pPr>
        <w:spacing w:after="120" w:line="276" w:lineRule="auto"/>
      </w:pPr>
      <w:r>
        <w:t>Les rapports trimestriels récents confirment cette dynamique. Le rapport du T1 2026 (publié le 31/03/2026) fait état d'un PNB de 10,322 milliards FCFA, en hausse de +22,97% sur un an, et d'un résultat net en forte progression. Le rapport du S1 2026 (publié le 30/06/2026) rapporte un PNB de 21,987 milliards FCFA, en croissance de +17,5% par rapport au S1 2025, confirmant l'accélération de l'activité commerciale. Sur la base de ces tendances, on peut estimer que l'exercice 2026 devrait afficher un PNB supérieur à 44 milliards FCFA (croissance annuelle estimée à +15-18%) et un résultat net en hausse de 20-25%, portant le BPA au-delà de 480 FCFA. Les rapports antérieurs (S1 2025, T3 2025) soulignent la résilience de la banque dans un contexte malien difficile (insécurité, inflation), avec une maîtrise des charges et une amélioration du coût du risque. La principale faiblesse réside dans la contraction du portefeuille de crédits (-8,6% au T3 2025), bien que la collecte de dépôts reste dynamique (+9,2%). En synthèse, BOA Mali présente des fondamentaux solides, une rentabilité élevée et une trajectoire de croissance confirmée par les rapports trimestriels 2026, malgré un environnement macroéconomique et sécuritaire risqué.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BOAM (PER 15,1x, P/B 3,36x, EV/EBITDA 7,8x) suggère une légère surévaluation par rapport à la moyenne du marché BRVM, mais cette prime se justifie par un ROE exceptionnel de 22,24% et une croissance du PNB estimée à +17,5% au S1 2026. Le comportement du cours sur 100 jours (+30,06%) est nettement haussier, avec une volatilité élevée (43,5%) et une distribution symétrique (skewness 0,139, kurtosis -0,995), indiquant un risque de marché significatif mais sans biais directionnel extrême. Les signaux techniques sont mitigés : les moyennes mobiles restent haussières, mais le MACD est baissier et le RSI neutre, suggérant une consolidation avant une reprise potentielle. Les fondamentaux sont robustes, portés par un PNB de 37,996 milliards FCFA en 2025, un résultat net de 11,081 milliards FCFA et des rapports trimestriels 2026 confirmant une accélération de la croissance. Les prédictions IA pour les 10 prochains jours (6041 → 5758 FCFA) anticipent une correction baissière de -5,6%, ce qui contredit la tendance haussière de fond mais s'aligne sur le signal baissier du MACD à court terme. Sur la base de cette synthèse, la recommandation est **CONSERVER** avec un biais acheteur en cas de repli vers 5 800-5 900 FCFA. Le niveau de confiance est **Moyen**, car si les fondamentaux et la tendance de fond sont solides, les signaux techniques à court terme et les prédictions IA incitent à la prudence. Le risque global est **Élevé** en raison de la volatilité du titre (43,5%) et du contexte sécuritaire malien. L'horizon d'investissement optimal est **moyen terme (3-12 mois)**, le temps que la consolidation technique s'achève et que les résultats annuels 2026 confirment les estimations de croissance.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99.53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8,902 titres</w:t>
            </w:r>
          </w:p>
        </w:tc>
        <w:tc>
          <w:tcPr>
            <w:tcW w:type="dxa" w:w="2268"/>
            <w:shd w:fill="FFF2CC" w:val="clear"/>
          </w:tcPr>
          <w:p>
            <w:r>
              <w:rPr>
                <w:b/>
                <w:color w:val="503200"/>
                <w:sz w:val="16"/>
              </w:rPr>
              <w:t xml:space="preserve">Cours actuel : </w:t>
            </w:r>
            <w:r>
              <w:rPr>
                <w:color w:val="000000"/>
                <w:sz w:val="17"/>
              </w:rPr>
              <w:t>4,785 FCFA</w:t>
            </w:r>
          </w:p>
          <w:p>
            <w:r>
              <w:rPr>
                <w:b/>
                <w:color w:val="503200"/>
                <w:sz w:val="16"/>
              </w:rPr>
              <w:t xml:space="preserve">Var. 100 jours : </w:t>
            </w:r>
            <w:r>
              <w:rPr>
                <w:b/>
                <w:color w:val="007800"/>
                <w:sz w:val="17"/>
              </w:rPr>
              <w:t>+37.11%</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3,470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14.67% (Moyenne) — μ=4,723 FCFA, σ=693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β=1.3538 (Agressif) — Cov=0.000100, Var(idx)=0.000074, ρ=0.440,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48/100  (Moyen)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4,599</w:t>
            </w:r>
          </w:p>
        </w:tc>
        <w:tc>
          <w:tcPr>
            <w:tcW w:type="dxa" w:w="1440"/>
            <w:shd w:fill="FAFAFA" w:val="clear"/>
          </w:tcPr>
          <w:p>
            <w:r>
              <w:rPr>
                <w:b/>
                <w:sz w:val="17"/>
              </w:rPr>
              <w:t>4,858</w:t>
            </w:r>
          </w:p>
        </w:tc>
        <w:tc>
          <w:tcPr>
            <w:tcW w:type="dxa" w:w="1440"/>
            <w:shd w:fill="FAFAFA" w:val="clear"/>
          </w:tcPr>
          <w:p>
            <w:r>
              <w:rPr>
                <w:sz w:val="17"/>
              </w:rPr>
              <w:t>5,117</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4,500</w:t>
            </w:r>
          </w:p>
        </w:tc>
        <w:tc>
          <w:tcPr>
            <w:tcW w:type="dxa" w:w="1440"/>
            <w:shd w:fill="FAFAFA" w:val="clear"/>
          </w:tcPr>
          <w:p>
            <w:r>
              <w:rPr>
                <w:b/>
                <w:sz w:val="17"/>
              </w:rPr>
              <w:t>4,867</w:t>
            </w:r>
          </w:p>
        </w:tc>
        <w:tc>
          <w:tcPr>
            <w:tcW w:type="dxa" w:w="1440"/>
            <w:shd w:fill="FAFAFA" w:val="clear"/>
          </w:tcPr>
          <w:p>
            <w:r>
              <w:rPr>
                <w:sz w:val="17"/>
              </w:rPr>
              <w:t>5,233</w:t>
            </w:r>
          </w:p>
        </w:tc>
        <w:tc>
          <w:tcPr>
            <w:tcW w:type="dxa" w:w="1440"/>
            <w:shd w:fill="FAFAFA" w:val="clear"/>
          </w:tcPr>
          <w:p>
            <w:r>
              <w:rPr>
                <w:b/>
                <w:color w:val="008000"/>
                <w:sz w:val="17"/>
              </w:rPr>
              <w:t>+1.7%</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4,437</w:t>
            </w:r>
          </w:p>
        </w:tc>
        <w:tc>
          <w:tcPr>
            <w:tcW w:type="dxa" w:w="1440"/>
            <w:shd w:fill="C6EFCE" w:val="clear"/>
          </w:tcPr>
          <w:p>
            <w:r>
              <w:rPr>
                <w:b/>
                <w:sz w:val="17"/>
              </w:rPr>
              <w:t>4,888</w:t>
            </w:r>
          </w:p>
        </w:tc>
        <w:tc>
          <w:tcPr>
            <w:tcW w:type="dxa" w:w="1440"/>
            <w:shd w:fill="C6EFCE" w:val="clear"/>
          </w:tcPr>
          <w:p>
            <w:r>
              <w:rPr>
                <w:sz w:val="17"/>
              </w:rPr>
              <w:t>5,339</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4,388</w:t>
            </w:r>
          </w:p>
        </w:tc>
        <w:tc>
          <w:tcPr>
            <w:tcW w:type="dxa" w:w="1440"/>
            <w:shd w:fill="C6EFCE" w:val="clear"/>
          </w:tcPr>
          <w:p>
            <w:r>
              <w:rPr>
                <w:b/>
                <w:sz w:val="17"/>
              </w:rPr>
              <w:t>4,911</w:t>
            </w:r>
          </w:p>
        </w:tc>
        <w:tc>
          <w:tcPr>
            <w:tcW w:type="dxa" w:w="1440"/>
            <w:shd w:fill="C6EFCE" w:val="clear"/>
          </w:tcPr>
          <w:p>
            <w:r>
              <w:rPr>
                <w:sz w:val="17"/>
              </w:rPr>
              <w:t>5,434</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4,347</w:t>
            </w:r>
          </w:p>
        </w:tc>
        <w:tc>
          <w:tcPr>
            <w:tcW w:type="dxa" w:w="1440"/>
            <w:shd w:fill="C6EFCE" w:val="clear"/>
          </w:tcPr>
          <w:p>
            <w:r>
              <w:rPr>
                <w:b/>
                <w:sz w:val="17"/>
              </w:rPr>
              <w:t>4,934</w:t>
            </w:r>
          </w:p>
        </w:tc>
        <w:tc>
          <w:tcPr>
            <w:tcW w:type="dxa" w:w="1440"/>
            <w:shd w:fill="C6EFCE" w:val="clear"/>
          </w:tcPr>
          <w:p>
            <w:r>
              <w:rPr>
                <w:sz w:val="17"/>
              </w:rPr>
              <w:t>5,522</w:t>
            </w:r>
          </w:p>
        </w:tc>
        <w:tc>
          <w:tcPr>
            <w:tcW w:type="dxa" w:w="1440"/>
            <w:shd w:fill="C6EFCE" w:val="clear"/>
          </w:tcPr>
          <w:p>
            <w:r>
              <w:rPr>
                <w:b/>
                <w:color w:val="008000"/>
                <w:sz w:val="17"/>
              </w:rPr>
              <w:t>+3.1%</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4,310</w:t>
            </w:r>
          </w:p>
        </w:tc>
        <w:tc>
          <w:tcPr>
            <w:tcW w:type="dxa" w:w="1440"/>
            <w:shd w:fill="C6EFCE" w:val="clear"/>
          </w:tcPr>
          <w:p>
            <w:r>
              <w:rPr>
                <w:b/>
                <w:sz w:val="17"/>
              </w:rPr>
              <w:t>4,957</w:t>
            </w:r>
          </w:p>
        </w:tc>
        <w:tc>
          <w:tcPr>
            <w:tcW w:type="dxa" w:w="1440"/>
            <w:shd w:fill="C6EFCE" w:val="clear"/>
          </w:tcPr>
          <w:p>
            <w:r>
              <w:rPr>
                <w:sz w:val="17"/>
              </w:rPr>
              <w:t>5,603</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4,278</w:t>
            </w:r>
          </w:p>
        </w:tc>
        <w:tc>
          <w:tcPr>
            <w:tcW w:type="dxa" w:w="1440"/>
            <w:shd w:fill="C6EFCE" w:val="clear"/>
          </w:tcPr>
          <w:p>
            <w:r>
              <w:rPr>
                <w:b/>
                <w:sz w:val="17"/>
              </w:rPr>
              <w:t>4,979</w:t>
            </w:r>
          </w:p>
        </w:tc>
        <w:tc>
          <w:tcPr>
            <w:tcW w:type="dxa" w:w="1440"/>
            <w:shd w:fill="C6EFCE" w:val="clear"/>
          </w:tcPr>
          <w:p>
            <w:r>
              <w:rPr>
                <w:sz w:val="17"/>
              </w:rPr>
              <w:t>5,681</w:t>
            </w:r>
          </w:p>
        </w:tc>
        <w:tc>
          <w:tcPr>
            <w:tcW w:type="dxa" w:w="1440"/>
            <w:shd w:fill="C6EFCE" w:val="clear"/>
          </w:tcPr>
          <w:p>
            <w:r>
              <w:rPr>
                <w:b/>
                <w:color w:val="008000"/>
                <w:sz w:val="17"/>
              </w:rPr>
              <w:t>+4.1%</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4,248</w:t>
            </w:r>
          </w:p>
        </w:tc>
        <w:tc>
          <w:tcPr>
            <w:tcW w:type="dxa" w:w="1440"/>
            <w:shd w:fill="C6EFCE" w:val="clear"/>
          </w:tcPr>
          <w:p>
            <w:r>
              <w:rPr>
                <w:b/>
                <w:sz w:val="17"/>
              </w:rPr>
              <w:t>5,002</w:t>
            </w:r>
          </w:p>
        </w:tc>
        <w:tc>
          <w:tcPr>
            <w:tcW w:type="dxa" w:w="1440"/>
            <w:shd w:fill="C6EFCE" w:val="clear"/>
          </w:tcPr>
          <w:p>
            <w:r>
              <w:rPr>
                <w:sz w:val="17"/>
              </w:rPr>
              <w:t>5,755</w:t>
            </w:r>
          </w:p>
        </w:tc>
        <w:tc>
          <w:tcPr>
            <w:tcW w:type="dxa" w:w="1440"/>
            <w:shd w:fill="C6EFCE" w:val="clear"/>
          </w:tcPr>
          <w:p>
            <w:r>
              <w:rPr>
                <w:b/>
                <w:color w:val="008000"/>
                <w:sz w:val="17"/>
              </w:rPr>
              <w:t>+4.5%</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4,221</w:t>
            </w:r>
          </w:p>
        </w:tc>
        <w:tc>
          <w:tcPr>
            <w:tcW w:type="dxa" w:w="1440"/>
            <w:shd w:fill="C6EFCE" w:val="clear"/>
          </w:tcPr>
          <w:p>
            <w:r>
              <w:rPr>
                <w:b/>
                <w:sz w:val="17"/>
              </w:rPr>
              <w:t>5,024</w:t>
            </w:r>
          </w:p>
        </w:tc>
        <w:tc>
          <w:tcPr>
            <w:tcW w:type="dxa" w:w="1440"/>
            <w:shd w:fill="C6EFCE" w:val="clear"/>
          </w:tcPr>
          <w:p>
            <w:r>
              <w:rPr>
                <w:sz w:val="17"/>
              </w:rPr>
              <w:t>5,826</w:t>
            </w:r>
          </w:p>
        </w:tc>
        <w:tc>
          <w:tcPr>
            <w:tcW w:type="dxa" w:w="1440"/>
            <w:shd w:fill="C6EFCE" w:val="clear"/>
          </w:tcPr>
          <w:p>
            <w:r>
              <w:rPr>
                <w:b/>
                <w:color w:val="008000"/>
                <w:sz w:val="17"/>
              </w:rPr>
              <w:t>+5.0%</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4,196</w:t>
            </w:r>
          </w:p>
        </w:tc>
        <w:tc>
          <w:tcPr>
            <w:tcW w:type="dxa" w:w="1440"/>
            <w:shd w:fill="C6EFCE" w:val="clear"/>
          </w:tcPr>
          <w:p>
            <w:r>
              <w:rPr>
                <w:b/>
                <w:sz w:val="17"/>
              </w:rPr>
              <w:t>5,046</w:t>
            </w:r>
          </w:p>
        </w:tc>
        <w:tc>
          <w:tcPr>
            <w:tcW w:type="dxa" w:w="1440"/>
            <w:shd w:fill="C6EFCE" w:val="clear"/>
          </w:tcPr>
          <w:p>
            <w:r>
              <w:rPr>
                <w:sz w:val="17"/>
              </w:rPr>
              <w:t>5,895</w:t>
            </w:r>
          </w:p>
        </w:tc>
        <w:tc>
          <w:tcPr>
            <w:tcW w:type="dxa" w:w="1440"/>
            <w:shd w:fill="C6EFCE" w:val="clear"/>
          </w:tcPr>
          <w:p>
            <w:r>
              <w:rPr>
                <w:b/>
                <w:color w:val="008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99,53 milliards FCFA, BOAN se situe dans la catégorie des valeurs moyennes de la BRVM, loin des poids lourds comme Sonatel ou Ecobank, ce qui implique une liquidité relative limitée. Le BPA de 20 FCFA/action, calculé sur un résultat net 2025 effondré à 409 millions FCFA, confère au titre un PER de 243,3x — un niveau stratosphérique comparé à la moyenne BRVM (~8-12x), signe que le marché valorise l'action bien au-delà de ses bénéfices actuels, en anticipant un rebond spectaculaire. Le P/B de 2,76x indique que le marché paie près de trois fois la valeur comptable des fonds propres (36,06 Mds FCFA), soit une prime de croissance significative qui n'est justifiée que si la rentabilité future se redresse durablement. Enfin, l'EV/EBITDA de 38,3x, très supérieur au seuil de 15x, traduit une valorisation exigeante par rapport à la capacité opérationnelle actuelle de la banque, ce qui rend le titre vulnérable à toute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 enregistré une progression remarquable de +37,11%, malgré un léger repli de -0,31% lors de la dernière séance, portant le cours actuel à 4 785 FCFA. Le titre a évolué dans un range très large, entre un plus bas de 3 470 FCFA et un plus haut de 5 645 FCFA, soit une amplitude de plus de 62%, témoignant d'une forte volatilité et d'un intérêt marqué des investisseurs. La tendance générale est donc nettement haussière sur la période, portée par les anticipations de redressement post-sanctions et la confirmation d'un rebond au T1 2026. Les statistiques descriptives révèlent une moyenne de 4 723 FCFA inférieure à la médiane de 5 088 FCFA, ce qui indique une distribution asymétrique à gauche (skewness de -0,466), c'est-à-dire que le cours a passé plus de temps dans les niveaux élevés mais avec quelques points bas marqués. L'écart-type de 696 FCFA (CV = 14,7%) traduit une dispersion modérée autour de la moyenne, tandis que le kurtosis de -1,410 (distribution platykurtique) signale une faible concentration des valeurs extrêmes, donc un risque de pics moins élevé qu'une distribution normale. La volatilité annualisée de 42,1% classe le titre dans la catégorie des valeurs à volatilité élevée (&gt;30%), ce qui est cohérent avec le contexte de redressement incertain et la faible liquidité du marché nigérien.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(5 134,5 FCFA) et la MM50 (5 233,9 FCFA) sont toutes deux supérieures au cours actuel (4 785 FCFA), ce qui place le titre en position baissière à court et moyen terme. La MM20 étant légèrement en dessous de la MM50, on observe un croisement baissier (death cross) qui confirme la pression vendeuse. La décision technique est donc **Vente**, le cours évoluant sous ses deux moyennes mobiles.</w:t>
      </w:r>
    </w:p>
    <w:p>
      <w:pPr>
        <w:spacing w:after="120" w:line="276" w:lineRule="auto"/>
      </w:pPr>
      <w:r>
        <w:t>**Bandes de Bollinger** : Le cours actuel (4 785 FCFA) se situe dans la partie basse de la bande, entre la borne inférieure (4 532,7 FCFA) et la borne supérieure (5 736,3 FCFA), mais plus proche de la borne basse. Cette position suggère que le titre n'est ni suracheté ni survendu, mais qu'il évolue dans un canal baissier après avoir touché des sommets. La décision est **Neutre**, la volatilité restant contenue dans les bandes.</w:t>
      </w:r>
    </w:p>
    <w:p>
      <w:pPr>
        <w:spacing w:after="120" w:line="276" w:lineRule="auto"/>
      </w:pPr>
      <w:r>
        <w:t>**MACD** : La valeur du MACD (-109,925) est inférieure à son signal (-68,399), ce qui confirme un momentum baissier. L'histogramme négatif indique que la pression vendeuse persiste, bien que l'écart entre les deux lignes se réduise légèrement, ce qui pourrait annoncer un ralentissement de la baisse. La décision est **Vente**.</w:t>
      </w:r>
    </w:p>
    <w:p>
      <w:pPr>
        <w:spacing w:after="120" w:line="276" w:lineRule="auto"/>
      </w:pPr>
      <w:r>
        <w:t>**RSI** : À 39,479, le RSI se situe dans la zone neutre basse (30-70), sans atteindre la zone de survente (&lt;30). Cela signifie que le titre n'est pas encore techniquement survendu, mais qu'il se rapproche de niveaux où un rebond pourrait se produire. La décision est **Neutre**.</w:t>
      </w:r>
    </w:p>
    <w:p>
      <w:pPr>
        <w:spacing w:after="120" w:line="276" w:lineRule="auto"/>
      </w:pPr>
      <w:r>
        <w:t>**Stochastique** : Le %K (24,479) est inférieur au %D (32,465), et les deux se situent dans la zone de survente (&lt;20 pour le %K, proche de 20 pour le %D). Cette configuration suggère que le titre est proche d'un point de retournement potentiel, mais le croisement baissier n'est pas encore confirmé. La décision est **Neutre**.</w:t>
      </w:r>
    </w:p>
    <w:p>
      <w:pPr>
        <w:spacing w:after="120" w:line="276" w:lineRule="auto"/>
      </w:pPr>
      <w:r>
        <w:t>**Conclusion technique** : Les indicateurs techniques sont majoritairement baissiers (MM, MACD), mais les oscillateurs (RSI, Stochastique) montrent des signes de faiblesse proches de la survente, ce qui pourrait annoncer un rebond à court terme. La convergence des signaux baissiers à moyen terme et des signaux de survente à court terme suggère une phase de consolidation avant une éventuelle reprise. Le titre reste sous pression tant qu'il n'aura pas franchi la MM20 (5 134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très dégradée pour BOAN. Le Produit Net Bancaire (PNB), équivalent du chiffre d'affaires pour une banque, s'établit à 21 125 millions FCFA en 2025, en léger repli de -1,2% par rapport à 2024 (21 380 millions FCFA), selon le rapport du 31 décembre 2025. Le résultat net s'effondre à 409 millions FCFA, contre 5 002 millions FCFA en 2024, soit une chute de -91,8%, principalement due à une explosion du coût du risque (+121,5%, à -6 016 millions FCFA) incluant une provision exceptionnelle de 4,8 milliards FCFA liée au taux de sinistralité sectoriel de 24%. Le ROE s'établit à 1,05% en 2025 (contre 11,39% en 2024) et le ROA à 0,13% (contre 1,49% en 2024), des niveaux très faibles qui traduisent une rentabilité quasi nulle. Le coefficient d'exploitation, à 74,37%, reste supérieur au seuil de 60% (banque efficace), bien qu'il se soit amélioré au T1 2026 à 56,2% selon le rapport du 31 mars 2026. Le ratio dépôts/crédits s'établit à 183,28 Mds FCFA de dépôts clientèle pour 128,45 Mds FCFA de créances clientèle, soit un ratio de 142,7%, indiquant une surliquidité et une sous-utilisation des dépôts, tandis que les crédits ont reculé de -20,9% en 2025 (réduction volontaire du risque). Le coût du risque/charges financières de 67,3% reste très élevé, signe d'un portefeuille de crédit fragile. Les rapports trimestriels de 2026 confirment un début de redressement : le T1 2026 (rapport du 31 mars 2026) affiche un PNB de 5 170 millions FCFA (+7,9% sur un an), un résultat net de 1 467,3 millions FCFA (+28,9%), et un coefficient d'exploitation ramené à 56,2%. Sur la base de ce rapport, on estime que l'exercice 2026 pourrait renouer avec une rentabilité positive, avec un résultat net annualisé potentiel de l'ordre de 5 à 6 milliards FCFA si la tendance se confirme, bien que le coût du risque reste un point de vigilance (+104,3% au T1 2026). La structure financière reste solide avec un ratio de solvabilité de 14,06% (conforme UEMOA) et un coefficient de liquidité de 123,95%, mais l'autonomie financière (12,36%) est faible et la dépendance aux dettes interbancaires (64,4 Mds FCFA) élevée. En conclusion, la banque traverse une phase de redressement fragile, avec des fondamentaux 2025 très dégradés mais des perspectives 2026 encourageantes, sous réserve de la maîtrise du coût du risque et de la confirmation de la reprise économique au Niger.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BOAN (Partie 0) apparaît très exigeante avec un PER de 243,3x et un EV/EBITDA de 38,3x, ce qui intègre déjà une anticipation forte de redressement des bénéfices, sans marge de sécurité en cas de déception. Le comportement du cours (Partie 1) est haussier sur 100 jours (+37,11%) mais avec une volatilité élevée (42,1%) et une distribution asymétrique à gauche (skewness -0,466) et aplatie (kurtosis -1,410), ce qui suggère que le titre a tendance à stagner dans les niveaux élevés avec des corrections brutales. Les signaux techniques (Partie 2) sont majoritairement baissiers (MM, MACD) mais les oscillateurs (RSI, Stochastique) approchent de la survente, ce qui pourrait annoncer un rebond à court terme, sans toutefois confirmer une inversion de tendance. Les fondamentaux (Partie 3) sont très dégradés pour 2025 (ROE 1,05%, résultat net -91,8%) mais les rapports trimestriels de 2026 (T1 2026 : résultat net +28,9%, PNB +7,9%) indiquent un début de redressement, avec des estimations de résultat net annualisé de 5 à 6 milliards FCFA pour 2026. Les prédictions IA (J+1 à J+10) tablent sur une hausse progressive de 4 858 FCFA à 4 934 FCFA, ce qui confirme la possibilité d'un rebond technique à court terme, en ligne avec les signaux de survente des oscillateurs. Sur la base de cette synthèse, la convergence entre les prédictions IA (hausse modérée), les oscillateurs techniques (survente) et les fondamentaux en amélioration (T1 2026) plaide pour une recommandation **CONSERVER**, avec un biais positif à moyen terme. Le niveau de confiance est **Moyen**, car le redressement n'est confirmé que sur un seul trimestre et le coût du risque reste élevé. Le risque global est **Élevé**, en raison de la volatilité du titre, de la faible liquidité, et de la dépendance au contexte macroéconomique et politique nigérien. L'horizon d'investissement optimal est le **moyen terme (3-12 mois)**, en attendant la confirmation de la reprise sur au moins deux trimestres supplémentaires et une amélioration durable du ROE au-delà de 10%.</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11,558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+7.14%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μ=7,764 FCFA, σ=374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β=0.5769 (Défensif) — Cov=0.000043, Var(idx)=0.000074, ρ=0.295,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11,558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σ_j=1.66%/j (Stable) — Vol. annualisée≈26.4%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2026-10-12</w:t>
            </w:r>
          </w:p>
        </w:tc>
        <w:tc>
          <w:tcPr>
            <w:tcW w:type="dxa" w:w="1440"/>
            <w:shd w:fill="FFDCE0" w:val="clear"/>
          </w:tcPr>
          <w:p>
            <w:r>
              <w:rPr>
                <w:sz w:val="17"/>
              </w:rPr>
              <w:t>7,872</w:t>
            </w:r>
          </w:p>
        </w:tc>
        <w:tc>
          <w:tcPr>
            <w:tcW w:type="dxa" w:w="1440"/>
            <w:shd w:fill="FFDCE0" w:val="clear"/>
          </w:tcPr>
          <w:p>
            <w:r>
              <w:rPr>
                <w:b/>
                <w:sz w:val="17"/>
              </w:rPr>
              <w:t>8,055</w:t>
            </w:r>
          </w:p>
        </w:tc>
        <w:tc>
          <w:tcPr>
            <w:tcW w:type="dxa" w:w="1440"/>
            <w:shd w:fill="FFDCE0" w:val="clear"/>
          </w:tcPr>
          <w:p>
            <w:r>
              <w:rPr>
                <w:sz w:val="17"/>
              </w:rPr>
              <w:t>8,238</w:t>
            </w:r>
          </w:p>
        </w:tc>
        <w:tc>
          <w:tcPr>
            <w:tcW w:type="dxa" w:w="1440"/>
            <w:shd w:fill="FFDCE0" w:val="clear"/>
          </w:tcPr>
          <w:p>
            <w:r>
              <w:rPr>
                <w:b/>
                <w:color w:val="C00000"/>
                <w:sz w:val="17"/>
              </w:rPr>
              <w:t>-2.4%</w:t>
            </w:r>
          </w:p>
        </w:tc>
      </w:tr>
      <w:tr>
        <w:tc>
          <w:tcPr>
            <w:tcW w:type="dxa" w:w="1440"/>
            <w:shd w:fill="FFDCE0" w:val="clear"/>
          </w:tcPr>
          <w:p>
            <w:r>
              <w:rPr>
                <w:sz w:val="17"/>
              </w:rPr>
              <w:t>J+2  ⭐⭐⭐</w:t>
            </w:r>
          </w:p>
        </w:tc>
        <w:tc>
          <w:tcPr>
            <w:tcW w:type="dxa" w:w="1440"/>
            <w:shd w:fill="FFDCE0" w:val="clear"/>
          </w:tcPr>
          <w:p>
            <w:r>
              <w:rPr>
                <w:sz w:val="17"/>
              </w:rPr>
              <w:t>2026-10-13</w:t>
            </w:r>
          </w:p>
        </w:tc>
        <w:tc>
          <w:tcPr>
            <w:tcW w:type="dxa" w:w="1440"/>
            <w:shd w:fill="FFDCE0" w:val="clear"/>
          </w:tcPr>
          <w:p>
            <w:r>
              <w:rPr>
                <w:sz w:val="17"/>
              </w:rPr>
              <w:t>7,676</w:t>
            </w:r>
          </w:p>
        </w:tc>
        <w:tc>
          <w:tcPr>
            <w:tcW w:type="dxa" w:w="1440"/>
            <w:shd w:fill="FFDCE0" w:val="clear"/>
          </w:tcPr>
          <w:p>
            <w:r>
              <w:rPr>
                <w:b/>
                <w:sz w:val="17"/>
              </w:rPr>
              <w:t>7,930</w:t>
            </w:r>
          </w:p>
        </w:tc>
        <w:tc>
          <w:tcPr>
            <w:tcW w:type="dxa" w:w="1440"/>
            <w:shd w:fill="FFDCE0" w:val="clear"/>
          </w:tcPr>
          <w:p>
            <w:r>
              <w:rPr>
                <w:sz w:val="17"/>
              </w:rPr>
              <w:t>8,185</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2026-10-14</w:t>
            </w:r>
          </w:p>
        </w:tc>
        <w:tc>
          <w:tcPr>
            <w:tcW w:type="dxa" w:w="1440"/>
            <w:shd w:fill="FFDCE0" w:val="clear"/>
          </w:tcPr>
          <w:p>
            <w:r>
              <w:rPr>
                <w:sz w:val="17"/>
              </w:rPr>
              <w:t>7,504</w:t>
            </w:r>
          </w:p>
        </w:tc>
        <w:tc>
          <w:tcPr>
            <w:tcW w:type="dxa" w:w="1440"/>
            <w:shd w:fill="FFDCE0" w:val="clear"/>
          </w:tcPr>
          <w:p>
            <w:r>
              <w:rPr>
                <w:b/>
                <w:sz w:val="17"/>
              </w:rPr>
              <w:t>7,811</w:t>
            </w:r>
          </w:p>
        </w:tc>
        <w:tc>
          <w:tcPr>
            <w:tcW w:type="dxa" w:w="1440"/>
            <w:shd w:fill="FFDCE0" w:val="clear"/>
          </w:tcPr>
          <w:p>
            <w:r>
              <w:rPr>
                <w:sz w:val="17"/>
              </w:rPr>
              <w:t>8,118</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2026-10-15</w:t>
            </w:r>
          </w:p>
        </w:tc>
        <w:tc>
          <w:tcPr>
            <w:tcW w:type="dxa" w:w="1440"/>
            <w:shd w:fill="FFDCE0" w:val="clear"/>
          </w:tcPr>
          <w:p>
            <w:r>
              <w:rPr>
                <w:sz w:val="17"/>
              </w:rPr>
              <w:t>7,353</w:t>
            </w:r>
          </w:p>
        </w:tc>
        <w:tc>
          <w:tcPr>
            <w:tcW w:type="dxa" w:w="1440"/>
            <w:shd w:fill="FFDCE0" w:val="clear"/>
          </w:tcPr>
          <w:p>
            <w:r>
              <w:rPr>
                <w:b/>
                <w:sz w:val="17"/>
              </w:rPr>
              <w:t>7,703</w:t>
            </w:r>
          </w:p>
        </w:tc>
        <w:tc>
          <w:tcPr>
            <w:tcW w:type="dxa" w:w="1440"/>
            <w:shd w:fill="FFDCE0" w:val="clear"/>
          </w:tcPr>
          <w:p>
            <w:r>
              <w:rPr>
                <w:sz w:val="17"/>
              </w:rPr>
              <w:t>8,053</w:t>
            </w:r>
          </w:p>
        </w:tc>
        <w:tc>
          <w:tcPr>
            <w:tcW w:type="dxa" w:w="1440"/>
            <w:shd w:fill="FFDCE0" w:val="clear"/>
          </w:tcPr>
          <w:p>
            <w:r>
              <w:rPr>
                <w:b/>
                <w:color w:val="C00000"/>
                <w:sz w:val="17"/>
              </w:rPr>
              <w:t>-6.6%</w:t>
            </w:r>
          </w:p>
        </w:tc>
      </w:tr>
      <w:tr>
        <w:tc>
          <w:tcPr>
            <w:tcW w:type="dxa" w:w="1440"/>
            <w:shd w:fill="FFDCE0" w:val="clear"/>
          </w:tcPr>
          <w:p>
            <w:r>
              <w:rPr>
                <w:sz w:val="17"/>
              </w:rPr>
              <w:t>J+5  Moyenne</w:t>
            </w:r>
          </w:p>
        </w:tc>
        <w:tc>
          <w:tcPr>
            <w:tcW w:type="dxa" w:w="1440"/>
            <w:shd w:fill="FFDCE0" w:val="clear"/>
          </w:tcPr>
          <w:p>
            <w:r>
              <w:rPr>
                <w:sz w:val="17"/>
              </w:rPr>
              <w:t>2026-10-16</w:t>
            </w:r>
          </w:p>
        </w:tc>
        <w:tc>
          <w:tcPr>
            <w:tcW w:type="dxa" w:w="1440"/>
            <w:shd w:fill="FFDCE0" w:val="clear"/>
          </w:tcPr>
          <w:p>
            <w:r>
              <w:rPr>
                <w:sz w:val="17"/>
              </w:rPr>
              <w:t>7,216</w:t>
            </w:r>
          </w:p>
        </w:tc>
        <w:tc>
          <w:tcPr>
            <w:tcW w:type="dxa" w:w="1440"/>
            <w:shd w:fill="FFDCE0" w:val="clear"/>
          </w:tcPr>
          <w:p>
            <w:r>
              <w:rPr>
                <w:b/>
                <w:sz w:val="17"/>
              </w:rPr>
              <w:t>7,602</w:t>
            </w:r>
          </w:p>
        </w:tc>
        <w:tc>
          <w:tcPr>
            <w:tcW w:type="dxa" w:w="1440"/>
            <w:shd w:fill="FFDCE0" w:val="clear"/>
          </w:tcPr>
          <w:p>
            <w:r>
              <w:rPr>
                <w:sz w:val="17"/>
              </w:rPr>
              <w:t>7,988</w:t>
            </w:r>
          </w:p>
        </w:tc>
        <w:tc>
          <w:tcPr>
            <w:tcW w:type="dxa" w:w="1440"/>
            <w:shd w:fill="FFDCE0" w:val="clear"/>
          </w:tcPr>
          <w:p>
            <w:r>
              <w:rPr>
                <w:b/>
                <w:color w:val="C00000"/>
                <w:sz w:val="17"/>
              </w:rPr>
              <w:t>-7.9%</w:t>
            </w:r>
          </w:p>
        </w:tc>
      </w:tr>
      <w:tr>
        <w:tc>
          <w:tcPr>
            <w:tcW w:type="dxa" w:w="1440"/>
            <w:shd w:fill="FFDCE0" w:val="clear"/>
          </w:tcPr>
          <w:p>
            <w:r>
              <w:rPr>
                <w:sz w:val="17"/>
              </w:rPr>
              <w:t>J+6  Moyenne</w:t>
            </w:r>
          </w:p>
        </w:tc>
        <w:tc>
          <w:tcPr>
            <w:tcW w:type="dxa" w:w="1440"/>
            <w:shd w:fill="FFDCE0" w:val="clear"/>
          </w:tcPr>
          <w:p>
            <w:r>
              <w:rPr>
                <w:sz w:val="17"/>
              </w:rPr>
              <w:t>2026-10-19</w:t>
            </w:r>
          </w:p>
        </w:tc>
        <w:tc>
          <w:tcPr>
            <w:tcW w:type="dxa" w:w="1440"/>
            <w:shd w:fill="FFDCE0" w:val="clear"/>
          </w:tcPr>
          <w:p>
            <w:r>
              <w:rPr>
                <w:sz w:val="17"/>
              </w:rPr>
              <w:t>7,088</w:t>
            </w:r>
          </w:p>
        </w:tc>
        <w:tc>
          <w:tcPr>
            <w:tcW w:type="dxa" w:w="1440"/>
            <w:shd w:fill="FFDCE0" w:val="clear"/>
          </w:tcPr>
          <w:p>
            <w:r>
              <w:rPr>
                <w:b/>
                <w:sz w:val="17"/>
              </w:rPr>
              <w:t>7,506</w:t>
            </w:r>
          </w:p>
        </w:tc>
        <w:tc>
          <w:tcPr>
            <w:tcW w:type="dxa" w:w="1440"/>
            <w:shd w:fill="FFDCE0" w:val="clear"/>
          </w:tcPr>
          <w:p>
            <w:r>
              <w:rPr>
                <w:sz w:val="17"/>
              </w:rPr>
              <w:t>7,923</w:t>
            </w:r>
          </w:p>
        </w:tc>
        <w:tc>
          <w:tcPr>
            <w:tcW w:type="dxa" w:w="1440"/>
            <w:shd w:fill="FFDCE0" w:val="clear"/>
          </w:tcPr>
          <w:p>
            <w:r>
              <w:rPr>
                <w:b/>
                <w:color w:val="C00000"/>
                <w:sz w:val="17"/>
              </w:rPr>
              <w:t>-9.0%</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6,969</w:t>
            </w:r>
          </w:p>
        </w:tc>
        <w:tc>
          <w:tcPr>
            <w:tcW w:type="dxa" w:w="1440"/>
            <w:shd w:fill="FFDCE0" w:val="clear"/>
          </w:tcPr>
          <w:p>
            <w:r>
              <w:rPr>
                <w:b/>
                <w:sz w:val="17"/>
              </w:rPr>
              <w:t>7,414</w:t>
            </w:r>
          </w:p>
        </w:tc>
        <w:tc>
          <w:tcPr>
            <w:tcW w:type="dxa" w:w="1440"/>
            <w:shd w:fill="FFDCE0" w:val="clear"/>
          </w:tcPr>
          <w:p>
            <w:r>
              <w:rPr>
                <w:sz w:val="17"/>
              </w:rPr>
              <w:t>7,859</w:t>
            </w:r>
          </w:p>
        </w:tc>
        <w:tc>
          <w:tcPr>
            <w:tcW w:type="dxa" w:w="1440"/>
            <w:shd w:fill="FFDCE0" w:val="clear"/>
          </w:tcPr>
          <w:p>
            <w:r>
              <w:rPr>
                <w:b/>
                <w:color w:val="C00000"/>
                <w:sz w:val="17"/>
              </w:rPr>
              <w:t>-10.1%</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6,856</w:t>
            </w:r>
          </w:p>
        </w:tc>
        <w:tc>
          <w:tcPr>
            <w:tcW w:type="dxa" w:w="1440"/>
            <w:shd w:fill="FFDCE0" w:val="clear"/>
          </w:tcPr>
          <w:p>
            <w:r>
              <w:rPr>
                <w:b/>
                <w:sz w:val="17"/>
              </w:rPr>
              <w:t>7,327</w:t>
            </w:r>
          </w:p>
        </w:tc>
        <w:tc>
          <w:tcPr>
            <w:tcW w:type="dxa" w:w="1440"/>
            <w:shd w:fill="FFDCE0" w:val="clear"/>
          </w:tcPr>
          <w:p>
            <w:r>
              <w:rPr>
                <w:sz w:val="17"/>
              </w:rPr>
              <w:t>7,797</w:t>
            </w:r>
          </w:p>
        </w:tc>
        <w:tc>
          <w:tcPr>
            <w:tcW w:type="dxa" w:w="1440"/>
            <w:shd w:fill="FFDCE0" w:val="clear"/>
          </w:tcPr>
          <w:p>
            <w:r>
              <w:rPr>
                <w:b/>
                <w:color w:val="C00000"/>
                <w:sz w:val="17"/>
              </w:rPr>
              <w:t>-11.2%</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6,750</w:t>
            </w:r>
          </w:p>
        </w:tc>
        <w:tc>
          <w:tcPr>
            <w:tcW w:type="dxa" w:w="1440"/>
            <w:shd w:fill="FFDCE0" w:val="clear"/>
          </w:tcPr>
          <w:p>
            <w:r>
              <w:rPr>
                <w:b/>
                <w:sz w:val="17"/>
              </w:rPr>
              <w:t>7,243</w:t>
            </w:r>
          </w:p>
        </w:tc>
        <w:tc>
          <w:tcPr>
            <w:tcW w:type="dxa" w:w="1440"/>
            <w:shd w:fill="FFDCE0" w:val="clear"/>
          </w:tcPr>
          <w:p>
            <w:r>
              <w:rPr>
                <w:sz w:val="17"/>
              </w:rPr>
              <w:t>7,736</w:t>
            </w:r>
          </w:p>
        </w:tc>
        <w:tc>
          <w:tcPr>
            <w:tcW w:type="dxa" w:w="1440"/>
            <w:shd w:fill="FFDCE0" w:val="clear"/>
          </w:tcPr>
          <w:p>
            <w:r>
              <w:rPr>
                <w:b/>
                <w:color w:val="C00000"/>
                <w:sz w:val="17"/>
              </w:rPr>
              <w:t>-12.2%</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6,649</w:t>
            </w:r>
          </w:p>
        </w:tc>
        <w:tc>
          <w:tcPr>
            <w:tcW w:type="dxa" w:w="1440"/>
            <w:shd w:fill="FFDCE0" w:val="clear"/>
          </w:tcPr>
          <w:p>
            <w:r>
              <w:rPr>
                <w:b/>
                <w:sz w:val="17"/>
              </w:rPr>
              <w:t>7,163</w:t>
            </w:r>
          </w:p>
        </w:tc>
        <w:tc>
          <w:tcPr>
            <w:tcW w:type="dxa" w:w="1440"/>
            <w:shd w:fill="FFDCE0" w:val="clear"/>
          </w:tcPr>
          <w:p>
            <w:r>
              <w:rPr>
                <w:sz w:val="17"/>
              </w:rPr>
              <w:t>7,678</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297,00 milliards FCFA, BOAS s'impose comme l'une des valeurs bancaires de référence de la cote BRVM, témoignant de la solidité et de la liquidité relative du titre au sein du compartiment financier régional. Le BPA de 608 FCFA/action signifie que chaque titre génère près de 608 FCFA de bénéfice net, un niveau de rentabilité par action particulièrement robuste. Le PER de 13,6x se situe légèrement au-dessus de la moyenne BRVM (8-12x), traduisant une prime de qualité justifiée par la régularité des résultats, mais qui n'exclut pas un potentiel de revalorisation si la croissance se confirme. Le P/B de 3,08x indique que le marché valorise la banque à plus de trois fois sa valeur comptable, une prime de croissance significative qui reflète la confiance des investisseurs dans la capacité bénéficiaire future de l'établissement. Enfin, l'EV/EBITDA de 8,8x, dans la fourchette raisonnable de 5-10x, suggère que la valeur totale de l'entreprise reste cohérente avec sa capacité opérationnelle, sans excès spéculatif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affiche une progression totale de +7,14%, avec un cours actuel de 8 250 FCFA et une variation nulle en dernière séance (J-1 : +0,00%), signalant une stabilisation après la récente poussée haussière. Le range de trading s'établit entre un plus bas de 7 250 FCFA et un plus haut de 8 500 FCFA, soit une amplitude de 17,2% qui traduit une dynamique haussière maîtrisée. La tendance générale est donc haussière, portée par une appréciation régulière du titre au-dessus de sa moyenne. Les statistiques descriptives révèlent une moyenne de 7 764 FCFA légèrement supérieure à la médiane et au mode (7 700 FCFA), confirmant une distribution quasi-symétrique (skewness de 0,220) avec une très légère asymétrie positive. L'écart-type de 376 FCFA et le coefficient de variation de 4,8% indiquent une dispersion modérée du cours, tandis que le kurtosis négatif (-1,327, distribution platykurtique) suggère une faible concentration des variations et un risque de pics extrêmes limité. La volatilité annualisée de 26,4% positionne le titre dans la catégorie modérée (15-30%), ce qui est cohérent avec le profil d'une valeur bancaire de qualité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(8 119,5 FCFA) et la MM50 (8 051,6 FCFA) se situent toutes deux en dessous du cours actuel (8 250 FCFA), avec la MM20 au-dessus de la MM50, configurant un croisement haussier classique. Cette configuration confirme la décision d'**Achat**, le titre évoluant au-dessus de ses supports dynamiques.</w:t>
      </w:r>
    </w:p>
    <w:p>
      <w:pPr>
        <w:spacing w:after="120" w:line="276" w:lineRule="auto"/>
      </w:pPr>
      <w:r>
        <w:t>**Bandes de Bollinger** : Le cours (8 250 FCFA) évolue dans la partie supérieure de la bande, entre la borne inférieure (7 780 FCFA) et la borne supérieure (8 459 FCFA), sans franchissement de cette dernière. La décision est **Neutre**, le titre n'étant ni en surachat extrême ni en survente, avec une volatilité contenue.</w:t>
      </w:r>
    </w:p>
    <w:p>
      <w:pPr>
        <w:spacing w:after="120" w:line="276" w:lineRule="auto"/>
      </w:pPr>
      <w:r>
        <w:t>**MACD** : La valeur du MACD (37,696) est nettement supérieure à son signal (23,752), avec un histogramme positif et croissant, confirmant un momentum haussier soutenu. La décision est logiquement à l'**Achat**, la divergence positive validant la tendance de fond.</w:t>
      </w:r>
    </w:p>
    <w:p>
      <w:pPr>
        <w:spacing w:after="120" w:line="276" w:lineRule="auto"/>
      </w:pPr>
      <w:r>
        <w:t>**RSI** : À 59,434, le RSI se situe dans la zone neutre (30-70), sans atteindre la zone de surachat (&gt;70). La décision est **Neutre**, le titre conservant un potentiel de hausse sans excès de spéculation.</w:t>
      </w:r>
    </w:p>
    <w:p>
      <w:pPr>
        <w:spacing w:after="120" w:line="276" w:lineRule="auto"/>
      </w:pPr>
      <w:r>
        <w:t>**Stochastique** : Le %K et le %D sont tous deux à 100,0, indiquant une position en surachat extrême. La décision est à la **Vente**, ce qui constitue un signal de prudence à court terme, bien que ce niveau puisse persister en tendance haussière forte.</w:t>
      </w:r>
    </w:p>
    <w:p>
      <w:pPr>
        <w:spacing w:after="120" w:line="276" w:lineRule="auto"/>
      </w:pPr>
      <w:r>
        <w:t>**Conclusion technique** : Les indicateurs de tendance (MM, MACD) sont clairement haussiers et confirment la dynamique positive du titre, tandis que les oscillateurs (RSI, Stochastique) envoient des signaux divergents — neutre pour le RSI, vendeur pour le Stochastique. Cette divergence suggère une possible consolidation à court terme avant une reprise haussière, le titre restant globalement bien orienté au-dessus de ses supports moyens.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BOAS affichent un Produit Net Bancaire (PNB) de 51,926 milliards FCFA, un résultat net de 21,905 milliards FCFA, un ROE exceptionnel de 22,69% (bien supérieur au seuil de 15% considéré comme excellent) et un ROA de 2,62%, confirmant la remarquable rentabilité de l'établissement. Le coefficient d'exploitation de 44,02% (inférieur à 50%) témoigne d'une efficacité opérationnelle excellente, tandis que le coût du risque de 23,31% des charges financières reste un point de vigilance modéré. La structure financière montre une autonomie financière de 11,54% (faible mais typique du modèle bancaire) et une solvabilité générale de 113,05%, avec une capacité de remboursement de 1,54 an et une couverture des intérêts de 132,58%, traduisant une bonne maîtrise du risque financier. Les rapports trimestriels récents confirment cette dynamique : le rapport du T1 2026 (publié en 2026) indique un PNB de 12,580 milliards FCFA (+6,82%) et un résultat net de 5,741 milliards FCFA (+9,78%), avec un coefficient d'exploitation en amélioration à 42,1% et un coût du risque contenu à -0,8%. Le rapport du S1 2026 (analysé le 23 septembre 2026) fait état d'un PNB semestriel de 27,206 milliards FCFA en hausse, confirmant la trajectoire de croissance. Sur la base de ces tendances, on estime que l'exercice 2026 devrait enregistrer un PNB annuel proche de 55-56 milliards FCFA et un résultat net avoisinant 23-24 milliards FCFA, soit une croissance de 5-8% par rapport à 2025. Les rapports antérieurs (T3 2025, S1 2025, T1 2025) montrent une progression constante du PNB (+6,7% au T3 2025, +6,8% au S1 2025) et du résultat net (+10,0% au T3 2025, +12,7% au S1 2025), avec une amélioration continue du coefficient d'exploitation (de 46,1% à 44,4% au T3 2025, puis 41,4% au S1 2025). La recommandation fondamentale est donc **solide** : BOAS affiche une rentabilité supérieure à la moyenne du secteur, une croissance régulière de ses revenus et bénéfices, une maîtrise des coûts et des risques, malgré une dépendance au marché sénégalais et un environnement concurrentiel accru.</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13,6x, P/B 3,08x, EV/EBITDA 8,8x) indique une légère prime par rapport à la moyenne BRVM, mais celle-ci est justifiée par la qualité des fondamentaux et la régularité des résultats, sans excès de surévaluation. Le comportement du cours sur 100 jours (+7,14%, volatilité modérée de 26,4%, distribution platykurtique et symétrique) est favorable, avec une tendance haussière maîtrisée et un risque de pics extrêmes limité. Les signaux techniques sont majoritairement haussiers (MM20 &gt; MM50 &gt; cours, MACD positif, RSI neutre), mais le Stochastique en surachat extrême (100,0) appelle à la prudence à court terme, suggérant une possible consolidation. Les fondamentaux sont excellents (ROE 22,69%, coefficient d'exploitation 44,02%, croissance du PNB et du résultat net confirmée par les rapports T1 2026 et S1 2026), avec une trajectoire estimée à 23-24 milliards FCFA de résultat net pour 2026. Les prédictions IA (J+1 à J+10) anticipent une correction baissière progressive de 8 055 FCFA à 7 602 FCFA, ce qui contredit partiellement les signaux techniques haussiers et pourrait correspondre à une prise de bénéfices après la récente progression. Sur la base de cette synthèse, la recommandation finale est **CONSERVER** avec un biais haussier : la convergence entre valorisation raisonnable, fondamentaux solides et tendance de fond positive est contrebalancée par le signal de surachat du Stochastique et la prédiction baissière à court terme. Le niveau de confiance est **Moyen** (divergence entre technique court terme et fondamental long terme), le risque global est **Moyen** (volatilité modérée, dépendance au marché sénégalais), et l'horizon d'investissement optimal est **moyen terme (3-12 mois)**, le temps que la consolidation s'achève et que la croissance bénéficiaire se matérialise.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18.83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2,027 titres</w:t>
            </w:r>
          </w:p>
        </w:tc>
        <w:tc>
          <w:tcPr>
            <w:tcW w:type="dxa" w:w="2268"/>
            <w:shd w:fill="FFF2CC" w:val="clear"/>
          </w:tcPr>
          <w:p>
            <w:r>
              <w:rPr>
                <w:b/>
                <w:color w:val="503200"/>
                <w:sz w:val="16"/>
              </w:rPr>
              <w:t xml:space="preserve">Cours actuel : </w:t>
            </w:r>
            <w:r>
              <w:rPr>
                <w:color w:val="000000"/>
                <w:sz w:val="17"/>
              </w:rPr>
              <w:t>3,180 FCFA</w:t>
            </w:r>
          </w:p>
          <w:p>
            <w:r>
              <w:rPr>
                <w:b/>
                <w:color w:val="503200"/>
                <w:sz w:val="16"/>
              </w:rPr>
              <w:t xml:space="preserve">Var. 100 jours : </w:t>
            </w:r>
            <w:r>
              <w:rPr>
                <w:b/>
                <w:color w:val="B40000"/>
                <w:sz w:val="17"/>
              </w:rPr>
              <w:t>-8.36%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3,175 FCFA</w:t>
            </w:r>
          </w:p>
          <w:p>
            <w:r>
              <w:rPr>
                <w:b/>
                <w:color w:val="503200"/>
                <w:sz w:val="16"/>
              </w:rPr>
              <w:t xml:space="preserve">Volatilité ann. : </w:t>
            </w:r>
            <w:r>
              <w:rPr>
                <w:color w:val="000000"/>
                <w:sz w:val="17"/>
              </w:rPr>
              <w:t>44.9%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8.21% (Moyenne) — μ=3,671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β=0.3247 (Défensif) — Cov=0.000024, Var(idx)=0.000074, ρ=0.098,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3,079</w:t>
            </w:r>
          </w:p>
        </w:tc>
        <w:tc>
          <w:tcPr>
            <w:tcW w:type="dxa" w:w="1440"/>
            <w:shd w:fill="FAFAFA" w:val="clear"/>
          </w:tcPr>
          <w:p>
            <w:r>
              <w:rPr>
                <w:b/>
                <w:sz w:val="17"/>
              </w:rPr>
              <w:t>3,175</w:t>
            </w:r>
          </w:p>
        </w:tc>
        <w:tc>
          <w:tcPr>
            <w:tcW w:type="dxa" w:w="1440"/>
            <w:shd w:fill="FAFAFA" w:val="clear"/>
          </w:tcPr>
          <w:p>
            <w:r>
              <w:rPr>
                <w:sz w:val="17"/>
              </w:rPr>
              <w:t>3,271</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3,043</w:t>
            </w:r>
          </w:p>
        </w:tc>
        <w:tc>
          <w:tcPr>
            <w:tcW w:type="dxa" w:w="1440"/>
            <w:shd w:fill="FAFAFA" w:val="clear"/>
          </w:tcPr>
          <w:p>
            <w:r>
              <w:rPr>
                <w:b/>
                <w:sz w:val="17"/>
              </w:rPr>
              <w:t>3,178</w:t>
            </w:r>
          </w:p>
        </w:tc>
        <w:tc>
          <w:tcPr>
            <w:tcW w:type="dxa" w:w="1440"/>
            <w:shd w:fill="FAFAFA" w:val="clear"/>
          </w:tcPr>
          <w:p>
            <w:r>
              <w:rPr>
                <w:sz w:val="17"/>
              </w:rPr>
              <w:t>3,314</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3,018</w:t>
            </w:r>
          </w:p>
        </w:tc>
        <w:tc>
          <w:tcPr>
            <w:tcW w:type="dxa" w:w="1440"/>
            <w:shd w:fill="FAFAFA" w:val="clear"/>
          </w:tcPr>
          <w:p>
            <w:r>
              <w:rPr>
                <w:b/>
                <w:sz w:val="17"/>
              </w:rPr>
              <w:t>3,184</w:t>
            </w:r>
          </w:p>
        </w:tc>
        <w:tc>
          <w:tcPr>
            <w:tcW w:type="dxa" w:w="1440"/>
            <w:shd w:fill="FAFAFA" w:val="clear"/>
          </w:tcPr>
          <w:p>
            <w:r>
              <w:rPr>
                <w:sz w:val="17"/>
              </w:rPr>
              <w:t>3,351</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2,997</w:t>
            </w:r>
          </w:p>
        </w:tc>
        <w:tc>
          <w:tcPr>
            <w:tcW w:type="dxa" w:w="1440"/>
            <w:shd w:fill="FAFAFA" w:val="clear"/>
          </w:tcPr>
          <w:p>
            <w:r>
              <w:rPr>
                <w:b/>
                <w:sz w:val="17"/>
              </w:rPr>
              <w:t>3,190</w:t>
            </w:r>
          </w:p>
        </w:tc>
        <w:tc>
          <w:tcPr>
            <w:tcW w:type="dxa" w:w="1440"/>
            <w:shd w:fill="FAFAFA" w:val="clear"/>
          </w:tcPr>
          <w:p>
            <w:r>
              <w:rPr>
                <w:sz w:val="17"/>
              </w:rPr>
              <w:t>3,382</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2,979</w:t>
            </w:r>
          </w:p>
        </w:tc>
        <w:tc>
          <w:tcPr>
            <w:tcW w:type="dxa" w:w="1440"/>
            <w:shd w:fill="FAFAFA" w:val="clear"/>
          </w:tcPr>
          <w:p>
            <w:r>
              <w:rPr>
                <w:b/>
                <w:sz w:val="17"/>
              </w:rPr>
              <w:t>3,194</w:t>
            </w:r>
          </w:p>
        </w:tc>
        <w:tc>
          <w:tcPr>
            <w:tcW w:type="dxa" w:w="1440"/>
            <w:shd w:fill="FAFAFA" w:val="clear"/>
          </w:tcPr>
          <w:p>
            <w:r>
              <w:rPr>
                <w:sz w:val="17"/>
              </w:rPr>
              <w:t>3,410</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2,960</w:t>
            </w:r>
          </w:p>
        </w:tc>
        <w:tc>
          <w:tcPr>
            <w:tcW w:type="dxa" w:w="1440"/>
            <w:shd w:fill="FAFAFA" w:val="clear"/>
          </w:tcPr>
          <w:p>
            <w:r>
              <w:rPr>
                <w:b/>
                <w:sz w:val="17"/>
              </w:rPr>
              <w:t>3,196</w:t>
            </w:r>
          </w:p>
        </w:tc>
        <w:tc>
          <w:tcPr>
            <w:tcW w:type="dxa" w:w="1440"/>
            <w:shd w:fill="FAFAFA" w:val="clear"/>
          </w:tcPr>
          <w:p>
            <w:r>
              <w:rPr>
                <w:sz w:val="17"/>
              </w:rPr>
              <w:t>3,432</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2,940</w:t>
            </w:r>
          </w:p>
        </w:tc>
        <w:tc>
          <w:tcPr>
            <w:tcW w:type="dxa" w:w="1440"/>
            <w:shd w:fill="FAFAFA" w:val="clear"/>
          </w:tcPr>
          <w:p>
            <w:r>
              <w:rPr>
                <w:b/>
                <w:sz w:val="17"/>
              </w:rPr>
              <w:t>3,195</w:t>
            </w:r>
          </w:p>
        </w:tc>
        <w:tc>
          <w:tcPr>
            <w:tcW w:type="dxa" w:w="1440"/>
            <w:shd w:fill="FAFAFA" w:val="clear"/>
          </w:tcPr>
          <w:p>
            <w:r>
              <w:rPr>
                <w:sz w:val="17"/>
              </w:rPr>
              <w:t>3,450</w:t>
            </w:r>
          </w:p>
        </w:tc>
        <w:tc>
          <w:tcPr>
            <w:tcW w:type="dxa" w:w="1440"/>
            <w:shd w:fill="FAFAFA" w:val="clear"/>
          </w:tcPr>
          <w:p>
            <w:r>
              <w:rPr>
                <w:b/>
                <w:color w:val="008000"/>
                <w:sz w:val="17"/>
              </w:rPr>
              <w:t>+0.5%</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2,920</w:t>
            </w:r>
          </w:p>
        </w:tc>
        <w:tc>
          <w:tcPr>
            <w:tcW w:type="dxa" w:w="1440"/>
            <w:shd w:fill="FAFAFA" w:val="clear"/>
          </w:tcPr>
          <w:p>
            <w:r>
              <w:rPr>
                <w:b/>
                <w:sz w:val="17"/>
              </w:rPr>
              <w:t>3,193</w:t>
            </w:r>
          </w:p>
        </w:tc>
        <w:tc>
          <w:tcPr>
            <w:tcW w:type="dxa" w:w="1440"/>
            <w:shd w:fill="FAFAFA" w:val="clear"/>
          </w:tcPr>
          <w:p>
            <w:r>
              <w:rPr>
                <w:sz w:val="17"/>
              </w:rPr>
              <w:t>3,465</w:t>
            </w:r>
          </w:p>
        </w:tc>
        <w:tc>
          <w:tcPr>
            <w:tcW w:type="dxa" w:w="1440"/>
            <w:shd w:fill="FAFAFA" w:val="clear"/>
          </w:tcPr>
          <w:p>
            <w:r>
              <w:rPr>
                <w:b/>
                <w:color w:val="008000"/>
                <w:sz w:val="17"/>
              </w:rPr>
              <w:t>+0.4%</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2,900</w:t>
            </w:r>
          </w:p>
        </w:tc>
        <w:tc>
          <w:tcPr>
            <w:tcW w:type="dxa" w:w="1440"/>
            <w:shd w:fill="FAFAFA" w:val="clear"/>
          </w:tcPr>
          <w:p>
            <w:r>
              <w:rPr>
                <w:b/>
                <w:sz w:val="17"/>
              </w:rPr>
              <w:t>3,188</w:t>
            </w:r>
          </w:p>
        </w:tc>
        <w:tc>
          <w:tcPr>
            <w:tcW w:type="dxa" w:w="1440"/>
            <w:shd w:fill="FAFAFA" w:val="clear"/>
          </w:tcPr>
          <w:p>
            <w:r>
              <w:rPr>
                <w:sz w:val="17"/>
              </w:rPr>
              <w:t>3,477</w:t>
            </w:r>
          </w:p>
        </w:tc>
        <w:tc>
          <w:tcPr>
            <w:tcW w:type="dxa" w:w="1440"/>
            <w:shd w:fill="FAFAFA" w:val="clear"/>
          </w:tcPr>
          <w:p>
            <w:r>
              <w:rPr>
                <w:b/>
                <w:color w:val="008000"/>
                <w:sz w:val="17"/>
              </w:rPr>
              <w:t>+0.3%</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2,879</w:t>
            </w:r>
          </w:p>
        </w:tc>
        <w:tc>
          <w:tcPr>
            <w:tcW w:type="dxa" w:w="1440"/>
            <w:shd w:fill="FAFAFA" w:val="clear"/>
          </w:tcPr>
          <w:p>
            <w:r>
              <w:rPr>
                <w:b/>
                <w:sz w:val="17"/>
              </w:rPr>
              <w:t>3,183</w:t>
            </w:r>
          </w:p>
        </w:tc>
        <w:tc>
          <w:tcPr>
            <w:tcW w:type="dxa" w:w="1440"/>
            <w:shd w:fill="FAFAFA" w:val="clear"/>
          </w:tcPr>
          <w:p>
            <w:r>
              <w:rPr>
                <w:sz w:val="17"/>
              </w:rPr>
              <w:t>3,487</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18,83 Mds FCFA, CABC se positionne comme une valeur de petite capitalisation sur le marché BRVM, ce qui la rend sensible aux mouvements de faible volume (2 027 titres/jour en moyenne). Le BPA de 243 FCFA/action pour 2025 confère au titre un PER de 13,1x, légèrement supérieur à la moyenne du marché BRVM (~8-12x), ce qui suggère que les investisseurs paient une prime modérée pour les bénéfices actuels, potentiellement justifiée par les perspectives de croissance du secteur des câbles. Le P/B de 2,01x indique que le marché valorise l'entreprise à environ deux fois sa valeur comptable (capitaux propres de 9,346 Mds FCFA), traduisant une prime de croissance accordée mais restant dans la fourchette raisonnable de 2-4x. Enfin, l'EV/EBITDA de 6,4x (fourchette raisonnable de 5-10x) montre que la valeur totale de l'entreprise, incluant sa dette, reste cohérente avec sa capacité opérationnelle, sans signe de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CABC a enregistré une variation totale de -8,36%, avec une légère reprise de +0,16% lors de la dernière séance (J-1), portant le cours actuel à 3 180 FCFA. Le range de trading est particulièrement large, avec un plus haut à 4 500 FCFA et un plus bas à 3 175 FCFA — le cours actuel évolue donc pratiquement au plus bas de sa fourchette, ce qui traduit une tendance baissière dominante sur la période. Les statistiques descriptives révèlent une moyenne de 3 671 FCFA nettement supérieure à la médiane de 3 592 FCFA, confirmant un skewness positif de 0,823 (asymétrie à droite) : le cours a passé plus de journées sous sa moyenne, avec quelques pics haussiers isolés tirant la moyenne vers le haut. L'écart-type de 303 FCFA (CV de 8,3%) indique une dispersion modérée autour de la moyenne, tandis que le kurtosis de 0,292 (mésokurtique) suggère une distribution proche de la normale, sans risque excessif de pics extrêmes. La volatilité annualisée de 44,9% classe ce titre dans la catégorie à volatilité élevée (&gt;30%), ce qui implique un risque significatif pour les investisseurs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(3 347,5 FCFA) et la MM50 (3 462,5 FCFA) se situent toutes deux au-dessus du cours actuel (3 180 FCFA), avec la MM20 en dessous de la MM50 — configuration baissière classique. Le cours évoluant sous ses deux moyennes mobiles, la pression vendeuse est confirmée, justifiant la décision technique de **Vente**.</w:t>
      </w:r>
    </w:p>
    <w:p>
      <w:pPr>
        <w:spacing w:after="120" w:line="276" w:lineRule="auto"/>
      </w:pPr>
      <w:r>
        <w:t>**Bandes de Bollinger** : Le cours (3 180 FCFA) évolue dans la partie basse des bandes, proche de la borne inférieure (3 126,1 FCFA) et loin de la borne supérieure (3 568,9 FCFA). Cette position suggère que le titre est proche d'une zone de survente technique, mais sans franchissement de la borne inférieure, ce qui explique la décision **Neutre** — un rebond technique reste possible mais non confirmé.</w:t>
      </w:r>
    </w:p>
    <w:p>
      <w:pPr>
        <w:spacing w:after="120" w:line="276" w:lineRule="auto"/>
      </w:pPr>
      <w:r>
        <w:t>**MACD** : La valeur du MACD (-76,345) est inférieure à son signal (-67,379), avec un histogramme négatif — configuration baissière. Le momentum reste négatif et la divergence entre les deux lignes ne montre pas encore de croisement haussier, justifiant la décision de **Vente**.</w:t>
      </w:r>
    </w:p>
    <w:p>
      <w:pPr>
        <w:spacing w:after="120" w:line="276" w:lineRule="auto"/>
      </w:pPr>
      <w:r>
        <w:t>**RSI** : À 32,824, le RSI se situe dans la zone neutre basse (30-70), proche du seuil de survente (30) sans l'atteindre. Cette position indique une pression baissière modérée mais pas de signal d'achat technique, d'où la décision **Neutre**.</w:t>
      </w:r>
    </w:p>
    <w:p>
      <w:pPr>
        <w:spacing w:after="120" w:line="276" w:lineRule="auto"/>
      </w:pPr>
      <w:r>
        <w:t>**Stochastique** : Le %K (2,222) est très bas et inférieur au %D (9,074), avec un croisement en zone de survente extrême. Cette configuration est typiquement un signal d'achat technique à court terme, justifiant la décision **Achat** — mais ce signal isolé contredit les autres indicateurs.</w:t>
      </w:r>
    </w:p>
    <w:p>
      <w:pPr>
        <w:spacing w:after="120" w:line="276" w:lineRule="auto"/>
      </w:pPr>
      <w:r>
        <w:t>**Conclusion technique** : Les indicateurs techniques présentent une divergence notable : les moyennes mobiles et le MACD confirment une tendance baissière, le RSI et les bandes de Bollinger sont neutres, tandis que le stochastique génère un signal d'achat en zone de survente. Cette configuration suggère un potentiel rebond technique à court terme, mais la tendance de fond reste baissière tant que le cours n'aura pas reconquis la MM20 (3 347,5 FCFA). La prudence est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indiquent un chiffre d'affaires de 21 263 M FCFA, en croissance de 11,18% par rapport à 2024, avec un résultat net de 1 439 M FCFA, une marge nette de 6,77% et un ROE de 15,40% (niveau excellent, &gt;15%). Le ROA de 6,10% et la rotation des actifs de 90,06% témoignent d'une bonne efficacité dans l'utilisation des actifs. Cependant, l'analyse des délais d'exploitation révèle des points de vigilance majeurs : le délai clients de 144,69 jours et la durée de stockage de 152,12 jours sont élevés, immobilisant le capital et créant un risque de trésorerie — confirmé par un flux opérationnel négatif de -819,66 M FCFA et un Free Cash Flow de -982,71 M FCFA en 2025. Le BFR de 7 186 M FCFA (positif) et le fonds de roulement de 12 325 M FCFA indiquent une structure financière tendue, bien que la trésorerie nette reste positive à 5 139 M FCFA. L'autonomie financière de 39,58% (&gt;30%) est saine, et la capacité de remboursement de 0,26 an est excellente. Les rapports narratifs révèlent une divergence critique : le rapport annuel certifié 2024 (daté du 31/12/2024) mentionne un résultat net de 1 225 M FCFA (baisse de -14,3%), tandis que le rapport de Mistral (daté du 15/03/2026) évoque une perte de 1 704 M FCFA pour 2025 — contradiction majeure avec les données structurées. Le rapport T3 2025 (daté du 30/09/2025) indique un résultat net de 1 329,5 M FCFA (+26%) sur 9 mois, et le rapport T1 2026 (daté de 2026) fait état d'une perte de 221,7 M FCFA (-26,5% de CA) due à une maintenance planifiée et à l'inflation des cours des métaux (+23%). **Estimation** : sur la base du T3 2025 (CA +13,7%, résultat net +26%), l'exercice 2025 devrait afficher une croissance solide, mais le T1 2026 déficitaire suggère un ralentissement en 2026. La recommandation fondamentale est **CONSERVER** avec vigilance : la société reste profitable et bien capitalisée, mais les tensions sur la trésorerie, les délais clients élevés et la volatilité des matières premières constituent des risques significatifs.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mais légèrement supérieure à la moyenne du marché (PER 13,1x vs 8-12x), sans signe de sous-évaluation manifeste. Le comportement du cours (Partie 1) est préoccupant : tendance baissière (-8,36% sur 100 jours), cours proche du plus bas (3 175 FCFA), volatilité élevée (44,9%) et skewness positif indiquant une pression vendeuse persistante. Les signaux techniques (Partie 2) sont majoritairement baissiers (MM, MACD) avec quelques signaux neutres (RSI, Bollinger) et un signal d'achat isolé (stochastique), suggérant un possible rebond technique mais sans confirmation de retournement. Les fondamentaux (Partie 3) montrent une société profitable (ROE 15,4%, CA +11,2% en 2025) mais confrontée à des défis de trésorerie (flux opérationnel négatif, délais clients élevés) et à un T1 2026 déficitaire. Les prédictions IA (J+1 à J+10) anticipent une légère reprise (3 175 → 3 194 FCFA), ce qui confirme un possible rebond technique à court terme mais sans inversion de tendance majeure. **Recommandation finale : CONSERVER** — la convergence entre valorisation correcte, fondamentaux solides mais tendus, et signaux techniques mitigés ne justifie ni un achat agressif ni une vente panique. Le niveau de confiance est **Moyen** (contradictions entre rapports et données structurées), le risque global est **Élevé** (volatilité 44,9%, tensions de trésorerie, dépendance aux matières premières), et l'horizon optimal est **moyen terme (3-12 mois)** , en attendant la confirmation d'un retour à la profitabilité au T2 2026 et une amélioration de la gestion du BFR.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960.16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1,516 titres</w:t>
            </w:r>
          </w:p>
        </w:tc>
        <w:tc>
          <w:tcPr>
            <w:tcW w:type="dxa" w:w="2268"/>
            <w:shd w:fill="FFF2CC" w:val="clear"/>
          </w:tcPr>
          <w:p>
            <w:r>
              <w:rPr>
                <w:b/>
                <w:color w:val="503200"/>
                <w:sz w:val="16"/>
              </w:rPr>
              <w:t xml:space="preserve">Cours actuel : </w:t>
            </w:r>
            <w:r>
              <w:rPr>
                <w:color w:val="000000"/>
                <w:sz w:val="17"/>
              </w:rPr>
              <w:t>30,005 FCFA</w:t>
            </w:r>
          </w:p>
          <w:p>
            <w:r>
              <w:rPr>
                <w:b/>
                <w:color w:val="503200"/>
                <w:sz w:val="16"/>
              </w:rPr>
              <w:t xml:space="preserve">Var. 100 jours : </w:t>
            </w:r>
            <w:r>
              <w:rPr>
                <w:b/>
                <w:color w:val="007800"/>
                <w:sz w:val="17"/>
              </w:rPr>
              <w:t>+46.37%</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20,500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15.79% (Élevée) — μ=27,279 FCFA, σ=4,308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β=1.3141 (Agressif) — Cov=0.000097, Var(idx)=0.000074, ρ=0.407,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28,118</w:t>
            </w:r>
          </w:p>
        </w:tc>
        <w:tc>
          <w:tcPr>
            <w:tcW w:type="dxa" w:w="1440"/>
            <w:shd w:fill="FAFAFA" w:val="clear"/>
          </w:tcPr>
          <w:p>
            <w:r>
              <w:rPr>
                <w:b/>
                <w:sz w:val="17"/>
              </w:rPr>
              <w:t>29,715</w:t>
            </w:r>
          </w:p>
        </w:tc>
        <w:tc>
          <w:tcPr>
            <w:tcW w:type="dxa" w:w="1440"/>
            <w:shd w:fill="FAFAFA" w:val="clear"/>
          </w:tcPr>
          <w:p>
            <w:r>
              <w:rPr>
                <w:sz w:val="17"/>
              </w:rPr>
              <w:t>31,312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27,313</w:t>
            </w:r>
          </w:p>
        </w:tc>
        <w:tc>
          <w:tcPr>
            <w:tcW w:type="dxa" w:w="1440"/>
            <w:shd w:fill="FAFAFA" w:val="clear"/>
          </w:tcPr>
          <w:p>
            <w:r>
              <w:rPr>
                <w:b/>
                <w:sz w:val="17"/>
              </w:rPr>
              <w:t>29,560</w:t>
            </w:r>
          </w:p>
        </w:tc>
        <w:tc>
          <w:tcPr>
            <w:tcW w:type="dxa" w:w="1440"/>
            <w:shd w:fill="FAFAFA" w:val="clear"/>
          </w:tcPr>
          <w:p>
            <w:r>
              <w:rPr>
                <w:sz w:val="17"/>
              </w:rPr>
              <w:t>31,807</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26,670</w:t>
            </w:r>
          </w:p>
        </w:tc>
        <w:tc>
          <w:tcPr>
            <w:tcW w:type="dxa" w:w="1440"/>
            <w:shd w:fill="FAFAFA" w:val="clear"/>
          </w:tcPr>
          <w:p>
            <w:r>
              <w:rPr>
                <w:b/>
                <w:sz w:val="17"/>
              </w:rPr>
              <w:t>29,408</w:t>
            </w:r>
          </w:p>
        </w:tc>
        <w:tc>
          <w:tcPr>
            <w:tcW w:type="dxa" w:w="1440"/>
            <w:shd w:fill="FAFAFA" w:val="clear"/>
          </w:tcPr>
          <w:p>
            <w:r>
              <w:rPr>
                <w:sz w:val="17"/>
              </w:rPr>
              <w:t>32,146</w:t>
            </w:r>
          </w:p>
        </w:tc>
        <w:tc>
          <w:tcPr>
            <w:tcW w:type="dxa" w:w="1440"/>
            <w:shd w:fill="FAFAFA"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26,114</w:t>
            </w:r>
          </w:p>
        </w:tc>
        <w:tc>
          <w:tcPr>
            <w:tcW w:type="dxa" w:w="1440"/>
            <w:shd w:fill="FFDCE0" w:val="clear"/>
          </w:tcPr>
          <w:p>
            <w:r>
              <w:rPr>
                <w:b/>
                <w:sz w:val="17"/>
              </w:rPr>
              <w:t>29,260</w:t>
            </w:r>
          </w:p>
        </w:tc>
        <w:tc>
          <w:tcPr>
            <w:tcW w:type="dxa" w:w="1440"/>
            <w:shd w:fill="FFDCE0" w:val="clear"/>
          </w:tcPr>
          <w:p>
            <w:r>
              <w:rPr>
                <w:sz w:val="17"/>
              </w:rPr>
              <w:t>32,406</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25,631</w:t>
            </w:r>
          </w:p>
        </w:tc>
        <w:tc>
          <w:tcPr>
            <w:tcW w:type="dxa" w:w="1440"/>
            <w:shd w:fill="FFDCE0" w:val="clear"/>
          </w:tcPr>
          <w:p>
            <w:r>
              <w:rPr>
                <w:b/>
                <w:sz w:val="17"/>
              </w:rPr>
              <w:t>29,133</w:t>
            </w:r>
          </w:p>
        </w:tc>
        <w:tc>
          <w:tcPr>
            <w:tcW w:type="dxa" w:w="1440"/>
            <w:shd w:fill="FFDCE0" w:val="clear"/>
          </w:tcPr>
          <w:p>
            <w:r>
              <w:rPr>
                <w:sz w:val="17"/>
              </w:rPr>
              <w:t>32,634</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25,201</w:t>
            </w:r>
          </w:p>
        </w:tc>
        <w:tc>
          <w:tcPr>
            <w:tcW w:type="dxa" w:w="1440"/>
            <w:shd w:fill="FFDCE0" w:val="clear"/>
          </w:tcPr>
          <w:p>
            <w:r>
              <w:rPr>
                <w:b/>
                <w:sz w:val="17"/>
              </w:rPr>
              <w:t>29,022</w:t>
            </w:r>
          </w:p>
        </w:tc>
        <w:tc>
          <w:tcPr>
            <w:tcW w:type="dxa" w:w="1440"/>
            <w:shd w:fill="FFDCE0" w:val="clear"/>
          </w:tcPr>
          <w:p>
            <w:r>
              <w:rPr>
                <w:sz w:val="17"/>
              </w:rPr>
              <w:t>32,843</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24,811</w:t>
            </w:r>
          </w:p>
        </w:tc>
        <w:tc>
          <w:tcPr>
            <w:tcW w:type="dxa" w:w="1440"/>
            <w:shd w:fill="FFDCE0" w:val="clear"/>
          </w:tcPr>
          <w:p>
            <w:r>
              <w:rPr>
                <w:b/>
                <w:sz w:val="17"/>
              </w:rPr>
              <w:t>28,924</w:t>
            </w:r>
          </w:p>
        </w:tc>
        <w:tc>
          <w:tcPr>
            <w:tcW w:type="dxa" w:w="1440"/>
            <w:shd w:fill="FFDCE0" w:val="clear"/>
          </w:tcPr>
          <w:p>
            <w:r>
              <w:rPr>
                <w:sz w:val="17"/>
              </w:rPr>
              <w:t>33,038</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24,452</w:t>
            </w:r>
          </w:p>
        </w:tc>
        <w:tc>
          <w:tcPr>
            <w:tcW w:type="dxa" w:w="1440"/>
            <w:shd w:fill="FFDCE0" w:val="clear"/>
          </w:tcPr>
          <w:p>
            <w:r>
              <w:rPr>
                <w:b/>
                <w:sz w:val="17"/>
              </w:rPr>
              <w:t>28,837</w:t>
            </w:r>
          </w:p>
        </w:tc>
        <w:tc>
          <w:tcPr>
            <w:tcW w:type="dxa" w:w="1440"/>
            <w:shd w:fill="FFDCE0" w:val="clear"/>
          </w:tcPr>
          <w:p>
            <w:r>
              <w:rPr>
                <w:sz w:val="17"/>
              </w:rPr>
              <w:t>33,221</w:t>
            </w:r>
          </w:p>
        </w:tc>
        <w:tc>
          <w:tcPr>
            <w:tcW w:type="dxa" w:w="1440"/>
            <w:shd w:fill="FFDCE0" w:val="clear"/>
          </w:tcPr>
          <w:p>
            <w:r>
              <w:rPr>
                <w:b/>
                <w:color w:val="C00000"/>
                <w:sz w:val="17"/>
              </w:rPr>
              <w:t>-3.9%</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24,119</w:t>
            </w:r>
          </w:p>
        </w:tc>
        <w:tc>
          <w:tcPr>
            <w:tcW w:type="dxa" w:w="1440"/>
            <w:shd w:fill="FFDCE0" w:val="clear"/>
          </w:tcPr>
          <w:p>
            <w:r>
              <w:rPr>
                <w:b/>
                <w:sz w:val="17"/>
              </w:rPr>
              <w:t>28,756</w:t>
            </w:r>
          </w:p>
        </w:tc>
        <w:tc>
          <w:tcPr>
            <w:tcW w:type="dxa" w:w="1440"/>
            <w:shd w:fill="FFDCE0" w:val="clear"/>
          </w:tcPr>
          <w:p>
            <w:r>
              <w:rPr>
                <w:sz w:val="17"/>
              </w:rPr>
              <w:t>33,393</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23,810</w:t>
            </w:r>
          </w:p>
        </w:tc>
        <w:tc>
          <w:tcPr>
            <w:tcW w:type="dxa" w:w="1440"/>
            <w:shd w:fill="FFDCE0" w:val="clear"/>
          </w:tcPr>
          <w:p>
            <w:r>
              <w:rPr>
                <w:b/>
                <w:sz w:val="17"/>
              </w:rPr>
              <w:t>28,686</w:t>
            </w:r>
          </w:p>
        </w:tc>
        <w:tc>
          <w:tcPr>
            <w:tcW w:type="dxa" w:w="1440"/>
            <w:shd w:fill="FFDCE0" w:val="clear"/>
          </w:tcPr>
          <w:p>
            <w:r>
              <w:rPr>
                <w:sz w:val="17"/>
              </w:rPr>
              <w:t>33,562</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960,16 milliards FCFA, CBIBF s'impose comme l'une des plus importantes capitalisations du compartiment bancaire de la BRVM, ce qui témoigne de sa position de leader au Burkina Faso et de sa liquidité relative sur le marché régional. Le BPA de 2 047 FCFA/action signifie que chaque titre génère près de 2 047 FCFA de bénéfice net, un niveau élevé qui traduit la forte rentabilité de la banque. Le PER de 14,7x se situe au-dessus de la moyenne BRVM (généralement comprise entre 8 et 12x), ce qui indique que les investisseurs acceptent de payer une prime de valorisation pour cette valeur bancaire, justifiée par sa croissance récente exceptionnelle (+36,6% de résultat net en 2025). L'EV/EBITDA de 10,9x, situé dans la fourchette 10-15x, confirme une valorisation élevée mais cohérente avec la capacité opérationnelle de la banque et sa génération de cash-flows. Le ratio P/B n'étant pas fourni dans les données disponibles, il n'est pas possible de comparer la valorisation de marché à la valeur comptable des fonds propres.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performance remarquable de +46,37%, passant d'un plus bas de 20 500 FCFA à un plus haut de 34 450 FCFA, pour un cours actuel de 30 005 FCFA, soit une tendance nettement haussière malgré un repli de -4,14% lors de la dernière séance (J-1). Le range de trading de près de 14 000 FCFA (soit environ 68% d'amplitude) témoigne d'une forte dynamique acheteuse sur la période, portée par les excellents résultats publiés. Les statistiques descriptives révèlent une moyenne de 27 279 FCFA légèrement inférieure à la médiane de 28 310 FCFA, suggérant une asymétrie négative légère (skewness de -0,145, distribution quasi-symétrique) avec quelques séances de forte baisse ayant tiré la moyenne vers le bas. L'écart-type de 4 330 FCFA (CV de 15,9%) indique une dispersion modérée du cours autour de sa moyenne, tandis que le kurtosis de -1,263 (distribution platykurtique) signale une faible concentration des rendements et un risque de pics extrêmes limité. La volatilité annualisée de 44,2% positionne clairement CBIBF dans la catégorie des titres à volatilité élevée (&gt;30%), ce qui implique un risque de marché significatif pour l'investisseur, mais aussi un potentiel de gain attractif.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31 990,25 FCFA et la MM50 à 30 697,1 FCFA, toutes deux supérieures au cours actuel de 30 005 FCFA, ce qui place le titre en dessous de ses moyennes court et moyen terme. Cette configuration signale un essoufflement de la dynamique haussière récente, bien que la décision fournie soit "Achat", probablement en anticipation d'un rebond technique sur support.</w:t>
      </w:r>
    </w:p>
    <w:p>
      <w:pPr>
        <w:spacing w:after="120" w:line="276" w:lineRule="auto"/>
      </w:pPr>
      <w:r>
        <w:t>**Bandes de Bollinger** : Le cours actuel (30 005 FCFA) se situe dans la partie basse de la bande, entre la borne inférieure (28 602,632 FCFA) et la borne supérieure (35 377,868 FCFA), mais nettement en dessous de la moyenne mobile centrale. La décision "Neutre" reflète l'absence de signal directionnel clair, le titre n'étant ni en surachat ni en survente selon ce critère.</w:t>
      </w:r>
    </w:p>
    <w:p>
      <w:pPr>
        <w:spacing w:after="120" w:line="276" w:lineRule="auto"/>
      </w:pPr>
      <w:r>
        <w:t>**MACD** : La valeur du MACD (-96,874) est inférieure à son signal (160,897), générant une divergence baissière marquée qui traduit un momentum négatif à court terme. La décision "Vente" confirme cette pression vendeuse, le croisement MACD/Signal étant clairement défavorable.</w:t>
      </w:r>
    </w:p>
    <w:p>
      <w:pPr>
        <w:spacing w:after="120" w:line="276" w:lineRule="auto"/>
      </w:pPr>
      <w:r>
        <w:t>**RSI** : À 36,652, le RSI se situe dans la zone neutre basse (entre 30 et 70), sans atteindre le seuil de survente (&lt;30). La décision "Neutre" indique que le titre n'est pas encore techniquement survendu, mais s'approche d'une zone où un rebond pourrait se matérialiser.</w:t>
      </w:r>
    </w:p>
    <w:p>
      <w:pPr>
        <w:spacing w:after="120" w:line="276" w:lineRule="auto"/>
      </w:pPr>
      <w:r>
        <w:t>**Stochastique** : Le %K (30,751) est inférieur au %D (45,423), avec un croisement baissier en zone basse. La décision "Neutre" suggère que la pression baissière s'atténue progressivement, sans signal d'achat confirmé.</w:t>
      </w:r>
    </w:p>
    <w:p>
      <w:pPr>
        <w:spacing w:after="120" w:line="276" w:lineRule="auto"/>
      </w:pPr>
      <w:r>
        <w:t>**Conclusion technique** : Les indicateurs techniques présentent un tableau mitigé, avec une majorité de signaux neutres ou baissiers (MACD en vente, cours sous les MM, stochastique baissier) qui contredisent la décision "Achat" des moyennes mobiles. Le titre se trouve dans une phase de consolidation après sa forte hausse, avec un risque de correction supplémentaire vers la borne inférieure des Bollinger (28 602 FCFA) avant une reprise durable. La prudence est de mise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(publiées dans le rapport annuel au 31 décembre 2025) révèlent une performance exceptionnelle de Coris Bank International : le Produit Net Bancaire (équivalent du chiffre d'affaires pour une banque) s'établit à 138,986 milliards FCFA, en croissance de 6,1% par rapport à 2024, tandis que le résultat net atteint 65,495 milliards FCFA, en progression spectaculaire de +36,6% (contre 47,937 milliards en 2024). Cette performance est d'autant plus remarquable qu'elle intervient après une année 2024 difficile marquée par une chute de -25,4% du résultat net due à un assainissement du portefeuille de crédits. Le coefficient d'exploitation de 36,39% (largement inférieur au seuil de 60% et même au seuil d'excellence de 50%) témoigne d'une efficacité opérationnelle remarquable, tandis que la marge nette de 47,12% et la marge opérationnelle de 51,77% confirment la forte rentabilité de la banque. Le ROA de 2,18% et la rotation des actifs de 4,64% sont solides pour le secteur bancaire. La structure bilancielle affiche des dépôts clientèle de 2 015,284 milliards FCFA pour des créances clientèle de 1 326,977 milliards FCFA, soit un ratio de transformation (crédits/dépôts) de 65,8%, indiquant une gestion prudente des ressources. Le coût du risque, bien qu'élevé en valeur absolue (16,5 milliards FCFA), s'est amélioré de 59,3% par rapport à 2024, traduisant une meilleure qualité du portefeuille. Les rapports trimestriels récents confirment cette dynamique : le T1 2026 (publié en avril 2026) affiche un PNB de 36,8 milliards FCFA (+28,5%) et un résultat net de 21,5 milliards FCFA (+22,2%), avec une marge nette de 58,4%. Sur la base de ces tendances, on peut estimer que l'exercice 2026 devrait enregistrer un résultat net supérieur à 80 milliards FCFA si la dynamique se maintient, bien que l'environnement économique et sécuritaire régional reste un facteur de risque. La notation financière AA/AI avec perspective stable (confirmée par Bloomfield Investment Corporation) et le renforcement de la gouvernance avec deux administrateurs indépendants constituent des éléments rassurants pour les investisseurs.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le plan de la valorisation (Partie 0), le PER de 14,7x et l'EV/EBITDA de 10,9x indiquent une valorisation modérée à élevée, avec une prime de marché justifiée par la croissance exceptionnelle, mais qui limite le potentiel de revalorisation à court terme. Le comportement du cours (Partie 1) montre une tendance haussière impressionnante (+46,37% sur 100 jours) mais avec une volatilité élevée (44,2%) et une distribution platykurtique qui suggère un risque de pics baissiers limité, tandis que la skewness quasi-nulle indique une symétrie des rendements. Les signaux techniques (Partie 2) sont majoritairement neutres à baissiers (MACD en vente, cours sous les MM20/MM50, stochastique baissier), suggérant une consolidation en cours après la forte hausse. Les fondamentaux (Partie 3) restent excellents avec un résultat net en hausse de +36,6% en 2025, un coefficient d'exploitation de 36,39% et une dynamique trimestrielle confirmée au T1 2026 (+22,2% de résultat net). Les prédictions IA (J+1 à J+10) anticipent une légère correction vers 29 133 FCFA d'ici le 16 octobre 2026, ce qui confirme les signaux techniques baissiers à court terme. Sur la base de cette synthèse, la recommandation finale est **CONSERVER** avec un niveau de confiance **Moyen** et un risque global **Élevé**. En effet, la convergence entre les signaux techniques baissiers, les prédictions IA correctives et la valorisation déjà exigeante contredit la solidité fondamentale exceptionnelle de la banque. L'horizon d'investissement optimal est le **moyen terme (3-12 mois)**, en attendant une correction vers les niveaux de support (28 600-29 000 FCFA) qui offrirait un point d'entrée plus attractif pour profiter de la poursuite de la croissance fondamentale. Les investisseurs déjà positionnés peuvent conserver leurs titres en surveillant le seuil des 28 600 FCFA (borne inférieure des Bollinger) comme niveau de stop-loss.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266.62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3,572 titres</w:t>
            </w:r>
          </w:p>
        </w:tc>
        <w:tc>
          <w:tcPr>
            <w:tcW w:type="dxa" w:w="2268"/>
            <w:shd w:fill="FFF2CC" w:val="clear"/>
          </w:tcPr>
          <w:p>
            <w:r>
              <w:rPr>
                <w:b/>
                <w:color w:val="503200"/>
                <w:sz w:val="16"/>
              </w:rPr>
              <w:t xml:space="preserve">Cours actuel : </w:t>
            </w:r>
            <w:r>
              <w:rPr>
                <w:color w:val="000000"/>
                <w:sz w:val="17"/>
              </w:rPr>
              <w:t>1,470 FCFA</w:t>
            </w:r>
          </w:p>
          <w:p>
            <w:r>
              <w:rPr>
                <w:b/>
                <w:color w:val="503200"/>
                <w:sz w:val="16"/>
              </w:rPr>
              <w:t xml:space="preserve">Var. 100 jours : </w:t>
            </w:r>
            <w:r>
              <w:rPr>
                <w:b/>
                <w:color w:val="B40000"/>
                <w:sz w:val="17"/>
              </w:rPr>
              <w:t>-2.00%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1,460 FCFA</w:t>
            </w:r>
          </w:p>
          <w:p>
            <w:r>
              <w:rPr>
                <w:b/>
                <w:color w:val="503200"/>
                <w:sz w:val="16"/>
              </w:rPr>
              <w:t xml:space="preserve">Volatilité ann. : </w:t>
            </w:r>
            <w:r>
              <w:rPr>
                <w:color w:val="000000"/>
                <w:sz w:val="17"/>
              </w:rPr>
              <w:t>45.4%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5.52% (Moyenne) — μ=1,636 FCFA, σ=90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β=1.1575 (Neutre (suit le marché)) — Cov=0.000085, Var(idx)=0.000074, ρ=0.346,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1,441</w:t>
            </w:r>
          </w:p>
        </w:tc>
        <w:tc>
          <w:tcPr>
            <w:tcW w:type="dxa" w:w="1440"/>
            <w:shd w:fill="C6EFCE" w:val="clear"/>
          </w:tcPr>
          <w:p>
            <w:r>
              <w:rPr>
                <w:b/>
                <w:sz w:val="17"/>
              </w:rPr>
              <w:t>1,506</w:t>
            </w:r>
          </w:p>
        </w:tc>
        <w:tc>
          <w:tcPr>
            <w:tcW w:type="dxa" w:w="1440"/>
            <w:shd w:fill="C6EFCE" w:val="clear"/>
          </w:tcPr>
          <w:p>
            <w:r>
              <w:rPr>
                <w:sz w:val="17"/>
              </w:rPr>
              <w:t>1,571</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1,416</w:t>
            </w:r>
          </w:p>
        </w:tc>
        <w:tc>
          <w:tcPr>
            <w:tcW w:type="dxa" w:w="1440"/>
            <w:shd w:fill="C6EFCE" w:val="clear"/>
          </w:tcPr>
          <w:p>
            <w:r>
              <w:rPr>
                <w:b/>
                <w:sz w:val="17"/>
              </w:rPr>
              <w:t>1,508</w:t>
            </w:r>
          </w:p>
        </w:tc>
        <w:tc>
          <w:tcPr>
            <w:tcW w:type="dxa" w:w="1440"/>
            <w:shd w:fill="C6EFCE" w:val="clear"/>
          </w:tcPr>
          <w:p>
            <w:r>
              <w:rPr>
                <w:sz w:val="17"/>
              </w:rPr>
              <w:t>1,600</w:t>
            </w:r>
          </w:p>
        </w:tc>
        <w:tc>
          <w:tcPr>
            <w:tcW w:type="dxa" w:w="1440"/>
            <w:shd w:fill="C6EFCE" w:val="clear"/>
          </w:tcPr>
          <w:p>
            <w:r>
              <w:rPr>
                <w:b/>
                <w:color w:val="008000"/>
                <w:sz w:val="17"/>
              </w:rPr>
              <w:t>+2.6%</w:t>
            </w:r>
          </w:p>
        </w:tc>
      </w:tr>
      <w:tr>
        <w:tc>
          <w:tcPr>
            <w:tcW w:type="dxa" w:w="1440"/>
            <w:shd w:fill="C6EFCE" w:val="clear"/>
          </w:tcPr>
          <w:p>
            <w:r>
              <w:rPr>
                <w:sz w:val="17"/>
              </w:rPr>
              <w:t>J+3  Moyenne</w:t>
            </w:r>
          </w:p>
        </w:tc>
        <w:tc>
          <w:tcPr>
            <w:tcW w:type="dxa" w:w="1440"/>
            <w:shd w:fill="C6EFCE" w:val="clear"/>
          </w:tcPr>
          <w:p>
            <w:r>
              <w:rPr>
                <w:sz w:val="17"/>
              </w:rPr>
              <w:t>2026-10-14</w:t>
            </w:r>
          </w:p>
        </w:tc>
        <w:tc>
          <w:tcPr>
            <w:tcW w:type="dxa" w:w="1440"/>
            <w:shd w:fill="C6EFCE" w:val="clear"/>
          </w:tcPr>
          <w:p>
            <w:r>
              <w:rPr>
                <w:sz w:val="17"/>
              </w:rPr>
              <w:t>1,401</w:t>
            </w:r>
          </w:p>
        </w:tc>
        <w:tc>
          <w:tcPr>
            <w:tcW w:type="dxa" w:w="1440"/>
            <w:shd w:fill="C6EFCE" w:val="clear"/>
          </w:tcPr>
          <w:p>
            <w:r>
              <w:rPr>
                <w:b/>
                <w:sz w:val="17"/>
              </w:rPr>
              <w:t>1,513</w:t>
            </w:r>
          </w:p>
        </w:tc>
        <w:tc>
          <w:tcPr>
            <w:tcW w:type="dxa" w:w="1440"/>
            <w:shd w:fill="C6EFCE" w:val="clear"/>
          </w:tcPr>
          <w:p>
            <w:r>
              <w:rPr>
                <w:sz w:val="17"/>
              </w:rPr>
              <w:t>1,626</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1,389</w:t>
            </w:r>
          </w:p>
        </w:tc>
        <w:tc>
          <w:tcPr>
            <w:tcW w:type="dxa" w:w="1440"/>
            <w:shd w:fill="C6EFCE" w:val="clear"/>
          </w:tcPr>
          <w:p>
            <w:r>
              <w:rPr>
                <w:b/>
                <w:sz w:val="17"/>
              </w:rPr>
              <w:t>1,519</w:t>
            </w:r>
          </w:p>
        </w:tc>
        <w:tc>
          <w:tcPr>
            <w:tcW w:type="dxa" w:w="1440"/>
            <w:shd w:fill="C6EFCE" w:val="clear"/>
          </w:tcPr>
          <w:p>
            <w:r>
              <w:rPr>
                <w:sz w:val="17"/>
              </w:rPr>
              <w:t>1,650</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1,378</w:t>
            </w:r>
          </w:p>
        </w:tc>
        <w:tc>
          <w:tcPr>
            <w:tcW w:type="dxa" w:w="1440"/>
            <w:shd w:fill="C6EFCE" w:val="clear"/>
          </w:tcPr>
          <w:p>
            <w:r>
              <w:rPr>
                <w:b/>
                <w:sz w:val="17"/>
              </w:rPr>
              <w:t>1,525</w:t>
            </w:r>
          </w:p>
        </w:tc>
        <w:tc>
          <w:tcPr>
            <w:tcW w:type="dxa" w:w="1440"/>
            <w:shd w:fill="C6EFCE" w:val="clear"/>
          </w:tcPr>
          <w:p>
            <w:r>
              <w:rPr>
                <w:sz w:val="17"/>
              </w:rPr>
              <w:t>1,672</w:t>
            </w:r>
          </w:p>
        </w:tc>
        <w:tc>
          <w:tcPr>
            <w:tcW w:type="dxa" w:w="1440"/>
            <w:shd w:fill="C6EFCE" w:val="clear"/>
          </w:tcPr>
          <w:p>
            <w:r>
              <w:rPr>
                <w:b/>
                <w:color w:val="008000"/>
                <w:sz w:val="17"/>
              </w:rPr>
              <w:t>+3.8%</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1,370</w:t>
            </w:r>
          </w:p>
        </w:tc>
        <w:tc>
          <w:tcPr>
            <w:tcW w:type="dxa" w:w="1440"/>
            <w:shd w:fill="C6EFCE" w:val="clear"/>
          </w:tcPr>
          <w:p>
            <w:r>
              <w:rPr>
                <w:b/>
                <w:sz w:val="17"/>
              </w:rPr>
              <w:t>1,531</w:t>
            </w:r>
          </w:p>
        </w:tc>
        <w:tc>
          <w:tcPr>
            <w:tcW w:type="dxa" w:w="1440"/>
            <w:shd w:fill="C6EFCE" w:val="clear"/>
          </w:tcPr>
          <w:p>
            <w:r>
              <w:rPr>
                <w:sz w:val="17"/>
              </w:rPr>
              <w:t>1,692</w:t>
            </w:r>
          </w:p>
        </w:tc>
        <w:tc>
          <w:tcPr>
            <w:tcW w:type="dxa" w:w="1440"/>
            <w:shd w:fill="C6EFCE" w:val="clear"/>
          </w:tcPr>
          <w:p>
            <w:r>
              <w:rPr>
                <w:b/>
                <w:color w:val="008000"/>
                <w:sz w:val="17"/>
              </w:rPr>
              <w:t>+4.1%</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1,361</w:t>
            </w:r>
          </w:p>
        </w:tc>
        <w:tc>
          <w:tcPr>
            <w:tcW w:type="dxa" w:w="1440"/>
            <w:shd w:fill="C6EFCE" w:val="clear"/>
          </w:tcPr>
          <w:p>
            <w:r>
              <w:rPr>
                <w:b/>
                <w:sz w:val="17"/>
              </w:rPr>
              <w:t>1,536</w:t>
            </w:r>
          </w:p>
        </w:tc>
        <w:tc>
          <w:tcPr>
            <w:tcW w:type="dxa" w:w="1440"/>
            <w:shd w:fill="C6EFCE" w:val="clear"/>
          </w:tcPr>
          <w:p>
            <w:r>
              <w:rPr>
                <w:sz w:val="17"/>
              </w:rPr>
              <w:t>1,711</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1,354</w:t>
            </w:r>
          </w:p>
        </w:tc>
        <w:tc>
          <w:tcPr>
            <w:tcW w:type="dxa" w:w="1440"/>
            <w:shd w:fill="C6EFCE" w:val="clear"/>
          </w:tcPr>
          <w:p>
            <w:r>
              <w:rPr>
                <w:b/>
                <w:sz w:val="17"/>
              </w:rPr>
              <w:t>1,542</w:t>
            </w:r>
          </w:p>
        </w:tc>
        <w:tc>
          <w:tcPr>
            <w:tcW w:type="dxa" w:w="1440"/>
            <w:shd w:fill="C6EFCE" w:val="clear"/>
          </w:tcPr>
          <w:p>
            <w:r>
              <w:rPr>
                <w:sz w:val="17"/>
              </w:rPr>
              <w:t>1,729</w:t>
            </w:r>
          </w:p>
        </w:tc>
        <w:tc>
          <w:tcPr>
            <w:tcW w:type="dxa" w:w="1440"/>
            <w:shd w:fill="C6EFCE" w:val="clear"/>
          </w:tcPr>
          <w:p>
            <w:r>
              <w:rPr>
                <w:b/>
                <w:color w:val="008000"/>
                <w:sz w:val="17"/>
              </w:rPr>
              <w:t>+4.9%</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1,347</w:t>
            </w:r>
          </w:p>
        </w:tc>
        <w:tc>
          <w:tcPr>
            <w:tcW w:type="dxa" w:w="1440"/>
            <w:shd w:fill="C6EFCE" w:val="clear"/>
          </w:tcPr>
          <w:p>
            <w:r>
              <w:rPr>
                <w:b/>
                <w:sz w:val="17"/>
              </w:rPr>
              <w:t>1,547</w:t>
            </w:r>
          </w:p>
        </w:tc>
        <w:tc>
          <w:tcPr>
            <w:tcW w:type="dxa" w:w="1440"/>
            <w:shd w:fill="C6EFCE" w:val="clear"/>
          </w:tcPr>
          <w:p>
            <w:r>
              <w:rPr>
                <w:sz w:val="17"/>
              </w:rPr>
              <w:t>1,746</w:t>
            </w:r>
          </w:p>
        </w:tc>
        <w:tc>
          <w:tcPr>
            <w:tcW w:type="dxa" w:w="1440"/>
            <w:shd w:fill="C6EFCE" w:val="clear"/>
          </w:tcPr>
          <w:p>
            <w:r>
              <w:rPr>
                <w:b/>
                <w:color w:val="008000"/>
                <w:sz w:val="17"/>
              </w:rPr>
              <w:t>+5.2%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1,341</w:t>
            </w:r>
          </w:p>
        </w:tc>
        <w:tc>
          <w:tcPr>
            <w:tcW w:type="dxa" w:w="1440"/>
            <w:shd w:fill="C6EFCE" w:val="clear"/>
          </w:tcPr>
          <w:p>
            <w:r>
              <w:rPr>
                <w:b/>
                <w:sz w:val="17"/>
              </w:rPr>
              <w:t>1,552</w:t>
            </w:r>
          </w:p>
        </w:tc>
        <w:tc>
          <w:tcPr>
            <w:tcW w:type="dxa" w:w="1440"/>
            <w:shd w:fill="C6EFCE" w:val="clear"/>
          </w:tcPr>
          <w:p>
            <w:r>
              <w:rPr>
                <w:sz w:val="17"/>
              </w:rPr>
              <w:t>1,763</w:t>
            </w:r>
          </w:p>
        </w:tc>
        <w:tc>
          <w:tcPr>
            <w:tcW w:type="dxa" w:w="1440"/>
            <w:shd w:fill="C6EFCE" w:val="clear"/>
          </w:tcPr>
          <w:p>
            <w:r>
              <w:rPr>
                <w:b/>
                <w:color w:val="008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 Distribution Automobile*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266,62 milliards FCFA, CFAC figure parmi les valeurs les plus importantes de la cote BRVM, ce qui témoigne de son statut de leader incontesté du marché automobile ivoirien. Le BPA s'établit à 26 FCFA par action, un niveau modeste qui, rapporté au cours actuel de 1 470 FCFA, génère un PER de 56,8x — très largement supérieur à la moyenne du marché BRVM (8-12x), signalant que les investisseurs paient une prime considérable pour les bénéfices actuels. Le ratio P/B de 13,71x confirme cette valorisation exigeante : le marché valorise l'entreprise à près de 14 fois sa valeur comptable, une prime qui n'est justifiable que par des perspectives de croissance exceptionnelles. Enfin, l'EV/EBITDA de 29,0x, bien au-delà du seuil de 15x généralement considéré comme exigeant, indique que la valeur d'entreprise intègre une anticipation de forte progression opérationnelle. Ces ratios, pris dans leur ensemble, traduisent une valorisation tendue qui laisse peu de marge d'erreur et expose le titre à une correction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CFAC a enregistré une variation totale de -2,00%, avec une chute marquée de -3,29% lors de la dernière séance, portant le cours actuel à 1 470 FCFA. Le range de trading s'étend de 1 460 FCFA (plus bas) à 1 825 FCFA (plus haut), soit un écart de 365 FCFA qui illustre une tendance baissière progressive depuis les sommets, le titre évoluant désormais près de son plancher. La moyenne de 1 636 FCFA et la médiane de 1 642 FCFA sont très proches, confirmant une distribution globalement symétrique (skewness de -0,131), tandis que le mode à 1 600 FCFA indique que ce niveau a concentré le plus grand nombre de transactions. L'écart-type de 91 FCFA, avec un coefficient de variation de 5,5%, révèle une dispersion modérée du cours autour de sa moyenne, mais le kurtosis négatif (-1,030, distribution platykurtique) signale une distribution aplatie avec une faible concentration autour du centre — autrement dit, le cours a tendance à évoluer dans des ranges larges plutôt que de stagner sur des niveaux précis. La volatilité annualisée de 45,4% classe ce titre dans la catégorie des valeurs à volatilité élevée (&gt;30%), ce qui implique un risque de fluctuation important et justifie une approche prudente pour tout 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(1 585,25 FCFA) et la MM50 (1 651,0 FCFA) se situent toutes deux nettement au-dessus du cours actuel (1 470 FCFA), avec la MM20 en dessous de la MM50 — configuration baissière caractéristique. Le cours évoluant sous ses deux moyennes mobiles, la pression vendeuse est confirmée et la décision technique de « Vente » est pleinement justifiée.</w:t>
      </w:r>
    </w:p>
    <w:p>
      <w:pPr>
        <w:spacing w:after="120" w:line="276" w:lineRule="auto"/>
      </w:pPr>
      <w:r>
        <w:t>**Bandes de Bollinger** : Le cours actuel (1 470 FCFA) se situe dans la partie inférieure de la bande, proche de la borne inférieure (1 418,723 FCFA) et loin de la borne supérieure (1 751,777 FCFA). Cet éloignement suggère que le titre approche d'une zone de survente relative, ce qui explique la décision « Neutre » — le potentiel baissier immédiat semble limité, mais la volatilité reste élevée.</w:t>
      </w:r>
    </w:p>
    <w:p>
      <w:pPr>
        <w:spacing w:after="120" w:line="276" w:lineRule="auto"/>
      </w:pPr>
      <w:r>
        <w:t>**MACD** : La valeur du MACD (-48,99) est inférieure à son signal (-41,633), confirmant une divergence baissière et un momentum négatif. Le MACD évoluant en territoire négatif, la dynamique de court terme reste défavorable, justifiant la décision de « Vente ».</w:t>
      </w:r>
    </w:p>
    <w:p>
      <w:pPr>
        <w:spacing w:after="120" w:line="276" w:lineRule="auto"/>
      </w:pPr>
      <w:r>
        <w:t>**RSI** : À 36,207, le RSI se situe dans la zone neutre basse (30-70), sans atteindre le seuil de survente (&lt;30). Cette position indique que le titre n'est pas encore techniquement « survendu » au sens strict, mais la pression baissière reste présente — d'où la décision « Neutre » qui appelle à la prudence plutôt qu'à un signal d'achat.</w:t>
      </w:r>
    </w:p>
    <w:p>
      <w:pPr>
        <w:spacing w:after="120" w:line="276" w:lineRule="auto"/>
      </w:pPr>
      <w:r>
        <w:t>**Stochastique** : Le %K (6,452) est très bas et inférieur au %D (27,073), ce qui place l'indicateur en zone de survente profonde. Cette configuration est généralement annonciatrice d'un rebond technique à court terme, justifiant la décision « Achat » — c'est le seul indicateur technique qui émet un signal positif.</w:t>
      </w:r>
    </w:p>
    <w:p>
      <w:pPr>
        <w:spacing w:after="120" w:line="276" w:lineRule="auto"/>
      </w:pPr>
      <w:r>
        <w:t>**Conclusion technique** : La majorité des indicateurs (MM, MACD) confirment une tendance baissière, tandis que le RSI et les Bandes de Bollinger suggèrent une accalmie potentielle et que le Stochastique émet un signal d'achat contrarien. Cette divergence indique que le titre se trouve dans une phase de consolidation baissière proche d'un support, avec un potentiel de rebond technique à court terme mais sans retournement de tendance confirmé. La prudence reste de mise tant que le cours n'aura pas reconquis la MM20 (1 585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2024 de CFAC (publiés le 31 décembre 2024) révèlent un chiffre d'affaires de 158,313 milliards FCFA, en baisse de -12,13% par rapport à 2023, et un résultat net de 4,693 milliards FCFA, en recul de -26,7%. Le ROE reste néanmoins élevé à 24,13%, témoignant d'une bonne rentabilité des fonds propres, tandis que le ROA de 5,52% reflète la lourdeur du bilan (total actif de 85,013 milliards FCFA). La marge nette de 2,96% est faible, typique du secteur de la distribution automobile, et la marge opérationnelle de 4,96% confirme la pression sur les coûts. En tant qu'entreprise de distribution, CFAC présente un BFR négatif de -3,482 milliards FCFA — un point positif qui signifie que l'entreprise finance son cycle d'exploitation par ses fournisseurs plutôt que par sa trésorerie. Les délais clients (36,64 jours) et fournisseurs (81,75 jours) sont relativement bien maîtrisés, mais la durée de stockage élevée (88,35 jours) immobilise du capital. La structure financière montre une autonomie financière de 22,88% (inférieure au seuil de 30% considéré comme sain) et un ratio d'endettement de 23,07%, tandis que la trésorerie nette est négative (-624,20 millions FCFA), signe de tension. Les rapports trimestriels 2025 (T1, S1, T3) témoignent d'un net redressement : au T1 2025 (publié le 31 mars 2025), le CA progresse de +14,5% à 46,161 milliards FCFA et le résultat net bondit de +279,7% à 3,836 milliards FCFA ; au S1 2025 (publié le 30 juin 2025), le CA atteint 91,182 milliards FCFA (+18,4%) et le résultat net 5,420 milliards FCFA (+152,7%) ; au T3 2025 (publié le 30 septembre 2025), le CA trimestriel s'élève à 43,580 milliards FCFA (+18,3%) et le résultat net à 1,489 milliard FCFA (+38,1%). Sur la base de ces tendances, on estime que l'exercice 2025 devrait afficher un chiffre d'affaires annuel d'environ 180-185 milliards FCFA et un résultat net de l'ordre de 10-11 milliards FCFA, marquant un redressement spectaculaire après l'exercice 2024 difficile. La recommandation fondamentale est de **CONSERVER** avec vigilance : la solidité du leadership (part de marché de 41,7% au T3 2025) et le redressement de la rentabilité sont des atouts majeurs, mais la valorisation exigeante et la tension sur la trésorerie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La valorisation (Partie 0) est clairement tendue : PER de 56,8x, P/B de 13,71x et EV/EBITDA de 29,0x indiquent une surévaluation manifeste par rapport aux bénéfices actuels, bien que les perspectives de redressement 2025 puissent partiellement justifier cette prime. Le comportement du cours (Partie 1) est baissier (-2,00% sur 100 jours, -3,29% en J-1) avec une volatilité élevée (45,4%) et une distribution platykurtique qui suggère des mouvements amples — des statistiques préoccupantes à court terme. Les signaux techniques (Partie 2) sont majoritairement baissiers (MM, MACD) mais divergent avec le Stochastique qui émet un signal d'achat contrarien, suggérant un possible rebond technique sans inversion de tendance. Les fondamentaux (Partie 3) sont en nette amélioration : les rapports trimestriels 2025 montrent une croissance robuste du CA (+18,4% au S1) et une explosion du résultat net (+152,7%), ce qui devrait se traduire par un exercice 2025 nettement meilleur que 2024. Les prédictions IA (J+1 à J+10) anticipent une légère hausse vers 1 506-1 525 FCFA, ce qui confirme le potentiel de rebond technique à court terme sans pour autant contredire la tendance baissière de fond. Sur la base de cette synthèse, la recommandation finale est **CONSERVER** : la convergence entre le redressement fondamental (rapports 2025) et le signal d'achat du Stochastique plaide pour ne pas vendre, mais la valorisation exigeante et la tendance technique baissière interdisent un achat agressif. Le niveau de confiance est **Moyen** (les données 2025 sont encourageantes mais la valorisation reste un frein), le risque global est **Élevé** (volatilité de 45,4%, PER de 56,8x, trésorerie négative), et l'horizon d'investissement optimal est **moyen terme (3-12 mois)** , le temps que les résultats 2025 se matérialisent et que la valorisation se normalise.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352.80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6,878 titres</w:t>
            </w:r>
          </w:p>
        </w:tc>
        <w:tc>
          <w:tcPr>
            <w:tcW w:type="dxa" w:w="2268"/>
            <w:shd w:fill="FFF2CC" w:val="clear"/>
          </w:tcPr>
          <w:p>
            <w:r>
              <w:rPr>
                <w:b/>
                <w:color w:val="503200"/>
                <w:sz w:val="16"/>
              </w:rPr>
              <w:t xml:space="preserve">Cours actuel : </w:t>
            </w:r>
            <w:r>
              <w:rPr>
                <w:color w:val="000000"/>
                <w:sz w:val="17"/>
              </w:rPr>
              <w:t>6,300 FCFA</w:t>
            </w:r>
          </w:p>
          <w:p>
            <w:r>
              <w:rPr>
                <w:b/>
                <w:color w:val="503200"/>
                <w:sz w:val="16"/>
              </w:rPr>
              <w:t xml:space="preserve">Var. 100 jours : </w:t>
            </w:r>
            <w:r>
              <w:rPr>
                <w:b/>
                <w:color w:val="007800"/>
                <w:sz w:val="17"/>
              </w:rPr>
              <w:t>+89.19%</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3,330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16.77% (Élevée) — μ=5,598 FCFA, σ=939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β=0.6914 (Défensif) — Cov=0.000051, Var(idx)=0.000074, ρ=0.187,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5,961</w:t>
            </w:r>
          </w:p>
        </w:tc>
        <w:tc>
          <w:tcPr>
            <w:tcW w:type="dxa" w:w="1440"/>
            <w:shd w:fill="FAFAFA" w:val="clear"/>
          </w:tcPr>
          <w:p>
            <w:r>
              <w:rPr>
                <w:b/>
                <w:sz w:val="17"/>
              </w:rPr>
              <w:t>6,237</w:t>
            </w:r>
          </w:p>
        </w:tc>
        <w:tc>
          <w:tcPr>
            <w:tcW w:type="dxa" w:w="1440"/>
            <w:shd w:fill="FAFAFA" w:val="clear"/>
          </w:tcPr>
          <w:p>
            <w:r>
              <w:rPr>
                <w:sz w:val="17"/>
              </w:rPr>
              <w:t>6,513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5,816</w:t>
            </w:r>
          </w:p>
        </w:tc>
        <w:tc>
          <w:tcPr>
            <w:tcW w:type="dxa" w:w="1440"/>
            <w:shd w:fill="FAFAFA" w:val="clear"/>
          </w:tcPr>
          <w:p>
            <w:r>
              <w:rPr>
                <w:b/>
                <w:sz w:val="17"/>
              </w:rPr>
              <w:t>6,204</w:t>
            </w:r>
          </w:p>
        </w:tc>
        <w:tc>
          <w:tcPr>
            <w:tcW w:type="dxa" w:w="1440"/>
            <w:shd w:fill="FAFAFA" w:val="clear"/>
          </w:tcPr>
          <w:p>
            <w:r>
              <w:rPr>
                <w:sz w:val="17"/>
              </w:rPr>
              <w:t>6,592</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5,715</w:t>
            </w:r>
          </w:p>
        </w:tc>
        <w:tc>
          <w:tcPr>
            <w:tcW w:type="dxa" w:w="1440"/>
            <w:shd w:fill="FAFAFA" w:val="clear"/>
          </w:tcPr>
          <w:p>
            <w:r>
              <w:rPr>
                <w:b/>
                <w:sz w:val="17"/>
              </w:rPr>
              <w:t>6,189</w:t>
            </w:r>
          </w:p>
        </w:tc>
        <w:tc>
          <w:tcPr>
            <w:tcW w:type="dxa" w:w="1440"/>
            <w:shd w:fill="FAFAFA" w:val="clear"/>
          </w:tcPr>
          <w:p>
            <w:r>
              <w:rPr>
                <w:sz w:val="17"/>
              </w:rPr>
              <w:t>6,663</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5,629</w:t>
            </w:r>
          </w:p>
        </w:tc>
        <w:tc>
          <w:tcPr>
            <w:tcW w:type="dxa" w:w="1440"/>
            <w:shd w:fill="FAFAFA" w:val="clear"/>
          </w:tcPr>
          <w:p>
            <w:r>
              <w:rPr>
                <w:b/>
                <w:sz w:val="17"/>
              </w:rPr>
              <w:t>6,176</w:t>
            </w:r>
          </w:p>
        </w:tc>
        <w:tc>
          <w:tcPr>
            <w:tcW w:type="dxa" w:w="1440"/>
            <w:shd w:fill="FAFAFA" w:val="clear"/>
          </w:tcPr>
          <w:p>
            <w:r>
              <w:rPr>
                <w:sz w:val="17"/>
              </w:rPr>
              <w:t>6,723</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5,554</w:t>
            </w:r>
          </w:p>
        </w:tc>
        <w:tc>
          <w:tcPr>
            <w:tcW w:type="dxa" w:w="1440"/>
            <w:shd w:fill="FFDCE0" w:val="clear"/>
          </w:tcPr>
          <w:p>
            <w:r>
              <w:rPr>
                <w:b/>
                <w:sz w:val="17"/>
              </w:rPr>
              <w:t>6,164</w:t>
            </w:r>
          </w:p>
        </w:tc>
        <w:tc>
          <w:tcPr>
            <w:tcW w:type="dxa" w:w="1440"/>
            <w:shd w:fill="FFDCE0" w:val="clear"/>
          </w:tcPr>
          <w:p>
            <w:r>
              <w:rPr>
                <w:sz w:val="17"/>
              </w:rPr>
              <w:t>6,774</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5,487</w:t>
            </w:r>
          </w:p>
        </w:tc>
        <w:tc>
          <w:tcPr>
            <w:tcW w:type="dxa" w:w="1440"/>
            <w:shd w:fill="FFDCE0" w:val="clear"/>
          </w:tcPr>
          <w:p>
            <w:r>
              <w:rPr>
                <w:b/>
                <w:sz w:val="17"/>
              </w:rPr>
              <w:t>6,154</w:t>
            </w:r>
          </w:p>
        </w:tc>
        <w:tc>
          <w:tcPr>
            <w:tcW w:type="dxa" w:w="1440"/>
            <w:shd w:fill="FFDCE0" w:val="clear"/>
          </w:tcPr>
          <w:p>
            <w:r>
              <w:rPr>
                <w:sz w:val="17"/>
              </w:rPr>
              <w:t>6,821</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5,427</w:t>
            </w:r>
          </w:p>
        </w:tc>
        <w:tc>
          <w:tcPr>
            <w:tcW w:type="dxa" w:w="1440"/>
            <w:shd w:fill="FFDCE0" w:val="clear"/>
          </w:tcPr>
          <w:p>
            <w:r>
              <w:rPr>
                <w:b/>
                <w:sz w:val="17"/>
              </w:rPr>
              <w:t>6,146</w:t>
            </w:r>
          </w:p>
        </w:tc>
        <w:tc>
          <w:tcPr>
            <w:tcW w:type="dxa" w:w="1440"/>
            <w:shd w:fill="FFDCE0" w:val="clear"/>
          </w:tcPr>
          <w:p>
            <w:r>
              <w:rPr>
                <w:sz w:val="17"/>
              </w:rPr>
              <w:t>6,866</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5,371</w:t>
            </w:r>
          </w:p>
        </w:tc>
        <w:tc>
          <w:tcPr>
            <w:tcW w:type="dxa" w:w="1440"/>
            <w:shd w:fill="FFDCE0" w:val="clear"/>
          </w:tcPr>
          <w:p>
            <w:r>
              <w:rPr>
                <w:b/>
                <w:sz w:val="17"/>
              </w:rPr>
              <w:t>6,139</w:t>
            </w:r>
          </w:p>
        </w:tc>
        <w:tc>
          <w:tcPr>
            <w:tcW w:type="dxa" w:w="1440"/>
            <w:shd w:fill="FFDCE0" w:val="clear"/>
          </w:tcPr>
          <w:p>
            <w:r>
              <w:rPr>
                <w:sz w:val="17"/>
              </w:rPr>
              <w:t>6,908</w:t>
            </w:r>
          </w:p>
        </w:tc>
        <w:tc>
          <w:tcPr>
            <w:tcW w:type="dxa" w:w="1440"/>
            <w:shd w:fill="FFDCE0" w:val="clear"/>
          </w:tcPr>
          <w:p>
            <w:r>
              <w:rPr>
                <w:b/>
                <w:color w:val="C00000"/>
                <w:sz w:val="17"/>
              </w:rPr>
              <w:t>-2.5%</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5,319</w:t>
            </w:r>
          </w:p>
        </w:tc>
        <w:tc>
          <w:tcPr>
            <w:tcW w:type="dxa" w:w="1440"/>
            <w:shd w:fill="FFDCE0" w:val="clear"/>
          </w:tcPr>
          <w:p>
            <w:r>
              <w:rPr>
                <w:b/>
                <w:sz w:val="17"/>
              </w:rPr>
              <w:t>6,133</w:t>
            </w:r>
          </w:p>
        </w:tc>
        <w:tc>
          <w:tcPr>
            <w:tcW w:type="dxa" w:w="1440"/>
            <w:shd w:fill="FFDCE0" w:val="clear"/>
          </w:tcPr>
          <w:p>
            <w:r>
              <w:rPr>
                <w:sz w:val="17"/>
              </w:rPr>
              <w:t>6,948</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5,270</w:t>
            </w:r>
          </w:p>
        </w:tc>
        <w:tc>
          <w:tcPr>
            <w:tcW w:type="dxa" w:w="1440"/>
            <w:shd w:fill="FFDCE0" w:val="clear"/>
          </w:tcPr>
          <w:p>
            <w:r>
              <w:rPr>
                <w:b/>
                <w:sz w:val="17"/>
              </w:rPr>
              <w:t>6,128</w:t>
            </w:r>
          </w:p>
        </w:tc>
        <w:tc>
          <w:tcPr>
            <w:tcW w:type="dxa" w:w="1440"/>
            <w:shd w:fill="FFDCE0" w:val="clear"/>
          </w:tcPr>
          <w:p>
            <w:r>
              <w:rPr>
                <w:sz w:val="17"/>
              </w:rPr>
              <w:t>6,985</w:t>
            </w:r>
          </w:p>
        </w:tc>
        <w:tc>
          <w:tcPr>
            <w:tcW w:type="dxa" w:w="1440"/>
            <w:shd w:fill="FFDCE0" w:val="clear"/>
          </w:tcPr>
          <w:p>
            <w:r>
              <w:rPr>
                <w:b/>
                <w:color w:val="C00000"/>
                <w:sz w:val="17"/>
              </w:rPr>
              <w:t>-2.7%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352,80 milliards FCFA, la CIEC figure parmi les valeurs les plus importantes de la cote BRVM, ce qui témoigne de son statut de valeur de rendement incontournable dans le compartiment des services publics. Le BPA de 234 FCFA/action signifie que chaque titre génère 234 FCFA de bénéfice net, ce qui, rapporté au cours actuel de 6 300 FCFA, aboutit à un PER de 26,9x — très nettement supérieur à la moyenne du marché BRVM (8-12x), signalant que les investisseurs paient une prime de croissance ou de qualité pour ce titre. Le ratio P/B de 9,81x, largement supérieur au seuil de 4x, confirme cette valorisation exigeante : le marché valorise l'entreprise près de dix fois sa valeur comptable, ce qui se justifie en partie par la faiblesse structurelle des capitaux propres (35,96 Mds FCFA) dans un modèle de concession où les actifs sont largement portés pour le compte de l'Autorité concédante. Enfin, l'EV/EBITDA de 14,6x, dans la fourchette haute (10-15x), traduit une valorisation tendue par rapport à la capacité opérationnelle de génération de cash, ce qui invite à la prudence malgré la qualité de la signature.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 enregistré une performance exceptionnelle de +89,19%, passant d'un plus bas de 3 330 FCFA à un plus haut de 7 400 FCFA, avant de se replier légèrement pour clôturer à 6 300 FCFA, avec une variation J-1 de -1,56% marquant une prise de bénéfices après le rallye. Le range de trading très large (3 330 – 7 400 FCFA, soit un écart de plus de 4 000 FCFA) traduit une tendance haussière puissante mais ponctuée de corrections, le cours actuel se situant à environ 85% du plus haut, ce qui suggère une consolidation en cours plutôt qu'un retournement. Les statistiques descriptives révèlent une moyenne (5 598 FCFA) supérieure à la médiane (5 312 FCFA), écart qui indique une légère asymétrie positive tirée par les pics hauts, tandis que le mode à 4 995 FCFA rappelle que le titre a longtemps évolué dans une zone inférieure. L'écart-type de 943 FCFA avec un coefficient de variation de 16,9% traduit une dispersion modérée du cours autour de sa moyenne, et le kurtosis de -0,544 (mésokurtique) indique une distribution proche de la normale, donc un risque de pics extrêmes limité ; le skewness de -0,074 confirme une distribution quasi symétrique. La volatilité annualisée de 50,3% classe le titre dans la catégorie des valeurs à volatilité élevée (&gt;30%), ce qui est cohérent avec la forte appréciation récente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(6 497,25 FCFA) et la MM50 (6 292,50 FCFA) encadrent le cours actuel de 6 300 FCFA, qui évolue juste au-dessus de la MM50 mais sous la MM20, configuration qui traduit un essoufflement de court terme mais un support de moyen terme solide. La décision affichée est « Achat », car la MM20 reste supérieure à la MM50 (golden cross toujours actif), mais le cours sous la MM20 invite à la prudence avant tout renforcement.</w:t>
      </w:r>
    </w:p>
    <w:p>
      <w:pPr>
        <w:spacing w:after="120" w:line="276" w:lineRule="auto"/>
      </w:pPr>
      <w:r>
        <w:t>**Bandes de Bollinger** : Le cours (6 300 FCFA) se situe dans la partie basse de la bande, entre la borne inférieure (6 002,16 FCFA) et la borne supérieure (6 992,34 FCFA), la décision « Neutre » reflétant l'absence de signal directionnel fort. L'amplitude des bandes (~990 FCFA) confirme une volatilité encore élevée, et un retour vers la borne inférieure constituerait une zone d'achat potentielle.</w:t>
      </w:r>
    </w:p>
    <w:p>
      <w:pPr>
        <w:spacing w:after="120" w:line="276" w:lineRule="auto"/>
      </w:pPr>
      <w:r>
        <w:t>**MACD** : La valeur du MACD (-28,179) est nettement inférieure à son signal (9,206), générant un croisement baissier et une décision « Vente » qui signale un momentum négatif de court terme. Cette divergence négative suggère que la dynamique haussière s'essouffle et qu'une consolidation est probable avant toute reprise.</w:t>
      </w:r>
    </w:p>
    <w:p>
      <w:pPr>
        <w:spacing w:after="120" w:line="276" w:lineRule="auto"/>
      </w:pPr>
      <w:r>
        <w:t>**RSI** : À 46,231, le RSI se situe en zone neutre (30-70), sans signal de surachat ni de survente, ce qui confirme une phase d'indécision du marché. La décision « Neutre » est cohérente avec un titre en consolidation après un rallye exceptionnel.</w:t>
      </w:r>
    </w:p>
    <w:p>
      <w:pPr>
        <w:spacing w:after="120" w:line="276" w:lineRule="auto"/>
      </w:pPr>
      <w:r>
        <w:t>**Stochastique** : Le %K (26,316) est inférieur au %D (43,86), configuration baissière indiquant que le cours évolue dans la partie basse de sa fourchette récente, avec une décision « Neutre ». Un croisement du %K au-dessus du %D serait un premier signal de reprise.</w:t>
      </w:r>
    </w:p>
    <w:p>
      <w:pPr>
        <w:spacing w:after="120" w:line="276" w:lineRule="auto"/>
      </w:pPr>
      <w:r>
        <w:t>**Conclusion technique** : Les indicateurs sont globalement divergents — les moyennes mobiles restent haussières (MM20 &gt; MM50) tandis que le MACD est baissier et que le RSI/Stochastique sont neutres. Cette configuration traduit une phase de consolidation après le rallye de +89%, avec un support clé à surveiller autour de 6 000-6 300 FCFA (borne inférieure de Bollinger et MM50). Un rebond au-dessus de la MM20 (6 497 FCFA) validerait la reprise haussière, tandis qu'une cassure sous 6 000 FCFA ouvrirait la voie à une correction plus profonde.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 réalisé un chiffre d'affaires de 302,320 Mds FCFA, en croissance de +14,82% sur un an, portée par la hausse des ventes d'énergie (+8,3% en volume) et l'expansion du parc clients (+15,1% à 5 282 283 clients). Le résultat net s'établit à 13,127 Mds FCFA, en progression de +24,4% par rapport à 2024 (10,526 Mds FCFA), avec une marge nette de 4,34% et une marge opérationnelle de 7,40%. Le ROE atteint un niveau exceptionnel de 36,50%, bien supérieur au seuil de 15% considéré comme excellent, mais ce ratio est mécaniquement gonflé par la faiblesse des capitaux propres (35,962 Mds FCFA) ; le ROA, à 0,65%, reste modeste en raison de la structure de concession qui gonfle le total actif (2 018,446 Mds FCFA). Sur le plan de la structure financière, l'autonomie financière est très faible (1,78%) et le ratio d'endettement de 612,94% traduit une forte dépendance aux dettes (1 982,484 Mds FCFA), typique du modèle de concession où l'essentiel des actifs et passifs est géré pour le compte de l'Autorité concédante. Le BFR est négatif (-90,244 Mds FCFA), ce qui est favorable car il signifie que les dettes fournisseurs (278,106 Mds FCFA, délai fournisseur de 970 jours) financent largement l'exploitation, mais le délai client de 164 jours et la durée de stockage de 175 jours constituent des points de vigilance pour la trésorerie. Le free cash flow de 20,167 Mds FCFA et la CAF de 28,869 Mds FCFA couvrent largement les investissements (121,58%), et la trésorerie nette est positive à 32,190 Mds FCFA.</w:t>
      </w:r>
    </w:p>
    <w:p>
      <w:pPr>
        <w:spacing w:after="120" w:line="276" w:lineRule="auto"/>
      </w:pPr>
      <w:r>
        <w:t>**Estimations basées sur les rapports trimestriels** : Le rapport du 1er semestre 2025 (daté du 30/06/2025) fait état d'un chiffre d'affaires de 134,923 Mds FCFA (+18,85%) et d'un résultat net de 5,096 Mds FCFA (+13,37%), avec une marge nette de 3,8% contre 4,0% un an plus tôt. Sur cette base, on peut estimer que l'exercice 2025 complet devrait confirmer la tendance annuelle publiée (CA de 302,3 Mds FCFA, RN de 13,1 Mds FCFA), avec une accélération au second semestre portée par le programme PEPT (branchements +53,5%). Le rapport annuel 2025 (analysé le 21/05/2026) confirme d'ailleurs une progression du résultat net de +30% à 13,1 Mds FCFA et un dividende de 234 FCFA/action, soit un taux de distribution de 99,8% — un rendement attractif mais qui limite la capacité d'autofinancement. Les rapports antérieurs (2021-2024) montrent une entreprise ayant traversé une transition majeure avec la nouvelle convention de concession entrée en vigueur en 2021, qui a réduit le total actif de 1 254,8 à 558,2 Mds FCFA et stabilisé les capitaux propres autour de 35-43 Mds FCFA.</w:t>
      </w:r>
    </w:p>
    <w:p>
      <w:pPr>
        <w:spacing w:after="120" w:line="276" w:lineRule="auto"/>
      </w:pPr>
      <w:r>
        <w:t>**Recommandation fondamentale** : La CIEC présente des fondamentaux solides avec une croissance à deux chiffres du CA et du résultat net, un ROE exceptionnel et une génération de cash-flow robuste. Les principaux risques sont le risque de crédit client (créances de 137,7 Mds FCFA, délai de 164 jours), la dépendance au cadre réglementaire de la concession, et un taux de distribution quasi total du bénéfice qui limite les marges de manœuvre. La recommandation fondamentale est **CONSERVER**, avec un biais positif pour les investisseurs en quête de rendement.</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tendue : le PER de 26,9x (vs 8-12x pour le marché BRVM), le P/B de 9,81x et l'EV/EBITDA de 14,6x traduisent une prime de qualité et de rendement qui laisse peu de marge d'erreur, même si le dividende de 234 FCFA/action (rendement d'environ 3,7% au cours actuel) reste attractif. Le comportement du cours sur 100 jours est exceptionnellement haussier (+89,19%), mais la volatilité annualisée de 50,3% et la distribution quasi symétrique (skewness -0,074, kurtosis -0,544) indiquent un risque de correction modéré, le titre se situant actuellement à 85% de son plus haut. Les signaux techniques sont divergents : les moyennes mobiles restent haussières (MM20 &gt; MM50) mais le MACD est baissier et le RSI/Stochastique sont neutres, ce qui plaide pour une consolidation avant une éventuelle reprise. Les fondamentaux 2025 sont solides (CA +14,8%, RN +24,4%, ROE 36,5%) et les estimations issues du S1 2025 confirment la dynamique, mais le taux de distribution de 99,8% et le risque de crédit client tempèrent l'enthousiasme. Les prédictions IA (J+1 à J+10) anticipent une légère dérive baissière vers 6 164 FCFA, ce qui contredit le signal d'achat des moyennes mobiles mais confirme la phase de consolidation suggérée par le MACD et le RSI. **Recommandation finale : CONSERVER**, avec un niveau de confiance **Moyen** et un risque global **Élevé** (volatilité 50,3%, valorisation tendue, dépendance réglementaire). L'horizon optimal est le **moyen terme (3-12 mois)**, en surveillant le support de 6 000 FCFA et en profitant du rendement du dividende en attendant une clarification technique.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924.85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4,147 titres</w:t>
            </w:r>
          </w:p>
        </w:tc>
        <w:tc>
          <w:tcPr>
            <w:tcW w:type="dxa" w:w="2268"/>
            <w:shd w:fill="FFF2CC" w:val="clear"/>
          </w:tcPr>
          <w:p>
            <w:r>
              <w:rPr>
                <w:b/>
                <w:color w:val="503200"/>
                <w:sz w:val="16"/>
              </w:rPr>
              <w:t xml:space="preserve">Cours actuel : </w:t>
            </w:r>
            <w:r>
              <w:rPr>
                <w:color w:val="000000"/>
                <w:sz w:val="17"/>
              </w:rPr>
              <w:t>16,800 FCFA</w:t>
            </w:r>
          </w:p>
          <w:p>
            <w:r>
              <w:rPr>
                <w:b/>
                <w:color w:val="503200"/>
                <w:sz w:val="16"/>
              </w:rPr>
              <w:t xml:space="preserve">Var. 100 jours : </w:t>
            </w:r>
            <w:r>
              <w:rPr>
                <w:b/>
                <w:color w:val="007800"/>
                <w:sz w:val="17"/>
              </w:rPr>
              <w:t>+3.07%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2.70% (Faible) — μ=16,590 FCFA, σ=449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β=0.2669 (Défensif) — Cov=0.000020, Var(idx)=0.000074, ρ=0.133,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16,403</w:t>
            </w:r>
          </w:p>
        </w:tc>
        <w:tc>
          <w:tcPr>
            <w:tcW w:type="dxa" w:w="1440"/>
            <w:shd w:fill="FAFAFA" w:val="clear"/>
          </w:tcPr>
          <w:p>
            <w:r>
              <w:rPr>
                <w:b/>
                <w:sz w:val="17"/>
              </w:rPr>
              <w:t>16,826</w:t>
            </w:r>
          </w:p>
        </w:tc>
        <w:tc>
          <w:tcPr>
            <w:tcW w:type="dxa" w:w="1440"/>
            <w:shd w:fill="FAFAFA" w:val="clear"/>
          </w:tcPr>
          <w:p>
            <w:r>
              <w:rPr>
                <w:sz w:val="17"/>
              </w:rPr>
              <w:t>17,248</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16,243</w:t>
            </w:r>
          </w:p>
        </w:tc>
        <w:tc>
          <w:tcPr>
            <w:tcW w:type="dxa" w:w="1440"/>
            <w:shd w:fill="FAFAFA" w:val="clear"/>
          </w:tcPr>
          <w:p>
            <w:r>
              <w:rPr>
                <w:b/>
                <w:sz w:val="17"/>
              </w:rPr>
              <w:t>16,841</w:t>
            </w:r>
          </w:p>
        </w:tc>
        <w:tc>
          <w:tcPr>
            <w:tcW w:type="dxa" w:w="1440"/>
            <w:shd w:fill="FAFAFA" w:val="clear"/>
          </w:tcPr>
          <w:p>
            <w:r>
              <w:rPr>
                <w:sz w:val="17"/>
              </w:rPr>
              <w:t>17,439</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16,122</w:t>
            </w:r>
          </w:p>
        </w:tc>
        <w:tc>
          <w:tcPr>
            <w:tcW w:type="dxa" w:w="1440"/>
            <w:shd w:fill="FAFAFA" w:val="clear"/>
          </w:tcPr>
          <w:p>
            <w:r>
              <w:rPr>
                <w:b/>
                <w:sz w:val="17"/>
              </w:rPr>
              <w:t>16,856</w:t>
            </w:r>
          </w:p>
        </w:tc>
        <w:tc>
          <w:tcPr>
            <w:tcW w:type="dxa" w:w="1440"/>
            <w:shd w:fill="FAFAFA" w:val="clear"/>
          </w:tcPr>
          <w:p>
            <w:r>
              <w:rPr>
                <w:sz w:val="17"/>
              </w:rPr>
              <w:t>17,589</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16,022</w:t>
            </w:r>
          </w:p>
        </w:tc>
        <w:tc>
          <w:tcPr>
            <w:tcW w:type="dxa" w:w="1440"/>
            <w:shd w:fill="FAFAFA" w:val="clear"/>
          </w:tcPr>
          <w:p>
            <w:r>
              <w:rPr>
                <w:b/>
                <w:sz w:val="17"/>
              </w:rPr>
              <w:t>16,870</w:t>
            </w:r>
          </w:p>
        </w:tc>
        <w:tc>
          <w:tcPr>
            <w:tcW w:type="dxa" w:w="1440"/>
            <w:shd w:fill="FAFAFA" w:val="clear"/>
          </w:tcPr>
          <w:p>
            <w:r>
              <w:rPr>
                <w:sz w:val="17"/>
              </w:rPr>
              <w:t>17,717</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15,935</w:t>
            </w:r>
          </w:p>
        </w:tc>
        <w:tc>
          <w:tcPr>
            <w:tcW w:type="dxa" w:w="1440"/>
            <w:shd w:fill="FAFAFA" w:val="clear"/>
          </w:tcPr>
          <w:p>
            <w:r>
              <w:rPr>
                <w:b/>
                <w:sz w:val="17"/>
              </w:rPr>
              <w:t>16,883</w:t>
            </w:r>
          </w:p>
        </w:tc>
        <w:tc>
          <w:tcPr>
            <w:tcW w:type="dxa" w:w="1440"/>
            <w:shd w:fill="FAFAFA" w:val="clear"/>
          </w:tcPr>
          <w:p>
            <w:r>
              <w:rPr>
                <w:sz w:val="17"/>
              </w:rPr>
              <w:t>17,831</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15,858</w:t>
            </w:r>
          </w:p>
        </w:tc>
        <w:tc>
          <w:tcPr>
            <w:tcW w:type="dxa" w:w="1440"/>
            <w:shd w:fill="FAFAFA" w:val="clear"/>
          </w:tcPr>
          <w:p>
            <w:r>
              <w:rPr>
                <w:b/>
                <w:sz w:val="17"/>
              </w:rPr>
              <w:t>16,897</w:t>
            </w:r>
          </w:p>
        </w:tc>
        <w:tc>
          <w:tcPr>
            <w:tcW w:type="dxa" w:w="1440"/>
            <w:shd w:fill="FAFAFA" w:val="clear"/>
          </w:tcPr>
          <w:p>
            <w:r>
              <w:rPr>
                <w:sz w:val="17"/>
              </w:rPr>
              <w:t>17,936</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15,787</w:t>
            </w:r>
          </w:p>
        </w:tc>
        <w:tc>
          <w:tcPr>
            <w:tcW w:type="dxa" w:w="1440"/>
            <w:shd w:fill="FAFAFA" w:val="clear"/>
          </w:tcPr>
          <w:p>
            <w:r>
              <w:rPr>
                <w:b/>
                <w:sz w:val="17"/>
              </w:rPr>
              <w:t>16,910</w:t>
            </w:r>
          </w:p>
        </w:tc>
        <w:tc>
          <w:tcPr>
            <w:tcW w:type="dxa" w:w="1440"/>
            <w:shd w:fill="FAFAFA" w:val="clear"/>
          </w:tcPr>
          <w:p>
            <w:r>
              <w:rPr>
                <w:sz w:val="17"/>
              </w:rPr>
              <w:t>18,034</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15,721</w:t>
            </w:r>
          </w:p>
        </w:tc>
        <w:tc>
          <w:tcPr>
            <w:tcW w:type="dxa" w:w="1440"/>
            <w:shd w:fill="FAFAFA" w:val="clear"/>
          </w:tcPr>
          <w:p>
            <w:r>
              <w:rPr>
                <w:b/>
                <w:sz w:val="17"/>
              </w:rPr>
              <w:t>16,923</w:t>
            </w:r>
          </w:p>
        </w:tc>
        <w:tc>
          <w:tcPr>
            <w:tcW w:type="dxa" w:w="1440"/>
            <w:shd w:fill="FAFAFA" w:val="clear"/>
          </w:tcPr>
          <w:p>
            <w:r>
              <w:rPr>
                <w:sz w:val="17"/>
              </w:rPr>
              <w:t>18,125</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15,660</w:t>
            </w:r>
          </w:p>
        </w:tc>
        <w:tc>
          <w:tcPr>
            <w:tcW w:type="dxa" w:w="1440"/>
            <w:shd w:fill="FAFAFA" w:val="clear"/>
          </w:tcPr>
          <w:p>
            <w:r>
              <w:rPr>
                <w:b/>
                <w:sz w:val="17"/>
              </w:rPr>
              <w:t>16,936</w:t>
            </w:r>
          </w:p>
        </w:tc>
        <w:tc>
          <w:tcPr>
            <w:tcW w:type="dxa" w:w="1440"/>
            <w:shd w:fill="FAFAFA" w:val="clear"/>
          </w:tcPr>
          <w:p>
            <w:r>
              <w:rPr>
                <w:sz w:val="17"/>
              </w:rPr>
              <w:t>18,212</w:t>
            </w:r>
          </w:p>
        </w:tc>
        <w:tc>
          <w:tcPr>
            <w:tcW w:type="dxa" w:w="1440"/>
            <w:shd w:fill="FAFAFA" w:val="clear"/>
          </w:tcPr>
          <w:p>
            <w:r>
              <w:rPr>
                <w:b/>
                <w:color w:val="008000"/>
                <w:sz w:val="17"/>
              </w:rPr>
              <w:t>+0.8%</w:t>
            </w:r>
          </w:p>
        </w:tc>
      </w:tr>
      <w:tr>
        <w:tc>
          <w:tcPr>
            <w:tcW w:type="dxa" w:w="1440"/>
            <w:shd w:fill="FAFAFA" w:val="clear"/>
          </w:tcPr>
          <w:p>
            <w:r>
              <w:rPr>
                <w:sz w:val="17"/>
              </w:rPr>
              <w:t>J+10  Moyenne</w:t>
            </w:r>
          </w:p>
        </w:tc>
        <w:tc>
          <w:tcPr>
            <w:tcW w:type="dxa" w:w="1440"/>
            <w:shd w:fill="FAFAFA" w:val="clear"/>
          </w:tcPr>
          <w:p>
            <w:r>
              <w:rPr>
                <w:sz w:val="17"/>
              </w:rPr>
              <w:t>2026-10-23</w:t>
            </w:r>
          </w:p>
        </w:tc>
        <w:tc>
          <w:tcPr>
            <w:tcW w:type="dxa" w:w="1440"/>
            <w:shd w:fill="FAFAFA" w:val="clear"/>
          </w:tcPr>
          <w:p>
            <w:r>
              <w:rPr>
                <w:sz w:val="17"/>
              </w:rPr>
              <w:t>15,603</w:t>
            </w:r>
          </w:p>
        </w:tc>
        <w:tc>
          <w:tcPr>
            <w:tcW w:type="dxa" w:w="1440"/>
            <w:shd w:fill="FAFAFA" w:val="clear"/>
          </w:tcPr>
          <w:p>
            <w:r>
              <w:rPr>
                <w:b/>
                <w:sz w:val="17"/>
              </w:rPr>
              <w:t>16,949</w:t>
            </w:r>
          </w:p>
        </w:tc>
        <w:tc>
          <w:tcPr>
            <w:tcW w:type="dxa" w:w="1440"/>
            <w:shd w:fill="FAFAFA" w:val="clear"/>
          </w:tcPr>
          <w:p>
            <w:r>
              <w:rPr>
                <w:sz w:val="17"/>
              </w:rPr>
              <w:t>18,295</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924,85 milliards FCFA, ECOC s'impose comme l'une des plus importantes capitalisations de la BRVM, témoignant de son statut de valeur de premier plan dans le compartiment bancaire régional. Le BPA de 1 153 FCFA par action signifie que chaque titre génère un bénéfice net de 1 153 FCFA, ce qui, rapporté au cours actuel de 16 800 FCFA, donne un PER de 14,6x — un niveau modéré mais supérieur à la moyenne du marché BRVM (généralement comprise entre 8x et 12x), suggérant que les investisseurs acceptent une prime pour la qualité et la régularité des résultats de la banque. Le ratio P/B de 4,23x indique que le marché valorise ECOC à plus de quatre fois sa valeur comptable, une prime exigeante qui reflète la confiance dans la rentabilité structurellement élevée de l'établissement (ROE de 29,04% en 2025). Enfin, l'EV/EBITDA de 14,2x, bien que se situant dans la fourchette haute (10-15x), reste cohérent avec la capacité bénéficiaire opérationnelle de la banque, mais laisse peu de marge d'erreur en cas de dégradation des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d'ECOC a enregistré une progression totale de +3,07%, avec une dernière séance (J-1) stable à +0,00%, clôturant à 16 800 FCFA. Le titre a évolué dans un range relativement étroit, entre un plus bas de 15 520 FCFA et un plus haut de 17 725 FCFA, soit un écart d'environ 14,2% — traduisant une tendance générale haussière mais modérée, sans volatilité excessive. Les statistiques descriptives révèlent une moyenne de 16 590 FCFA et une médiane de 16 620 FCFA, très proches l'une de l'autre, confirmant une distribution symétrique (skewness de 0,127) sans biais directionnel marqué. L'écart-type de 451 FCFA, avec un coefficient de variation de seulement 2,7%, indique une dispersion très faible du cours autour de sa moyenne, signe d'une certaine stabilité. Le kurtosis (excès) de -0,201, qualifié de mésokurtique, suggère une distribution proche de la normale, sans risque de pics extrêmes prononcés. Avec une volatilité annualisée de 27,2%, le titre se situe dans la catégorie des valeurs à volatilité modérée (15-30%), ce qui est rassurant pour un investisseur recherchant un compromis entre rendement et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16 903 FCFA et la MM50 à 16 743 FCFA, toutes deux supérieures au cours actuel de 16 800 FCFA pour la MM20, mais la MM50 reste en dessous. La configuration MM20 &gt; MM50 &gt; cours suggère une dynamique haussière de moyen terme, bien que le cours évolue légèrement sous sa moyenne court terme. La décision technique est à l'**Achat**, portée par le croisement haussier des moyennes.</w:t>
      </w:r>
    </w:p>
    <w:p>
      <w:pPr>
        <w:spacing w:after="120" w:line="276" w:lineRule="auto"/>
      </w:pPr>
      <w:r>
        <w:t>**Bandes de Bollinger** : La borne supérieure est à 17 245,87 FCFA et la borne inférieure à 16 560,13 FCFA, avec un cours actuel de 16 800 FCFA positionné dans la partie médiane-basse du canal. Cette position neutre indique l'absence de pression acheteuse ou vendeuse excessive, et la décision est **Neutre**, le titre évoluant sans signal directionnel fort.</w:t>
      </w:r>
    </w:p>
    <w:p>
      <w:pPr>
        <w:spacing w:after="120" w:line="276" w:lineRule="auto"/>
      </w:pPr>
      <w:r>
        <w:t>**MACD** : La valeur du MACD est de -30,288 contre un signal à 1,736, créant une divergence négative significative. Le MACD sous son signal traduit un momentum baissier à court terme, bien que la faiblesse de l'amplitude relativise ce signal. La décision est à la **Vente**, appelant à la prudence.</w:t>
      </w:r>
    </w:p>
    <w:p>
      <w:pPr>
        <w:spacing w:after="120" w:line="276" w:lineRule="auto"/>
      </w:pPr>
      <w:r>
        <w:t>**RSI** : À 43,849, le RSI se situe en zone neutre (30-70), sans signal de surachat (&gt;70) ni de survente (&lt;30). Cette position médiane indique un équilibre entre acheteurs et vendeurs, et la décision est **Neutre**, sans pression directionnelle claire.</w:t>
      </w:r>
    </w:p>
    <w:p>
      <w:pPr>
        <w:spacing w:after="120" w:line="276" w:lineRule="auto"/>
      </w:pPr>
      <w:r>
        <w:t>**Stochastique** : Le %K est à 36,697 et le %D à 30,581, tous deux en zone basse mais sans croisement baissier confirmé sous la zone de survente (20). La décision est **Neutre**, le titre n'étant ni survendu ni suracheté.</w:t>
      </w:r>
    </w:p>
    <w:p>
      <w:pPr>
        <w:spacing w:after="120" w:line="276" w:lineRule="auto"/>
      </w:pPr>
      <w:r>
        <w:t>**Conclusion technique** : Les indicateurs techniques présentent un tableau mitigé, avec une tendance de fond haussière (MM) mais un momentum court terme affaibli (MACD baissier). Le RSI et le stochastique en zone neutre confirment l'absence de signal fort, tandis que les Bandes de Bollinger suggèrent une consolidation. La convergence des signaux neutres et la divergence du MACD plaident pour une posture attentiste à court terme, en attendant une clarification directionnelle.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ECOC affiche un Produit Net Bancaire (PNB) de 132,725 milliards FCFA, un résultat net de 63,482 milliards FCFA, un ROE de 29,04% et un ROA de 3,09%. Le coefficient d'exploitation s'établit à 42,89%, largement inférieur au seuil de 60%, confirmant l'excellente efficacité opérationnelle de la banque. Le coût du risque, à 1,36% des charges financières, reste modéré, témoignant d'un portefeuille de crédits globalement sain. La structure financière montre une autonomie financière de 10,64% (capitaux propres/total bilan), un ratio d'endettement de 69,63% et une solvabilité générale de 111,91%, indiquant une capacité à couvrir ses engagements. Les dépôts clientèle atteignent 1 626,223 milliards FCFA contre 1 050,803 milliards FCFA de créances clientèle, soit un ratio de transformation (crédits/dépôts) de 64,6%, reflétant une capacité de déploiement du crédit encore importante.</w:t>
      </w:r>
    </w:p>
    <w:p>
      <w:pPr>
        <w:spacing w:after="120" w:line="276" w:lineRule="auto"/>
      </w:pPr>
      <w:r>
        <w:t>**Estimations basées sur les rapports trimestriels** : Le rapport S1 2026 (publié le 26 août 2026) indique un PNB de 64,078 milliards FCFA (+2,0%) et un résultat net de 26,408 milliards FCFA (-8,6%), pénalisé par un coût du risque multiplié par 7,4 à 5,197 milliards FCFA. Le ROE recule à 26,9% et le ROA à 2,5%, mais reste à des niveaux élevés. Le rapport T1 2026 (publié en avril 2026) confirme cette tendance avec un PNB de 30,8 milliards FCFA (+3,7%) et un résultat net de 13,0 milliards FCFA (-1,6%). Sur la base de ces données, on estime que l'exercice 2026 devrait enregistrer un PNB annuel d'environ 130-135 milliards FCFA, avec un résultat net potentiellement en retrait de 5-10% par rapport à 2025, sous l'effet du provisionnement prudent. Le dividende proposé de 888 FCFA brut par action (781 FCFA net), en hausse de 10,4% par rapport à 2024, offre un rendement attractif de 5,3% au cours actuel.</w:t>
      </w:r>
    </w:p>
    <w:p>
      <w:pPr>
        <w:spacing w:after="120" w:line="276" w:lineRule="auto"/>
      </w:pPr>
      <w:r>
        <w:t>**Évolution pluriannuelle** : Entre 2024 et 2025, le PNB est passé de 122,3 à 132,7 milliards FCFA (+8,5%), tandis que le résultat net progressait de 57,5 à 63,5 milliards FCFA (+10,4%). Le ROE s'est maintenu au-dessus de 28%, confirmant la constance de la performance. La dégradation du coût du risque au S1 2026 constitue un point de vigilance, mais la politique de provisionnement prudente (taux de couverture de 90%) préserve la solidité à moyen terme. La recommandation fondamentale est de **CONSERVER**, en attendant la normalisation du coût du risque et la confirmation de la tendance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d'ECOC (Partie 0) présente un profil mitigé : le PER de 14,6x et le P/B de 4,23x indiquent une prime significative par rapport au marché, justifiée par la qualité des fondamentaux mais limitant le potentiel de réévaluation à court terme. Le comportement du cours (Partie 1) est rassurant, avec une volatilité modérée (27,2%), une distribution symétrique et une tendance haussière de fond (+3,07% sur 100 jours), bien que le range étroit traduise une certaine inertie. Les signaux techniques (Partie 2) sont divergents : les moyennes mobiles plaident pour l'achat, mais le MACD baissier et les autres indicateurs neutres appellent à la prudence, suggérant une consolidation avant une nouvelle impulsion. Les fondamentaux (Partie 3) restent solides malgré la baisse du résultat net au S1 2026 (-8,6%), avec un ROE de 26,9%, un coefficient d'exploitation de 45,2% et un dividende en hausse de 10,4%, offrant un rendement de 5,3%. Les prédictions IA (J+1 à J+10) anticipent une légère appréciation vers 16 883 FCFA d'ici le 16 octobre 2026, confirmant la stabilité du titre sans signal haussier fort. Sur la base de cette synthèse, la recommandation finale est **CONSERVER**, avec un niveau de confiance **Moyen** et un risque global **Moyen**. L'horizon d'investissement optimal est le **moyen terme (3-12 mois)**, en attendant la publication des résultats annuels 2026 et la clarification sur l'évolution du coût du risque. Un passage à **ACHAT** serait justifié si le coût du risque se stabilise et si le dividende est maintenu à un niveau attractif, tandis qu'une **VENTE** serait envisagée en cas de dégradation supplémentaire de la qualité du portefeuille ou de contraction prolongée des revenus hors intérêts.</w:t>
      </w:r>
    </w:p>
    <w:p>
      <w:pPr>
        <w:spacing w:after="120" w:line="276" w:lineRule="auto"/>
      </w:pPr>
      <w:r>
        <w:t>---</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1,692,631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29.16% (Élevée) — μ=56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β=2.0166 (Très agressif) — Cov=0.000149, Var(idx)=0.000074, ρ=0.440,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1,692,631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64</w:t>
            </w:r>
          </w:p>
        </w:tc>
        <w:tc>
          <w:tcPr>
            <w:tcW w:type="dxa" w:w="1440"/>
            <w:shd w:fill="FAFAFA" w:val="clear"/>
          </w:tcPr>
          <w:p>
            <w:r>
              <w:rPr>
                <w:b/>
                <w:sz w:val="17"/>
              </w:rPr>
              <w:t>67</w:t>
            </w:r>
          </w:p>
        </w:tc>
        <w:tc>
          <w:tcPr>
            <w:tcW w:type="dxa" w:w="1440"/>
            <w:shd w:fill="FAFAFA" w:val="clear"/>
          </w:tcPr>
          <w:p>
            <w:r>
              <w:rPr>
                <w:sz w:val="17"/>
              </w:rPr>
              <w:t>70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63</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58</w:t>
            </w:r>
          </w:p>
        </w:tc>
        <w:tc>
          <w:tcPr>
            <w:tcW w:type="dxa" w:w="1440"/>
            <w:shd w:fill="FFDCE0" w:val="clear"/>
          </w:tcPr>
          <w:p>
            <w:r>
              <w:rPr>
                <w:b/>
                <w:sz w:val="17"/>
              </w:rPr>
              <w:t>66</w:t>
            </w:r>
          </w:p>
        </w:tc>
        <w:tc>
          <w:tcPr>
            <w:tcW w:type="dxa" w:w="1440"/>
            <w:shd w:fill="FFDCE0" w:val="clear"/>
          </w:tcPr>
          <w:p>
            <w:r>
              <w:rPr>
                <w:sz w:val="17"/>
              </w:rPr>
              <w:t>73</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 RAPPORT D'ANALYSE FINANCIÈRE — ETIT (Ecobank Transnational Incorporated)</w:t>
        <w:br/>
        <w:t>##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**1 211,64 milliards FCFA**, ETIT s'impose comme l'une des plus importantes capitalisations de la BRVM, reflet de son statut de banque panafricaine présente dans 35 pays. Le **BPA de 19 FCFA/action** (exercice 2025) confère au titre un **PER de 3,5x**, très nettement inférieur à la moyenne du marché BRVM (8-12x), ce qui traduit une sous-évaluation manifeste aux yeux du marché. Le **P/B de 0,76x** (&lt; 1) signifie que le marché valorise ETIT à seulement 76% de sa valeur comptable, une décote rare qui constitue une opportunité potentielle pour un investisseur value. Enfin, l'**EV/EBITDA de 5,0x** (&lt; 5x) confirme que la valeur d'entreprise reste bon marché relativement à sa capacité opérationnelle, bien que cet indicateur soit moins pertinent pour une banque que le P/B et le PER.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**variation totale spectaculaire de +123,33%**, passant d'un plus bas de **29 FCFA** à un plus haut de **78 FCFA**, pour un cours actuel de **67 FCFA** (recul de **-1,47%** sur la dernière séance). Ce range de trading de 49 FCFA témoigne d'une tendance **haussière exceptionnelle**, portée par un intérêt croissant des investisseurs pour le titre. Les statistiques descriptives révèlent une **moyenne de 56 FCFA** nettement inférieure à la **médiane de 66 FCFA**, signe d'une distribution asymétrique où les cours élevés récents tirent la médiane vers le haut ; le **mode de 68 FCFA** confirme cette zone de consolidation. L'**écart-type de 16 FCFA (CV=29,3%)** indique une dispersion modérée à élevée du cours, tandis que le **kurtosis de -1,343 (platykurtique)** suggère une distribution aplatie avec un risque de pics extrêmes plus faible qu'une loi normale. Le **skewness de -0,662** (asymétrie négative) signifie qu'il y a eu davantage de journées de hausse au-dessus de la moyenne que de baisses marquées. Enfin, la **volatilité annualisée de 62,0%** positionne clairement ETIT comme un titre à **volatilité élevée** (&gt;30%), ce qui implique un risque de marché significatif mais aussi un potentiel de gain important.</w:t>
      </w:r>
    </w:p>
    <w:p>
      <w:pPr>
        <w:spacing w:after="120" w:line="276" w:lineRule="auto"/>
      </w:pPr>
      <w:r>
        <w:t>---</w:t>
      </w:r>
    </w:p>
    <w:p>
      <w:pPr>
        <w:spacing w:after="120" w:line="276" w:lineRule="auto"/>
      </w:pPr>
      <w:r>
        <w:t>## PARTIE 2 : ANALYSE TECHNIQUE DÉTAILLÉE</w:t>
      </w:r>
    </w:p>
    <w:p>
      <w:pPr>
        <w:spacing w:after="120" w:line="276" w:lineRule="auto"/>
      </w:pPr>
      <w:r>
        <w:t>**Moyennes Mobiles** : La MM20 (68,25 FCFA) et la MM50 (67,6 FCFA) encadrent le cours actuel (67 FCFA) par le haut, la MM20 étant légèrement supérieure à la MM50. Le cours évolue juste en dessous de ces deux moyennes, ce qui traduit une phase de consolidation après la forte hausse. La décision technique est **Achat**, car la configuration MM20 &gt; MM50 reste haussière et le cours pourrait rebondir sur ces supports dynamiques.</w:t>
      </w:r>
    </w:p>
    <w:p>
      <w:pPr>
        <w:spacing w:after="120" w:line="276" w:lineRule="auto"/>
      </w:pPr>
      <w:r>
        <w:t>**Bandes de Bollinger** : Le cours (67 FCFA) se situe dans la partie médiane des bandes, entre la borne inférieure (64,101 FCFA) et la borne supérieure (72,399 FCFA). L'écart entre les bornes (8,3 FCFA) reflète une volatilité modérée à court terme. La décision est **Neutre**, le cours n'étant ni en surachat ni en survente, avec une position équilibrée dans le canal.</w:t>
      </w:r>
    </w:p>
    <w:p>
      <w:pPr>
        <w:spacing w:after="120" w:line="276" w:lineRule="auto"/>
      </w:pPr>
      <w:r>
        <w:t>**MACD** : La valeur du MACD (-0,375) est inférieure à son signal (-0,1), ce qui génère une configuration baissière de court terme. Le momentum est négatif, suggérant une pression vendeuse persistante. La décision est **Vente**, bien que la divergence reste faible et puisse se retourner rapidement.</w:t>
      </w:r>
    </w:p>
    <w:p>
      <w:pPr>
        <w:spacing w:after="120" w:line="276" w:lineRule="auto"/>
      </w:pPr>
      <w:r>
        <w:t>**RSI** : À **42,105**, le RSI se situe dans la zone neutre (30-70), sans signal de surachat ni de survente. Le titre n'est ni surévalué ni sous-évalué à court terme. La décision est **Neutre**, le RSI ne fournissant pas de signal directionnel fort.</w:t>
      </w:r>
    </w:p>
    <w:p>
      <w:pPr>
        <w:spacing w:after="120" w:line="276" w:lineRule="auto"/>
      </w:pPr>
      <w:r>
        <w:t>**Stochastique** : Les valeurs %K (50,0) et %D (50,0) sont parfaitement alignées au point médian, sans croisement ni divergence. Cela indique une absence de momentum clair à court terme. La décision est **Neutre**, le stochastique ne générant pas de signal exploitable.</w:t>
      </w:r>
    </w:p>
    <w:p>
      <w:pPr>
        <w:spacing w:after="120" w:line="276" w:lineRule="auto"/>
      </w:pPr>
      <w:r>
        <w:t>**Conclusion technique** : Les indicateurs techniques sont **majoritairement neutres** (Bollinger, RSI, Stochastique) avec une légère divergence baissière du MACD et une configuration haussière des moyennes mobiles. Le titre se trouve dans une phase de consolidation après sa forte progression, avec un biais légèrement haussier à moyen terme mais une pression vendeuse de court terme. La convergence des signaux neutres suggère une **attente de catalyseur** pour une nouvelle impulsion.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ETIT affiche un **Produit Net Bancaire (PNB) de 1 424,261 milliards FCFA**, un **résultat net de 345,523 milliards FCFA**, un **ROE de 21,62%** (excellent, &gt;15%) et un **ROA de 1,80%**. Le **coefficient d'exploitation de 27,35%** est exceptionnellement bas (&lt;60%), témoignant d'une efficacité opérationnelle remarquable. Le **coût du risque de 18,97%** (provisions/charges financières) reste modéré mais à surveiller. Les dépôts clientèle (14 120,139 Mds FCFA) couvrent largement les créances clientèle (6 570,385 Mds FCFA), avec un ratio dépôts/crédits de 215%, signe d'une forte capacité de transformation et d'une liquidité abondante. Le **taux de croissance du PNB de 12,45%** confirme la dynamique commerciale.</w:t>
      </w:r>
    </w:p>
    <w:p>
      <w:pPr>
        <w:spacing w:after="120" w:line="276" w:lineRule="auto"/>
      </w:pPr>
      <w:r>
        <w:t>**Estimations basées sur les rapports trimestriels** : Le rapport S1 2026 (publié le 21 juillet 2026) indique un **PNB de 721,318 milliards FCFA (+15%)** et un **résultat net de 166,682 milliards FCFA (+6%)**, avec un **coefficient d'exploitation amélioré à 48,4%** et un **BPA de 0,80 $EU (4,53 FCFA)**. Le rapport T1 2026 (publié en 2026) montre un **PNB de 636,2 millions $EU (+23%)** et un **résultat net de 142,5 millions $EU (+16%)**, mais avec une **hausse préoccupante du coût du risque (+73%)**. Sur la base de ces tendances, on estime que l'exercice 2026 devrait enregistrer un **PNB annuel d'environ 1 500-1 550 milliards FCFA** et un **résultat net de 360-380 milliards FCFA**, soit une croissance de 5-10% par rapport à 2025.</w:t>
      </w:r>
    </w:p>
    <w:p>
      <w:pPr>
        <w:spacing w:after="120" w:line="276" w:lineRule="auto"/>
      </w:pPr>
      <w:r>
        <w:t>**Évolution et perspectives** : Les rapports antérieurs (S1 2025, T3 2025) confirment une **amélioration continue** de la rentabilité (ROE tangible de 30,5% au S1 2025, 31,2% au T3 2025) et de l'efficacité opérationnelle. Cependant, la **hausse du coût du risque (+40% au S1 2026)** et la **stagnation du BPA (+2%)** constituent des signaux d'alerte. La recommandation fondamentale est **CONSERVER** avec un biais positif : la solidité du bilan (capitaux propres de 1 597,846 Mds FCFA), la diversification géographique et la stratégie digitale (partenariat Google Cloud) soutiennent les perspectives, mais la prudence est de mise face aux risques de crédit et à l'environnement macroéconomique incertain.</w:t>
      </w:r>
    </w:p>
    <w:p>
      <w:pPr>
        <w:spacing w:after="120" w:line="276" w:lineRule="auto"/>
      </w:pPr>
      <w:r>
        <w:t>---</w:t>
      </w:r>
    </w:p>
    <w:p>
      <w:pPr>
        <w:spacing w:after="120" w:line="276" w:lineRule="auto"/>
      </w:pPr>
      <w:r>
        <w:t>## PARTIE 4 : CONCLUSION D'INVESTISSEMENT</w:t>
      </w:r>
    </w:p>
    <w:p>
      <w:pPr>
        <w:spacing w:after="120" w:line="276" w:lineRule="auto"/>
      </w:pPr>
      <w:r>
        <w:t>La **valorisation** (Partie 0) est extrêmement attractive : PER de 3,5x (vs 8-12x pour le marché), P/B de 0,76x (&lt;1) et EV/EBITDA de 5,0x indiquent une **sous-évaluation manifeste**, offrant une marge de sécurité significative. Le **comportement du cours** (Partie 1) est exceptionnellement haussier (+123,33% sur 100 jours) mais avec une **volatilité élevée (62%)** et une distribution asymétrique négative (skewness -0,662), ce qui suggère que la tendance pourrait se poursuivre mais avec des corrections. Les **signaux techniques** (Partie 2) sont **mitigés** : les moyennes mobiles sont haussières, mais le MACD est baissier et les autres indicateurs sont neutres, ce qui plaide pour une consolidation avant une nouvelle impulsion. Les **fondamentaux** (Partie 3) sont solides : ROE de 21,62%, coefficient d'exploitation de 27,35%, PNB en croissance de 12,45% en 2025, et les estimations S1 2026 tablent sur une poursuite de la croissance (+15% PNB). Les **prédictions IA** (J+1 à J+10) anticipent une **stabilisation autour de 66-67 FCFA**, ce qui confirme la phase de consolidation technique sans effondrement.</w:t>
      </w:r>
    </w:p>
    <w:p>
      <w:pPr>
        <w:spacing w:after="120" w:line="276" w:lineRule="auto"/>
      </w:pPr>
      <w:r>
        <w:t>**Recommandation finale : ACHAT** — La convergence entre une **valorisation très bon marché**, des **fondamentaux solides** et une **tendance de fond haussière** justifie une position acheteuse, malgré les signaux techniques neutres à court terme et la volatilité élevée. Le niveau de confiance est **Moyen** (les risques de crédit et la stagnation du BPA tempèrent l'optimisme), et le risque global est **Élevé** (volatilité de 62%, exposition aux marchés africains volatils). L'horizon d'investissement optimal est **moyen terme (3-12 mois)**, le temps que la consolidation technique s'achève et que les fondamentaux (croissance du PNB, maîtrise du coût du risque) se confirment. Un **ACHAT FORT** serait justifié si le titre cassait à la hausse la résistance de 72,4 FCFA (borne supérieure de Bollinger) avec un volume soutenu.</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26.37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4,184 titres</w:t>
            </w:r>
          </w:p>
        </w:tc>
        <w:tc>
          <w:tcPr>
            <w:tcW w:type="dxa" w:w="2268"/>
            <w:shd w:fill="FFF2CC" w:val="clear"/>
          </w:tcPr>
          <w:p>
            <w:r>
              <w:rPr>
                <w:b/>
                <w:color w:val="503200"/>
                <w:sz w:val="16"/>
              </w:rPr>
              <w:t xml:space="preserve">Cours actuel : </w:t>
            </w:r>
            <w:r>
              <w:rPr>
                <w:color w:val="000000"/>
                <w:sz w:val="17"/>
              </w:rPr>
              <w:t>1,870 FCFA</w:t>
            </w:r>
          </w:p>
          <w:p>
            <w:r>
              <w:rPr>
                <w:b/>
                <w:color w:val="503200"/>
                <w:sz w:val="16"/>
              </w:rPr>
              <w:t xml:space="preserve">Var. 100 jours : </w:t>
            </w:r>
            <w:r>
              <w:rPr>
                <w:b/>
                <w:color w:val="B40000"/>
                <w:sz w:val="17"/>
              </w:rPr>
              <w:t>-20.76%</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6.39% (Moyenne) — μ=2,096 FCFA, σ=134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β=0.5175 (Défensif) — Cov=0.000038, Var(idx)=0.000074, ρ=0.195,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1,770</w:t>
            </w:r>
          </w:p>
        </w:tc>
        <w:tc>
          <w:tcPr>
            <w:tcW w:type="dxa" w:w="1440"/>
            <w:shd w:fill="FAFAFA" w:val="clear"/>
          </w:tcPr>
          <w:p>
            <w:r>
              <w:rPr>
                <w:b/>
                <w:sz w:val="17"/>
              </w:rPr>
              <w:t>1,855</w:t>
            </w:r>
          </w:p>
        </w:tc>
        <w:tc>
          <w:tcPr>
            <w:tcW w:type="dxa" w:w="1440"/>
            <w:shd w:fill="FAFAFA" w:val="clear"/>
          </w:tcPr>
          <w:p>
            <w:r>
              <w:rPr>
                <w:sz w:val="17"/>
              </w:rPr>
              <w:t>1,939</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1,725</w:t>
            </w:r>
          </w:p>
        </w:tc>
        <w:tc>
          <w:tcPr>
            <w:tcW w:type="dxa" w:w="1440"/>
            <w:shd w:fill="FAFAFA" w:val="clear"/>
          </w:tcPr>
          <w:p>
            <w:r>
              <w:rPr>
                <w:b/>
                <w:sz w:val="17"/>
              </w:rPr>
              <w:t>1,843</w:t>
            </w:r>
          </w:p>
        </w:tc>
        <w:tc>
          <w:tcPr>
            <w:tcW w:type="dxa" w:w="1440"/>
            <w:shd w:fill="FAFAFA" w:val="clear"/>
          </w:tcPr>
          <w:p>
            <w:r>
              <w:rPr>
                <w:sz w:val="17"/>
              </w:rPr>
              <w:t>1,962</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1,688</w:t>
            </w:r>
          </w:p>
        </w:tc>
        <w:tc>
          <w:tcPr>
            <w:tcW w:type="dxa" w:w="1440"/>
            <w:shd w:fill="FFDCE0" w:val="clear"/>
          </w:tcPr>
          <w:p>
            <w:r>
              <w:rPr>
                <w:b/>
                <w:sz w:val="17"/>
              </w:rPr>
              <w:t>1,832</w:t>
            </w:r>
          </w:p>
        </w:tc>
        <w:tc>
          <w:tcPr>
            <w:tcW w:type="dxa" w:w="1440"/>
            <w:shd w:fill="FFDCE0" w:val="clear"/>
          </w:tcPr>
          <w:p>
            <w:r>
              <w:rPr>
                <w:sz w:val="17"/>
              </w:rPr>
              <w:t>1,976</w:t>
            </w:r>
          </w:p>
        </w:tc>
        <w:tc>
          <w:tcPr>
            <w:tcW w:type="dxa" w:w="1440"/>
            <w:shd w:fill="FFDCE0"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1,655</w:t>
            </w:r>
          </w:p>
        </w:tc>
        <w:tc>
          <w:tcPr>
            <w:tcW w:type="dxa" w:w="1440"/>
            <w:shd w:fill="FFDCE0" w:val="clear"/>
          </w:tcPr>
          <w:p>
            <w:r>
              <w:rPr>
                <w:b/>
                <w:sz w:val="17"/>
              </w:rPr>
              <w:t>1,820</w:t>
            </w:r>
          </w:p>
        </w:tc>
        <w:tc>
          <w:tcPr>
            <w:tcW w:type="dxa" w:w="1440"/>
            <w:shd w:fill="FFDCE0" w:val="clear"/>
          </w:tcPr>
          <w:p>
            <w:r>
              <w:rPr>
                <w:sz w:val="17"/>
              </w:rPr>
              <w:t>1,986</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1,625</w:t>
            </w:r>
          </w:p>
        </w:tc>
        <w:tc>
          <w:tcPr>
            <w:tcW w:type="dxa" w:w="1440"/>
            <w:shd w:fill="FFDCE0" w:val="clear"/>
          </w:tcPr>
          <w:p>
            <w:r>
              <w:rPr>
                <w:b/>
                <w:sz w:val="17"/>
              </w:rPr>
              <w:t>1,809</w:t>
            </w:r>
          </w:p>
        </w:tc>
        <w:tc>
          <w:tcPr>
            <w:tcW w:type="dxa" w:w="1440"/>
            <w:shd w:fill="FFDCE0" w:val="clear"/>
          </w:tcPr>
          <w:p>
            <w:r>
              <w:rPr>
                <w:sz w:val="17"/>
              </w:rPr>
              <w:t>1,993</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1,597</w:t>
            </w:r>
          </w:p>
        </w:tc>
        <w:tc>
          <w:tcPr>
            <w:tcW w:type="dxa" w:w="1440"/>
            <w:shd w:fill="FFDCE0" w:val="clear"/>
          </w:tcPr>
          <w:p>
            <w:r>
              <w:rPr>
                <w:b/>
                <w:sz w:val="17"/>
              </w:rPr>
              <w:t>1,797</w:t>
            </w:r>
          </w:p>
        </w:tc>
        <w:tc>
          <w:tcPr>
            <w:tcW w:type="dxa" w:w="1440"/>
            <w:shd w:fill="FFDCE0" w:val="clear"/>
          </w:tcPr>
          <w:p>
            <w:r>
              <w:rPr>
                <w:sz w:val="17"/>
              </w:rPr>
              <w:t>1,997</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1,571</w:t>
            </w:r>
          </w:p>
        </w:tc>
        <w:tc>
          <w:tcPr>
            <w:tcW w:type="dxa" w:w="1440"/>
            <w:shd w:fill="FFDCE0" w:val="clear"/>
          </w:tcPr>
          <w:p>
            <w:r>
              <w:rPr>
                <w:b/>
                <w:sz w:val="17"/>
              </w:rPr>
              <w:t>1,786</w:t>
            </w:r>
          </w:p>
        </w:tc>
        <w:tc>
          <w:tcPr>
            <w:tcW w:type="dxa" w:w="1440"/>
            <w:shd w:fill="FFDCE0" w:val="clear"/>
          </w:tcPr>
          <w:p>
            <w:r>
              <w:rPr>
                <w:sz w:val="17"/>
              </w:rPr>
              <w:t>2,000</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1,546</w:t>
            </w:r>
          </w:p>
        </w:tc>
        <w:tc>
          <w:tcPr>
            <w:tcW w:type="dxa" w:w="1440"/>
            <w:shd w:fill="FFDCE0" w:val="clear"/>
          </w:tcPr>
          <w:p>
            <w:r>
              <w:rPr>
                <w:b/>
                <w:sz w:val="17"/>
              </w:rPr>
              <w:t>1,774</w:t>
            </w:r>
          </w:p>
        </w:tc>
        <w:tc>
          <w:tcPr>
            <w:tcW w:type="dxa" w:w="1440"/>
            <w:shd w:fill="FFDCE0" w:val="clear"/>
          </w:tcPr>
          <w:p>
            <w:r>
              <w:rPr>
                <w:sz w:val="17"/>
              </w:rPr>
              <w:t>2,002</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1,522</w:t>
            </w:r>
          </w:p>
        </w:tc>
        <w:tc>
          <w:tcPr>
            <w:tcW w:type="dxa" w:w="1440"/>
            <w:shd w:fill="FFDCE0" w:val="clear"/>
          </w:tcPr>
          <w:p>
            <w:r>
              <w:rPr>
                <w:b/>
                <w:sz w:val="17"/>
              </w:rPr>
              <w:t>1,763</w:t>
            </w:r>
          </w:p>
        </w:tc>
        <w:tc>
          <w:tcPr>
            <w:tcW w:type="dxa" w:w="1440"/>
            <w:shd w:fill="FFDCE0" w:val="clear"/>
          </w:tcPr>
          <w:p>
            <w:r>
              <w:rPr>
                <w:sz w:val="17"/>
              </w:rPr>
              <w:t>2,003</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1,500</w:t>
            </w:r>
          </w:p>
        </w:tc>
        <w:tc>
          <w:tcPr>
            <w:tcW w:type="dxa" w:w="1440"/>
            <w:shd w:fill="FFDCE0" w:val="clear"/>
          </w:tcPr>
          <w:p>
            <w:r>
              <w:rPr>
                <w:b/>
                <w:sz w:val="17"/>
              </w:rPr>
              <w:t>1,752</w:t>
            </w:r>
          </w:p>
        </w:tc>
        <w:tc>
          <w:tcPr>
            <w:tcW w:type="dxa" w:w="1440"/>
            <w:shd w:fill="FFDCE0" w:val="clear"/>
          </w:tcPr>
          <w:p>
            <w:r>
              <w:rPr>
                <w:sz w:val="17"/>
              </w:rPr>
              <w:t>2,003</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*Marché : BRVM | Secteur : Entreprise industrielle (emballages, jute, polymères)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26,37 Mds FCFA, FTSC se situe dans la catégorie des valeurs moyennes de la BRVM, ce qui la rend sensible aux mouvements de liquidité du marché. Le BPA de 33 FCFA/action signifie que chaque titre génère théoriquement 33 FCFA de bénéfice net, un niveau faible qui traduit la chute drastique du résultat net 2025 (466 M FCFA contre 18,6 Mds FCFA en 2024). Le PER de 56,6x est très élevé — près de cinq fois la moyenne BRVM (~8-12x) — ce qui indique que les investisseurs paient très cher un bénéfice qui s'est effondré, situation typique d'une valeur dont le résultat est temporairement déprimé. Le P/B de 1,68x reste raisonnable (fourchette 1-2x), le marché valorisant l'action à peine au-dessus de sa valeur comptable, ce qui limite le risque de surévaluation patrimoniale. En revanche, l'EV/EBITDA de 35,5x est très exigeant (&gt;15x), signifiant que la valeur d'entreprise (dette incluse) représente 35 fois la capacité opérationnelle, un multiple intenable si la rentabilité ne se redresse pas rapidement.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FTSC affiche une variation totale de **-20,76%**, avec une dernière séance stable (+0,00%), le cours clôturant à **1 870 FCFA**. Le range de trading est large, entre un plus haut de 2 430 FCFA et un plus bas de 1 850 FCFA, soit un écart de près de 24% qui témoigne d'une tendance nettement baissière et d'une pression vendeuse persistante. La moyenne (2 096 FCFA) est légèrement supérieure à la médiane (2 092 FCFA), écart minime qui indique une distribution quasi symétrique, mais le mode à 1 990 FCFA — bien en dessous du cours actuel — suggère que le titre a longtemps stagné avant de décrocher. L'écart-type de 135 FCFA avec un coefficient de variation de 6,4% révèle une dispersion modérée du cours autour de sa moyenne, tandis que le kurtosis de -0,506 (mésokurtique) indique une distribution proche de la normale, sans pics extrêmes fréquents. Le skewness de +0,520 (asymétrie positive) signale toutefois davantage de journées sous la moyenne que de journées exceptionnelles à la hausse, confirmant la pression baissière. Enfin, la volatilité annualisée de **36,7%** classe FTSC parmi les titres à volatilité élevée (&gt;30%), ce qui implique un risque de prix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(2 003,25 FCFA) et la MM50 (2 064,6 FCFA) sont toutes deux supérieures au cours actuel (1 870 FCFA), et la MM20 est elle-même sous la MM50, configuration baissière classique (croisement descendant). Le cours évoluant sous ses deux moyennes, la décision technique de **Vente** est pleinement justifiée.</w:t>
      </w:r>
    </w:p>
    <w:p>
      <w:pPr>
        <w:spacing w:after="120" w:line="276" w:lineRule="auto"/>
      </w:pPr>
      <w:r>
        <w:t>**Bandes de Bollinger** : Le cours (1 870 FCFA) se situe dans la partie basse du canal, entre la borne inférieure (1 835,909 FCFA) et la borne supérieure (2 170,591 FCFA), sans franchissement de la borne basse. La décision **Neutre** reflète l'absence de signal extrême, mais la position proche de la borne inférieure traduit une faiblesse persistante.</w:t>
      </w:r>
    </w:p>
    <w:p>
      <w:pPr>
        <w:spacing w:after="120" w:line="276" w:lineRule="auto"/>
      </w:pPr>
      <w:r>
        <w:t>**MACD** : La valeur du MACD (-50,861) est inférieure à son signal (-38,547), avec un histogramme négatif qui indique un momentum baissier toujours actif. La divergence négative MACD-Signal confirme la décision de **Vente**, sans signe de retournement imminent.</w:t>
      </w:r>
    </w:p>
    <w:p>
      <w:pPr>
        <w:spacing w:after="120" w:line="276" w:lineRule="auto"/>
      </w:pPr>
      <w:r>
        <w:t>**RSI** : À 34,286, le RSI se situe dans la zone neutre basse (30-70), proche du seuil de survente (30) sans l'atteindre. La décision **Neutre** suggère que le titre n'est ni survendu ni suracheté, mais la proximité des 30 appelle à la vigilance sur un possible rebond technique.</w:t>
      </w:r>
    </w:p>
    <w:p>
      <w:pPr>
        <w:spacing w:after="120" w:line="276" w:lineRule="auto"/>
      </w:pPr>
      <w:r>
        <w:t>**Stochastique** : Le %K (10,0) est très bas et inférieur au %D (22,438), configuration de survente marquée. La décision **Achat** contraste avec les autres indicateurs et signale un potentiel rebond à court terme, mais ce signal isolé doit être confirmé.</w:t>
      </w:r>
    </w:p>
    <w:p>
      <w:pPr>
        <w:spacing w:after="120" w:line="276" w:lineRule="auto"/>
      </w:pPr>
      <w:r>
        <w:t>**Conclusion technique** : Les indicateurs sont majoritairement baissiers (MM, MACD) ou neutres (Bollinger, RSI), avec un seul signal d'achat (Stochastique) en zone de survente. La convergence baissière des moyennes mobiles et du MACD domine, mais la survente stochastique et le RSI proche de 30 suggèrent qu'un rebond technique n'est pas exclu. La prudence reste de mise tant que le cours n'aura pas reconquis la MM20 (2 003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FTSC a réalisé un chiffre d'affaires de **32 109 M FCFA** (+4,6% vs 2024), mais son résultat net s'est effondré à **466 M FCFA** contre 18 595 M FCFA en 2024 (-97,5%), principalement en raison de l'absence des produits exceptionnels et financiers non récurrents de 2024 (résultat HAO de 381 M FCFA contre 18 863 M FCFA). Les ratios de rentabilité sont très faibles : **ROE de 2,97%** (très en dessous du seuil de 15% d'excellence) et **ROA de 1,19%**, tandis que la marge nette chute à **1,45%** (contre 60,6% en 2024, artificiellement gonflée). En tant qu'entreprise industrielle, les délais d'exploitation sont préoccupants : **délai clients de 213,72 jours** (risque de trésorerie élevé), **durée de stockage de 214,65 jours** (immobilisation de capital importante) et délai fournisseurs de 140,71 jours. Le BFR s'élève à **11 529 M FCFA** et la trésorerie nette est fortement négative à **-11 528 M FCFA**, conséquence du versement de dividendes massifs en 2024 (28 217 M FCFA). L'autonomie financière reste correcte à **40,11%** (capitaux propres/total bilan), mais le ratio d'endettement de **97,6%** et la capacité de remboursement de **11,49 années** de CAF traduisent une structure financière tendue. Les rapports trimestriels récents nuancent toutefois ce tableau : le **T1 2026 (rapport du 31 mars 2026)** affiche un CA de **8 901 M FCFA (+55%)** porté par la demande d'emballages cacao, avec un résultat d'exploitation redevenu positif à **75 M FCFA** (contre -78 M FCFA au T1 2025), bien que le résultat net reste déficitaire à **-154 M FCFA**. Le communiqué du **8 juillet 2026** rassure sur la continuité des activités malgré l'arrêt de la filature (interdiction d'exportation de jute par le Bangladesh), une solution d'importation de fil ayant été mise en place. On estime donc que l'exercice 2026 pourrait marquer un retour progressif à l'équilibre opérationnel, mais la rentabilité nette reste conditionnée à la campagne cacaoyère et à la maîtrise des coûts logistiques. La recommandation fondamentale est **CONSERVER** avec une surveillance accrue de la trésorerie et de la rentabilité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paradoxal : un PER de 56,6x et un EV/EBITDA de 35,5x suggèrent une surévaluation manifeste au regard des bénéfices actuels, mais le P/B de 1,68x reste raisonnable et limite le risque de destruction de valeur patrimoniale. Le comportement du cours (Partie 1) est clairement baissier (-20,76% sur 100 jours) avec une volatilité élevée (36,7%) et une asymétrie positive (skewness +0,52) indiquant une pression vendeuse persistante, bien que le kurtosis mésokurtique (-0,506) écarte le risque de krach extrême. Les signaux techniques (Partie 2) sont majoritairement baissiers (MM sous le cours, MACD négatif), mais le stochastique en survente (%K=10) et le RSI proche de 30 (34,29) suggèrent un potentiel rebond technique à court terme. Les fondamentaux (Partie 3) demeurent fragiles : résultat net 2025 effondré (466 M FCFA), ROE de 2,97%, trésorerie nette négative (-11,5 Mds FCFA), mais le T1 2026 montre une nette amélioration opérationnelle (CA +55%, résultat d'exploitation positif) qui pourrait annoncer un retournement progressif. Les prédictions IA (J+1 à J+10) anticipent une poursuite de la baisse jusqu'à 1 809 FCFA le 16 octobre 2026, confirmant la tendance baissière de court terme et contredisant le signal d'achat stochastique. **En synthèse, la convergence des signaux baissiers (technique, prédiction IA) et la fragilité des fondamentaux 2025 l'emportent sur les signaux positifs (P/B raisonnable, rebond opérationnel T1 2026, survente stochastique).** La recommandation finale est **CONSERVER** — ni achat (les risques de trésorerie et la cherté du PER dissuadent), ni vente (le potentiel de redressement opérationnel et le P/B raisonnable justifient une position attentiste). Le niveau de confiance est **Moyen** (les signaux sont divergents entre court et moyen terme) et le risque global est **Élevé** (volatilité 36,7%, trésorerie négative, dépendance à la campagne cacaoyère). L'horizon d'investissement optimal est le **moyen terme (3-12 mois)**, le temps de vérifier la confirmation du redressement opérationnel sur deux trimestres consécutifs et la clarification de la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4,648 titres</w:t>
            </w:r>
          </w:p>
        </w:tc>
        <w:tc>
          <w:tcPr>
            <w:tcW w:type="dxa" w:w="2268"/>
            <w:shd w:fill="FFF2CC" w:val="clear"/>
          </w:tcPr>
          <w:p>
            <w:r>
              <w:rPr>
                <w:b/>
                <w:color w:val="503200"/>
                <w:sz w:val="16"/>
              </w:rPr>
              <w:t xml:space="preserve">Cours actuel : </w:t>
            </w:r>
            <w:r>
              <w:rPr>
                <w:color w:val="000000"/>
                <w:sz w:val="17"/>
              </w:rPr>
              <w:t>3,935 FCFA</w:t>
            </w:r>
          </w:p>
          <w:p>
            <w:r>
              <w:rPr>
                <w:b/>
                <w:color w:val="503200"/>
                <w:sz w:val="16"/>
              </w:rPr>
              <w:t xml:space="preserve">Var. 100 jours : </w:t>
            </w:r>
            <w:r>
              <w:rPr>
                <w:b/>
                <w:color w:val="007800"/>
                <w:sz w:val="17"/>
              </w:rPr>
              <w:t>+1.16%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4.68% (Faible) — μ=4,076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β=0.6528 (Défensif) — Cov=0.000048, Var(idx)=0.000074, ρ=0.213,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3,765</w:t>
            </w:r>
          </w:p>
        </w:tc>
        <w:tc>
          <w:tcPr>
            <w:tcW w:type="dxa" w:w="1440"/>
            <w:shd w:fill="FAFAFA" w:val="clear"/>
          </w:tcPr>
          <w:p>
            <w:r>
              <w:rPr>
                <w:b/>
                <w:sz w:val="17"/>
              </w:rPr>
              <w:t>3,930</w:t>
            </w:r>
          </w:p>
        </w:tc>
        <w:tc>
          <w:tcPr>
            <w:tcW w:type="dxa" w:w="1440"/>
            <w:shd w:fill="FAFAFA" w:val="clear"/>
          </w:tcPr>
          <w:p>
            <w:r>
              <w:rPr>
                <w:sz w:val="17"/>
              </w:rPr>
              <w:t>4,095</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3,700</w:t>
            </w:r>
          </w:p>
        </w:tc>
        <w:tc>
          <w:tcPr>
            <w:tcW w:type="dxa" w:w="1440"/>
            <w:shd w:fill="FAFAFA" w:val="clear"/>
          </w:tcPr>
          <w:p>
            <w:r>
              <w:rPr>
                <w:b/>
                <w:sz w:val="17"/>
              </w:rPr>
              <w:t>3,933</w:t>
            </w:r>
          </w:p>
        </w:tc>
        <w:tc>
          <w:tcPr>
            <w:tcW w:type="dxa" w:w="1440"/>
            <w:shd w:fill="FAFAFA" w:val="clear"/>
          </w:tcPr>
          <w:p>
            <w:r>
              <w:rPr>
                <w:sz w:val="17"/>
              </w:rPr>
              <w:t>4,167</w:t>
            </w:r>
          </w:p>
        </w:tc>
        <w:tc>
          <w:tcPr>
            <w:tcW w:type="dxa" w:w="1440"/>
            <w:shd w:fill="FAFAFA" w:val="clear"/>
          </w:tcPr>
          <w:p>
            <w:r>
              <w:rPr>
                <w:b/>
                <w:color w:val="C00000"/>
                <w:sz w:val="17"/>
              </w:rPr>
              <w:t>-0.0%</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3,649</w:t>
            </w:r>
          </w:p>
        </w:tc>
        <w:tc>
          <w:tcPr>
            <w:tcW w:type="dxa" w:w="1440"/>
            <w:shd w:fill="FAFAFA" w:val="clear"/>
          </w:tcPr>
          <w:p>
            <w:r>
              <w:rPr>
                <w:b/>
                <w:sz w:val="17"/>
              </w:rPr>
              <w:t>3,935</w:t>
            </w:r>
          </w:p>
        </w:tc>
        <w:tc>
          <w:tcPr>
            <w:tcW w:type="dxa" w:w="1440"/>
            <w:shd w:fill="FAFAFA" w:val="clear"/>
          </w:tcPr>
          <w:p>
            <w:r>
              <w:rPr>
                <w:sz w:val="17"/>
              </w:rPr>
              <w:t>4,221</w:t>
            </w:r>
          </w:p>
        </w:tc>
        <w:tc>
          <w:tcPr>
            <w:tcW w:type="dxa" w:w="1440"/>
            <w:shd w:fill="FAFAFA" w:val="clear"/>
          </w:tcPr>
          <w:p>
            <w:r>
              <w:rPr>
                <w:b/>
                <w:color w:val="C00000"/>
                <w:sz w:val="17"/>
              </w:rPr>
              <w:t>-0.0%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3,606</w:t>
            </w:r>
          </w:p>
        </w:tc>
        <w:tc>
          <w:tcPr>
            <w:tcW w:type="dxa" w:w="1440"/>
            <w:shd w:fill="FAFAFA" w:val="clear"/>
          </w:tcPr>
          <w:p>
            <w:r>
              <w:rPr>
                <w:b/>
                <w:sz w:val="17"/>
              </w:rPr>
              <w:t>3,935</w:t>
            </w:r>
          </w:p>
        </w:tc>
        <w:tc>
          <w:tcPr>
            <w:tcW w:type="dxa" w:w="1440"/>
            <w:shd w:fill="FAFAFA" w:val="clear"/>
          </w:tcPr>
          <w:p>
            <w:r>
              <w:rPr>
                <w:sz w:val="17"/>
              </w:rPr>
              <w:t>4,265</w:t>
            </w:r>
          </w:p>
        </w:tc>
        <w:tc>
          <w:tcPr>
            <w:tcW w:type="dxa" w:w="1440"/>
            <w:shd w:fill="FAFAFA" w:val="clear"/>
          </w:tcPr>
          <w:p>
            <w:r>
              <w:rPr>
                <w:b/>
                <w:color w:val="008000"/>
                <w:sz w:val="17"/>
              </w:rPr>
              <w:t>+0.0%</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3,570</w:t>
            </w:r>
          </w:p>
        </w:tc>
        <w:tc>
          <w:tcPr>
            <w:tcW w:type="dxa" w:w="1440"/>
            <w:shd w:fill="FAFAFA" w:val="clear"/>
          </w:tcPr>
          <w:p>
            <w:r>
              <w:rPr>
                <w:b/>
                <w:sz w:val="17"/>
              </w:rPr>
              <w:t>3,939</w:t>
            </w:r>
          </w:p>
        </w:tc>
        <w:tc>
          <w:tcPr>
            <w:tcW w:type="dxa" w:w="1440"/>
            <w:shd w:fill="FAFAFA" w:val="clear"/>
          </w:tcPr>
          <w:p>
            <w:r>
              <w:rPr>
                <w:sz w:val="17"/>
              </w:rPr>
              <w:t>4,308</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3,539</w:t>
            </w:r>
          </w:p>
        </w:tc>
        <w:tc>
          <w:tcPr>
            <w:tcW w:type="dxa" w:w="1440"/>
            <w:shd w:fill="FAFAFA" w:val="clear"/>
          </w:tcPr>
          <w:p>
            <w:r>
              <w:rPr>
                <w:b/>
                <w:sz w:val="17"/>
              </w:rPr>
              <w:t>3,944</w:t>
            </w:r>
          </w:p>
        </w:tc>
        <w:tc>
          <w:tcPr>
            <w:tcW w:type="dxa" w:w="1440"/>
            <w:shd w:fill="FAFAFA" w:val="clear"/>
          </w:tcPr>
          <w:p>
            <w:r>
              <w:rPr>
                <w:sz w:val="17"/>
              </w:rPr>
              <w:t>4,349</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3,509</w:t>
            </w:r>
          </w:p>
        </w:tc>
        <w:tc>
          <w:tcPr>
            <w:tcW w:type="dxa" w:w="1440"/>
            <w:shd w:fill="FAFAFA" w:val="clear"/>
          </w:tcPr>
          <w:p>
            <w:r>
              <w:rPr>
                <w:b/>
                <w:sz w:val="17"/>
              </w:rPr>
              <w:t>3,947</w:t>
            </w:r>
          </w:p>
        </w:tc>
        <w:tc>
          <w:tcPr>
            <w:tcW w:type="dxa" w:w="1440"/>
            <w:shd w:fill="FAFAFA" w:val="clear"/>
          </w:tcPr>
          <w:p>
            <w:r>
              <w:rPr>
                <w:sz w:val="17"/>
              </w:rPr>
              <w:t>4,385</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3,481</w:t>
            </w:r>
          </w:p>
        </w:tc>
        <w:tc>
          <w:tcPr>
            <w:tcW w:type="dxa" w:w="1440"/>
            <w:shd w:fill="FAFAFA" w:val="clear"/>
          </w:tcPr>
          <w:p>
            <w:r>
              <w:rPr>
                <w:b/>
                <w:sz w:val="17"/>
              </w:rPr>
              <w:t>3,949</w:t>
            </w:r>
          </w:p>
        </w:tc>
        <w:tc>
          <w:tcPr>
            <w:tcW w:type="dxa" w:w="1440"/>
            <w:shd w:fill="FAFAFA" w:val="clear"/>
          </w:tcPr>
          <w:p>
            <w:r>
              <w:rPr>
                <w:sz w:val="17"/>
              </w:rPr>
              <w:t>4,418</w:t>
            </w:r>
          </w:p>
        </w:tc>
        <w:tc>
          <w:tcPr>
            <w:tcW w:type="dxa" w:w="1440"/>
            <w:shd w:fill="FAFAFA" w:val="clear"/>
          </w:tcPr>
          <w:p>
            <w:r>
              <w:rPr>
                <w:b/>
                <w:color w:val="008000"/>
                <w:sz w:val="17"/>
              </w:rPr>
              <w:t>+0.4%</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3,455</w:t>
            </w:r>
          </w:p>
        </w:tc>
        <w:tc>
          <w:tcPr>
            <w:tcW w:type="dxa" w:w="1440"/>
            <w:shd w:fill="FAFAFA" w:val="clear"/>
          </w:tcPr>
          <w:p>
            <w:r>
              <w:rPr>
                <w:b/>
                <w:sz w:val="17"/>
              </w:rPr>
              <w:t>3,952</w:t>
            </w:r>
          </w:p>
        </w:tc>
        <w:tc>
          <w:tcPr>
            <w:tcW w:type="dxa" w:w="1440"/>
            <w:shd w:fill="FAFAFA" w:val="clear"/>
          </w:tcPr>
          <w:p>
            <w:r>
              <w:rPr>
                <w:sz w:val="17"/>
              </w:rPr>
              <w:t>4,449</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3,432</w:t>
            </w:r>
          </w:p>
        </w:tc>
        <w:tc>
          <w:tcPr>
            <w:tcW w:type="dxa" w:w="1440"/>
            <w:shd w:fill="FAFAFA" w:val="clear"/>
          </w:tcPr>
          <w:p>
            <w:r>
              <w:rPr>
                <w:b/>
                <w:sz w:val="17"/>
              </w:rPr>
              <w:t>3,957</w:t>
            </w:r>
          </w:p>
        </w:tc>
        <w:tc>
          <w:tcPr>
            <w:tcW w:type="dxa" w:w="1440"/>
            <w:shd w:fill="FAFAFA" w:val="clear"/>
          </w:tcPr>
          <w:p>
            <w:r>
              <w:rPr>
                <w:sz w:val="17"/>
              </w:rPr>
              <w:t>4,481</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78,70 milliards FCFA, LNBB se positionne comme une valeur de taille intermédiaire sur le marché BRVM, représentant un poids non négligeable dans l'indice composite. Le BPA de 231 FCFA par action signifie que chaque titre génère près de 231 FCFA de bénéfice net, ce qui, rapporté au cours actuel de 3 935 FCFA, donne un PER de 17,0x. Ce niveau est nettement supérieur à la moyenne du marché BRVM (généralement comprise entre 8x et 12x), indiquant que les investisseurs paient une prime significative pour les bénéfices de la société, probablement en anticipation d'une reprise de la croissance. Le ratio P/B de 3,58x confirme cette prime de croissance : le marché valorise l'entreprise à plus de trois fois et demie sa valeur comptable, ce qui est cohérent avec un ROE élevé (21,05%) mais laisse peu de marge de sécurité en cas de déception. Enfin, l'EV/EBITDA de 10,0x se situe dans la fourchette haute de la zone de valorisation raisonnable (5-10x), suggérant que la valeur d'entreprise intègre déjà une bonne partie du potentiel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progression marginale de +1,16%, mais la dernière séance (J-1) enregistre un repli de -0,38%, signalant une légère pression vendeuse à court terme. Le cours actuel de 3 935 FCFA se situe dans la partie médiane de la fourchette de trading, le plus haut ayant atteint 4 560 FCFA et le plus bas 3 700 FCFA, soit un range de 860 FCFA (environ 23% d'amplitude). La tendance générale est donc stable à légèrement haussière, mais avec une correction récente depuis les sommets. Les statistiques descriptives révèlent une moyenne de 4 076 FCFA légèrement supérieure à la médiane de 4 050 FCFA, et un mode à 4 000 FCFA, ce qui indique une distribution quasi-symétrique avec une très légère asymétrie positive (skewness de 0,457). L'écart-type de 192 FCFA, avec un coefficient de variation de seulement 4,7%, témoigne d'une dispersion très faible du cours autour de sa moyenne, ce qui est rassurant pour la stabilité. Le kurtosis de -0,766 (mésokurtique) suggère une distribution proche de la normale, sans risque de pics extrêmes marqués. En revanche, la volatilité annualisée de 41,4% classe ce titre dans la catégorie des valeurs à volatilité élevée (&gt;30%), ce qui implique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(3 948 FCFA) est légèrement supérieure au cours actuel (3 935 FCFA), tandis que la MM50 (4 065,8 FCFA) est nettement au-dessus, créant une configuration baissière où le cours évolue sous ses deux moyennes. Cette position relative justifie la décision de vente émise par cet indicateur, car elle signale que la dynamique de court et moyen terme est négative.</w:t>
      </w:r>
    </w:p>
    <w:p>
      <w:pPr>
        <w:spacing w:after="120" w:line="276" w:lineRule="auto"/>
      </w:pPr>
      <w:r>
        <w:t>**Bandes de Bollinger** : Le cours actuel (3 935 FCFA) se situe dans la moitié inférieure de la bande, entre la borne inférieure (3 766,5 FCFA) et la borne supérieure (4 129,5 FCFA), sans atteindre les extrêmes. Cette position médiane, combinée à une largeur de bande modérée, traduit une volatilité contenue et justifie la décision neutre, le titre n'étant ni suracheté ni survendu selon ce critère.</w:t>
      </w:r>
    </w:p>
    <w:p>
      <w:pPr>
        <w:spacing w:after="120" w:line="276" w:lineRule="auto"/>
      </w:pPr>
      <w:r>
        <w:t>**MACD** : La valeur du MACD (-40,455) est supérieure à son signal (-48,884), générant un croisement haussier (MACD au-dessus du signal) bien que les deux restent en territoire négatif. Cette divergence positive indique un essoufflement de la dynamique baissière et un possible retournement, ce qui justifie la décision d'achat malgré le contexte général encore fragile.</w:t>
      </w:r>
    </w:p>
    <w:p>
      <w:pPr>
        <w:spacing w:after="120" w:line="276" w:lineRule="auto"/>
      </w:pPr>
      <w:r>
        <w:t>**RSI** : À 42,487, le RSI se situe dans la zone neutre (30-70), sans atteindre la zone de survente (&lt;30) ni de surachat (&gt;70). Cette valeur médiane reflète un équilibre entre acheteurs et vendeurs, sans signal directionnel fort, ce qui justifie la décision neutre.</w:t>
      </w:r>
    </w:p>
    <w:p>
      <w:pPr>
        <w:spacing w:after="120" w:line="276" w:lineRule="auto"/>
      </w:pPr>
      <w:r>
        <w:t>**Stochastique** : Le %K (78,333) est supérieur au %D (64,075), avec un croisement haussier récent, mais les deux valeurs se rapprochent de la zone de surachat (&gt;80). Cette configuration suggère une dynamique positive à court terme mais un risque de correction imminent, justifiant la décision neutre par prudence.</w:t>
      </w:r>
    </w:p>
    <w:p>
      <w:pPr>
        <w:spacing w:after="120" w:line="276" w:lineRule="auto"/>
      </w:pPr>
      <w:r>
        <w:t>**Conclusion technique** : Les indicateurs techniques sont mitigés, avec une majorité de signaux neutres (Bollinger, RSI, Stochastique) et une divergence entre la pression baissière des moyennes mobiles et le signal d'achat du MACD. Le titre semble dans une phase de consolidation, avec un potentiel de rebond à court terme mais une tendance de fond encore incertaine. La prudence est de mise, aucun signal fort ne se dégageant clairement.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LNBB a réalisé un chiffre d'affaires de 98,598 milliards FCFA, en baisse de -3,85% par rapport à 2024, et un résultat net de 4,622 milliards FCFA, en recul de -35,6%. Le ROE s'établit à 21,05% (excellent, &gt;15%) et le ROA à 14,17%, témoignant d'une rentabilité des fonds propres et des actifs très solide malgré la baisse des bénéfices. La marge nette est de 4,69%, la marge opérationnelle de 6,47%, et la marge brute de 10,70%. La structure financière est très saine : autonomie financière de 67,32%, ratio d'endettement de seulement 2,57%, et liquidité générale de 184,84%. Le BFR est négatif (217,45 millions FCFA), ce qui est favorable, et les délais clients sont très courts (4,82 jours), tandis que les délais fournisseurs sont de 20,41 jours. La trésorerie nette s'élève à 7,979 milliards FCFA.</w:t>
      </w:r>
    </w:p>
    <w:p>
      <w:pPr>
        <w:spacing w:after="120" w:line="276" w:lineRule="auto"/>
      </w:pPr>
      <w:r>
        <w:t>**Analyse sectorielle (entreprise non bancaire)** : Le BFR négatif et les délais clients très courts indiquent une excellente gestion du besoin en fonds de roulement, typique d'une activité de loterie où les encaissements sont immédiats. La rotation des actifs est élevée (302,37%), traduisant une utilisation efficace des ressources. Le taux de croissance du CA est négatif (-3,85%), ce qui constitue un point de vigilance majeur.</w:t>
      </w:r>
    </w:p>
    <w:p>
      <w:pPr>
        <w:spacing w:after="120" w:line="276" w:lineRule="auto"/>
      </w:pPr>
      <w:r>
        <w:t>**Estimations basées sur les rapports trimestriels** : Le rapport du S1 2026 (publié le 30 juillet 2026) indique un chiffre d'affaires de 49,937 milliards FCFA, en hausse de +4% par rapport au S1 2025, et un résultat net en progression de +60%. Le rapport T1 2026 (publié le 7 mai 2026) fait état d'un CA de 25,521 milliards FCFA (+6%) mais d'un résultat net en chute de -46% à 848 millions FCFA, en raison d'un mix produit défavorable (pari sportif à 95% de taux de retour). Le rapport annuel 2025 (publié le 26 mai 2025) confirme la baisse du CA (-4%) et du résultat net (-36%), mais souligne une amélioration de la valeur ajoutée (+22%) et de l'EBE (+34%). Sur la base de ces éléments, on peut estimer que l'exercice 2026 devrait bénéficier d'un rebond du résultat net au S2, porté par la maîtrise des charges et les revenus de partenariats, mais la pression sur la marge brute (PBJ en baisse de -9% au S1 2026) reste un risque majeur.</w:t>
      </w:r>
    </w:p>
    <w:p>
      <w:pPr>
        <w:spacing w:after="120" w:line="276" w:lineRule="auto"/>
      </w:pPr>
      <w:r>
        <w:t>**Recommandation fondamentale** : La solidité financière est incontestable (ROE &gt;20%, endettement quasi nul, trésorerie abondante), mais la dynamique commerciale est fragile (CA en baisse en 2025, concurrence illégale). La politique de dividende est généreuse (173 FCFA brut par action, soit un rendement de 4,4% au cours actuel), ce qui soutient le titre. Les perspectives 2026 sont incertaines, avec un possible redressement au S2 mais des risques persistants.</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exigeante, avec un PER de 17,0x et un P/B de 3,58x, nettement supérieurs aux moyennes du marché BRVM, ce qui suggère une surévaluation relative malgré la qualité des fondamentaux. Le comportement du cours (Partie 1) est stable mais volatil (volatilité annualisée de 41,4%), avec une distribution quasi-normale (kurtosis -0,766, skewness 0,457) et une dispersion faible (CV de 4,7%), ce qui est rassurant mais n'occulte pas le risque de fluctuation. Les signaux techniques (Partie 2) sont mitigés : les moyennes mobiles sont baissières, mais le MACD génère un signal d'achat, tandis que le RSI et le stochastique sont neutres, créant une divergence qui appelle à la prudence. Les fondamentaux (Partie 3) sont solides (ROE de 21,05%, autonomie financière de 67,32%) mais entachés par la baisse du CA en 2025 (-3,85%) et la pression sur les marges, avec des perspectives 2026 incertaines malgré un rebond du résultat net au S1 (+60%). Les prédictions IA (J+1 à J+10) tablent sur une stabilité autour de 3 930-3 939 FCFA, confirmant l'absence de tendance directionnelle forte à court terme.</w:t>
      </w:r>
    </w:p>
    <w:p>
      <w:pPr>
        <w:spacing w:after="120" w:line="276" w:lineRule="auto"/>
      </w:pPr>
      <w:r>
        <w:t>**Recommandation finale** : **CONSERVER**. La convergence entre une valorisation exigeante, des signaux techniques mitigés, des fondamentaux solides mais une dynamique commerciale fragile, et des prédictions IA stables, plaide pour le maintien en portefeuille sans renforcement agressif. Le niveau de confiance est **Moyen**, car si la solidité financière et le dividende attractif soutiennent le titre, les risques de concurrence illégale et de pression sur les marges limitent la visibilité. Le niveau de risque global est **Moyen**, avec une volatilité élevée mais une structure financière robuste. L'horizon d'investissement optimal est le **moyen terme (3-12 mois)**, en attendant la confirmation d'un redressement durable de la rentabilité au S2 2026 et l'impact des nouvelles initiatives stratégiques (déploiement de 1 500 terminaux, nouveaux produits de loterie).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27.45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2,365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007800"/>
                <w:sz w:val="17"/>
              </w:rPr>
              <w:t>+10.82%</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12.22% (Moyenne) — μ=2,315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β=0.0497 (Défensif) — Cov=0.000004, Var(idx)=0.000074, ρ=0.013,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2,028</w:t>
            </w:r>
          </w:p>
        </w:tc>
        <w:tc>
          <w:tcPr>
            <w:tcW w:type="dxa" w:w="1440"/>
            <w:shd w:fill="FAFAFA" w:val="clear"/>
          </w:tcPr>
          <w:p>
            <w:r>
              <w:rPr>
                <w:b/>
                <w:sz w:val="17"/>
              </w:rPr>
              <w:t>2,146</w:t>
            </w:r>
          </w:p>
        </w:tc>
        <w:tc>
          <w:tcPr>
            <w:tcW w:type="dxa" w:w="1440"/>
            <w:shd w:fill="FAFAFA" w:val="clear"/>
          </w:tcPr>
          <w:p>
            <w:r>
              <w:rPr>
                <w:sz w:val="17"/>
              </w:rPr>
              <w:t>2,264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1,967</w:t>
            </w:r>
          </w:p>
        </w:tc>
        <w:tc>
          <w:tcPr>
            <w:tcW w:type="dxa" w:w="1440"/>
            <w:shd w:fill="FAFAFA" w:val="clear"/>
          </w:tcPr>
          <w:p>
            <w:r>
              <w:rPr>
                <w:b/>
                <w:sz w:val="17"/>
              </w:rPr>
              <w:t>2,132</w:t>
            </w:r>
          </w:p>
        </w:tc>
        <w:tc>
          <w:tcPr>
            <w:tcW w:type="dxa" w:w="1440"/>
            <w:shd w:fill="FAFAFA" w:val="clear"/>
          </w:tcPr>
          <w:p>
            <w:r>
              <w:rPr>
                <w:sz w:val="17"/>
              </w:rPr>
              <w:t>2,298</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1,920</w:t>
            </w:r>
          </w:p>
        </w:tc>
        <w:tc>
          <w:tcPr>
            <w:tcW w:type="dxa" w:w="1440"/>
            <w:shd w:fill="FAFAFA" w:val="clear"/>
          </w:tcPr>
          <w:p>
            <w:r>
              <w:rPr>
                <w:b/>
                <w:sz w:val="17"/>
              </w:rPr>
              <w:t>2,122</w:t>
            </w:r>
          </w:p>
        </w:tc>
        <w:tc>
          <w:tcPr>
            <w:tcW w:type="dxa" w:w="1440"/>
            <w:shd w:fill="FAFAFA" w:val="clear"/>
          </w:tcPr>
          <w:p>
            <w:r>
              <w:rPr>
                <w:sz w:val="17"/>
              </w:rPr>
              <w:t>2,324</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1,880</w:t>
            </w:r>
          </w:p>
        </w:tc>
        <w:tc>
          <w:tcPr>
            <w:tcW w:type="dxa" w:w="1440"/>
            <w:shd w:fill="FAFAFA" w:val="clear"/>
          </w:tcPr>
          <w:p>
            <w:r>
              <w:rPr>
                <w:b/>
                <w:sz w:val="17"/>
              </w:rPr>
              <w:t>2,112</w:t>
            </w:r>
          </w:p>
        </w:tc>
        <w:tc>
          <w:tcPr>
            <w:tcW w:type="dxa" w:w="1440"/>
            <w:shd w:fill="FAFAFA" w:val="clear"/>
          </w:tcPr>
          <w:p>
            <w:r>
              <w:rPr>
                <w:sz w:val="17"/>
              </w:rPr>
              <w:t>2,344</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1,843</w:t>
            </w:r>
          </w:p>
        </w:tc>
        <w:tc>
          <w:tcPr>
            <w:tcW w:type="dxa" w:w="1440"/>
            <w:shd w:fill="FFDCE0" w:val="clear"/>
          </w:tcPr>
          <w:p>
            <w:r>
              <w:rPr>
                <w:b/>
                <w:sz w:val="17"/>
              </w:rPr>
              <w:t>2,102</w:t>
            </w:r>
          </w:p>
        </w:tc>
        <w:tc>
          <w:tcPr>
            <w:tcW w:type="dxa" w:w="1440"/>
            <w:shd w:fill="FFDCE0" w:val="clear"/>
          </w:tcPr>
          <w:p>
            <w:r>
              <w:rPr>
                <w:sz w:val="17"/>
              </w:rPr>
              <w:t>2,360</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1,810</w:t>
            </w:r>
          </w:p>
        </w:tc>
        <w:tc>
          <w:tcPr>
            <w:tcW w:type="dxa" w:w="1440"/>
            <w:shd w:fill="FFDCE0" w:val="clear"/>
          </w:tcPr>
          <w:p>
            <w:r>
              <w:rPr>
                <w:b/>
                <w:sz w:val="17"/>
              </w:rPr>
              <w:t>2,092</w:t>
            </w:r>
          </w:p>
        </w:tc>
        <w:tc>
          <w:tcPr>
            <w:tcW w:type="dxa" w:w="1440"/>
            <w:shd w:fill="FFDCE0" w:val="clear"/>
          </w:tcPr>
          <w:p>
            <w:r>
              <w:rPr>
                <w:sz w:val="17"/>
              </w:rPr>
              <w:t>2,374</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1,779</w:t>
            </w:r>
          </w:p>
        </w:tc>
        <w:tc>
          <w:tcPr>
            <w:tcW w:type="dxa" w:w="1440"/>
            <w:shd w:fill="FFDCE0" w:val="clear"/>
          </w:tcPr>
          <w:p>
            <w:r>
              <w:rPr>
                <w:b/>
                <w:sz w:val="17"/>
              </w:rPr>
              <w:t>2,082</w:t>
            </w:r>
          </w:p>
        </w:tc>
        <w:tc>
          <w:tcPr>
            <w:tcW w:type="dxa" w:w="1440"/>
            <w:shd w:fill="FFDCE0" w:val="clear"/>
          </w:tcPr>
          <w:p>
            <w:r>
              <w:rPr>
                <w:sz w:val="17"/>
              </w:rPr>
              <w:t>2,385</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1,751</w:t>
            </w:r>
          </w:p>
        </w:tc>
        <w:tc>
          <w:tcPr>
            <w:tcW w:type="dxa" w:w="1440"/>
            <w:shd w:fill="FFDCE0" w:val="clear"/>
          </w:tcPr>
          <w:p>
            <w:r>
              <w:rPr>
                <w:b/>
                <w:sz w:val="17"/>
              </w:rPr>
              <w:t>2,073</w:t>
            </w:r>
          </w:p>
        </w:tc>
        <w:tc>
          <w:tcPr>
            <w:tcW w:type="dxa" w:w="1440"/>
            <w:shd w:fill="FFDCE0" w:val="clear"/>
          </w:tcPr>
          <w:p>
            <w:r>
              <w:rPr>
                <w:sz w:val="17"/>
              </w:rPr>
              <w:t>2,396</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1,724</w:t>
            </w:r>
          </w:p>
        </w:tc>
        <w:tc>
          <w:tcPr>
            <w:tcW w:type="dxa" w:w="1440"/>
            <w:shd w:fill="FFDCE0" w:val="clear"/>
          </w:tcPr>
          <w:p>
            <w:r>
              <w:rPr>
                <w:b/>
                <w:sz w:val="17"/>
              </w:rPr>
              <w:t>2,065</w:t>
            </w:r>
          </w:p>
        </w:tc>
        <w:tc>
          <w:tcPr>
            <w:tcW w:type="dxa" w:w="1440"/>
            <w:shd w:fill="FFDCE0" w:val="clear"/>
          </w:tcPr>
          <w:p>
            <w:r>
              <w:rPr>
                <w:sz w:val="17"/>
              </w:rPr>
              <w:t>2,405</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1,699</w:t>
            </w:r>
          </w:p>
        </w:tc>
        <w:tc>
          <w:tcPr>
            <w:tcW w:type="dxa" w:w="1440"/>
            <w:shd w:fill="FFDCE0" w:val="clear"/>
          </w:tcPr>
          <w:p>
            <w:r>
              <w:rPr>
                <w:b/>
                <w:sz w:val="17"/>
              </w:rPr>
              <w:t>2,056</w:t>
            </w:r>
          </w:p>
        </w:tc>
        <w:tc>
          <w:tcPr>
            <w:tcW w:type="dxa" w:w="1440"/>
            <w:shd w:fill="FFDCE0" w:val="clear"/>
          </w:tcPr>
          <w:p>
            <w:r>
              <w:rPr>
                <w:sz w:val="17"/>
              </w:rPr>
              <w:t>2,414</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 RAPPORT D'ANALYSE FINANCIÈRE — NEIC (NEI-CEDA CI)</w:t>
        <w:br/>
        <w:t>**Bourse Régionale des Valeurs Mobilières (BRVM) — Secteur : Édition &amp; Diffusion**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**27,45 milliards FCFA**, NEIC se positionne comme une petite capitalisation sur le marché BRVM, ce qui la rend sensible aux mouvements de faible volume. Le BPA s'établit à **160 FCFA/action**, ce qui signifie que chaque titre génère 160 FCFA de bénéfice net, un niveau correct pour une société de cette taille. Le **PER de 13,5x** se situe légèrement au-dessus de la moyenne BRVM (8-12x), traduisant une valorisation modérément exigeante mais non déraisonnable au regard de la dynamique bénéficiaire récente. Le **P/B de 4,77x** est en revanche très élevé (&gt;4x), signe que le marché valorise l'entreprise bien au-delà de sa valeur comptable — une prime qui se justifie uniquement si la rentabilité future reste soutenue. Enfin, l'**EV/EBITDA de 19,9x** (&gt;15x) apparaît très exigeant et suggère que la valeur d'entreprise intègre déjà une bonne partie des anticipations de croissance,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**variation totale positive de +10,82%**, malgré un repli de **-2,27% lors de la dernière séance**, signalant une consolidation de court terme après une phase de hausse. Le cours actuel de **2 150 FCFA** se situe dans la partie médiane du range de trading, entre un plus bas de **1 900 FCFA** et un plus haut de **3 000 FCFA**, ce qui traduit une tendance globalement haussière mais ponctuée de corrections significatives. La **moyenne (2 315 FCFA)** est supérieure à la **médiane (2 272 FCFA)**, confirmant une distribution asymétrique avec quelques journées de forte hausse tirant la moyenne vers le haut. L'**écart-type de 284 FCFA** avec un **CV de 12,3%** indique une dispersion modérée du cours autour de sa tendance, tandis que le **kurtosis de 0,463** (mésokurtique) suggère un risque de pics extrêmes proche d'une distribution normale — pas de risque de "queue épaisse" anormal. Le **skewness positif de 0,985** révèle une asymétrie à droite : davantage de journées sous la moyenne, mais compensées par des hausses ponctuelles plus amples. Enfin, la **volatilité annualisée de 52,6%** classe ce titre dans la catégorie **très volatile** (&gt;30%), ce qui implique un risque de marché élevé et un horizon d'investissement à adapter en conséquence.</w:t>
      </w:r>
    </w:p>
    <w:p>
      <w:pPr>
        <w:spacing w:after="120" w:line="276" w:lineRule="auto"/>
      </w:pPr>
      <w:r>
        <w:t>---</w:t>
      </w:r>
    </w:p>
    <w:p>
      <w:pPr>
        <w:spacing w:after="120" w:line="276" w:lineRule="auto"/>
      </w:pPr>
      <w:r>
        <w:t>## PARTIE 2 : ANALYSE TECHNIQUE DÉTAILLÉE</w:t>
      </w:r>
    </w:p>
    <w:p>
      <w:pPr>
        <w:spacing w:after="120" w:line="276" w:lineRule="auto"/>
      </w:pPr>
      <w:r>
        <w:t>**Moyennes Mobiles** : La MM20 (2 415,25 FCFA) et la MM50 (2 476,40 FCFA) se situent toutes deux **au-dessus du cours actuel (2 150 FCFA)**, ce qui place le titre en configuration baissière de court et moyen terme. La MM20 étant sous la MM50, la tendance est clairement descendante, justifiant la **décision de Vente**.</w:t>
      </w:r>
    </w:p>
    <w:p>
      <w:pPr>
        <w:spacing w:after="120" w:line="276" w:lineRule="auto"/>
      </w:pPr>
      <w:r>
        <w:t>**Bandes de Bollinger** : Le cours (2 150 FCFA) évolue dans la partie basse de la bande, entre la borne inférieure (1 993,87 FCFA) et la borne supérieure (2 836,63 FCFA), sans franchissement de seuil. Cette position neutre, couplée à un rétrécissement potentiel des bandes, justifie la **décision Neutre** — ni signal d'achat ni de vente imminent.</w:t>
      </w:r>
    </w:p>
    <w:p>
      <w:pPr>
        <w:spacing w:after="120" w:line="276" w:lineRule="auto"/>
      </w:pPr>
      <w:r>
        <w:t>**MACD** : La ligne MACD (-111,573) est **nettement sous sa ligne de signal (-80,053)**, avec un histogramme négatif, confirmant un momentum baissier persistant. La divergence négative entre les deux lignes justifie pleinement la **décision de Vente**.</w:t>
      </w:r>
    </w:p>
    <w:p>
      <w:pPr>
        <w:spacing w:after="120" w:line="276" w:lineRule="auto"/>
      </w:pPr>
      <w:r>
        <w:t>**RSI** : À **19,643**, le RSI est en zone de **survente sévère** (&lt;30), ce qui indique que le titre a été massivement vendu et pourrait amorcer un rebond technique à court terme. Cette configuration extrême justifie la **décision d'Achat** à contre-tendance.</w:t>
      </w:r>
    </w:p>
    <w:p>
      <w:pPr>
        <w:spacing w:after="120" w:line="276" w:lineRule="auto"/>
      </w:pPr>
      <w:r>
        <w:t>**Stochastique** : Le %K et le %D sont tous deux à **0,0**, soit le niveau plancher absolu de l'indicateur, signalant une pression vendeuse maximale. Un tel niveau précède souvent un retournement haussier, justifiant la **décision d'Achat**.</w:t>
      </w:r>
    </w:p>
    <w:p>
      <w:pPr>
        <w:spacing w:after="120" w:line="276" w:lineRule="auto"/>
      </w:pPr>
      <w:r>
        <w:t>**Conclusion technique** : Les indicateurs sont **divergents** : les moyennes mobiles et le MACD confirment une tendance baissière de fond, tandis que le RSI et le stochastique, en zones extrêmes de survente, plaident pour un rebond technique imminent. Cette configuration suggère une **phase de retournement potentiel à court terme**, mais la prudence reste de mise tant que le cours n'aura pas reconquis la MM20 (2 415 FCFA) pour valider un changement de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 affiche un **chiffre d'affaires de 5,139 milliards FCFA**, un **résultat net de 2,037 milliards FCFA**, soit une **marge nette exceptionnelle de 39,63%**. Le **ROE atteint 35,39%** (&gt;15% = excellent) et le **ROA 27,25%**, témoignant d'une rentabilité des fonds propres et des actifs remarquable. La structure financière est très saine avec une **autonomie financière de 77,01%** et une **liquidité générale de 448,86%**. Toutefois, le **taux de croissance du CA est négatif (-23,80%)**, signalant une contraction de l'activité commerciale. En tant qu'entreprise du secteur édition/diffusion, les **délais clients de 154,72 jours** constituent un point de vigilance majeur (risque de trésorerie), compensé par un **BFR positif de 1,498 milliard FCFA** et une trésorerie nette solide de 4,196 milliards FCFA.</w:t>
      </w:r>
    </w:p>
    <w:p>
      <w:pPr>
        <w:spacing w:after="120" w:line="276" w:lineRule="auto"/>
      </w:pPr>
      <w:r>
        <w:t>**Estimations basées sur les rapports trimestriels** : Le **rapport T3 2025 (daté du 30/09/2025)** indique un CA de 3 406 millions FCFA en **baisse de 35%** sur un an, mais un résultat net de 1 596 millions FCFA (+125%) dopé par une **reprise de provision non récurrente**. Le **rapport T1 2026 (daté de 2026)** montre une **croissance spectaculaire du CA de +137% à 115,1 millions FCFA**, avec une perte nette réduite à -168,9 millions FCFA (contre -189,9 millions en 2025), confirmant une **dynamique de redressement**. Le **rapport annuel 2025** confirme un résultat net de 2,04 milliards FCFA (+169%) et un dividende généreux de 2,04 milliards FCFA (100% du résultat net).</w:t>
      </w:r>
    </w:p>
    <w:p>
      <w:pPr>
        <w:spacing w:after="120" w:line="276" w:lineRule="auto"/>
      </w:pPr>
      <w:r>
        <w:t>**Évolution pluriannuelle** : De 2020 (CA 7,3 Mds, RN 800,8 M) à 2024 (perte de 759,4 M), puis 2025 (RN 2,04 Mds), la société montre une **volatilité extrême de ses performances**, alternant exercices records et pertes. La **rentabilité opérationnelle reste fragile** (marge opérationnelle 23,60% en 2025 mais dépendante d'éléments non récurrents), et la **distribution de 100% du résultat en dividende** limite la capacité d'autofinancement future.</w:t>
      </w:r>
    </w:p>
    <w:p>
      <w:pPr>
        <w:spacing w:after="120" w:line="276" w:lineRule="auto"/>
      </w:pPr>
      <w:r>
        <w:t>**Recommandation fondamentale** : La solidité bilancielle (ROE 35%, autonomie financière 77%) et la reprise du CA au T1 2026 sont des signaux positifs, mais la **durabilité de la performance** reste incertaine, la rentabilité 2025 étant en partie artificielle. **Conclusion : profil spéculatif à surveiller, avec un risque opérationnel élevé.**</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mitigé : le PER de 13,5x est modéré, mais le P/B de 4,77x et l'EV/EBITDA de 19,9x traduisent une **surévaluation relative** qui intègre déjà une bonne partie des anticipations de croissance. Le **comportement du cours (Partie 1)** est haussier sur 100 jours (+10,82%) mais avec une **volatilité très élevée (52,6%)** et un skewness positif (0,985) indiquant des corrections ponctuelles sévères — profil préoccupant pour un investisseur averse au risque. Les **signaux techniques (Partie 2)** sont **divergents** : baissiers selon les MM et le MACD, mais haussiers selon le RSI (19,6) et le stochastique (0,0), en zones de survente extrême — configuration typique d'un **rebond technique imminent** mais non confirmé. Les **fondamentaux (Partie 3)** sont solides (ROE 35%, autonomie financière 77%) mais fragilisés par la **baisse du CA (-23,8%)** et la dépendance à des éléments non récurrents. Les **prédictions IA (J+1 à J+10)** anticipent une **légère poursuite de la baisse** (2 146 → 2 102 FCFA), ce qui **contredit** le signal d'achat du RSI/stochastique et **confirme** la tendance baissière des MM/MACD.</w:t>
      </w:r>
    </w:p>
    <w:p>
      <w:pPr>
        <w:spacing w:after="120" w:line="276" w:lineRule="auto"/>
      </w:pPr>
      <w:r>
        <w:t>**Recommandation finale : CONSERVER (avec vigilance)**</w:t>
        <w:br/>
        <w:t>- **Justification** : Convergence partielle entre technique (survente = potentiel rebond) et fondamental (rentabilité élevée mais fragile), mais divergence avec la valorisation (exigeante) et les prédictions IA (baissières). Le titre est à un **point d'inflexion** qui nécessite confirmation.</w:t>
        <w:br/>
        <w:t>- **Niveau de confiance** : **Moyen** — les signaux contradictoires empêchent une conviction forte.</w:t>
        <w:br/>
        <w:t>- **Niveau de risque global** : **Élevé** — volatilité 52,6%, dépendance aux éléments non récurrents, valorisation tendue.</w:t>
        <w:br/>
        <w:t>- **Horizon d'investissement optimal** : **Moyen terme (3-12 mois)** — attendre la confirmation du redressement commercial (T2/T3 2026) et un retour du cours au-dessus de la MM20 (2 415 FCFA) avant tout renforcement. Un **ACHAT** ne serait justifié qu'en cas de validation du rebond technique et de poursuite de la croissance du CA.</w:t>
      </w:r>
    </w:p>
    <w:p>
      <w:pPr>
        <w:spacing w:after="120" w:line="276" w:lineRule="auto"/>
      </w:pPr>
      <w:r>
        <w:t>---</w:t>
      </w:r>
    </w:p>
    <w:p>
      <w:pPr>
        <w:spacing w:after="120" w:line="276" w:lineRule="auto"/>
      </w:pPr>
      <w:r>
        <w:t>*Rapport généré sur la base des données officielles BRVM, des états financiers 2025 et des rapports trimestriels T3 2025 et T1 2026. Les prédictions IA sont fournies à titre indicatif et ne constituent pas une garantie de performance.*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518.93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2,945 titres</w:t>
            </w:r>
          </w:p>
        </w:tc>
        <w:tc>
          <w:tcPr>
            <w:tcW w:type="dxa" w:w="2268"/>
            <w:shd w:fill="FFF2CC" w:val="clear"/>
          </w:tcPr>
          <w:p>
            <w:r>
              <w:rPr>
                <w:b/>
                <w:color w:val="503200"/>
                <w:sz w:val="16"/>
              </w:rPr>
              <w:t xml:space="preserve">Cours actuel : </w:t>
            </w:r>
            <w:r>
              <w:rPr>
                <w:color w:val="000000"/>
                <w:sz w:val="17"/>
              </w:rPr>
              <w:t>20,980 FCFA</w:t>
            </w:r>
          </w:p>
          <w:p>
            <w:r>
              <w:rPr>
                <w:b/>
                <w:color w:val="503200"/>
                <w:sz w:val="16"/>
              </w:rPr>
              <w:t xml:space="preserve">Var. 100 jours : </w:t>
            </w:r>
            <w:r>
              <w:rPr>
                <w:b/>
                <w:color w:val="007800"/>
                <w:sz w:val="17"/>
              </w:rPr>
              <w:t>+34.06%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15,650 FCFA</w:t>
            </w:r>
          </w:p>
          <w:p>
            <w:r>
              <w:rPr>
                <w:b/>
                <w:color w:val="503200"/>
                <w:sz w:val="16"/>
              </w:rPr>
              <w:t xml:space="preserve">Volatilité ann. : </w:t>
            </w:r>
            <w:r>
              <w:rPr>
                <w:color w:val="000000"/>
                <w:sz w:val="17"/>
              </w:rPr>
              <w:t>40.7%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9.95% (Moyenne) — μ=21,505 FCFA, σ=2,140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β=1.2560 (Agressif) — Cov=0.000093, Var(idx)=0.000074, ρ=0.416,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2,945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σ_j=2.56%/j (Stable) — Vol. annualisée≈40.7%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19,703</w:t>
            </w:r>
          </w:p>
        </w:tc>
        <w:tc>
          <w:tcPr>
            <w:tcW w:type="dxa" w:w="1440"/>
            <w:shd w:fill="FAFAFA" w:val="clear"/>
          </w:tcPr>
          <w:p>
            <w:r>
              <w:rPr>
                <w:b/>
                <w:sz w:val="17"/>
              </w:rPr>
              <w:t>20,674</w:t>
            </w:r>
          </w:p>
        </w:tc>
        <w:tc>
          <w:tcPr>
            <w:tcW w:type="dxa" w:w="1440"/>
            <w:shd w:fill="FAFAFA" w:val="clear"/>
          </w:tcPr>
          <w:p>
            <w:r>
              <w:rPr>
                <w:sz w:val="17"/>
              </w:rPr>
              <w:t>21,646</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2026-10-13</w:t>
            </w:r>
          </w:p>
        </w:tc>
        <w:tc>
          <w:tcPr>
            <w:tcW w:type="dxa" w:w="1440"/>
            <w:shd w:fill="FFDCE0" w:val="clear"/>
          </w:tcPr>
          <w:p>
            <w:r>
              <w:rPr>
                <w:sz w:val="17"/>
              </w:rPr>
              <w:t>19,083</w:t>
            </w:r>
          </w:p>
        </w:tc>
        <w:tc>
          <w:tcPr>
            <w:tcW w:type="dxa" w:w="1440"/>
            <w:shd w:fill="FFDCE0" w:val="clear"/>
          </w:tcPr>
          <w:p>
            <w:r>
              <w:rPr>
                <w:b/>
                <w:sz w:val="17"/>
              </w:rPr>
              <w:t>20,441</w:t>
            </w:r>
          </w:p>
        </w:tc>
        <w:tc>
          <w:tcPr>
            <w:tcW w:type="dxa" w:w="1440"/>
            <w:shd w:fill="FFDCE0" w:val="clear"/>
          </w:tcPr>
          <w:p>
            <w:r>
              <w:rPr>
                <w:sz w:val="17"/>
              </w:rPr>
              <w:t>21,799</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18,573</w:t>
            </w:r>
          </w:p>
        </w:tc>
        <w:tc>
          <w:tcPr>
            <w:tcW w:type="dxa" w:w="1440"/>
            <w:shd w:fill="FFDCE0" w:val="clear"/>
          </w:tcPr>
          <w:p>
            <w:r>
              <w:rPr>
                <w:b/>
                <w:sz w:val="17"/>
              </w:rPr>
              <w:t>20,219</w:t>
            </w:r>
          </w:p>
        </w:tc>
        <w:tc>
          <w:tcPr>
            <w:tcW w:type="dxa" w:w="1440"/>
            <w:shd w:fill="FFDCE0" w:val="clear"/>
          </w:tcPr>
          <w:p>
            <w:r>
              <w:rPr>
                <w:sz w:val="17"/>
              </w:rPr>
              <w:t>21,865</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18,126</w:t>
            </w:r>
          </w:p>
        </w:tc>
        <w:tc>
          <w:tcPr>
            <w:tcW w:type="dxa" w:w="1440"/>
            <w:shd w:fill="FFDCE0" w:val="clear"/>
          </w:tcPr>
          <w:p>
            <w:r>
              <w:rPr>
                <w:b/>
                <w:sz w:val="17"/>
              </w:rPr>
              <w:t>20,006</w:t>
            </w:r>
          </w:p>
        </w:tc>
        <w:tc>
          <w:tcPr>
            <w:tcW w:type="dxa" w:w="1440"/>
            <w:shd w:fill="FFDCE0" w:val="clear"/>
          </w:tcPr>
          <w:p>
            <w:r>
              <w:rPr>
                <w:sz w:val="17"/>
              </w:rPr>
              <w:t>21,886</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17,716</w:t>
            </w:r>
          </w:p>
        </w:tc>
        <w:tc>
          <w:tcPr>
            <w:tcW w:type="dxa" w:w="1440"/>
            <w:shd w:fill="FFDCE0" w:val="clear"/>
          </w:tcPr>
          <w:p>
            <w:r>
              <w:rPr>
                <w:b/>
                <w:sz w:val="17"/>
              </w:rPr>
              <w:t>19,796</w:t>
            </w:r>
          </w:p>
        </w:tc>
        <w:tc>
          <w:tcPr>
            <w:tcW w:type="dxa" w:w="1440"/>
            <w:shd w:fill="FFDCE0" w:val="clear"/>
          </w:tcPr>
          <w:p>
            <w:r>
              <w:rPr>
                <w:sz w:val="17"/>
              </w:rPr>
              <w:t>21,876</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17,335</w:t>
            </w:r>
          </w:p>
        </w:tc>
        <w:tc>
          <w:tcPr>
            <w:tcW w:type="dxa" w:w="1440"/>
            <w:shd w:fill="FFDCE0" w:val="clear"/>
          </w:tcPr>
          <w:p>
            <w:r>
              <w:rPr>
                <w:b/>
                <w:sz w:val="17"/>
              </w:rPr>
              <w:t>19,590</w:t>
            </w:r>
          </w:p>
        </w:tc>
        <w:tc>
          <w:tcPr>
            <w:tcW w:type="dxa" w:w="1440"/>
            <w:shd w:fill="FFDCE0" w:val="clear"/>
          </w:tcPr>
          <w:p>
            <w:r>
              <w:rPr>
                <w:sz w:val="17"/>
              </w:rPr>
              <w:t>21,845</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16,976</w:t>
            </w:r>
          </w:p>
        </w:tc>
        <w:tc>
          <w:tcPr>
            <w:tcW w:type="dxa" w:w="1440"/>
            <w:shd w:fill="FFDCE0" w:val="clear"/>
          </w:tcPr>
          <w:p>
            <w:r>
              <w:rPr>
                <w:b/>
                <w:sz w:val="17"/>
              </w:rPr>
              <w:t>19,386</w:t>
            </w:r>
          </w:p>
        </w:tc>
        <w:tc>
          <w:tcPr>
            <w:tcW w:type="dxa" w:w="1440"/>
            <w:shd w:fill="FFDCE0" w:val="clear"/>
          </w:tcPr>
          <w:p>
            <w:r>
              <w:rPr>
                <w:sz w:val="17"/>
              </w:rPr>
              <w:t>21,797</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16,635</w:t>
            </w:r>
          </w:p>
        </w:tc>
        <w:tc>
          <w:tcPr>
            <w:tcW w:type="dxa" w:w="1440"/>
            <w:shd w:fill="FFDCE0" w:val="clear"/>
          </w:tcPr>
          <w:p>
            <w:r>
              <w:rPr>
                <w:b/>
                <w:sz w:val="17"/>
              </w:rPr>
              <w:t>19,185</w:t>
            </w:r>
          </w:p>
        </w:tc>
        <w:tc>
          <w:tcPr>
            <w:tcW w:type="dxa" w:w="1440"/>
            <w:shd w:fill="FFDCE0" w:val="clear"/>
          </w:tcPr>
          <w:p>
            <w:r>
              <w:rPr>
                <w:sz w:val="17"/>
              </w:rPr>
              <w:t>21,735</w:t>
            </w:r>
          </w:p>
        </w:tc>
        <w:tc>
          <w:tcPr>
            <w:tcW w:type="dxa" w:w="1440"/>
            <w:shd w:fill="FFDCE0" w:val="clear"/>
          </w:tcPr>
          <w:p>
            <w:r>
              <w:rPr>
                <w:b/>
                <w:color w:val="C00000"/>
                <w:sz w:val="17"/>
              </w:rPr>
              <w:t>-8.6%</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16,310</w:t>
            </w:r>
          </w:p>
        </w:tc>
        <w:tc>
          <w:tcPr>
            <w:tcW w:type="dxa" w:w="1440"/>
            <w:shd w:fill="FFDCE0" w:val="clear"/>
          </w:tcPr>
          <w:p>
            <w:r>
              <w:rPr>
                <w:b/>
                <w:sz w:val="17"/>
              </w:rPr>
              <w:t>18,987</w:t>
            </w:r>
          </w:p>
        </w:tc>
        <w:tc>
          <w:tcPr>
            <w:tcW w:type="dxa" w:w="1440"/>
            <w:shd w:fill="FFDCE0" w:val="clear"/>
          </w:tcPr>
          <w:p>
            <w:r>
              <w:rPr>
                <w:sz w:val="17"/>
              </w:rPr>
              <w:t>21,663</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15,998</w:t>
            </w:r>
          </w:p>
        </w:tc>
        <w:tc>
          <w:tcPr>
            <w:tcW w:type="dxa" w:w="1440"/>
            <w:shd w:fill="FFDCE0" w:val="clear"/>
          </w:tcPr>
          <w:p>
            <w:r>
              <w:rPr>
                <w:b/>
                <w:sz w:val="17"/>
              </w:rPr>
              <w:t>18,790</w:t>
            </w:r>
          </w:p>
        </w:tc>
        <w:tc>
          <w:tcPr>
            <w:tcW w:type="dxa" w:w="1440"/>
            <w:shd w:fill="FFDCE0" w:val="clear"/>
          </w:tcPr>
          <w:p>
            <w:r>
              <w:rPr>
                <w:sz w:val="17"/>
              </w:rPr>
              <w:t>21,582</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NSIA BANQUE CÔTE D'IVOIRE (NSBC)</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518,93 milliards FCFA, NSBC s'impose comme l'une des valeurs bancaires les plus importantes de la cote BRVM, ce qui lui confère une liquidité relative et une visibilité institutionnelle appréciables. Le BPA de 1 646 FCFA par action traduit la capacité bénéficiaire unitaire de la banque, et le PER de 12,7x situe le titre légèrement au-dessus de la fourchette moyenne du marché BRVM (8-12x), signalant une valorisation modérée mais non excessive au regard de la qualité des fondamentaux. Le P/B de 2,22x indique que le marché valorise l'action à plus du double de sa valeur comptable, une prime de croissance justifiée par un ROE de 17,45% nettement supérieur au coût des fonds propres. En revanche, l'EV/EBITDA de 20,5x apparaît très exigeant (&gt;15x), ce qui suggère que la valeur d'entreprise intègre déjà une bonne partie des anticipations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NSBC affiche une performance remarquable de **+34,06%**, portée par un cours actuel de 20 980 FCFA, malgré un léger repli de -0,10% sur la dernière séance. Le titre a évolué dans un range large de 15 650 FCFA (plus bas) à 24 885 FCFA (plus haut), soit une amplitude de plus de 9 200 FCFA qui témoigne d'une forte dynamique haussière entrecoupée de phases de correction. La tendance générale reste haussière, mais le cours actuel se situe sous sa moyenne (21 505 FCFA) et sa médiane (22 000 FCFA), signe d'une consolidation récente après le pic. Les statistiques descriptives révèlent une distribution légèrement asymétrique à gauche (skewness = -0,448), avec un mode à 23 000 FCFA supérieur à la moyenne, indiquant que les niveaux de prix élevés ont été les plus fréquents avant la correction actuelle. L'écart-type de 2 151 FCFA (CV = 10,0%) traduit une dispersion modérée autour de la moyenne, tandis que le kurtosis de -0,828 (mésokurtique) suggère une distribution proche de la normale, sans risque excessif de pics extrêmes. La volatilité annualisée de **40,7%** classe le titre dans la catégorie **élevée** (&gt;30%), ce qui implique une prime de risque significative mais cohérente avec le profil de croissance de la valeur.</w:t>
      </w:r>
    </w:p>
    <w:p>
      <w:pPr>
        <w:spacing w:after="120" w:line="276" w:lineRule="auto"/>
      </w:pPr>
      <w:r>
        <w:t>---</w:t>
      </w:r>
    </w:p>
    <w:p>
      <w:pPr>
        <w:spacing w:after="120" w:line="276" w:lineRule="auto"/>
      </w:pPr>
      <w:r>
        <w:t>## PARTIE 2 : ANALYSE TECHNIQUE DÉTAILLÉE</w:t>
      </w:r>
    </w:p>
    <w:p>
      <w:pPr>
        <w:spacing w:after="120" w:line="276" w:lineRule="auto"/>
      </w:pPr>
      <w:r>
        <w:t>**Moyennes Mobiles** : La MM20 (22 564,5 FCFA) et la MM50 (23 033,8 FCFA) se situent toutes deux au-dessus du cours actuel (20 980 FCFA), confirmant une configuration baissière de court terme. La MM20 étant inférieure à la MM50, on observe un croisement baissier (death cross) qui justifie la décision de **Vente** émise par cet indicateur. Le cours évoluant sous ses deux moyennes, la pression vendeuse reste dominante.</w:t>
      </w:r>
    </w:p>
    <w:p>
      <w:pPr>
        <w:spacing w:after="120" w:line="276" w:lineRule="auto"/>
      </w:pPr>
      <w:r>
        <w:t>**Bandes de Bollinger** : Le cours (20 980 FCFA) se situe dans la partie basse de la bande, entre la borne inférieure (19 730,9 FCFA) et la borne supérieure (25 398,1 FCFA), mais nettement plus proche du bas. Cette position reflète une phase de correction après le pic, avec une volatilité qui reste contenue dans les bandes. La décision **Neutre** s'explique par l'absence de rupture significative des bornes, le cours évoluant dans un canal descendant sans signal extrême.</w:t>
      </w:r>
    </w:p>
    <w:p>
      <w:pPr>
        <w:spacing w:after="120" w:line="276" w:lineRule="auto"/>
      </w:pPr>
      <w:r>
        <w:t>**MACD** : La valeur du MACD (-614,5) est inférieure à son signal (-427,0), confirmant un momentum baissier. L'histogramme négatif indique que la pression vendeuse persiste, et la décision de **Vente** est cohérente avec cette configuration. Aucune divergence haussière n'est détectée à ce stade.</w:t>
      </w:r>
    </w:p>
    <w:p>
      <w:pPr>
        <w:spacing w:after="120" w:line="276" w:lineRule="auto"/>
      </w:pPr>
      <w:r>
        <w:t>**RSI** : À 28,245, le RSI se situe en zone de **survente** (&lt;30), ce qui déclenche une décision d'**Achat**. Ce niveau suggère que le titre pourrait être survendu à court terme et qu'un rebond technique est envisageable, bien que la tendance de fond reste baissière.</w:t>
      </w:r>
    </w:p>
    <w:p>
      <w:pPr>
        <w:spacing w:after="120" w:line="276" w:lineRule="auto"/>
      </w:pPr>
      <w:r>
        <w:t>**Stochastique** : Le %K (6,145) et le %D (5,393) sont tous deux en zone extrême de survente (&lt;20), avec un %K légèrement supérieur au %D, ce qui pourrait annoncer un croisement haussier imminent. La décision d'**Achat** reflète cette configuration de retournement potentiel à court terme.</w:t>
      </w:r>
    </w:p>
    <w:p>
      <w:pPr>
        <w:spacing w:after="120" w:line="276" w:lineRule="auto"/>
      </w:pPr>
      <w:r>
        <w:t>**Conclusion technique** : Les indicateurs présentent une divergence classique : les moyennes mobiles et le MACD confirment une tendance baissière de moyen terme, tandis que le RSI et le stochastique signalent une survente propice à un rebond technique. Cette configuration suggère une phase de consolidation avec un potentiel de rebond à court terme, mais la prudence reste de mise tant que le cours n'aura pas reconquis la MM20 (22 564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CI affiche un Produit Net Bancaire (PNB) de **112,928 milliards FCFA**, en croissance de **+15,45%** par rapport à 2024, porté par une marge d'intérêt en hausse de 26%. Le résultat net s'établit à **40,712 milliards FCFA**, avec une marge nette de **36,05%** et un ROE de **17,45%** — un niveau excellent (&gt;15%) qui témoigne d'une rentabilité des fonds propres très solide. Le ROA de 1,32% reste conforme aux standards bancaires. Le coefficient d'exploitation de **54,59%** (&lt;60%) confirme l'efficacité opérationnelle de la banque, tandis que le coût du risque de **7,54%** (provisions/charges financières) mérite une surveillance accrue, car il signale une dégradation de la qualité du portefeuille de crédits. La structure financière montre une autonomie financière de 7,59% (capitaux propres/total bilan) et un ratio d'endettement de 227,9%, typique d'une banque dont le modèle repose sur la collecte de dépôts (2 242,2 milliards FCFA) pour financer les crédits (1 818,7 milliards FCFA), avec un ratio dépôts/crédits de 123%, garantissant une liquidité confortable.</w:t>
      </w:r>
    </w:p>
    <w:p>
      <w:pPr>
        <w:spacing w:after="120" w:line="276" w:lineRule="auto"/>
      </w:pPr>
      <w:r>
        <w:t>**Estimations basées sur les rapports trimestriels** : Le rapport du **T1 2026 (publié le 31/03/2026)** révèle une accélération spectaculaire avec un PNB de 28,615 milliards FCFA (+28% sur un an) et un résultat net de 10,912 milliards FCFA (+53%), tiré par l'activité titres et la maîtrise du coût du risque. Sur cette base, on peut estimer que l'exercice 2026 devrait enregistrer une croissance du PNB supérieure à 20% et un résultat net potentiellement supérieur à 48 milliards FCFA si la dynamique se maintient. Le rapport annuel 2025 (publié le 13/05/2026) confirme la solidité du modèle avec une collecte de dépôts en hausse de 32% et des initiatives de titrisation innovantes (FCTC, Zaka, Keur Samba). Les rapports antérieurs (T3 2025, S1 2025, T1 2025) montrent une trajectoire de croissance régulière, avec un coefficient d'exploitation en amélioration continue (56,9% au S1 2025 vs 59,9% en 2024).</w:t>
      </w:r>
    </w:p>
    <w:p>
      <w:pPr>
        <w:spacing w:after="120" w:line="276" w:lineRule="auto"/>
      </w:pPr>
      <w:r>
        <w:t>**Recommandation fondamentale** : NSBC présente des fondamentaux solides avec une croissance à deux chiffres, une rentabilité élevée et une efficacité opérationnelle confirmée. Les principaux risques résident dans la concentration des revenus sur l'activité titres (volatile) et la hausse du coût du risque en 2025. La dynamique du T1 2026 est très encourageante et soutient une perspective positive pour l'exercice en cours.</w:t>
      </w:r>
    </w:p>
    <w:p>
      <w:pPr>
        <w:spacing w:after="120" w:line="276" w:lineRule="auto"/>
      </w:pPr>
      <w:r>
        <w:t>---</w:t>
      </w:r>
    </w:p>
    <w:p>
      <w:pPr>
        <w:spacing w:after="120" w:line="276" w:lineRule="auto"/>
      </w:pPr>
      <w:r>
        <w:t>## PARTIE 4 : CONCLUSION D'INVESTISSEMENT</w:t>
      </w:r>
    </w:p>
    <w:p>
      <w:pPr>
        <w:spacing w:after="120" w:line="276" w:lineRule="auto"/>
      </w:pPr>
      <w:r>
        <w:t>La valorisation de NSBC (PER 12,7x, P/B 2,22x, EV/EBITDA 20,5x) apparaît modérée à légèrement exigeante, reflétant une prime de croissance justifiée par un ROE de 17,45% et une dynamique bénéficiaire robuste. Le comportement du cours sur 100 jours (+34,06%) témoigne d'une tendance haussière de fond, mais la correction récente (cours sous la MM20 et la MM50) et la volatilité élevée (40,7%) suggèrent une phase de consolidation. Les signaux techniques sont divergents : baissiers pour les MM et le MACD, mais haussiers pour le RSI (28,2) et le stochastique (6,1) en zone de survente, ce qui plaide pour un rebond technique à court terme. Les fondamentaux restent solides, avec un PNB 2025 de 112,9 milliards FCFA (+15,45%), un résultat net de 40,7 milliards FCFA et des perspectives 2026 très favorables (T1 2026 : résultat net +53%). Les prédictions IA anticipent une poursuite de la correction baissière (20 674 FCFA à J+1, 19 796 FCFA à J+5), ce qui contredit les signaux de survente technique mais s'aligne sur la tendance baissière des moyennes mobiles. **Recommandation finale : CONSERVER**. La convergence entre des fondamentaux solides, une valorisation raisonnable et des perspectives de croissance à deux chiffres justifie le maintien de la position pour les investisseurs existants. Les nouveaux entrants devraient attendre une confirmation du rebond technique (reconquête de la MM20 à 22 564 FCFA) ou un repli vers la borne inférieure de Bollinger (19 730 FCFA) pour se positionner. Le niveau de confiance est **Moyen** (divergence technique/fondamental), le risque global est **Moyen** (volatilité élevée mais fondamentaux solides), et l'horizon optimal est **moyen terme (3-12 mois)** pour capturer la croissance bénéficiaire tout en laissant passer la phase de consolidation actuelle.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1,294 titres</w:t>
            </w:r>
          </w:p>
        </w:tc>
        <w:tc>
          <w:tcPr>
            <w:tcW w:type="dxa" w:w="2268"/>
            <w:shd w:fill="FFF2CC" w:val="clear"/>
          </w:tcPr>
          <w:p>
            <w:r>
              <w:rPr>
                <w:b/>
                <w:color w:val="503200"/>
                <w:sz w:val="16"/>
              </w:rPr>
              <w:t xml:space="preserve">Cours actuel : </w:t>
            </w:r>
            <w:r>
              <w:rPr>
                <w:color w:val="000000"/>
                <w:sz w:val="17"/>
              </w:rPr>
              <w:t>15,000 FCFA</w:t>
            </w:r>
          </w:p>
          <w:p>
            <w:r>
              <w:rPr>
                <w:b/>
                <w:color w:val="503200"/>
                <w:sz w:val="16"/>
              </w:rPr>
              <w:t xml:space="preserve">Var. 100 jours : </w:t>
            </w:r>
            <w:r>
              <w:rPr>
                <w:b/>
                <w:color w:val="007800"/>
                <w:sz w:val="17"/>
              </w:rPr>
              <w:t>+25.52%</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11,800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9.01% (Moyenne) — μ=15,606 FCFA, σ=1,407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β=0.4411 (Défensif) — Cov=0.000033, Var(idx)=0.000074, ρ=0.165,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2026-10-12</w:t>
            </w:r>
          </w:p>
        </w:tc>
        <w:tc>
          <w:tcPr>
            <w:tcW w:type="dxa" w:w="1440"/>
            <w:shd w:fill="C6EFCE" w:val="clear"/>
          </w:tcPr>
          <w:p>
            <w:r>
              <w:rPr>
                <w:sz w:val="17"/>
              </w:rPr>
              <w:t>14,536</w:t>
            </w:r>
          </w:p>
        </w:tc>
        <w:tc>
          <w:tcPr>
            <w:tcW w:type="dxa" w:w="1440"/>
            <w:shd w:fill="C6EFCE" w:val="clear"/>
          </w:tcPr>
          <w:p>
            <w:r>
              <w:rPr>
                <w:b/>
                <w:sz w:val="17"/>
              </w:rPr>
              <w:t>15,308</w:t>
            </w:r>
          </w:p>
        </w:tc>
        <w:tc>
          <w:tcPr>
            <w:tcW w:type="dxa" w:w="1440"/>
            <w:shd w:fill="C6EFCE" w:val="clear"/>
          </w:tcPr>
          <w:p>
            <w:r>
              <w:rPr>
                <w:sz w:val="17"/>
              </w:rPr>
              <w:t>16,080</w:t>
            </w:r>
          </w:p>
        </w:tc>
        <w:tc>
          <w:tcPr>
            <w:tcW w:type="dxa" w:w="1440"/>
            <w:shd w:fill="C6EFCE" w:val="clear"/>
          </w:tcPr>
          <w:p>
            <w:r>
              <w:rPr>
                <w:b/>
                <w:color w:val="008000"/>
                <w:sz w:val="17"/>
              </w:rPr>
              <w:t>+2.1%</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14,187</w:t>
            </w:r>
          </w:p>
        </w:tc>
        <w:tc>
          <w:tcPr>
            <w:tcW w:type="dxa" w:w="1440"/>
            <w:shd w:fill="FAFAFA" w:val="clear"/>
          </w:tcPr>
          <w:p>
            <w:r>
              <w:rPr>
                <w:b/>
                <w:sz w:val="17"/>
              </w:rPr>
              <w:t>15,276</w:t>
            </w:r>
          </w:p>
        </w:tc>
        <w:tc>
          <w:tcPr>
            <w:tcW w:type="dxa" w:w="1440"/>
            <w:shd w:fill="FAFAFA" w:val="clear"/>
          </w:tcPr>
          <w:p>
            <w:r>
              <w:rPr>
                <w:sz w:val="17"/>
              </w:rPr>
              <w:t>16,366</w:t>
            </w:r>
          </w:p>
        </w:tc>
        <w:tc>
          <w:tcPr>
            <w:tcW w:type="dxa" w:w="1440"/>
            <w:shd w:fill="FAFAFA" w:val="clear"/>
          </w:tcPr>
          <w:p>
            <w:r>
              <w:rPr>
                <w:b/>
                <w:color w:val="008000"/>
                <w:sz w:val="17"/>
              </w:rPr>
              <w:t>+1.8%</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13,929</w:t>
            </w:r>
          </w:p>
        </w:tc>
        <w:tc>
          <w:tcPr>
            <w:tcW w:type="dxa" w:w="1440"/>
            <w:shd w:fill="FAFAFA" w:val="clear"/>
          </w:tcPr>
          <w:p>
            <w:r>
              <w:rPr>
                <w:b/>
                <w:sz w:val="17"/>
              </w:rPr>
              <w:t>15,263</w:t>
            </w:r>
          </w:p>
        </w:tc>
        <w:tc>
          <w:tcPr>
            <w:tcW w:type="dxa" w:w="1440"/>
            <w:shd w:fill="FAFAFA" w:val="clear"/>
          </w:tcPr>
          <w:p>
            <w:r>
              <w:rPr>
                <w:sz w:val="17"/>
              </w:rPr>
              <w:t>16,596</w:t>
            </w:r>
          </w:p>
        </w:tc>
        <w:tc>
          <w:tcPr>
            <w:tcW w:type="dxa" w:w="1440"/>
            <w:shd w:fill="FAFAFA" w:val="clear"/>
          </w:tcPr>
          <w:p>
            <w:r>
              <w:rPr>
                <w:b/>
                <w:color w:val="008000"/>
                <w:sz w:val="17"/>
              </w:rPr>
              <w:t>+1.8%</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13,716</w:t>
            </w:r>
          </w:p>
        </w:tc>
        <w:tc>
          <w:tcPr>
            <w:tcW w:type="dxa" w:w="1440"/>
            <w:shd w:fill="FAFAFA" w:val="clear"/>
          </w:tcPr>
          <w:p>
            <w:r>
              <w:rPr>
                <w:b/>
                <w:sz w:val="17"/>
              </w:rPr>
              <w:t>15,255</w:t>
            </w:r>
          </w:p>
        </w:tc>
        <w:tc>
          <w:tcPr>
            <w:tcW w:type="dxa" w:w="1440"/>
            <w:shd w:fill="FAFAFA" w:val="clear"/>
          </w:tcPr>
          <w:p>
            <w:r>
              <w:rPr>
                <w:sz w:val="17"/>
              </w:rPr>
              <w:t>16,794</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13,530</w:t>
            </w:r>
          </w:p>
        </w:tc>
        <w:tc>
          <w:tcPr>
            <w:tcW w:type="dxa" w:w="1440"/>
            <w:shd w:fill="FAFAFA" w:val="clear"/>
          </w:tcPr>
          <w:p>
            <w:r>
              <w:rPr>
                <w:b/>
                <w:sz w:val="17"/>
              </w:rPr>
              <w:t>15,250</w:t>
            </w:r>
          </w:p>
        </w:tc>
        <w:tc>
          <w:tcPr>
            <w:tcW w:type="dxa" w:w="1440"/>
            <w:shd w:fill="FAFAFA" w:val="clear"/>
          </w:tcPr>
          <w:p>
            <w:r>
              <w:rPr>
                <w:sz w:val="17"/>
              </w:rPr>
              <w:t>16,970</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13,361</w:t>
            </w:r>
          </w:p>
        </w:tc>
        <w:tc>
          <w:tcPr>
            <w:tcW w:type="dxa" w:w="1440"/>
            <w:shd w:fill="FAFAFA" w:val="clear"/>
          </w:tcPr>
          <w:p>
            <w:r>
              <w:rPr>
                <w:b/>
                <w:sz w:val="17"/>
              </w:rPr>
              <w:t>15,244</w:t>
            </w:r>
          </w:p>
        </w:tc>
        <w:tc>
          <w:tcPr>
            <w:tcW w:type="dxa" w:w="1440"/>
            <w:shd w:fill="FAFAFA" w:val="clear"/>
          </w:tcPr>
          <w:p>
            <w:r>
              <w:rPr>
                <w:sz w:val="17"/>
              </w:rPr>
              <w:t>17,128</w:t>
            </w:r>
          </w:p>
        </w:tc>
        <w:tc>
          <w:tcPr>
            <w:tcW w:type="dxa" w:w="1440"/>
            <w:shd w:fill="FAFAFA" w:val="clear"/>
          </w:tcPr>
          <w:p>
            <w:r>
              <w:rPr>
                <w:b/>
                <w:color w:val="008000"/>
                <w:sz w:val="17"/>
              </w:rPr>
              <w:t>+1.6%</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13,205</w:t>
            </w:r>
          </w:p>
        </w:tc>
        <w:tc>
          <w:tcPr>
            <w:tcW w:type="dxa" w:w="1440"/>
            <w:shd w:fill="FAFAFA" w:val="clear"/>
          </w:tcPr>
          <w:p>
            <w:r>
              <w:rPr>
                <w:b/>
                <w:sz w:val="17"/>
              </w:rPr>
              <w:t>15,239</w:t>
            </w:r>
          </w:p>
        </w:tc>
        <w:tc>
          <w:tcPr>
            <w:tcW w:type="dxa" w:w="1440"/>
            <w:shd w:fill="FAFAFA" w:val="clear"/>
          </w:tcPr>
          <w:p>
            <w:r>
              <w:rPr>
                <w:sz w:val="17"/>
              </w:rPr>
              <w:t>17,273</w:t>
            </w:r>
          </w:p>
        </w:tc>
        <w:tc>
          <w:tcPr>
            <w:tcW w:type="dxa" w:w="1440"/>
            <w:shd w:fill="FAFAFA" w:val="clear"/>
          </w:tcPr>
          <w:p>
            <w:r>
              <w:rPr>
                <w:b/>
                <w:color w:val="008000"/>
                <w:sz w:val="17"/>
              </w:rPr>
              <w:t>+1.6%</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13,061</w:t>
            </w:r>
          </w:p>
        </w:tc>
        <w:tc>
          <w:tcPr>
            <w:tcW w:type="dxa" w:w="1440"/>
            <w:shd w:fill="FAFAFA" w:val="clear"/>
          </w:tcPr>
          <w:p>
            <w:r>
              <w:rPr>
                <w:b/>
                <w:sz w:val="17"/>
              </w:rPr>
              <w:t>15,234</w:t>
            </w:r>
          </w:p>
        </w:tc>
        <w:tc>
          <w:tcPr>
            <w:tcW w:type="dxa" w:w="1440"/>
            <w:shd w:fill="FAFAFA" w:val="clear"/>
          </w:tcPr>
          <w:p>
            <w:r>
              <w:rPr>
                <w:sz w:val="17"/>
              </w:rPr>
              <w:t>17,407</w:t>
            </w:r>
          </w:p>
        </w:tc>
        <w:tc>
          <w:tcPr>
            <w:tcW w:type="dxa" w:w="1440"/>
            <w:shd w:fill="FAFAFA" w:val="clear"/>
          </w:tcPr>
          <w:p>
            <w:r>
              <w:rPr>
                <w:b/>
                <w:color w:val="008000"/>
                <w:sz w:val="17"/>
              </w:rPr>
              <w:t>+1.6%</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12,924</w:t>
            </w:r>
          </w:p>
        </w:tc>
        <w:tc>
          <w:tcPr>
            <w:tcW w:type="dxa" w:w="1440"/>
            <w:shd w:fill="FAFAFA" w:val="clear"/>
          </w:tcPr>
          <w:p>
            <w:r>
              <w:rPr>
                <w:b/>
                <w:sz w:val="17"/>
              </w:rPr>
              <w:t>15,229</w:t>
            </w:r>
          </w:p>
        </w:tc>
        <w:tc>
          <w:tcPr>
            <w:tcW w:type="dxa" w:w="1440"/>
            <w:shd w:fill="FAFAFA" w:val="clear"/>
          </w:tcPr>
          <w:p>
            <w:r>
              <w:rPr>
                <w:sz w:val="17"/>
              </w:rPr>
              <w:t>17,534</w:t>
            </w:r>
          </w:p>
        </w:tc>
        <w:tc>
          <w:tcPr>
            <w:tcW w:type="dxa" w:w="1440"/>
            <w:shd w:fill="FAFAFA" w:val="clear"/>
          </w:tcPr>
          <w:p>
            <w:r>
              <w:rPr>
                <w:b/>
                <w:color w:val="008000"/>
                <w:sz w:val="17"/>
              </w:rPr>
              <w:t>+1.5%</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12,796</w:t>
            </w:r>
          </w:p>
        </w:tc>
        <w:tc>
          <w:tcPr>
            <w:tcW w:type="dxa" w:w="1440"/>
            <w:shd w:fill="FAFAFA" w:val="clear"/>
          </w:tcPr>
          <w:p>
            <w:r>
              <w:rPr>
                <w:b/>
                <w:sz w:val="17"/>
              </w:rPr>
              <w:t>15,224</w:t>
            </w:r>
          </w:p>
        </w:tc>
        <w:tc>
          <w:tcPr>
            <w:tcW w:type="dxa" w:w="1440"/>
            <w:shd w:fill="FAFAFA" w:val="clear"/>
          </w:tcPr>
          <w:p>
            <w:r>
              <w:rPr>
                <w:sz w:val="17"/>
              </w:rPr>
              <w:t>17,653</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331,06 milliards FCFA, Nestlé Côte d'Ivoire figure parmi les valeurs les plus capitalisées de la BRVM, ce qui en fait un pilier de l'indice BRVM Composite et un titre de référence pour les investisseurs institutionnels. Le BPA de 835 FCFA par action signifie que chaque titre génère un bénéfice net de 835 FCFA, ce qui, rapporté au cours actuel de 15 000 FCFA, donne un PER de 18,0x — nettement supérieur à la moyenne du marché BRVM (8-12x), traduisant une prime de qualité que les investisseurs acceptent de payer pour la solidité de la marque Nestlé. Le P/B de 11,19x, très au-dessus du seuil de 4x, indique que le marché valorise l'entreprise à plus de onze fois sa valeur comptable, ce qui s'explique par la faiblesse relative des capitaux propres (29,59 Mds FCFA) face à la puissance bénéficiaire et à la notoriété de la marque. Enfin, l'EV/EBITDA de 9,1x, dans la fourchette raisonnable de 5-10x, montre que la valeur totale de l'entreprise (capitalisation + dette nette) reste cohérente avec sa capacité opérationnelle à générer de l'EBE (46,17 Mds FCFA en 2025), ce qui nuance le caractère exigeant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progression totale de +25,52%, portée par une dynamique haussière soutenue, bien que la dernière séance (J-1) marque un repli de -3,19% à 15 000 FCFA, signalant une prise de profit après le rallye. Le range de trading est large, avec un plus haut à 18 000 FCFA et un plus bas à 11 800 FCFA, soit une amplitude de 6 200 FCFA (52,5% du plus bas), ce qui témoigne d'une volatilité intra-période significative. La moyenne du cours s'établit à 15 606 FCFA, légèrement au-dessus de la médiane (15 995 FCFA), tandis que le mode se situe à 16 900 FCFA — cet écart entre moyenne et médiane, couplé à un skewness de -1,007 (asymétrie négative), indique que le cours a passé plus de journées au-dessus de la moyenne, mais que des baisses ponctuelles plus marquées ont tiré la moyenne vers le bas. L'écart-type de 1 414 FCFA (CV=9,1%) révèle une dispersion modérée autour de la moyenne, et le kurtosis de 0,315 (mésokurtique) suggère une distribution proche de la normale, sans risque extrême de pics violents. La volatilité annualisée de 36,5% positionne le titre dans la catégorie des valeurs à volatilité élevée (&gt;30%), ce qui est cohérent avec la taille moyenne du flottant et la liquidité limitée (volume moyen de 1 294 titres/jour).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(15 596,5 FCFA) est légèrement au-dessus du cours actuel (15 000 FCFA), tandis que la MM50 (16 356,5 FCFA) est nettement supérieure, ce qui place le cours en dessous de ses deux moyennes mobiles. Cette configuration baissière à court et moyen terme justifie la décision de **Vente** émise par le croisement des moyennes, le titre ayant perdu son support dynamique.</w:t>
      </w:r>
    </w:p>
    <w:p>
      <w:pPr>
        <w:spacing w:after="120" w:line="276" w:lineRule="auto"/>
      </w:pPr>
      <w:r>
        <w:t>**Bandes de Bollinger** : Le cours (15 000 FCFA) se situe dans la partie basse de la bande, entre la borne inférieure (14 170,8 FCFA) et la borne supérieure (17 022,2 FCFA), sans franchissement des extrêmes. Cette position neutre, avec une largeur de bande de 2 851 FCFA, indique une volatilité modérée et l'absence de signal directionnel fort, d'où la décision **Neutre**.</w:t>
      </w:r>
    </w:p>
    <w:p>
      <w:pPr>
        <w:spacing w:after="120" w:line="276" w:lineRule="auto"/>
      </w:pPr>
      <w:r>
        <w:t>**MACD** : La valeur du MACD (-343,186) est supérieure à son signal (-367,848), formant un croisement haussier (MACD au-dessus du signal) bien que les deux restent en territoire négatif. Ce momentum positif naissant, dans un contexte de cours déprimé, justifie la décision d'**Achat** par anticipation d'un retournement.</w:t>
      </w:r>
    </w:p>
    <w:p>
      <w:pPr>
        <w:spacing w:after="120" w:line="276" w:lineRule="auto"/>
      </w:pPr>
      <w:r>
        <w:t>**RSI** : À 37,5, le RSI se situe dans la zone neutre basse (30-70), sans atteindre le seuil de survente (30). Cette position indique une pression vendeuse modérée mais non extrême, justifiant la décision **Neutre** — le titre n'est ni survendu ni suracheté.</w:t>
      </w:r>
    </w:p>
    <w:p>
      <w:pPr>
        <w:spacing w:after="120" w:line="276" w:lineRule="auto"/>
      </w:pPr>
      <w:r>
        <w:t>**Stochastique** : Le %K (38,462) est inférieur au %D (52,901), avec un croisement baissier récent, ce qui signale une perte de momentum haussier à court terme. Cette configuration, bien que proche de la zone de survente, justifie la décision **Neutre** en l'absence de signal clair de retournement.</w:t>
      </w:r>
    </w:p>
    <w:p>
      <w:pPr>
        <w:spacing w:after="120" w:line="276" w:lineRule="auto"/>
      </w:pPr>
      <w:r>
        <w:t>**Conclusion technique** : Les indicateurs techniques présentent un tableau mitigé, avec une majorité de signaux neutres (Bollinger, RSI, Stochastique) et une divergence entre la décision de vente des moyennes mobiles et l'achat du MACD. Le cours évolue sous ses moyennes mobiles, mais le MACD amorce un croisement haussier et le RSI n'est pas en survente, suggérant une phase de consolidation possible avant un rebond. La prudence reste de mise, le titre n'ayant pas encore confirmé de retournement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Nestlé Côte d'Ivoire a réalisé un chiffre d'affaires de 233,26 milliards FCFA, en croissance de +5,97% par rapport à 2024 (220,11 Mds FCFA), portée par les ventes de produits fabriqués (+6,3%) et de marchandises (+4%). Le résultat net s'établit à 18,43 milliards FCFA, en légère hausse de +1,53%, avec une marge nette de 7,90% (contre 8,25% en 2024), traduisant une compression des marges due à la hausse des charges externes et fiscales. Le ROE atteint 62,28%, un niveau exceptionnel qui reflète la forte rentabilité des fonds propres (29,59 Mds FCFA), tandis que le ROA de 9,70% et la rotation des actifs de 122,80% témoignent d'une utilisation efficace du bilan (189,96 Mds FCFA). En tant qu'entreprise agroalimentaire, les délais clients de 74,30 jours et la durée de stockage de 59,39 jours représentent un risque de trésorerie modéré, tandis que le BFR de 22,63 Mds FCFA et la trésorerie nette négative (-46,83 Mds FCFA) indiquent un besoin de financement du cycle d'exploitation, confirmé par la dépendance financière élevée (84,42%) et un ratio d'endettement de 135,85%. Le rapport trimestriel du T1 2026 (publié le 31 mars 2026) révèle une accélération spectaculaire : le CA bondit de +31% à 70,82 Mds FCFA et le résultat net de +37% à 7,53 Mds FCFA, avec une marge nette améliorée à 10,6% — on estime donc que l'exercice 2026 devrait afficher une croissance à deux chiffres, bien supérieure à celle de 2025. Toutefois, le rapport annuel 2025 (publié le 31 décembre 2025) signale une réduction drastique du dividende (9,27 Mds FCFA contre 18,10 Mds en 2024, soit un payout de 50,3% contre 99,7%), traduisant une stratégie de réinvestissement massif (report à nouveau de 9,22 Mds FCFA) pour financer la croissance future. La recommandation fondamentale est de **Conserver** le titre, la solidité du modèle Nestlé et l'accélération du T1 2026 étant prometteuses, mais la compression des marges en 2025 et l'endettement élevé incitent à la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apparaît exigeante (PER 18,0x, P/B 11,19x), bien que l'EV/EBITDA de 9,1x reste raisonnable, ce qui suggère que le marché intègre déjà une prime de qualité et une croissance future. Le comportement du cours sur 100 jours est haussier (+25,52%) mais marqué par une volatilité élevée (36,5%) et une asymétrie négative (skewness -1,007), avec un repli récent de -3,19% qui pourrait signaler une consolidation. Les signaux techniques sont divergents : les moyennes mobiles sont baissières (décision Vente), mais le MACD est haussier (décision Achat), tandis que le RSI et le Stochastique restent neutres — cette absence de convergence plaide pour une phase d'attente. Les fondamentaux sont solides (ROE 62,28%, CA 233,26 Mds FCFA en 2025) et l'accélération du T1 2026 (+31% de CA, +37% de résultat net) est un signal très positif, mais la réduction du dividende et l'endettement élevé (135,85%) tempèrent l'enthousiasme. Les prédictions IA pour les 10 prochains jours (15 308 FCFA le 12/10, puis 15 250 FCFA le 16/10) suggèrent une légère reprise à court terme (+2,1% par rapport au cours actuel), ce qui contredit partiellement la décision de vente des moyennes mobiles mais confirme le momentum haussier du MACD. Sur la base de cette synthèse, la recommandation finale est **CONSERVER**, avec un niveau de confiance **Moyen** et un risque global **Moyen** : le titre offre une exposition à une valeur de qualité, mais la valorisation exigeante et les signaux techniques mitigés justifient une position d'attente. L'horizon d'investissement optimal est le **moyen terme (3-12 mois)**, le temps que la croissance du T1 2026 se confirme sur l'ensemble de l'exercice et que les marges se stabilisent.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204.34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6,096 titres</w:t>
            </w:r>
          </w:p>
        </w:tc>
        <w:tc>
          <w:tcPr>
            <w:tcW w:type="dxa" w:w="2268"/>
            <w:shd w:fill="FFF2CC" w:val="clear"/>
          </w:tcPr>
          <w:p>
            <w:r>
              <w:rPr>
                <w:b/>
                <w:color w:val="503200"/>
                <w:sz w:val="16"/>
              </w:rPr>
              <w:t xml:space="preserve">Cours actuel : </w:t>
            </w:r>
            <w:r>
              <w:rPr>
                <w:color w:val="000000"/>
                <w:sz w:val="17"/>
              </w:rPr>
              <w:t>3,005 FCFA</w:t>
            </w:r>
          </w:p>
          <w:p>
            <w:r>
              <w:rPr>
                <w:b/>
                <w:color w:val="503200"/>
                <w:sz w:val="16"/>
              </w:rPr>
              <w:t xml:space="preserve">Var. 100 jours : </w:t>
            </w:r>
            <w:r>
              <w:rPr>
                <w:b/>
                <w:color w:val="007800"/>
                <w:sz w:val="17"/>
              </w:rPr>
              <w:t>+7.32%</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2.78% (Faible) — μ=2,858 FCFA, σ=80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β=0.4142 (Défensif) — Cov=0.000031, Var(idx)=0.000074, ρ=0.169,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σ_j=2.19%/j (Stable) — Vol. annualisée≈34.7%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2,820</w:t>
            </w:r>
          </w:p>
        </w:tc>
        <w:tc>
          <w:tcPr>
            <w:tcW w:type="dxa" w:w="1440"/>
            <w:shd w:fill="FAFAFA" w:val="clear"/>
          </w:tcPr>
          <w:p>
            <w:r>
              <w:rPr>
                <w:b/>
                <w:sz w:val="17"/>
              </w:rPr>
              <w:t>2,948</w:t>
            </w:r>
          </w:p>
        </w:tc>
        <w:tc>
          <w:tcPr>
            <w:tcW w:type="dxa" w:w="1440"/>
            <w:shd w:fill="FAFAFA" w:val="clear"/>
          </w:tcPr>
          <w:p>
            <w:r>
              <w:rPr>
                <w:sz w:val="17"/>
              </w:rPr>
              <w:t>3,075</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2,766</w:t>
            </w:r>
          </w:p>
        </w:tc>
        <w:tc>
          <w:tcPr>
            <w:tcW w:type="dxa" w:w="1440"/>
            <w:shd w:fill="FAFAFA" w:val="clear"/>
          </w:tcPr>
          <w:p>
            <w:r>
              <w:rPr>
                <w:b/>
                <w:sz w:val="17"/>
              </w:rPr>
              <w:t>2,947</w:t>
            </w:r>
          </w:p>
        </w:tc>
        <w:tc>
          <w:tcPr>
            <w:tcW w:type="dxa" w:w="1440"/>
            <w:shd w:fill="FAFAFA" w:val="clear"/>
          </w:tcPr>
          <w:p>
            <w:r>
              <w:rPr>
                <w:sz w:val="17"/>
              </w:rPr>
              <w:t>3,127</w:t>
            </w:r>
          </w:p>
        </w:tc>
        <w:tc>
          <w:tcPr>
            <w:tcW w:type="dxa" w:w="1440"/>
            <w:shd w:fill="FAFAFA" w:val="clear"/>
          </w:tcPr>
          <w:p>
            <w:r>
              <w:rPr>
                <w:b/>
                <w:color w:val="C00000"/>
                <w:sz w:val="17"/>
              </w:rPr>
              <w:t>-1.9%</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2,719</w:t>
            </w:r>
          </w:p>
        </w:tc>
        <w:tc>
          <w:tcPr>
            <w:tcW w:type="dxa" w:w="1440"/>
            <w:shd w:fill="FFDCE0" w:val="clear"/>
          </w:tcPr>
          <w:p>
            <w:r>
              <w:rPr>
                <w:b/>
                <w:sz w:val="17"/>
              </w:rPr>
              <w:t>2,940</w:t>
            </w:r>
          </w:p>
        </w:tc>
        <w:tc>
          <w:tcPr>
            <w:tcW w:type="dxa" w:w="1440"/>
            <w:shd w:fill="FFDCE0" w:val="clear"/>
          </w:tcPr>
          <w:p>
            <w:r>
              <w:rPr>
                <w:sz w:val="17"/>
              </w:rPr>
              <w:t>3,160</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2,679</w:t>
            </w:r>
          </w:p>
        </w:tc>
        <w:tc>
          <w:tcPr>
            <w:tcW w:type="dxa" w:w="1440"/>
            <w:shd w:fill="FFDCE0" w:val="clear"/>
          </w:tcPr>
          <w:p>
            <w:r>
              <w:rPr>
                <w:b/>
                <w:sz w:val="17"/>
              </w:rPr>
              <w:t>2,932</w:t>
            </w:r>
          </w:p>
        </w:tc>
        <w:tc>
          <w:tcPr>
            <w:tcW w:type="dxa" w:w="1440"/>
            <w:shd w:fill="FFDCE0" w:val="clear"/>
          </w:tcPr>
          <w:p>
            <w:r>
              <w:rPr>
                <w:sz w:val="17"/>
              </w:rPr>
              <w:t>3,186</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2,642</w:t>
            </w:r>
          </w:p>
        </w:tc>
        <w:tc>
          <w:tcPr>
            <w:tcW w:type="dxa" w:w="1440"/>
            <w:shd w:fill="FFDCE0" w:val="clear"/>
          </w:tcPr>
          <w:p>
            <w:r>
              <w:rPr>
                <w:b/>
                <w:sz w:val="17"/>
              </w:rPr>
              <w:t>2,925</w:t>
            </w:r>
          </w:p>
        </w:tc>
        <w:tc>
          <w:tcPr>
            <w:tcW w:type="dxa" w:w="1440"/>
            <w:shd w:fill="FFDCE0" w:val="clear"/>
          </w:tcPr>
          <w:p>
            <w:r>
              <w:rPr>
                <w:sz w:val="17"/>
              </w:rPr>
              <w:t>3,208</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2,609</w:t>
            </w:r>
          </w:p>
        </w:tc>
        <w:tc>
          <w:tcPr>
            <w:tcW w:type="dxa" w:w="1440"/>
            <w:shd w:fill="FFDCE0" w:val="clear"/>
          </w:tcPr>
          <w:p>
            <w:r>
              <w:rPr>
                <w:b/>
                <w:sz w:val="17"/>
              </w:rPr>
              <w:t>2,918</w:t>
            </w:r>
          </w:p>
        </w:tc>
        <w:tc>
          <w:tcPr>
            <w:tcW w:type="dxa" w:w="1440"/>
            <w:shd w:fill="FFDCE0" w:val="clear"/>
          </w:tcPr>
          <w:p>
            <w:r>
              <w:rPr>
                <w:sz w:val="17"/>
              </w:rPr>
              <w:t>3,227</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2,578</w:t>
            </w:r>
          </w:p>
        </w:tc>
        <w:tc>
          <w:tcPr>
            <w:tcW w:type="dxa" w:w="1440"/>
            <w:shd w:fill="FFDCE0" w:val="clear"/>
          </w:tcPr>
          <w:p>
            <w:r>
              <w:rPr>
                <w:b/>
                <w:sz w:val="17"/>
              </w:rPr>
              <w:t>2,911</w:t>
            </w:r>
          </w:p>
        </w:tc>
        <w:tc>
          <w:tcPr>
            <w:tcW w:type="dxa" w:w="1440"/>
            <w:shd w:fill="FFDCE0" w:val="clear"/>
          </w:tcPr>
          <w:p>
            <w:r>
              <w:rPr>
                <w:sz w:val="17"/>
              </w:rPr>
              <w:t>3,244</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2,549</w:t>
            </w:r>
          </w:p>
        </w:tc>
        <w:tc>
          <w:tcPr>
            <w:tcW w:type="dxa" w:w="1440"/>
            <w:shd w:fill="FFDCE0" w:val="clear"/>
          </w:tcPr>
          <w:p>
            <w:r>
              <w:rPr>
                <w:b/>
                <w:sz w:val="17"/>
              </w:rPr>
              <w:t>2,904</w:t>
            </w:r>
          </w:p>
        </w:tc>
        <w:tc>
          <w:tcPr>
            <w:tcW w:type="dxa" w:w="1440"/>
            <w:shd w:fill="FFDCE0" w:val="clear"/>
          </w:tcPr>
          <w:p>
            <w:r>
              <w:rPr>
                <w:sz w:val="17"/>
              </w:rPr>
              <w:t>3,259</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2,521</w:t>
            </w:r>
          </w:p>
        </w:tc>
        <w:tc>
          <w:tcPr>
            <w:tcW w:type="dxa" w:w="1440"/>
            <w:shd w:fill="FFDCE0" w:val="clear"/>
          </w:tcPr>
          <w:p>
            <w:r>
              <w:rPr>
                <w:b/>
                <w:sz w:val="17"/>
              </w:rPr>
              <w:t>2,897</w:t>
            </w:r>
          </w:p>
        </w:tc>
        <w:tc>
          <w:tcPr>
            <w:tcW w:type="dxa" w:w="1440"/>
            <w:shd w:fill="FFDCE0" w:val="clear"/>
          </w:tcPr>
          <w:p>
            <w:r>
              <w:rPr>
                <w:sz w:val="17"/>
              </w:rPr>
              <w:t>3,273</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2,495</w:t>
            </w:r>
          </w:p>
        </w:tc>
        <w:tc>
          <w:tcPr>
            <w:tcW w:type="dxa" w:w="1440"/>
            <w:shd w:fill="FFDCE0" w:val="clear"/>
          </w:tcPr>
          <w:p>
            <w:r>
              <w:rPr>
                <w:b/>
                <w:sz w:val="17"/>
              </w:rPr>
              <w:t>2,890</w:t>
            </w:r>
          </w:p>
        </w:tc>
        <w:tc>
          <w:tcPr>
            <w:tcW w:type="dxa" w:w="1440"/>
            <w:shd w:fill="FFDCE0" w:val="clear"/>
          </w:tcPr>
          <w:p>
            <w:r>
              <w:rPr>
                <w:sz w:val="17"/>
              </w:rPr>
              <w:t>3,285</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204,34 milliards FCFA, ONTBF figure parmi les valeurs moyennes-capitalisations de la cote BRVM, loin derrière Sonatel mais devant de nombreux émetteurs du compartiment industriel. Le BPA de 234 FCFA/action signifie que chaque titre génère près de 234 FCFA de bénéfice net, ce qui, rapporté au cours actuel de 3 005 FCFA, donne un PER de 12,9x — un niveau modéré, légèrement supérieur à la moyenne BRVM (8-12x), traduisant une prime de qualité pour un leader télécom régional. Le P/B de 3,55x indique que le marché valorise l'entreprise à plus de trois fois ses fonds propres comptables (57,54 Mds FCFA), ce qui est cohérent avec la prime de croissance accordée aux actifs incorporels (licences, réseau, base clients de 12,6 millions d'abonnés) non reflétés à leur juste valeur au bilan. Enfin, l'EV/EBITDA de 5,3x apparaît raisonnable dans la fourchette 5-10x, suggérant que la valeur d'entreprise reste soutenue par la capacité opérationnelle de génération de cash (EBE de 56,73 Mds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totale de +7,32%, avec une dernière séance en hausse de +2,04%, portant le cours à 3 005 FCFA. Le range de trading s'établit entre un plus bas de 2 675 FCFA et un plus haut de 3 070 FCFA, soit une amplitude d'environ 14,8%, ce qui témoigne d'une tendance globalement haussière mais avec des phases de consolidation. Les statistiques descriptives révèlent une moyenne de 2 858 FCFA très proche de la médiane (2 862 FCFA) et du mode (2 800 FCFA), signe d'une distribution symétrique et sans biais directionnel marqué — confirmé par un skewness de -0,092 (quasi nul). L'écart-type de 80 FCFA avec un coefficient de variation de seulement 2,8% indique une dispersion très faible du cours autour de sa moyenne, caractéristique d'un titre peu agité. Le kurtosis de -0,262 (mésokurtique) suggère une distribution proche de la normale, sans risque de pics extrêmes prononcés. La volatilité annualisée de 34,7% classe toutefois le titre dans la catégorie des valeurs à volatilité élevée (&gt;30%), ce qui contraste avec la faible dispersion quotidienne observée et reflète probablement des mouvements épisodiques liés aux publications de résultats.</w:t>
      </w:r>
    </w:p>
    <w:p>
      <w:pPr>
        <w:spacing w:after="120" w:line="276" w:lineRule="auto"/>
      </w:pPr>
      <w:r>
        <w:t>---</w:t>
      </w:r>
    </w:p>
    <w:p>
      <w:pPr>
        <w:spacing w:after="120" w:line="276" w:lineRule="auto"/>
      </w:pPr>
      <w:r>
        <w:t>### **PARTIE 2 : ANALYSE TECHNIQUE DÉTAILLÉE**</w:t>
      </w:r>
    </w:p>
    <w:p>
      <w:pPr>
        <w:spacing w:after="120" w:line="276" w:lineRule="auto"/>
      </w:pPr>
      <w:r>
        <w:t>**Moyennes Mobiles** : La MM20 (2 902,25 FCFA) et la MM50 (2 898,50 FCFA) sont quasi confondues et toutes deux inférieures au cours actuel (3 005 FCFA), ce qui place le titre en position haussière au-dessus de ses supports dynamiques. Le léger croisement de la MM20 au-dessus de la MM50 confirme la dynamique positive, justifiant la décision d'**Achat**.</w:t>
      </w:r>
    </w:p>
    <w:p>
      <w:pPr>
        <w:spacing w:after="120" w:line="276" w:lineRule="auto"/>
      </w:pPr>
      <w:r>
        <w:t>**Bandes de Bollinger** : Le cours (3 005 FCFA) évolue dans la partie haute du canal, proche de la borne supérieure (3 042,57 FCFA) et très éloigné de la borne inférieure (2 761,93 FCFA). Cette position indique une pression acheteuse soutenue mais sans franchissement de seuil critique, d'où la décision **Neutre** — le titre n'est ni en surachat extrême ni en zone de repli.</w:t>
      </w:r>
    </w:p>
    <w:p>
      <w:pPr>
        <w:spacing w:after="120" w:line="276" w:lineRule="auto"/>
      </w:pPr>
      <w:r>
        <w:t>**MACD** : La ligne MACD (15,703) surpasse nettement son signal (11,122), avec un histogramme positif traduisant un momentum haussier en cours de renforcement. Cette configuration confirme la décision d'**Achat**, le croisement haussier étant déjà acté et la dynamique toujours favorable.</w:t>
      </w:r>
    </w:p>
    <w:p>
      <w:pPr>
        <w:spacing w:after="120" w:line="276" w:lineRule="auto"/>
      </w:pPr>
      <w:r>
        <w:t>**RSI** : À 55,276, l'indicateur se situe en zone neutre (30-70), sans atteindre la zone de surachat (&gt;70) ni de survente (&lt;30). Cela suggère que le titre dispose encore d'un potentiel de hausse sans être techniquement épuisé, justifiant la décision **Neutre** — ni signal d'achat agressif, ni signal de vente.</w:t>
      </w:r>
    </w:p>
    <w:p>
      <w:pPr>
        <w:spacing w:after="120" w:line="276" w:lineRule="auto"/>
      </w:pPr>
      <w:r>
        <w:t>**Stochastique** : Le %K à 100,0 (maximum absolu) et le %D à 60,417 révèlent un fort écart entre les deux lignes, avec le %K en zone de surachat extrême. Ce positionnement signale un risque imminent de correction à court terme, d'où la décision **Vente** — le titre pourrait connaître un repli technique après cette poussée haussière.</w:t>
      </w:r>
    </w:p>
    <w:p>
      <w:pPr>
        <w:spacing w:after="120" w:line="276" w:lineRule="auto"/>
      </w:pPr>
      <w:r>
        <w:t>**Conclusion technique** : Les indicateurs présentent une configuration mitigée. Les moyennes mobiles et le MACD plaident pour un maintien de la tendance haussière (Achat), tandis que le stochastique en surachat extrême (%K=100) et le RSI neutre suggèrent une prudence à court terme. Les Bandes de Bollinger confirment que le cours approche d'une zone de résistance (3 042 FCFA), ce qui pourrait limiter la progression immédiate. La convergence des signaux reste partielle, avec un biais haussier de moyen terme mais un risque de consolidation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a réalisé un chiffre d'affaires (PNB) de 146,177 milliards FCFA, en croissance de +3,06% par rapport à 2024 (141,84 Mds FCFA). Le résultat net s'établit à 15,887 milliards FCFA, en net recul de -26% par rapport aux 21,47 milliards de 2024. Cette dégradation s'explique par une compression des marges : l'EBE recule de -11,7% à 56,731 Mds FCFA, et le résultat d'exploitation chute de -23,5% à 25,665 Mds FCFA, sous l'effet de la hausse des charges opérationnelles (énergie, maintenance en zones sécuritaires, indemnités de fin d'engagement, sanction ARCEP de 1,543 Md FCFA). Les ratios de rentabilité restent néanmoins solides : le ROE atteint 27,61% (&gt;15%, excellent) et le ROA 4,89%. Le coefficient d'exploitation de 67,07% reste supérieur au seuil de 60% (banque efficace), reflétant la pression sur les coûts. La structure financière montre une autonomie financière de 17,71% (inférieure au seuil sain de 30%) et un ratio d'endettement élevé de 186,99%, mais la capacité de remboursement de 2,29 années et la couverture des intérêts de 491,55% demeurent rassurantes. Le coût du risque (provisions/charges financières) de 3,57% indique un risque de crédit significatif.</w:t>
      </w:r>
    </w:p>
    <w:p>
      <w:pPr>
        <w:spacing w:after="120" w:line="276" w:lineRule="auto"/>
      </w:pPr>
      <w:r>
        <w:t>**Estimations basées sur les rapports trimestriels** : Le rapport T1 2026 (publié le 09/04/2026) révèle un chiffre d'affaires de 37,1 Mds FCFA (+2,7%), un résultat net de 3,577 Mds FCFA (marge nette de 9,6%) et un taux de marge EBITDA maintenu à 41,3%. La base clients progresse de +3,3% à 12,65 millions d'abonnés, avec une forte croissance du Mobile Money (+17,1%) et du FTTH (+38,4%). Sur la base de ce T1, on peut estimer que l'exercice 2026 devrait maintenir une croissance modérée du CA (autour de +3%) mais la rentabilité pourrait rester sous pression, le résultat net T1 2026 (3,577 Mds) étant légèrement inférieur au T1 2025 (3,75 Mds). Le rapport S1 2026 (attestation des CAC du 25/09/2026) ne fournit pas de données chiffrées, mais confirme la conformité des comptes sans réserve.</w:t>
      </w:r>
    </w:p>
    <w:p>
      <w:pPr>
        <w:spacing w:after="120" w:line="276" w:lineRule="auto"/>
      </w:pPr>
      <w:r>
        <w:t>**Évolution pluriannuelle** : Entre 2024 et 2025, le CA a progressé de +3,1% (141,84 → 146,18 Mds), mais le résultat net a chuté de -26% (21,47 → 15,89 Mds), marquant une inversion de tendance après une année 2024 stable. Le dividende proposé pour 2025 est de 166,0816 FCFA/action (145,32 FCFA net), soit un taux de distribution de 70% — généreux mais potentiellement non soutenable si la baisse des bénéfices se poursuit. La note de crédit A+(WU) de GCR Ratings (perspective stable) renforce la crédibilité financière.</w:t>
      </w:r>
    </w:p>
    <w:p>
      <w:pPr>
        <w:spacing w:after="120" w:line="276" w:lineRule="auto"/>
      </w:pPr>
      <w:r>
        <w:t>**Recommandation fondamentale** : ONTBF reste un leader télécom solide avec une génération de cash élevée (CAFG de 46,95 Mds FCFA, flux opérationnels de 68,49 Mds), un dividende attractif (rendement d'environ 5,5% au cours actuel) et des perspectives de croissance dans le FTTH et le Mobile Money. Cependant, la dégradation de la rentabilité (-26% de résultat net en 2025), la hausse de l'endettement (dettes financières de 107,6 Mds FCFA) et les risques réglementaires/sécuritaires pèsent sur le titre. La recommandation fondamentale est **CONSERVER**, en attendant des signes tangibles d'amélioration des marges.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la valorisation (Partie 0)** , le PER de 12,9x et le P/B de 3,55x indiquent une valorisation modérée à légèrement supérieure à la moyenne BRVM, sans sous-évaluation flagrante mais sans excès non plus, l'EV/EBITDA de 5,3x restant raisonnable. **Sur le comportement du cours (Partie 1)** , la tendance haussière (+7,32% sur 100 jours) avec une volatilité annualisée élevée (34,7%) et une distribution symétrique (skewness -0,092, kurtosis -0,262) suggère un titre en progression mais exposé à des mouvements épisodiques. **Sur le plan technique (Partie 2)** , les signaux sont divergents : les moyennes mobiles et le MACD confirment la tendance haussière, mais le stochastique en surachat extrême (%K=100) et le RSI neutre (55,28) appellent à la prudence à court terme. **Sur les fondamentaux (Partie 3)** , la solidité du CA (+3,1% en 2025) et du ROE (27,61%) contraste avec la chute du résultat net (-26%) et la pression sur les marges, bien que le T1 2026 montre une certaine résilience (CA +2,7%, marge EBITDA 41,3%). **Les prédictions IA (J+1 à J+10)** anticipent une légère correction baissière (2 948 → 2 925 FCFA), ce qui contredit la dynamique haussière actuelle mais s'aligne avec le signal de vente du stochastique.</w:t>
      </w:r>
    </w:p>
    <w:p>
      <w:pPr>
        <w:spacing w:after="120" w:line="276" w:lineRule="auto"/>
      </w:pPr>
      <w:r>
        <w:t>**Recommandation finale : CONSERVER**</w:t>
        <w:br/>
        <w:t>La convergence entre la valorisation modérée, les fondamentaux solides mais en dégradation, et les signaux techniques mitigés (achat sur MM/MACD, vente sur stochastique) plaide pour une position attentiste. Les prédictions IA d'une correction à court terme confirment ce diagnostic. **Niveau de confiance : Moyen** — les données fondamentales sont robustes mais la visibilité sur la rentabilité future reste limitée. **Niveau de risque global : Moyen** — le titre est exposé aux risques réglementaires, sécuritaires et concurrentiels, mais bénéficie d'un dividende attractif et d'une notation solide. **Horizon d'investissement optimal : Moyen terme (3-12 mois)** — le temps que la stratégie de reconquête du leadership (annoncée pour 2026) porte ses fruits et que les marges se stabilisent. Une position d'achat agressif n'est pas recommandée tant que la rentabilité ne montre pas de signes clairs d'amélioration.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3313.66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3,568 titres</w:t>
            </w:r>
          </w:p>
        </w:tc>
        <w:tc>
          <w:tcPr>
            <w:tcW w:type="dxa" w:w="2268"/>
            <w:shd w:fill="FFF2CC" w:val="clear"/>
          </w:tcPr>
          <w:p>
            <w:r>
              <w:rPr>
                <w:b/>
                <w:color w:val="503200"/>
                <w:sz w:val="16"/>
              </w:rPr>
              <w:t xml:space="preserve">Cours actuel : </w:t>
            </w:r>
            <w:r>
              <w:rPr>
                <w:color w:val="000000"/>
                <w:sz w:val="17"/>
              </w:rPr>
              <w:t>21,995 FCFA</w:t>
            </w:r>
          </w:p>
          <w:p>
            <w:r>
              <w:rPr>
                <w:b/>
                <w:color w:val="503200"/>
                <w:sz w:val="16"/>
              </w:rPr>
              <w:t xml:space="preserve">Var. 100 jours : </w:t>
            </w:r>
            <w:r>
              <w:rPr>
                <w:b/>
                <w:color w:val="007800"/>
                <w:sz w:val="17"/>
              </w:rPr>
              <w:t>+40.99%</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15,505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13.69% (Moyenne) — μ=18,235 FCFA, σ=2,497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β=1.4725 (Agressif) — Cov=0.000109, Var(idx)=0.000074, ρ=0.559,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20,673</w:t>
            </w:r>
          </w:p>
        </w:tc>
        <w:tc>
          <w:tcPr>
            <w:tcW w:type="dxa" w:w="1440"/>
            <w:shd w:fill="FAFAFA" w:val="clear"/>
          </w:tcPr>
          <w:p>
            <w:r>
              <w:rPr>
                <w:b/>
                <w:sz w:val="17"/>
              </w:rPr>
              <w:t>21,727</w:t>
            </w:r>
          </w:p>
        </w:tc>
        <w:tc>
          <w:tcPr>
            <w:tcW w:type="dxa" w:w="1440"/>
            <w:shd w:fill="FAFAFA" w:val="clear"/>
          </w:tcPr>
          <w:p>
            <w:r>
              <w:rPr>
                <w:sz w:val="17"/>
              </w:rPr>
              <w:t>22,781</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20,237</w:t>
            </w:r>
          </w:p>
        </w:tc>
        <w:tc>
          <w:tcPr>
            <w:tcW w:type="dxa" w:w="1440"/>
            <w:shd w:fill="FAFAFA" w:val="clear"/>
          </w:tcPr>
          <w:p>
            <w:r>
              <w:rPr>
                <w:b/>
                <w:sz w:val="17"/>
              </w:rPr>
              <w:t>21,727</w:t>
            </w:r>
          </w:p>
        </w:tc>
        <w:tc>
          <w:tcPr>
            <w:tcW w:type="dxa" w:w="1440"/>
            <w:shd w:fill="FAFAFA" w:val="clear"/>
          </w:tcPr>
          <w:p>
            <w:r>
              <w:rPr>
                <w:sz w:val="17"/>
              </w:rPr>
              <w:t>23,218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19,876</w:t>
            </w:r>
          </w:p>
        </w:tc>
        <w:tc>
          <w:tcPr>
            <w:tcW w:type="dxa" w:w="1440"/>
            <w:shd w:fill="FAFAFA" w:val="clear"/>
          </w:tcPr>
          <w:p>
            <w:r>
              <w:rPr>
                <w:b/>
                <w:sz w:val="17"/>
              </w:rPr>
              <w:t>21,699</w:t>
            </w:r>
          </w:p>
        </w:tc>
        <w:tc>
          <w:tcPr>
            <w:tcW w:type="dxa" w:w="1440"/>
            <w:shd w:fill="FAFAFA" w:val="clear"/>
          </w:tcPr>
          <w:p>
            <w:r>
              <w:rPr>
                <w:sz w:val="17"/>
              </w:rPr>
              <w:t>23,521</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19,565</w:t>
            </w:r>
          </w:p>
        </w:tc>
        <w:tc>
          <w:tcPr>
            <w:tcW w:type="dxa" w:w="1440"/>
            <w:shd w:fill="FAFAFA" w:val="clear"/>
          </w:tcPr>
          <w:p>
            <w:r>
              <w:rPr>
                <w:b/>
                <w:sz w:val="17"/>
              </w:rPr>
              <w:t>21,667</w:t>
            </w:r>
          </w:p>
        </w:tc>
        <w:tc>
          <w:tcPr>
            <w:tcW w:type="dxa" w:w="1440"/>
            <w:shd w:fill="FAFAFA" w:val="clear"/>
          </w:tcPr>
          <w:p>
            <w:r>
              <w:rPr>
                <w:sz w:val="17"/>
              </w:rPr>
              <w:t>23,769</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19,290</w:t>
            </w:r>
          </w:p>
        </w:tc>
        <w:tc>
          <w:tcPr>
            <w:tcW w:type="dxa" w:w="1440"/>
            <w:shd w:fill="FAFAFA" w:val="clear"/>
          </w:tcPr>
          <w:p>
            <w:r>
              <w:rPr>
                <w:b/>
                <w:sz w:val="17"/>
              </w:rPr>
              <w:t>21,637</w:t>
            </w:r>
          </w:p>
        </w:tc>
        <w:tc>
          <w:tcPr>
            <w:tcW w:type="dxa" w:w="1440"/>
            <w:shd w:fill="FAFAFA" w:val="clear"/>
          </w:tcPr>
          <w:p>
            <w:r>
              <w:rPr>
                <w:sz w:val="17"/>
              </w:rPr>
              <w:t>23,983</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19,041</w:t>
            </w:r>
          </w:p>
        </w:tc>
        <w:tc>
          <w:tcPr>
            <w:tcW w:type="dxa" w:w="1440"/>
            <w:shd w:fill="FAFAFA" w:val="clear"/>
          </w:tcPr>
          <w:p>
            <w:r>
              <w:rPr>
                <w:b/>
                <w:sz w:val="17"/>
              </w:rPr>
              <w:t>21,608</w:t>
            </w:r>
          </w:p>
        </w:tc>
        <w:tc>
          <w:tcPr>
            <w:tcW w:type="dxa" w:w="1440"/>
            <w:shd w:fill="FAFAFA" w:val="clear"/>
          </w:tcPr>
          <w:p>
            <w:r>
              <w:rPr>
                <w:sz w:val="17"/>
              </w:rPr>
              <w:t>24,175</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18,810</w:t>
            </w:r>
          </w:p>
        </w:tc>
        <w:tc>
          <w:tcPr>
            <w:tcW w:type="dxa" w:w="1440"/>
            <w:shd w:fill="FAFAFA" w:val="clear"/>
          </w:tcPr>
          <w:p>
            <w:r>
              <w:rPr>
                <w:b/>
                <w:sz w:val="17"/>
              </w:rPr>
              <w:t>21,579</w:t>
            </w:r>
          </w:p>
        </w:tc>
        <w:tc>
          <w:tcPr>
            <w:tcW w:type="dxa" w:w="1440"/>
            <w:shd w:fill="FAFAFA" w:val="clear"/>
          </w:tcPr>
          <w:p>
            <w:r>
              <w:rPr>
                <w:sz w:val="17"/>
              </w:rPr>
              <w:t>24,348</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18,595</w:t>
            </w:r>
          </w:p>
        </w:tc>
        <w:tc>
          <w:tcPr>
            <w:tcW w:type="dxa" w:w="1440"/>
            <w:shd w:fill="FFDCE0" w:val="clear"/>
          </w:tcPr>
          <w:p>
            <w:r>
              <w:rPr>
                <w:b/>
                <w:sz w:val="17"/>
              </w:rPr>
              <w:t>21,551</w:t>
            </w:r>
          </w:p>
        </w:tc>
        <w:tc>
          <w:tcPr>
            <w:tcW w:type="dxa" w:w="1440"/>
            <w:shd w:fill="FFDCE0" w:val="clear"/>
          </w:tcPr>
          <w:p>
            <w:r>
              <w:rPr>
                <w:sz w:val="17"/>
              </w:rPr>
              <w:t>24,507</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18,392</w:t>
            </w:r>
          </w:p>
        </w:tc>
        <w:tc>
          <w:tcPr>
            <w:tcW w:type="dxa" w:w="1440"/>
            <w:shd w:fill="FFDCE0" w:val="clear"/>
          </w:tcPr>
          <w:p>
            <w:r>
              <w:rPr>
                <w:b/>
                <w:sz w:val="17"/>
              </w:rPr>
              <w:t>21,524</w:t>
            </w:r>
          </w:p>
        </w:tc>
        <w:tc>
          <w:tcPr>
            <w:tcW w:type="dxa" w:w="1440"/>
            <w:shd w:fill="FFDCE0" w:val="clear"/>
          </w:tcPr>
          <w:p>
            <w:r>
              <w:rPr>
                <w:sz w:val="17"/>
              </w:rPr>
              <w:t>24,655</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18,200</w:t>
            </w:r>
          </w:p>
        </w:tc>
        <w:tc>
          <w:tcPr>
            <w:tcW w:type="dxa" w:w="1440"/>
            <w:shd w:fill="FFDCE0" w:val="clear"/>
          </w:tcPr>
          <w:p>
            <w:r>
              <w:rPr>
                <w:b/>
                <w:sz w:val="17"/>
              </w:rPr>
              <w:t>21,497</w:t>
            </w:r>
          </w:p>
        </w:tc>
        <w:tc>
          <w:tcPr>
            <w:tcW w:type="dxa" w:w="1440"/>
            <w:shd w:fill="FFDCE0" w:val="clear"/>
          </w:tcPr>
          <w:p>
            <w:r>
              <w:rPr>
                <w:sz w:val="17"/>
              </w:rPr>
              <w:t>24,794</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**Bourse Régionale des Valeurs Mobilières (BRVM) — Secteur :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3 313,66 milliards FCFA, ORAC s'impose comme l'une des toutes premières capitalisations de la BRVM, représentant à elle seule une part significative de l'indice BRVM Composite et confirmant son statut de valeur phare du marché régional. Le BPA de 1 114 FCFA/action signifie que chaque titre génère un bénéfice net de plus de mille francs CFA, un niveau élevé qui traduit la forte rentabilité de l'opérateur télécoms. Le PER de 19,7x se situe nettement au-dessus de la moyenne du marché BRVM (généralement comprise entre 8 et 12x), ce qui indique que les investisseurs acceptent de payer une prime de qualité pour ce titre défensif et leader de son secteur — une valorisation modérée mais non excessive au regard de la croissance affichée. Le P/B de 4,68x, supérieur à 4x, signale une forte prime par rapport à la valeur comptable, exigeante mais justifiée par la rentabilité des fonds propres (ROE de 23,7%) et l'importance des actifs immatériels (marque, licences, réseau) non captés au bilan. Enfin, l'EV/EBITDA de 7,9x, dans la fourchette raisonnable de 5-10x, montre que la valeur totale de l'entreprise reste cohérente avec sa capacité opérationnelle à générer des liquidités.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spectaculaire de +40,99%, avec un cours actuel de 21 995 FCFA et une variation quasi-nulle en J-1 (+0,02%), signe d'une stabilisation après le rallye haussier. Le range de trading est large, entre un plus bas de 15 505 FCFA et un plus haut de 22 500 FCFA, soit une amplitude de près de 45%, ce qui témoigne d'une tendance nettement haussière portée par la confiance des investisseurs dans les fondamentaux du groupe. Les statistiques descriptives révèlent une moyenne de 18 235 FCFA supérieure à la médiane de 16 755 FCFA, écart qui confirme une distribution asymétrique avec une concentration des cours sur la partie basse de la période avant l'accélération récente. Le mode à 16 000 FCFA et l'écart-type de 2 509 FCFA (CV de 13,8%) indiquent une dispersion modérée du cours, tandis que le kurtosis de -1,465 (distribution platykurtique) suggère une faible concentration des valeurs extrêmes et un risque de pics limité. Le skewness positif de 0,535 confirme cette asymétrie : davantage de journées se sont négociées sous la moyenne, avant le mouvement haussier final. La volatilité annualisée de 35,6% place le titre dans la catégorie des valeurs à volatilité élevée (&gt;30%), ce qui est cohérent avec un titre ayant connu une forte réévaluation sur la période, et qui appelle à une gestion prudente du risque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(21 648,5 FCFA) et la MM50 (20 301,9 FCFA) sont toutes deux inférieures au cours actuel (21 995 FCFA), et la MM20 se situe au-dessus de la MM50, configuration typique d'un croisement haussier (golden cross). Cette structure confirme la dynamique positive de court et moyen terme, justifiant la décision technique d'**Achat**.</w:t>
      </w:r>
    </w:p>
    <w:p>
      <w:pPr>
        <w:spacing w:after="120" w:line="276" w:lineRule="auto"/>
      </w:pPr>
      <w:r>
        <w:t>**Bandes de Bollinger** : Le cours (21 995 FCFA) évolue dans la partie haute du canal, entre la borne inférieure (20 206,48 FCFA) et la borne supérieure (23 090,52 FCFA), sans franchir cette dernière. Cette position proche du haut de bande traduit une pression acheteuse soutenue mais sans excès, d'où la décision **Neutre** qui invite à la prudence avant un éventuel point d'entrée.</w:t>
      </w:r>
    </w:p>
    <w:p>
      <w:pPr>
        <w:spacing w:after="120" w:line="276" w:lineRule="auto"/>
      </w:pPr>
      <w:r>
        <w:t>**MACD** : La valeur du MACD (307,096) est inférieure à son signal (359,706), configuration baissière qui indique un essoufflement du momentum haussier malgré la tendance de fond positive. Cette divergence négative justifie la décision de **Vente** à court terme, signalant une possible consolidation.</w:t>
      </w:r>
    </w:p>
    <w:p>
      <w:pPr>
        <w:spacing w:after="120" w:line="276" w:lineRule="auto"/>
      </w:pPr>
      <w:r>
        <w:t>**RSI** : À 48,74, l'indicateur se situe parfaitement dans la zone neutre (30-70), excluant toute situation de surachat (&gt;70) ou de survente (&lt;30). Cette position médiane confirme la décision **Neutre** et suggère que le titre dispose encore de marges de progression sans être techniquement tendu.</w:t>
      </w:r>
    </w:p>
    <w:p>
      <w:pPr>
        <w:spacing w:after="120" w:line="276" w:lineRule="auto"/>
      </w:pPr>
      <w:r>
        <w:t>**Stochastique** : Le %K (99,762) et le %D (93,979) sont tous deux en zone de surachat extrême (&gt;80), avec un %K proche de son maximum. Cette configuration signale un risque élevé de retournement ou de correction à très court terme, justifiant la décision de **Vente**.</w:t>
      </w:r>
    </w:p>
    <w:p>
      <w:pPr>
        <w:spacing w:after="120" w:line="276" w:lineRule="auto"/>
      </w:pPr>
      <w:r>
        <w:t>**Conclusion technique** : Les indicateurs présentent un tableau mitigé. La tendance de fond reste haussière (MM en configuration positive), mais les signaux de momentum (MACD baissier, Stochastique en surachat extrême) plaident pour une consolidation imminente. Le RSI neutre et la position du cours dans les bandes de Bollinger suggèrent que le titre pourrait évoluer latéralement avant de reprendre sa tendance. Une prudence tactique est recommandée à court terme, sans remettre en cause la dynamique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Orange Côte d'Ivoire affiche un chiffre d'affaires consolidé de 1 197,1 milliards FCFA, en croissance de +10,4% sur un an, porté par la dynamique des trois filiales (Côte d'Ivoire, Burkina Faso, Liberia). Le résultat net consolidé s'établit à 167,8 milliards FCFA (+6,1%), tandis que le résultat net part du groupe atteint 129,1 milliards FCFA (+14,5%). La rentabilité des fonds propres (ROE) ressort à 23,7%, un niveau excellent (&gt;15%), et le ROA à 6,57%, confirmant l'efficacité de l'utilisation des actifs. La marge nette de 14,0% et la marge opérationnelle de 24,0% témoignent d'une solide maîtrise des coûts, malgré une pression fiscale accrue. En tant qu'entreprise non bancaire, les délais d'exploitation sont particulièrement favorables : le BFR est négatif (-198,0 milliards FCFA), ce qui signifie que l'entreprise finance son cycle d'exploitation par ses fournisseurs (délai fournisseurs de 210,87 jours contre un délai clients de 52,26 jours), générant ainsi une trésorerie structurellement positive. Le ratio d'endettement de 47,46% et l'autonomie financière de 27,71% restent dans des zones acceptables, avec une capacité de remboursement de 0,99 an (dette financière/CAF) et une couverture des intérêts de 1 018%, traduisant une structure financière saine. Le Free Cash Flow de 156,2 milliards FCFA et la trésorerie nette de 113,9 milliards FCFA confirment la capacité du groupe à autofinancer ses investissements (184,2 milliards FCFA en 2025).</w:t>
      </w:r>
    </w:p>
    <w:p>
      <w:pPr>
        <w:spacing w:after="120" w:line="276" w:lineRule="auto"/>
      </w:pPr>
      <w:r>
        <w:t>**Estimations basées sur les rapports trimestriels** : Les rapports les plus récents (T1 2026 du 31 mars 2026, S1 2026 du 30 juin 2026) révèlent une accélération de la croissance. Au T1 2026, le chiffre d'affaires progresse de +14,8% à 325,6 milliards FCFA et le résultat net bondit de +25,2% à 48,3 milliards FCFA, avec une marge nette de 14,8%. Au S1 2026, le CA atteint 672,8 milliards FCFA (+16,1%) et le résultat net 90,3 milliards FCFA (+18,3%), avec une marge nette de 13,4% et un EBITDAaL de 239,3 milliards FCFA (+19,2%). Sur la base de ces tendances, on peut estimer que l'exercice 2026 devrait afficher une croissance du chiffre d'affaires supérieure à 15%, avec un résultat net en progression de 15-20%, soutenu par l'expansion de la fibre, la data mobile et Orange Money. Le dividende proposé pour 2025 est de 800 FCFA brut par action (rendement d'environ 3,6% au cours actuel), prélevé sur le report à nouveau, ce qui traduit une politique de distribution prudente mais attractive. **Recommandation fondamentale** : les fondamentaux sont solides, avec une croissance robuste, une rentabilité élevée et une structure financière saine, ce qui justifie une opinion positive à moyen et long terme, malgré les risques réglementaires et fiscaux identifiés dans les rapports.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**Valorisation (Partie 0)** : le PER de 19,7x et le P/B de 4,68x indiquent une valorisation exigeante mais justifiée par la qualité des fondamentaux, tandis que l'EV/EBITDA de 7,9x reste raisonnable — le titre n'est ni sous-évalué ni excessivement surévalué. **Comportement du cours (Partie 1)** : la tendance haussière de +40,99% sur 100 jours, la volatilité élevée (35,6%) et les statistiques (kurtosis négatif, skewness positif) suggèrent un potentiel de continuation mais avec un risque de correction après le rallye. **Signaux techniques (Partie 2)** : les indicateurs sont divergents — les moyennes mobiles sont haussières, mais le MACD et le Stochastique signalent un essoufflement à court terme, plaidant pour une consolidation. **Fondamentaux (Partie 3)** : la croissance à deux chiffres du CA et du résultat net, le ROE de 23,7%, le BFR négatif et la génération de cash-flow confirment la solidité du modèle, avec des estimations 2026 très favorables (+15-20% de croissance). **Prédictions IA (J+1 à J+10)** : la trajectoire prévue (21 727 FCFA le 12/10, puis 21 637 FCFA le 16/10) anticipe une légère baisse de -1,6% sur 10 jours, ce qui confirme la thèse d'une consolidation technique à court terme sans remettre en cause la tendance de fond.</w:t>
      </w:r>
    </w:p>
    <w:p>
      <w:pPr>
        <w:spacing w:after="120" w:line="276" w:lineRule="auto"/>
      </w:pPr>
      <w:r>
        <w:t>**Recommandation finale : CONSERVER** — Le titre présente un profil équilibré : des fondamentaux excellents et une dynamique de croissance solide, mais une valorisation exigeante et des signaux techniques à court terme qui plaident pour la patience. Les investisseurs déjà positionnés sont invités à conserver leurs titres pour capter la croissance à moyen terme, tandis que les nouveaux entrants pourraient attendre une consolidation vers la zone des 21 000-21 500 FCFA pour optimiser leur point d'entrée. **Niveau de confiance : Moyen** (en raison de la divergence entre technique et fondamental). **Niveau de risque global : Moyen** (volatilité élevée mais fondamentaux solides). **Horizon d'investissement optimal : Moyen à long terme (6-18 mois)**, pour bénéficier de la croissance structurelle du secteur télécoms en Afrique de l'Ouest et de la politique de dividende attractive.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d'\u00e9valuer la performance ou la valorisation de la soci\u00e9t\u00e9. En l'absence d'informations chiffr\u00e9es, aucune d\u00e9cision d'achat ou de vente ne peut \u00eatre justifi\u00e9e."}</w:t>
      </w:r>
    </w:p>
    <w:p>
      <w:pPr>
        <w:spacing w:before="40"/>
        <w:ind w:left="400"/>
      </w:pPr>
      <w:r>
        <w:rPr>
          <w:sz w:val="18"/>
        </w:rPr>
        <w:t>Le document est une attestation des commissaires aux comptes (KPMG Côte d'Ivoire UNICONSEIL et UNICONSEIL) sur les informations semestrielles consolidées d'Orange Côte d'Ivoire S.A. pour la période du 1er janvier 2026 au 30 juin 2026. Il s'agit d'une attestation établie en application de l'article 849 de l'Acte uniforme de l'OHADA, et non d'un rapport d'analyse financière détaillé. Les commissaires aux comptes ont mis en œuvre des diligences professionnelles qui ne constituent ni un audit ni un examen limité. Le document ne contient aucune donnée chiffrée sur les résultats, le bilan ou la trésorerie de la société. Par conséquent, aucune analyse financière approfondie ni recommandation d'inve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'1er janvier 2026 au 30 juin 2026', 'capital_social': '6 026 214 000 FCFA', 'referentiel_comptable': 'IFRS', 'commissaires_aux_comptes': "KPMG Côte d'Ivoire UNICONSEIL et UNICONSEIL"}</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informations semestrielles consolidées d'Orange Côte d'Ivoire S.A.</w:t>
      </w:r>
    </w:p>
    <w:p>
      <w:pPr>
        <w:pStyle w:val="ListBullet"/>
        <w:spacing w:before="20" w:after="20"/>
        <w:ind w:left="700"/>
      </w:pPr>
      <w:r>
        <w:rPr>
          <w:sz w:val="18"/>
        </w:rPr>
        <w:t>Période couverte : 1er janvier 2026 au 30 juin 2026</w:t>
      </w:r>
    </w:p>
    <w:p>
      <w:pPr>
        <w:pStyle w:val="ListBullet"/>
        <w:spacing w:before="20" w:after="20"/>
        <w:ind w:left="700"/>
      </w:pPr>
      <w:r>
        <w:rPr>
          <w:sz w:val="18"/>
        </w:rPr>
        <w:t>Établie en application de l'article 849 de l'Acte uniforme de l'OHADA relatif au droit des sociétés commerciales et du GIE</w:t>
      </w:r>
    </w:p>
    <w:p>
      <w:pPr>
        <w:pStyle w:val="ListBullet"/>
        <w:spacing w:before="20" w:after="20"/>
        <w:ind w:left="700"/>
      </w:pPr>
      <w:r>
        <w:rPr>
          <w:sz w:val="18"/>
        </w:rPr>
        <w:t>Les informations ont été établies sous la responsabilité de la direction générale, à partir de la comptabilité générale tenue selon le référentiel IFRS</w:t>
      </w:r>
    </w:p>
    <w:p>
      <w:pPr>
        <w:pStyle w:val="ListBullet"/>
        <w:spacing w:before="20" w:after="20"/>
        <w:ind w:left="700"/>
      </w:pPr>
      <w:r>
        <w:rPr>
          <w:sz w:val="18"/>
        </w:rPr>
        <w:t>Les diligences mises en œuvre ne constituent ni un audit ni un examen limité</w:t>
      </w:r>
    </w:p>
    <w:p>
      <w:pPr>
        <w:pStyle w:val="ListBullet"/>
        <w:spacing w:before="20" w:after="20"/>
        <w:ind w:left="700"/>
      </w:pPr>
      <w:r>
        <w:rPr>
          <w:sz w:val="18"/>
        </w:rPr>
        <w:t>Le document ne contient aucune donnée financière chiffrée (chiffre d'affaires, résultat net, actif, capitaux propres)</w:t>
      </w:r>
    </w:p>
    <w:p>
      <w:pPr>
        <w:spacing w:before="40"/>
        <w:ind w:left="400"/>
      </w:pPr>
      <w:r>
        <w:rPr>
          <w:b/>
          <w:color w:val="C05000"/>
          <w:sz w:val="18"/>
        </w:rPr>
        <w:t xml:space="preserve">⚠️ Risques : </w:t>
      </w:r>
      <w:r>
        <w:rPr>
          <w:sz w:val="18"/>
        </w:rPr>
        <w:t>["Absence de donn\u00e9es financi\u00e8res chiffr\u00e9es dans le document, emp\u00eachant toute \u00e9valuation des risques financiers", "Le document est une simple attestation de commissaires aux comptes, sans analyse de la situation financi\u00e8re", "Les diligences effectu\u00e9es ne constituent</w:t>
      </w:r>
    </w:p>
    <w:p>
      <w:pPr>
        <w:spacing w:before="40"/>
        <w:ind w:left="400"/>
      </w:pPr>
      <w:r>
        <w:rPr>
          <w:b/>
          <w:color w:val="0064A0"/>
          <w:sz w:val="18"/>
        </w:rPr>
        <w:t xml:space="preserve">🔮 Perspectives : </w:t>
      </w:r>
      <w:r>
        <w:rPr>
          <w:sz w:val="18"/>
        </w:rPr>
        <w:t>Aucune perspective financière ne peut être dégagée de ce document, qui se limite à une attestation de conformité des informations semestrielles. Pour formuler un outlook, il serait nécessaire de consulter les états financiers semestriels complets (bilan, compte de résultat, tableau des flux de tréso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croissance \u00e0 deux chiffres du chiffre d'affaires (+16,1%) et du r\u00e9sultat net (+18,3%) t\u00e9moigne d'une dynamique op\u00e9rationnelle solide sur les trois march\u00e9s. La progression de l'EBITDAaL et l'am\u00e9lioration du r\u00e9sultat financier renforcent la qualit\u00e9 des r\u00e9sultats et la g\u00e9n\u00e9ration de cash-flow."}</w:t>
      </w:r>
    </w:p>
    <w:p>
      <w:pPr>
        <w:spacing w:before="40"/>
        <w:ind w:left="400"/>
      </w:pPr>
      <w:r>
        <w:rPr>
          <w:sz w:val="18"/>
        </w:rPr>
        <w:t>Orange Côte d'Ivoire publie des résultats consolidés en forte croissance pour le premier semestre 2026, avec un chiffre d'affaires de 672,8 milliards FCFA en hausse de 16,1% sur un an. Cette performance est portée par les trois filiales du groupe (Côte d'Ivoire, Burkina Faso et Liberia), tirées par la data mobile, la fibre et Orange Money. L'EBITDAaL progresse de 19,2% à 239,3 milliards FCFA, traduisant une bonne maîtrise des coûts d'exploitation. Le résultat net consolidé atteint 90,3 milliards FCFA, en croissance de 18,3% par rapport au S1 2025. La dynamique commerciale et l'expansion des usages confirment la solidité du modèle économique du groupe sur l'ensemble de ses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'109,3 milliards FCFA', 'ebitdaal': '239,3 milliards FCFA', 'parc_fmi': '37 364 milliers', 'resultat_financier': '-12,8 milliards FCFA', 'resultat_exploitation': '159,6 milliards FCFA', 'impots_sur_le_resultat': '-56,6 milliards FCFA', 'resultat_activites_ordinaires': '146,8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672,8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de 672,8 milliards FCFA au S1 2026, en hausse de 16,1% (+93,4 milliards FCFA) sur un an.</w:t>
      </w:r>
    </w:p>
    <w:p>
      <w:pPr>
        <w:pStyle w:val="ListBullet"/>
        <w:spacing w:before="20" w:after="20"/>
        <w:ind w:left="700"/>
      </w:pPr>
      <w:r>
        <w:rPr>
          <w:sz w:val="18"/>
        </w:rPr>
        <w:t>EBITDAaL de 239,3 milliards FCFA, en progression de 19,2%, avec une marge d'EBITDAaL d'environ 35,6%.</w:t>
      </w:r>
    </w:p>
    <w:p>
      <w:pPr>
        <w:pStyle w:val="ListBullet"/>
        <w:spacing w:before="20" w:after="20"/>
        <w:ind w:left="700"/>
      </w:pPr>
      <w:r>
        <w:rPr>
          <w:sz w:val="18"/>
        </w:rPr>
        <w:t>Résultat d'exploitation de 159,6 milliards FCFA, en hausse de 21,1% par rapport au S1 2025.</w:t>
      </w:r>
    </w:p>
    <w:p>
      <w:pPr>
        <w:pStyle w:val="ListBullet"/>
        <w:spacing w:before="20" w:after="20"/>
        <w:ind w:left="700"/>
      </w:pPr>
      <w:r>
        <w:rPr>
          <w:sz w:val="18"/>
        </w:rPr>
        <w:t>Résultat net consolidé de 90,3 milliards FCFA, en croissance de 18,3%, soit une marge nette d'environ 13,4%.</w:t>
      </w:r>
    </w:p>
    <w:p>
      <w:pPr>
        <w:pStyle w:val="ListBullet"/>
        <w:spacing w:before="20" w:after="20"/>
        <w:ind w:left="700"/>
      </w:pPr>
      <w:r>
        <w:rPr>
          <w:sz w:val="18"/>
        </w:rPr>
        <w:t>Résultat financier négatif de -12,8 milliards FCFA, mais en amélioration de 5,9% sur un an.</w:t>
      </w:r>
    </w:p>
    <w:p>
      <w:pPr>
        <w:pStyle w:val="ListBullet"/>
        <w:spacing w:before="20" w:after="20"/>
        <w:ind w:left="700"/>
      </w:pPr>
      <w:r>
        <w:rPr>
          <w:sz w:val="18"/>
        </w:rPr>
        <w:t>Charge d'impôts en hausse de 35,0% à 56,6 milliards FCFA, pesant sur la croissance du résultat net.</w:t>
      </w:r>
    </w:p>
    <w:p>
      <w:pPr>
        <w:spacing w:before="40"/>
        <w:ind w:left="400"/>
      </w:pPr>
      <w:r>
        <w:rPr>
          <w:b/>
          <w:color w:val="C05000"/>
          <w:sz w:val="18"/>
        </w:rPr>
        <w:t xml:space="preserve">⚠️ Risques : </w:t>
      </w:r>
      <w:r>
        <w:rPr>
          <w:sz w:val="18"/>
        </w:rPr>
        <w:t>["Hausse marqu\u00e9e des charges commerciales et fiscales (+35% d'imp\u00f4ts) pouvant peser sur la rentabilit\u00e9 future.", "Exposition au risque de change et \u00e0 l'environnement macro\u00e9conomique des trois pays (C\u00f4te d'Ivoire, Burkina Faso, Liberia).", "Intensification de la concurre</w:t>
      </w:r>
    </w:p>
    <w:p>
      <w:pPr>
        <w:spacing w:before="40"/>
        <w:ind w:left="400"/>
      </w:pPr>
      <w:r>
        <w:rPr>
          <w:b/>
          <w:color w:val="0064A0"/>
          <w:sz w:val="18"/>
        </w:rPr>
        <w:t xml:space="preserve">🔮 Perspectives : </w:t>
      </w:r>
      <w:r>
        <w:rPr>
          <w:sz w:val="18"/>
        </w:rPr>
        <w:t>Le groupe devrait poursuivre sa trajectoire de croissance au second semestre 2026, soutenu par l'expansion de la data mobile, de la fibre et d'Orange Money sur ses trois marchés. La maîtrise des coûts et l'amélioration continue du résultat financier devraient permettre de maintenir la dynamique béné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4,362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+20.24%</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2,495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8.12% (Moyenne) — μ=2,905 FCFA, σ=236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β=0.8247 (Neutre (suit le marché)) — Cov=0.000061, Var(idx)=0.000074, ρ=0.320,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2,822</w:t>
            </w:r>
          </w:p>
        </w:tc>
        <w:tc>
          <w:tcPr>
            <w:tcW w:type="dxa" w:w="1440"/>
            <w:shd w:fill="FAFAFA" w:val="clear"/>
          </w:tcPr>
          <w:p>
            <w:r>
              <w:rPr>
                <w:b/>
                <w:sz w:val="17"/>
              </w:rPr>
              <w:t>2,956</w:t>
            </w:r>
          </w:p>
        </w:tc>
        <w:tc>
          <w:tcPr>
            <w:tcW w:type="dxa" w:w="1440"/>
            <w:shd w:fill="FAFAFA" w:val="clear"/>
          </w:tcPr>
          <w:p>
            <w:r>
              <w:rPr>
                <w:sz w:val="17"/>
              </w:rPr>
              <w:t>3,090</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2,765</w:t>
            </w:r>
          </w:p>
        </w:tc>
        <w:tc>
          <w:tcPr>
            <w:tcW w:type="dxa" w:w="1440"/>
            <w:shd w:fill="FAFAFA" w:val="clear"/>
          </w:tcPr>
          <w:p>
            <w:r>
              <w:rPr>
                <w:b/>
                <w:sz w:val="17"/>
              </w:rPr>
              <w:t>2,955</w:t>
            </w:r>
          </w:p>
        </w:tc>
        <w:tc>
          <w:tcPr>
            <w:tcW w:type="dxa" w:w="1440"/>
            <w:shd w:fill="FAFAFA" w:val="clear"/>
          </w:tcPr>
          <w:p>
            <w:r>
              <w:rPr>
                <w:sz w:val="17"/>
              </w:rPr>
              <w:t>3,145</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2,719</w:t>
            </w:r>
          </w:p>
        </w:tc>
        <w:tc>
          <w:tcPr>
            <w:tcW w:type="dxa" w:w="1440"/>
            <w:shd w:fill="FAFAFA" w:val="clear"/>
          </w:tcPr>
          <w:p>
            <w:r>
              <w:rPr>
                <w:b/>
                <w:sz w:val="17"/>
              </w:rPr>
              <w:t>2,951</w:t>
            </w:r>
          </w:p>
        </w:tc>
        <w:tc>
          <w:tcPr>
            <w:tcW w:type="dxa" w:w="1440"/>
            <w:shd w:fill="FAFAFA" w:val="clear"/>
          </w:tcPr>
          <w:p>
            <w:r>
              <w:rPr>
                <w:sz w:val="17"/>
              </w:rPr>
              <w:t>3,182</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2,679</w:t>
            </w:r>
          </w:p>
        </w:tc>
        <w:tc>
          <w:tcPr>
            <w:tcW w:type="dxa" w:w="1440"/>
            <w:shd w:fill="FAFAFA" w:val="clear"/>
          </w:tcPr>
          <w:p>
            <w:r>
              <w:rPr>
                <w:b/>
                <w:sz w:val="17"/>
              </w:rPr>
              <w:t>2,946</w:t>
            </w:r>
          </w:p>
        </w:tc>
        <w:tc>
          <w:tcPr>
            <w:tcW w:type="dxa" w:w="1440"/>
            <w:shd w:fill="FAFAFA" w:val="clear"/>
          </w:tcPr>
          <w:p>
            <w:r>
              <w:rPr>
                <w:sz w:val="17"/>
              </w:rPr>
              <w:t>3,214</w:t>
            </w:r>
          </w:p>
        </w:tc>
        <w:tc>
          <w:tcPr>
            <w:tcW w:type="dxa" w:w="1440"/>
            <w:shd w:fill="FAFAFA" w:val="clear"/>
          </w:tcPr>
          <w:p>
            <w:r>
              <w:rPr>
                <w:b/>
                <w:color w:val="C00000"/>
                <w:sz w:val="17"/>
              </w:rPr>
              <w:t>-1.8%</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2,644</w:t>
            </w:r>
          </w:p>
        </w:tc>
        <w:tc>
          <w:tcPr>
            <w:tcW w:type="dxa" w:w="1440"/>
            <w:shd w:fill="FAFAFA" w:val="clear"/>
          </w:tcPr>
          <w:p>
            <w:r>
              <w:rPr>
                <w:b/>
                <w:sz w:val="17"/>
              </w:rPr>
              <w:t>2,942</w:t>
            </w:r>
          </w:p>
        </w:tc>
        <w:tc>
          <w:tcPr>
            <w:tcW w:type="dxa" w:w="1440"/>
            <w:shd w:fill="FAFAFA" w:val="clear"/>
          </w:tcPr>
          <w:p>
            <w:r>
              <w:rPr>
                <w:sz w:val="17"/>
              </w:rPr>
              <w:t>3,241</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2,612</w:t>
            </w:r>
          </w:p>
        </w:tc>
        <w:tc>
          <w:tcPr>
            <w:tcW w:type="dxa" w:w="1440"/>
            <w:shd w:fill="FFDCE0" w:val="clear"/>
          </w:tcPr>
          <w:p>
            <w:r>
              <w:rPr>
                <w:b/>
                <w:sz w:val="17"/>
              </w:rPr>
              <w:t>2,939</w:t>
            </w:r>
          </w:p>
        </w:tc>
        <w:tc>
          <w:tcPr>
            <w:tcW w:type="dxa" w:w="1440"/>
            <w:shd w:fill="FFDCE0" w:val="clear"/>
          </w:tcPr>
          <w:p>
            <w:r>
              <w:rPr>
                <w:sz w:val="17"/>
              </w:rPr>
              <w:t>3,265</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2,583</w:t>
            </w:r>
          </w:p>
        </w:tc>
        <w:tc>
          <w:tcPr>
            <w:tcW w:type="dxa" w:w="1440"/>
            <w:shd w:fill="FFDCE0" w:val="clear"/>
          </w:tcPr>
          <w:p>
            <w:r>
              <w:rPr>
                <w:b/>
                <w:sz w:val="17"/>
              </w:rPr>
              <w:t>2,935</w:t>
            </w:r>
          </w:p>
        </w:tc>
        <w:tc>
          <w:tcPr>
            <w:tcW w:type="dxa" w:w="1440"/>
            <w:shd w:fill="FFDCE0" w:val="clear"/>
          </w:tcPr>
          <w:p>
            <w:r>
              <w:rPr>
                <w:sz w:val="17"/>
              </w:rPr>
              <w:t>3,288</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2,556</w:t>
            </w:r>
          </w:p>
        </w:tc>
        <w:tc>
          <w:tcPr>
            <w:tcW w:type="dxa" w:w="1440"/>
            <w:shd w:fill="FFDCE0" w:val="clear"/>
          </w:tcPr>
          <w:p>
            <w:r>
              <w:rPr>
                <w:b/>
                <w:sz w:val="17"/>
              </w:rPr>
              <w:t>2,932</w:t>
            </w:r>
          </w:p>
        </w:tc>
        <w:tc>
          <w:tcPr>
            <w:tcW w:type="dxa" w:w="1440"/>
            <w:shd w:fill="FFDCE0" w:val="clear"/>
          </w:tcPr>
          <w:p>
            <w:r>
              <w:rPr>
                <w:sz w:val="17"/>
              </w:rPr>
              <w:t>3,308</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2,530</w:t>
            </w:r>
          </w:p>
        </w:tc>
        <w:tc>
          <w:tcPr>
            <w:tcW w:type="dxa" w:w="1440"/>
            <w:shd w:fill="FFDCE0" w:val="clear"/>
          </w:tcPr>
          <w:p>
            <w:r>
              <w:rPr>
                <w:b/>
                <w:sz w:val="17"/>
              </w:rPr>
              <w:t>2,929</w:t>
            </w:r>
          </w:p>
        </w:tc>
        <w:tc>
          <w:tcPr>
            <w:tcW w:type="dxa" w:w="1440"/>
            <w:shd w:fill="FFDCE0" w:val="clear"/>
          </w:tcPr>
          <w:p>
            <w:r>
              <w:rPr>
                <w:sz w:val="17"/>
              </w:rPr>
              <w:t>3,327</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2,506</w:t>
            </w:r>
          </w:p>
        </w:tc>
        <w:tc>
          <w:tcPr>
            <w:tcW w:type="dxa" w:w="1440"/>
            <w:shd w:fill="FFDCE0" w:val="clear"/>
          </w:tcPr>
          <w:p>
            <w:r>
              <w:rPr>
                <w:b/>
                <w:sz w:val="17"/>
              </w:rPr>
              <w:t>2,925</w:t>
            </w:r>
          </w:p>
        </w:tc>
        <w:tc>
          <w:tcPr>
            <w:tcW w:type="dxa" w:w="1440"/>
            <w:shd w:fill="FFDCE0" w:val="clear"/>
          </w:tcPr>
          <w:p>
            <w:r>
              <w:rPr>
                <w:sz w:val="17"/>
              </w:rPr>
              <w:t>3,345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208,25 milliards FCFA, ORGT s'impose comme une valeur de premier plan de la cote BRVM, représentant un poids significatif dans l'indice sectoriel bancaire régional. Le BPA de 312 FCFA/action signifie que chaque titre génère près de 312 FCFA de bénéfice net, ce qui, rapporté au cours actuel de 3 000 FCFA, donne un PER de 9,6x — un niveau modéré, légèrement inférieur à la moyenne BRVM (8-12x), suggérant une valorisation raisonnable voire légèrement sous-évaluée au regard des bénéfices. Le P/B de 1,84x indique que le marché valorise la banque à près du double de sa valeur comptable, ce qui reste dans la fourchette raisonnable (1-2x) et traduit une confiance modérée dans la qualité des fonds propres. En revanche, l'EV/EBITDA de 19,7x apparaît très exigeant (&gt;15x), signalant que la valeur d'entreprise intègre déjà une forte anticipation de reprise opérationnelle — un point de vigilance pour l'investisseur, car il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performance remarquable de **+20,24%**, avec une dernière séance particulièrement dynamique (+3,81%), confirmant un net regain d'intérêt des investisseurs. Le titre a évolué dans un range de 2 495 FCFA (plus bas) à 3 400 FCFA (plus haut), soit une amplitude de plus de 36%, avant de se stabiliser autour de 3 000 FCFA. La tendance générale est donc nettement haussière sur la période, portée par le redressement fondamental du groupe. Les statistiques descriptives révèlent une moyenne (2 905 FCFA) légèrement supérieure à la médiane (2 875 FCFA), avec un skewness positif de 0,254 indiquant une distribution quasi-symétrique mais avec une légère queue à droite — quelques séances de forte hausse tirent la moyenne vers le haut. L'écart-type de 237 FCFA (CV = 8,2%) traduit une dispersion modérée du cours, tandis que le kurtosis négatif (-1,215, distribution platykurtique) signale une faible concentration des rendements et un risque de pics moins prononcé qu'une distribution normale — un profil relativement rassurant. Enfin, la volatilité annualisée de **35,7%** positionne ORGT dans la catégorie des titres à volatilité élevée (&gt;30%), ce qui est cohérent avec le profil de redressement du titre et appelle à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(3 046,5 FCFA) et la MM50 (3 114,0 FCFA) se situent toutes deux au-dessus du cours actuel (3 000 FCFA), ce qui place le titre en configuration baissière de court terme. La MM20 étant inférieure à la MM50, on observe un croisement baissier (death cross) confirmant la pression vendeuse. La décision technique qui en résulte est **Vente**, le cours évoluant sous ses deux références mobiles.</w:t>
      </w:r>
    </w:p>
    <w:p>
      <w:pPr>
        <w:spacing w:after="120" w:line="276" w:lineRule="auto"/>
      </w:pPr>
      <w:r>
        <w:t>**Bandes de Bollinger** : Le cours (3 000 FCFA) se situe dans la partie médiane de la bande, entre la borne inférieure (2 751,6 FCFA) et la borne supérieure (3 341,4 FCFA), sans contact avec les extrêmes. Cette position centrale, combinée à un écart de bande relativement large, traduit une volatilité normale sans signal de surachat ou de survente. La décision est **Neutre**, le marché étant en phase de consolidation.</w:t>
      </w:r>
    </w:p>
    <w:p>
      <w:pPr>
        <w:spacing w:after="120" w:line="276" w:lineRule="auto"/>
      </w:pPr>
      <w:r>
        <w:t>**MACD** : Le MACD (-53,413) est inférieur à son signal (-44,423), avec un histogramme négatif — configuration baissière classique. Le momentum reste négatif, bien que l'écart entre les deux lignes se réduise légèrement, ce qui pourrait annoncer un ralentissement de la pression vendeuse. La décision reste néanmoins **Vente** tant que le MACD n'a pas recroisé son signal à la hausse.</w:t>
      </w:r>
    </w:p>
    <w:p>
      <w:pPr>
        <w:spacing w:after="120" w:line="276" w:lineRule="auto"/>
      </w:pPr>
      <w:r>
        <w:t>**RSI** : À 42,146, le RSI se situe en zone neutre (30-70), sans signal de surachat ni de survente. Cette valeur légèrement sous la barre des 50 indique une dynamique acheteuse modérée mais sans excès, laissant au titre une marge de progression avant d'atteindre la zone de surachat. La décision est **Neutre**.</w:t>
      </w:r>
    </w:p>
    <w:p>
      <w:pPr>
        <w:spacing w:after="120" w:line="276" w:lineRule="auto"/>
      </w:pPr>
      <w:r>
        <w:t>**Stochastique** : Le %K (60,606) est supérieur au %D (40,404), avec un croisement haussier récent des deux lignes. Cette configuration suggère une reprise de la dynamique acheteuse à court terme, bien que le %K reste en zone intermédiaire. La décision est **Neutre**, le signal haussier n'étant pas encore confirmé par une sortie de la zone basse.</w:t>
      </w:r>
    </w:p>
    <w:p>
      <w:pPr>
        <w:spacing w:after="120" w:line="276" w:lineRule="auto"/>
      </w:pPr>
      <w:r>
        <w:t>**Conclusion technique** : Les indicateurs techniques présentent un tableau mitigé, avec une majorité de signaux neutres (Bollinger, RSI, Stochastique) et deux signaux baissiers (Moyennes Mobiles, MACD). Le titre est en phase de consolidation après sa forte hausse, avec un momentum de court terme encore fragile mais un stochastique qui amorce un retournement haussier. La convergence des signaux neutres suggère une absence de tendance claire à court terme, invitant à la prudence dans l'attente d'une confirmation directionnelle.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(PNB, équivalent du chiffre d'affaires pour une banque) de **186,609 milliards FCFA**, en recul de -4,52% par rapport à 2024 (195,436 milliards). Le résultat net consolidé s'établit à **21,643 milliards FCFA**, marquant un redressement spectaculaire après la perte de -44,363 milliards en 2024. Le ROE atteint **19,13%** (excellent, &gt;15%), tandis que le ROA reste faible à 0,54%, caractéristique du modèle bancaire à fort effet de levier. Le coefficient d'exploitation de **42,85%** est excellent (&lt;50%), témoignant d'une grande efficacité opérationnelle. Le coût du risque, à 3,74% des charges financières, est contenu, signe d'un portefeuille de crédit assaini. La structure bilancielle montre des dépôts clientèle de **3 088,7 milliards FCFA** face à des créances clientèle de **1 523,8 milliards FCFA**, soit un ratio de transformation de 49,3% — la banque dispose d'une base de refinancement stable et abondante. Les capitaux propres se renforcent à **113,165 milliards FCFA** (+17%), améliorant la solvabilité.</w:t>
      </w:r>
    </w:p>
    <w:p>
      <w:pPr>
        <w:spacing w:after="120" w:line="276" w:lineRule="auto"/>
      </w:pPr>
      <w:r>
        <w:t>**Estimations basées sur les rapports trimestriels** : Le rapport du **T1 2026** (publié en 2026) indique un PNB de 50,124 milliards FCFA (-2%) mais un résultat net de 6,555 milliards FCFA (+37%), avec des dépôts en hausse de 14% à 3 343 milliards FCFA. Le rapport du **T3 2025** (30/09/2025) faisait état d'un résultat net de 19,6 milliards FCFA (+248%) et d'une baisse de 74% du coût du risque. Le rapport du **S1 2025** (30/06/2025) confirmait un bénéfice net de 18,3 milliards FCFA (+232%). Sur la base de ces tendances, on estime que l'exercice 2026 devrait consolider le redressement avec un résultat net annuel projeté entre 25 et 28 milliards FCFA, porté par la poursuite de la maîtrise des coûts et la normalisation du risque, malgré un PNB encore sous pression. La recommandation fondamentale est **CONSERVER** : la solidité financière est rétablie, les risques résiduels (baisse du PNB, dépendance à la réduction du coût du risque) appellent à la prudence, mais le potentiel de reprise est réel.</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attractif avec un PER de 9,6x et un P/B de 1,84x, suggérant une sous-évaluation modérée, bien que l'EV/EBITDA de 19,7x tempère cet optimisme. Le comportement du cours (Partie 1) est nettement haussier (+20,24% sur 100 jours) avec une volatilité élevée (35,7%) et une distribution platykurtique (kurtosis -1,215) indiquant un risque de pics modéré — un profil favorable mais exigeant en gestion du risque. Les signaux techniques (Partie 2) sont mitigés : deux signaux baissiers (MM, MACD) contre trois neutres (Bollinger, RSI, Stochastique), avec un stochastique amorçant un retournement haussier — la convergence des neutres suggère une consolidation avant une reprise potentielle. Les fondamentaux (Partie 3) sont solides : redressement spectaculaire du résultat net (21,6 Mds FCFA en 2025), ROE de 19,13%, coefficient d'exploitation de 42,85%, et estimations T1 2026 (+37% de résultat net) confirment la dynamique positive. Les prédictions IA (J+1 à J+10) anticipent une légère baisse vers 2 942 FCFA, ce qui contredit la tendance haussière récente mais s'aligne sur la phase de consolidation technique. **Recommandation finale : CONSERVER**, avec un niveau de confiance **Moyen** et un risque global **Moyen**. La convergence entre valorisation attractive, fondamentaux en redressement et technique en consolidation plaide pour une position attentiste, en attendant une confirmation de la reprise du PNB et un signal technique haussier clair. L'horizon d'investissement optimal est le **moyen terme (3-12 mois)**, le temps que la dynamique commerciale se confirme et que les indicateurs techniques se retournent à la hausse.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120.58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4,329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+1.30%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5.39% (Moyenne) — μ=8,629 FCFA, σ=465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β=0.0486 (Défensif) — Cov=0.000004, Var(idx)=0.000074, ρ=0.021,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4,329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7,542</w:t>
            </w:r>
          </w:p>
        </w:tc>
        <w:tc>
          <w:tcPr>
            <w:tcW w:type="dxa" w:w="1440"/>
            <w:shd w:fill="FAFAFA" w:val="clear"/>
          </w:tcPr>
          <w:p>
            <w:r>
              <w:rPr>
                <w:b/>
                <w:sz w:val="17"/>
              </w:rPr>
              <w:t>7,802</w:t>
            </w:r>
          </w:p>
        </w:tc>
        <w:tc>
          <w:tcPr>
            <w:tcW w:type="dxa" w:w="1440"/>
            <w:shd w:fill="FAFAFA" w:val="clear"/>
          </w:tcPr>
          <w:p>
            <w:r>
              <w:rPr>
                <w:sz w:val="17"/>
              </w:rPr>
              <w:t>8,062</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7,387</w:t>
            </w:r>
          </w:p>
        </w:tc>
        <w:tc>
          <w:tcPr>
            <w:tcW w:type="dxa" w:w="1440"/>
            <w:shd w:fill="FAFAFA" w:val="clear"/>
          </w:tcPr>
          <w:p>
            <w:r>
              <w:rPr>
                <w:b/>
                <w:sz w:val="17"/>
              </w:rPr>
              <w:t>7,753</w:t>
            </w:r>
          </w:p>
        </w:tc>
        <w:tc>
          <w:tcPr>
            <w:tcW w:type="dxa" w:w="1440"/>
            <w:shd w:fill="FAFAFA" w:val="clear"/>
          </w:tcPr>
          <w:p>
            <w:r>
              <w:rPr>
                <w:sz w:val="17"/>
              </w:rPr>
              <w:t>8,118</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7,275</w:t>
            </w:r>
          </w:p>
        </w:tc>
        <w:tc>
          <w:tcPr>
            <w:tcW w:type="dxa" w:w="1440"/>
            <w:shd w:fill="FAFAFA" w:val="clear"/>
          </w:tcPr>
          <w:p>
            <w:r>
              <w:rPr>
                <w:b/>
                <w:sz w:val="17"/>
              </w:rPr>
              <w:t>7,721</w:t>
            </w:r>
          </w:p>
        </w:tc>
        <w:tc>
          <w:tcPr>
            <w:tcW w:type="dxa" w:w="1440"/>
            <w:shd w:fill="FAFAFA" w:val="clear"/>
          </w:tcPr>
          <w:p>
            <w:r>
              <w:rPr>
                <w:sz w:val="17"/>
              </w:rPr>
              <w:t>8,166</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7,177</w:t>
            </w:r>
          </w:p>
        </w:tc>
        <w:tc>
          <w:tcPr>
            <w:tcW w:type="dxa" w:w="1440"/>
            <w:shd w:fill="FAFAFA" w:val="clear"/>
          </w:tcPr>
          <w:p>
            <w:r>
              <w:rPr>
                <w:b/>
                <w:sz w:val="17"/>
              </w:rPr>
              <w:t>7,690</w:t>
            </w:r>
          </w:p>
        </w:tc>
        <w:tc>
          <w:tcPr>
            <w:tcW w:type="dxa" w:w="1440"/>
            <w:shd w:fill="FAFAFA" w:val="clear"/>
          </w:tcPr>
          <w:p>
            <w:r>
              <w:rPr>
                <w:sz w:val="17"/>
              </w:rPr>
              <w:t>8,203</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7,088</w:t>
            </w:r>
          </w:p>
        </w:tc>
        <w:tc>
          <w:tcPr>
            <w:tcW w:type="dxa" w:w="1440"/>
            <w:shd w:fill="FAFAFA" w:val="clear"/>
          </w:tcPr>
          <w:p>
            <w:r>
              <w:rPr>
                <w:b/>
                <w:sz w:val="17"/>
              </w:rPr>
              <w:t>7,659</w:t>
            </w:r>
          </w:p>
        </w:tc>
        <w:tc>
          <w:tcPr>
            <w:tcW w:type="dxa" w:w="1440"/>
            <w:shd w:fill="FAFAFA" w:val="clear"/>
          </w:tcPr>
          <w:p>
            <w:r>
              <w:rPr>
                <w:sz w:val="17"/>
              </w:rPr>
              <w:t>8,230</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7,007</w:t>
            </w:r>
          </w:p>
        </w:tc>
        <w:tc>
          <w:tcPr>
            <w:tcW w:type="dxa" w:w="1440"/>
            <w:shd w:fill="FFDCE0" w:val="clear"/>
          </w:tcPr>
          <w:p>
            <w:r>
              <w:rPr>
                <w:b/>
                <w:sz w:val="17"/>
              </w:rPr>
              <w:t>7,630</w:t>
            </w:r>
          </w:p>
        </w:tc>
        <w:tc>
          <w:tcPr>
            <w:tcW w:type="dxa" w:w="1440"/>
            <w:shd w:fill="FFDCE0" w:val="clear"/>
          </w:tcPr>
          <w:p>
            <w:r>
              <w:rPr>
                <w:sz w:val="17"/>
              </w:rPr>
              <w:t>8,253</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6,931</w:t>
            </w:r>
          </w:p>
        </w:tc>
        <w:tc>
          <w:tcPr>
            <w:tcW w:type="dxa" w:w="1440"/>
            <w:shd w:fill="FFDCE0" w:val="clear"/>
          </w:tcPr>
          <w:p>
            <w:r>
              <w:rPr>
                <w:b/>
                <w:sz w:val="17"/>
              </w:rPr>
              <w:t>7,602</w:t>
            </w:r>
          </w:p>
        </w:tc>
        <w:tc>
          <w:tcPr>
            <w:tcW w:type="dxa" w:w="1440"/>
            <w:shd w:fill="FFDCE0" w:val="clear"/>
          </w:tcPr>
          <w:p>
            <w:r>
              <w:rPr>
                <w:sz w:val="17"/>
              </w:rPr>
              <w:t>8,273</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6,861</w:t>
            </w:r>
          </w:p>
        </w:tc>
        <w:tc>
          <w:tcPr>
            <w:tcW w:type="dxa" w:w="1440"/>
            <w:shd w:fill="FFDCE0" w:val="clear"/>
          </w:tcPr>
          <w:p>
            <w:r>
              <w:rPr>
                <w:b/>
                <w:sz w:val="17"/>
              </w:rPr>
              <w:t>7,575</w:t>
            </w:r>
          </w:p>
        </w:tc>
        <w:tc>
          <w:tcPr>
            <w:tcW w:type="dxa" w:w="1440"/>
            <w:shd w:fill="FFDCE0" w:val="clear"/>
          </w:tcPr>
          <w:p>
            <w:r>
              <w:rPr>
                <w:sz w:val="17"/>
              </w:rPr>
              <w:t>8,290</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6,795</w:t>
            </w:r>
          </w:p>
        </w:tc>
        <w:tc>
          <w:tcPr>
            <w:tcW w:type="dxa" w:w="1440"/>
            <w:shd w:fill="FFDCE0" w:val="clear"/>
          </w:tcPr>
          <w:p>
            <w:r>
              <w:rPr>
                <w:b/>
                <w:sz w:val="17"/>
              </w:rPr>
              <w:t>7,550</w:t>
            </w:r>
          </w:p>
        </w:tc>
        <w:tc>
          <w:tcPr>
            <w:tcW w:type="dxa" w:w="1440"/>
            <w:shd w:fill="FFDCE0" w:val="clear"/>
          </w:tcPr>
          <w:p>
            <w:r>
              <w:rPr>
                <w:sz w:val="17"/>
              </w:rPr>
              <w:t>8,305</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6,732</w:t>
            </w:r>
          </w:p>
        </w:tc>
        <w:tc>
          <w:tcPr>
            <w:tcW w:type="dxa" w:w="1440"/>
            <w:shd w:fill="FFDCE0" w:val="clear"/>
          </w:tcPr>
          <w:p>
            <w:r>
              <w:rPr>
                <w:b/>
                <w:sz w:val="17"/>
              </w:rPr>
              <w:t>7,526</w:t>
            </w:r>
          </w:p>
        </w:tc>
        <w:tc>
          <w:tcPr>
            <w:tcW w:type="dxa" w:w="1440"/>
            <w:shd w:fill="FFDCE0" w:val="clear"/>
          </w:tcPr>
          <w:p>
            <w:r>
              <w:rPr>
                <w:sz w:val="17"/>
              </w:rPr>
              <w:t>8,319</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120,58 milliards FCFA, PALC s'impose comme une valeur de premier plan de la cote BRVM, représentant un acteur agro-industriel structurant de la filière palmier à huile ivoirienne. Le BPA de 1 003 FCFA/action signifie que chaque titre génère un bénéfice net d'environ mille francs, ce qui, rapporté au cours actuel de 7 800 FCFA, donne un PER de 7,8x — nettement inférieur à la moyenne BRVM (8-12x), signalant une potentielle sous-évaluation par rapport aux bénéfices dégagés. Le P/B de 0,85x est particulièrement révélateur : le marché valorise l'entreprise à 15 % en dessous de sa valeur comptable, ce qui constitue historiquement une zone d'opportunité pour les investisseurs value. Enfin, l'EV/EBITDA de 3,8x, très inférieur au seuil de 5x, traduit une valorisation d'entreprise très bon marché au regard de sa capacité opérationnelle à générer des liquidités, renforçant la thèse d'un titre sous-valorisé sur ses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PALC affiche une variation quasi stable de +1,30 %, avec une dernière séance positive de +0,65 %, le titre clôturant à 7 800 FCFA. Le range de trading est large, entre un plus haut de 9 640 FCFA et un plus bas de 7 680 FCFA, soit un écart de près de 2 000 FCFA (environ 25 %), ce qui témoigne d'une réelle amplitude de négociation. La tendance générale est baissière sur la période, le cours actuel se situant tout près de son plus bas, ce qui suggère une pression vendeuse persistante. Les statistiques descriptives révèlent une moyenne (8 629 FCFA) légèrement inférieure à la médiane (8 690 FCFA), indiquant une asymétrie négative modérée — le skewness de -0,196 confirme cette distribution quasi symétrique avec une légère queue vers les valeurs basses. Le CV de 5,4 % et l'écart-type de 468 FCFA traduisent une dispersion modérée du cours autour de sa moyenne. Le kurtosis de -0,240 (mésokurtique) indique une distribution proche de la normale, sans risque excessif de pics extrêmes. La volatilité annualisée de 34,1 % classe le titre dans la catégorie des valeurs à volatilité élevée (&gt;30 %),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(8 270,75 FCFA) et la MM50 (8 759,40 FCFA) se situent toutes deux au-dessus du cours actuel (7 800 FCFA), avec une MM20 inférieure à la MM50 — configuration baissière caractéristique. Le cours évoluant sous ses deux moyennes, la décision technique est logiquement à la vente, confirmant la pression baissière de court et moyen terme.</w:t>
      </w:r>
    </w:p>
    <w:p>
      <w:pPr>
        <w:spacing w:after="120" w:line="276" w:lineRule="auto"/>
      </w:pPr>
      <w:r>
        <w:t>**Bandes de Bollinger** : Le cours (7 800 FCFA) se situe juste sous la borne inférieure (7 805,82 FCFA), ce qui constitue un signal d'achat technique classique (survente). La largeur des bandes (supérieure à 8 735 FCFA, inférieure à 7 805 FCFA) reflète une volatilité significative, et la position du cours en limite basse suggère un potentiel de rebond technique à court terme.</w:t>
      </w:r>
    </w:p>
    <w:p>
      <w:pPr>
        <w:spacing w:after="120" w:line="276" w:lineRule="auto"/>
      </w:pPr>
      <w:r>
        <w:t>**MACD** : La valeur du MACD (-204,625) est inférieure à son signal (-187,335), avec un histogramme négatif — configuration baissière confirmée. Le momentum reste négatif, et la divergence entre les deux lignes ne montre pas encore de croisement haussier, justifiant la décision de vente à court terme.</w:t>
      </w:r>
    </w:p>
    <w:p>
      <w:pPr>
        <w:spacing w:after="120" w:line="276" w:lineRule="auto"/>
      </w:pPr>
      <w:r>
        <w:t>**RSI** : À 29,225, le RSI se situe en zone de survente (&lt;30), ce qui constitue un signal d'achat technique. Cette lecture suggère que la pression vendeuse pourrait s'essouffler et qu'un rebond technique est envisageable à brève échéance, bien que la tendance de fond reste baissière.</w:t>
      </w:r>
    </w:p>
    <w:p>
      <w:pPr>
        <w:spacing w:after="120" w:line="276" w:lineRule="auto"/>
      </w:pPr>
      <w:r>
        <w:t>**Stochastique** : Le %K (8,0) est très bas et inférieur au %D (26,637), avec un croisement en zone de survente — signal d'achat potentiel. Le %K proche de zéro indique une forte pression baissière récente, mais la configuration en survente extrême ouvre la voie à un retournement technique.</w:t>
      </w:r>
    </w:p>
    <w:p>
      <w:pPr>
        <w:spacing w:after="120" w:line="276" w:lineRule="auto"/>
      </w:pPr>
      <w:r>
        <w:t>**Conclusion technique** : Les indicateurs présentent une divergence notable : les moyennes mobiles et le MACD confirment une tendance baissière de fond, tandis que le RSI, le stochastique et les bandes de Bollinger signalent une survente extrême propice à un rebond technique. Cette configuration contradictoire suggère une phase de consolidation possible à court terme, avec un risque de poursuite de la baisse si les supports ne tiennent pas, mais un potentiel de rebond tactique pour les investisseurs opportunistes.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 réalisé un chiffre d'affaires de 197,63 milliards FCFA, en croissance de +14,78 % par rapport à 2024 (172,2 milliards FCFA), portée par la hausse des prix de l'huile de palme et de palmiste. Le résultat net s'établit à 15,51 milliards FCFA, en léger repli de -2,2 % par rapport à 2024 (15,9 milliards FCFA), avec une marge nette de 7,85 % et un ROE de 10,87 % — inférieur au seuil d'excellence de 15 % mais correct dans un secteur agro-industriel cyclique. Le ROA de 7,79 % et la rotation des actifs de 99,25 % témoignent d'une efficacité opérationnelle modérée. La structure financière est très solide : autonomie financière de 71,64 %, ratio d'endettement de seulement 0,56 %, et liquidité générale de 171,95 % — bien au-dessus du seuil de 1. Le BFR de 44,62 milliards FCFA et le délai client élevé de 142,58 jours constituent toutefois un point de vigilance pour la trésorerie, bien que la trésorerie nette négative (-4,56 milliards FCFA) reste contenue. Les rapports trimestriels récents (T1 2026, S1 2026) révèlent une dégradation marquée : au S1 2026 (publié le 7 octobre 2026), le CA chute de -15 % à 114,7 milliards FCFA et le résultat net de -41 % à 13,53 milliards FCFA, avec une marge nette de 11,8 % (contre 17,0 % au S1 2025). Le T1 2026 (rapport du 30 avril 2026) avait déjà montré un effondrement du résultat net de -86 % à 1,6 milliard FCFA. Le management attribue cette contre-performance à un décalage temporel des ventes (stocks de produits finis en cours d'écoulement) et anticipe un résultat net annuel 2026 positif, proche de celui de 2025. La politique de dividende, avec un DPA de 502 FCFA en 2025 (payout de 50,2 %), offre un rendement attractif de 6,4 % au cours actuel de 7 800 FCFA. En synthèse, PALC présente une solidité financière indéniable et une valorisation attractive, mais fait face à une dégradation conjoncturelle de sa rentabilité au premier semestre 2026, dont la réversibilité reste à confirmer.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clairement sous-évaluée : PER de 7,8x (sous la moyenne BRVM), P/B de 0,85x (sous la valeur comptable) et EV/EBITDA de 3,8x (très bon marché) offrent une marge de sécurité significative. Le comportement du cours sur 100 jours est baissier, avec une volatilité élevée (34,1 %) et une distribution quasi symétrique (skewness -0,196, kurtosis -0,240), le titre évoluant près de ses plus bas — ce qui, combiné à la survente technique (RSI 29,2, stochastique 8,0, cours sous la borne inférieure de Bollinger), suggère un potentiel de rebond tactique. Les signaux techniques sont divergents : baissiers pour les MM et le MACD, haussiers pour le RSI, le stochastique et les Bollinger, ce qui plaide pour une phase de consolidation avant un éventuel retournement. Les fondamentaux sont contrastés : solidité financière remarquable (autonomie 71,6 %, endettement 0,56 %) et dividende attractif (6,4 %), mais dégradation marquée de la rentabilité au S1 2026 (-41 % de résultat net), dont la nature conjoncturelle reste à démontrer. Les prédictions IA (J+1 à J+10) anticipent une poursuite de la baisse jusqu'à 7 659 FCFA, ce qui contredit les signaux de survente technique et suggère que la pression baissière pourrait persister à court terme. **Recommandation finale : CONSERVER**, avec un biais positif pour les investisseurs value à long terme. La convergence entre valorisation attractive, solidité financière et dividende généreux justifie une position conservée, mais la dégradation des résultats et la trajectoire baissière prédite incitent à la prudence à court terme. Le niveau de confiance est **Moyen** (divergence technique et fondamentaux mitigés), le risque global est **Moyen à Élevé** (volatilité 34,1 %, dégradation bénéficiaire), et l'horizon optimal est **moyen à long terme (6-18 mois)**, en attendant la confirmation de la reprise des volumes et de l'écoulement des stocks au second semestre 2026. Un passage à l'ACHAT serait justifié si le titre se stabilise au-dessus de 7 800 FCFA avec confirmation d'un rebond des volumes et d'une amélioration des marges au T3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simple attestation d'examen limit\u00e9 sans aucune donn\u00e9e financi\u00e8re chiffr\u00e9e, ne permettant pas d'\u00e9valuer la performance ou la valorisation de PALMCI. En l'absence d'informations quantitatives, aucune d\u00e9cision d'achat ou de vente ne peut \u00eatre justifi\u00e9e."}</w:t>
      </w:r>
    </w:p>
    <w:p>
      <w:pPr>
        <w:spacing w:before="40"/>
        <w:ind w:left="400"/>
      </w:pPr>
      <w:r>
        <w:rPr>
          <w:sz w:val="18"/>
        </w:rPr>
        <w:t>Le document est une attestation des commissaires aux comptes (Forvis Mazars et Eritedge Côte d'Ivoire) portant sur le tableau d'activités et de résultat ainsi que le rapport d'activité semestriel de PALMCI, S.A. pour la période du 1er janvier au 30 juin 2026. Les auditeurs ont réalisé un examen limité selon la norme ISRE 2410, et non un audit complet. Sur la base de cet examen limité, ils n'ont pas relevé de faits remettant en cause la conformité des documents aux articles 850 et 851 de l'Acte Uniforme OHADA et à la Circulaire n° 004-2010 de l'AMF-UMOA. L'attestation a été signée à Abidjan le 07 octobre 2026. Le document ne contient aucune donnée financière chiffrée (chiffre d'affaires, résu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 tableau d'activités et de résultat semestriel de PALMCI, S.A.</w:t>
      </w:r>
    </w:p>
    <w:p>
      <w:pPr>
        <w:pStyle w:val="ListBullet"/>
        <w:spacing w:before="20" w:after="20"/>
        <w:ind w:left="700"/>
      </w:pPr>
      <w:r>
        <w:rPr>
          <w:sz w:val="18"/>
        </w:rPr>
        <w:t>Période couverte : 1er janvier au 30 juin 2026 (arrêté semestriel au 30 juin 2026)</w:t>
      </w:r>
    </w:p>
    <w:p>
      <w:pPr>
        <w:pStyle w:val="ListBullet"/>
        <w:spacing w:before="20" w:after="20"/>
        <w:ind w:left="700"/>
      </w:pPr>
      <w:r>
        <w:rPr>
          <w:sz w:val="18"/>
        </w:rPr>
        <w:t>Examen limité effectué selon la norme ISRE 2410, offrant une assurance modérée et non une opinion d'audit</w:t>
      </w:r>
    </w:p>
    <w:p>
      <w:pPr>
        <w:pStyle w:val="ListBullet"/>
        <w:spacing w:before="20" w:after="20"/>
        <w:ind w:left="700"/>
      </w:pPr>
      <w:r>
        <w:rPr>
          <w:sz w:val="18"/>
        </w:rPr>
        <w:t>Conclusion sans réserve : aucun fait remettant en cause la conformité des documents n'a été relevé</w:t>
      </w:r>
    </w:p>
    <w:p>
      <w:pPr>
        <w:pStyle w:val="ListBullet"/>
        <w:spacing w:before="20" w:after="20"/>
        <w:ind w:left="700"/>
      </w:pPr>
      <w:r>
        <w:rPr>
          <w:sz w:val="18"/>
        </w:rPr>
        <w:t>Référentiel appliqué : articles 850 et 851 de l'Acte Uniforme OHADA et Circulaire n° 004-2010 de l'AMF-UMOA</w:t>
      </w:r>
    </w:p>
    <w:p>
      <w:pPr>
        <w:pStyle w:val="ListBullet"/>
        <w:spacing w:before="20" w:after="20"/>
        <w:ind w:left="700"/>
      </w:pPr>
      <w:r>
        <w:rPr>
          <w:sz w:val="18"/>
        </w:rPr>
        <w:t>Commissaires aux comptes : Forvis Mazars, S.A. et Eritedge Côte d'Ivoire</w:t>
      </w:r>
    </w:p>
    <w:p>
      <w:pPr>
        <w:spacing w:before="40"/>
        <w:ind w:left="400"/>
      </w:pPr>
      <w:r>
        <w:rPr>
          <w:b/>
          <w:color w:val="C05000"/>
          <w:sz w:val="18"/>
        </w:rPr>
        <w:t xml:space="preserve">⚠️ Risques : </w:t>
      </w:r>
      <w:r>
        <w:rPr>
          <w:sz w:val="18"/>
        </w:rPr>
        <w:t>["Absence de donn\u00e9es financi\u00e8res chiffr\u00e9es dans le document, emp\u00eachant toute \u00e9valuation quantitative des risques", "Assurance mod\u00e9r\u00e9e li\u00e9e \u00e0 un examen limit\u00e9 (ISRE 2410) et non \u00e0 un audit complet, pouvant ne pas d\u00e9tecter toutes les anomalie</w:t>
      </w:r>
    </w:p>
    <w:p>
      <w:pPr>
        <w:spacing w:before="40"/>
        <w:ind w:left="400"/>
      </w:pPr>
      <w:r>
        <w:rPr>
          <w:b/>
          <w:color w:val="0064A0"/>
          <w:sz w:val="18"/>
        </w:rPr>
        <w:t xml:space="preserve">🔮 Perspectives : </w:t>
      </w:r>
      <w:r>
        <w:rPr>
          <w:sz w:val="18"/>
        </w:rPr>
        <w:t>Le document ne fournit aucune projection ni donnée financière permettant d'établir un outlook chiffré pour l'exercice suivant. La conclusion sans réserve des commissaires aux comptes suggère une présentation conforme des comptes semestriels, mais l'analyse des perspectives réelles nécessiterait la c</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reste rentable avec une marge nette de 11,8 % et pr\u00e9voit un r\u00e9sultat net positif sur l'ensemble de 2026, mais la forte baisse des volumes vendus et des r\u00e9sultats au S1 2026 invite \u00e0 la prudence. Le titre pr\u00e9sente un profil d\u00e9fensif \u00e0 conserver en attendant la confirmation de la reprise de l'\u00e9coulement des stocks."}</w:t>
      </w:r>
    </w:p>
    <w:p>
      <w:pPr>
        <w:spacing w:before="40"/>
        <w:ind w:left="400"/>
      </w:pPr>
      <w:r>
        <w:rPr>
          <w:sz w:val="18"/>
        </w:rPr>
        <w:t>PALM CI a enregistré au premier semestre 2026 un chiffre d'affaires de 114 725 millions de F CFA, en baisse de 15 % par rapport au premier semestre 2025, en raison de quantités vendues plus faibles d'huiles brutes de palme et de palmiste sur le marché local. Le résultat d'exploitation s'établit à 17 622 millions de F CFA, en recul de 41 %, et le résultat net à 13 527 millions de F CFA, également en baisse de 41 %. La société dispose encore d'un stock de produits finis dont l'écoulement, entamé en avril 2026, se poursuivra jusqu'à la fin de l'année. Malgré cette contraction, la direction prévoit un résultat net positif pour l'exercice 2026, dans la même tendance que celui de 2025. La rentabil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'20,4 milliards de F CFA', 'resultat_financier': '673 574 milliers de F CFA (S1 2026)', 'resultat_exploitation': '17 621 502 milliers de F CFA (S1 2026)', 'impots_sur_le_resultat': '-4 777 607 milliers de F CFA (S1 2026)', 'resultat_net_annuel_2025': '15 508 655 milliers de F CFA', 'chiffre_affaires_annuel_2025': '197 629 996 milliers de F CFA', 'resultat_activites_ordinaires': '18 295 076 milliers de F CFA (S1 2026)'}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11,8 %</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13 526 883 milliers de F CFA (S1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114 725 471 milliers de F CFA (S1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du S1 2026 de 114 725 millions de F CFA, en baisse de 15 % sur un an</w:t>
      </w:r>
    </w:p>
    <w:p>
      <w:pPr>
        <w:pStyle w:val="ListBullet"/>
        <w:spacing w:before="20" w:after="20"/>
        <w:ind w:left="700"/>
      </w:pPr>
      <w:r>
        <w:rPr>
          <w:sz w:val="18"/>
        </w:rPr>
        <w:t>Résultat net de 13 527 millions de F CFA, en recul de 41 % par rapport au S1 2025</w:t>
      </w:r>
    </w:p>
    <w:p>
      <w:pPr>
        <w:pStyle w:val="ListBullet"/>
        <w:spacing w:before="20" w:after="20"/>
        <w:ind w:left="700"/>
      </w:pPr>
      <w:r>
        <w:rPr>
          <w:sz w:val="18"/>
        </w:rPr>
        <w:t>Résultat d'exploitation de 17 622 millions de F CFA, en baisse de 41 %</w:t>
      </w:r>
    </w:p>
    <w:p>
      <w:pPr>
        <w:pStyle w:val="ListBullet"/>
        <w:spacing w:before="20" w:after="20"/>
        <w:ind w:left="700"/>
      </w:pPr>
      <w:r>
        <w:rPr>
          <w:sz w:val="18"/>
        </w:rPr>
        <w:t>Résultat financier de 674 millions de F CFA, en recul de 47 %</w:t>
      </w:r>
    </w:p>
    <w:p>
      <w:pPr>
        <w:pStyle w:val="ListBullet"/>
        <w:spacing w:before="20" w:after="20"/>
        <w:ind w:left="700"/>
      </w:pPr>
      <w:r>
        <w:rPr>
          <w:sz w:val="18"/>
        </w:rPr>
        <w:t>Baisse des volumes vendus d'huiles brutes de palme et de palmiste sur le marché local</w:t>
      </w:r>
    </w:p>
    <w:p>
      <w:pPr>
        <w:pStyle w:val="ListBullet"/>
        <w:spacing w:before="20" w:after="20"/>
        <w:ind w:left="700"/>
      </w:pPr>
      <w:r>
        <w:rPr>
          <w:sz w:val="18"/>
        </w:rPr>
        <w:t>Stock de produits finis en cours d'écoulement depuis avril 2026 jusqu'à fin 2026</w:t>
      </w:r>
    </w:p>
    <w:p>
      <w:pPr>
        <w:spacing w:before="40"/>
        <w:ind w:left="400"/>
      </w:pPr>
      <w:r>
        <w:rPr>
          <w:b/>
          <w:color w:val="C05000"/>
          <w:sz w:val="18"/>
        </w:rPr>
        <w:t xml:space="preserve">⚠️ Risques : </w:t>
      </w:r>
      <w:r>
        <w:rPr>
          <w:sz w:val="18"/>
        </w:rPr>
        <w:t xml:space="preserve">["Poursuite de la baisse des volumes vendus d'huiles brutes de palme et de palmiste sur le march\u00e9 local", "Volatilit\u00e9 des prix internationaux des huiles de palme et de palmiste affectant les marges", "Risque d'\u00e9coulement plus lent que pr\u00e9vu du stock de produits finis, pesant sur </w:t>
      </w:r>
    </w:p>
    <w:p>
      <w:pPr>
        <w:spacing w:before="40"/>
        <w:ind w:left="400"/>
      </w:pPr>
      <w:r>
        <w:rPr>
          <w:b/>
          <w:color w:val="0064A0"/>
          <w:sz w:val="18"/>
        </w:rPr>
        <w:t xml:space="preserve">🔮 Perspectives : </w:t>
      </w:r>
      <w:r>
        <w:rPr>
          <w:sz w:val="18"/>
        </w:rPr>
        <w:t>PALM CI devrait clôturer l'exercice 2026 avec un résultat net positif, dans la même tendance que celui de 2025, porté par l'écoulement progressif du stock de produits finis entamé en avril 2026. La production des régimes issus des plantations industrielles et les achats auprès des planteurs villageo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1,109 titres</w:t>
            </w:r>
          </w:p>
        </w:tc>
        <w:tc>
          <w:tcPr>
            <w:tcW w:type="dxa" w:w="2268"/>
            <w:shd w:fill="FFF2CC" w:val="clear"/>
          </w:tcPr>
          <w:p>
            <w:r>
              <w:rPr>
                <w:b/>
                <w:color w:val="503200"/>
                <w:sz w:val="16"/>
              </w:rPr>
              <w:t xml:space="preserve">Cours actuel : </w:t>
            </w:r>
            <w:r>
              <w:rPr>
                <w:color w:val="000000"/>
                <w:sz w:val="17"/>
              </w:rPr>
              <w:t>4,150 FCFA</w:t>
            </w:r>
          </w:p>
          <w:p>
            <w:r>
              <w:rPr>
                <w:b/>
                <w:color w:val="503200"/>
                <w:sz w:val="16"/>
              </w:rPr>
              <w:t xml:space="preserve">Var. 100 jours : </w:t>
            </w:r>
            <w:r>
              <w:rPr>
                <w:b/>
                <w:color w:val="007800"/>
                <w:sz w:val="17"/>
              </w:rPr>
              <w:t>+14.64%</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5.04% (Moyenne) — μ=4,370 FCFA, σ=220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β=-0.1475 (Contre-cyclique) — Cov=-0.000011, Var(idx)=0.000074, ρ=-0.050,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4,018</w:t>
            </w:r>
          </w:p>
        </w:tc>
        <w:tc>
          <w:tcPr>
            <w:tcW w:type="dxa" w:w="1440"/>
            <w:shd w:fill="FAFAFA" w:val="clear"/>
          </w:tcPr>
          <w:p>
            <w:r>
              <w:rPr>
                <w:b/>
                <w:sz w:val="17"/>
              </w:rPr>
              <w:t>4,218</w:t>
            </w:r>
          </w:p>
        </w:tc>
        <w:tc>
          <w:tcPr>
            <w:tcW w:type="dxa" w:w="1440"/>
            <w:shd w:fill="FAFAFA" w:val="clear"/>
          </w:tcPr>
          <w:p>
            <w:r>
              <w:rPr>
                <w:sz w:val="17"/>
              </w:rPr>
              <w:t>4,419</w:t>
            </w:r>
          </w:p>
        </w:tc>
        <w:tc>
          <w:tcPr>
            <w:tcW w:type="dxa" w:w="1440"/>
            <w:shd w:fill="FAFAFA" w:val="clear"/>
          </w:tcPr>
          <w:p>
            <w:r>
              <w:rPr>
                <w:b/>
                <w:color w:val="008000"/>
                <w:sz w:val="17"/>
              </w:rPr>
              <w:t>+1.6%</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3,914</w:t>
            </w:r>
          </w:p>
        </w:tc>
        <w:tc>
          <w:tcPr>
            <w:tcW w:type="dxa" w:w="1440"/>
            <w:shd w:fill="FAFAFA" w:val="clear"/>
          </w:tcPr>
          <w:p>
            <w:r>
              <w:rPr>
                <w:b/>
                <w:sz w:val="17"/>
              </w:rPr>
              <w:t>4,196</w:t>
            </w:r>
          </w:p>
        </w:tc>
        <w:tc>
          <w:tcPr>
            <w:tcW w:type="dxa" w:w="1440"/>
            <w:shd w:fill="FAFAFA" w:val="clear"/>
          </w:tcPr>
          <w:p>
            <w:r>
              <w:rPr>
                <w:sz w:val="17"/>
              </w:rPr>
              <w:t>4,477</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3,845</w:t>
            </w:r>
          </w:p>
        </w:tc>
        <w:tc>
          <w:tcPr>
            <w:tcW w:type="dxa" w:w="1440"/>
            <w:shd w:fill="FAFAFA" w:val="clear"/>
          </w:tcPr>
          <w:p>
            <w:r>
              <w:rPr>
                <w:b/>
                <w:sz w:val="17"/>
              </w:rPr>
              <w:t>4,189</w:t>
            </w:r>
          </w:p>
        </w:tc>
        <w:tc>
          <w:tcPr>
            <w:tcW w:type="dxa" w:w="1440"/>
            <w:shd w:fill="FAFAFA" w:val="clear"/>
          </w:tcPr>
          <w:p>
            <w:r>
              <w:rPr>
                <w:sz w:val="17"/>
              </w:rPr>
              <w:t>4,534</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3,789</w:t>
            </w:r>
          </w:p>
        </w:tc>
        <w:tc>
          <w:tcPr>
            <w:tcW w:type="dxa" w:w="1440"/>
            <w:shd w:fill="FAFAFA" w:val="clear"/>
          </w:tcPr>
          <w:p>
            <w:r>
              <w:rPr>
                <w:b/>
                <w:sz w:val="17"/>
              </w:rPr>
              <w:t>4,186</w:t>
            </w:r>
          </w:p>
        </w:tc>
        <w:tc>
          <w:tcPr>
            <w:tcW w:type="dxa" w:w="1440"/>
            <w:shd w:fill="FAFAFA" w:val="clear"/>
          </w:tcPr>
          <w:p>
            <w:r>
              <w:rPr>
                <w:sz w:val="17"/>
              </w:rPr>
              <w:t>4,583</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3,739</w:t>
            </w:r>
          </w:p>
        </w:tc>
        <w:tc>
          <w:tcPr>
            <w:tcW w:type="dxa" w:w="1440"/>
            <w:shd w:fill="FAFAFA" w:val="clear"/>
          </w:tcPr>
          <w:p>
            <w:r>
              <w:rPr>
                <w:b/>
                <w:sz w:val="17"/>
              </w:rPr>
              <w:t>4,183</w:t>
            </w:r>
          </w:p>
        </w:tc>
        <w:tc>
          <w:tcPr>
            <w:tcW w:type="dxa" w:w="1440"/>
            <w:shd w:fill="FAFAFA" w:val="clear"/>
          </w:tcPr>
          <w:p>
            <w:r>
              <w:rPr>
                <w:sz w:val="17"/>
              </w:rPr>
              <w:t>4,626</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3,693</w:t>
            </w:r>
          </w:p>
        </w:tc>
        <w:tc>
          <w:tcPr>
            <w:tcW w:type="dxa" w:w="1440"/>
            <w:shd w:fill="FAFAFA" w:val="clear"/>
          </w:tcPr>
          <w:p>
            <w:r>
              <w:rPr>
                <w:b/>
                <w:sz w:val="17"/>
              </w:rPr>
              <w:t>4,179</w:t>
            </w:r>
          </w:p>
        </w:tc>
        <w:tc>
          <w:tcPr>
            <w:tcW w:type="dxa" w:w="1440"/>
            <w:shd w:fill="FAFAFA" w:val="clear"/>
          </w:tcPr>
          <w:p>
            <w:r>
              <w:rPr>
                <w:sz w:val="17"/>
              </w:rPr>
              <w:t>4,664</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3,651</w:t>
            </w:r>
          </w:p>
        </w:tc>
        <w:tc>
          <w:tcPr>
            <w:tcW w:type="dxa" w:w="1440"/>
            <w:shd w:fill="FAFAFA" w:val="clear"/>
          </w:tcPr>
          <w:p>
            <w:r>
              <w:rPr>
                <w:b/>
                <w:sz w:val="17"/>
              </w:rPr>
              <w:t>4,175</w:t>
            </w:r>
          </w:p>
        </w:tc>
        <w:tc>
          <w:tcPr>
            <w:tcW w:type="dxa" w:w="1440"/>
            <w:shd w:fill="FAFAFA" w:val="clear"/>
          </w:tcPr>
          <w:p>
            <w:r>
              <w:rPr>
                <w:sz w:val="17"/>
              </w:rPr>
              <w:t>4,699</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3,612</w:t>
            </w:r>
          </w:p>
        </w:tc>
        <w:tc>
          <w:tcPr>
            <w:tcW w:type="dxa" w:w="1440"/>
            <w:shd w:fill="FAFAFA" w:val="clear"/>
          </w:tcPr>
          <w:p>
            <w:r>
              <w:rPr>
                <w:b/>
                <w:sz w:val="17"/>
              </w:rPr>
              <w:t>4,171</w:t>
            </w:r>
          </w:p>
        </w:tc>
        <w:tc>
          <w:tcPr>
            <w:tcW w:type="dxa" w:w="1440"/>
            <w:shd w:fill="FAFAFA" w:val="clear"/>
          </w:tcPr>
          <w:p>
            <w:r>
              <w:rPr>
                <w:sz w:val="17"/>
              </w:rPr>
              <w:t>4,731</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3,574</w:t>
            </w:r>
          </w:p>
        </w:tc>
        <w:tc>
          <w:tcPr>
            <w:tcW w:type="dxa" w:w="1440"/>
            <w:shd w:fill="FAFAFA" w:val="clear"/>
          </w:tcPr>
          <w:p>
            <w:r>
              <w:rPr>
                <w:b/>
                <w:sz w:val="17"/>
              </w:rPr>
              <w:t>4,167</w:t>
            </w:r>
          </w:p>
        </w:tc>
        <w:tc>
          <w:tcPr>
            <w:tcW w:type="dxa" w:w="1440"/>
            <w:shd w:fill="FAFAFA" w:val="clear"/>
          </w:tcPr>
          <w:p>
            <w:r>
              <w:rPr>
                <w:sz w:val="17"/>
              </w:rPr>
              <w:t>4,760</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3,539</w:t>
            </w:r>
          </w:p>
        </w:tc>
        <w:tc>
          <w:tcPr>
            <w:tcW w:type="dxa" w:w="1440"/>
            <w:shd w:fill="FAFAFA" w:val="clear"/>
          </w:tcPr>
          <w:p>
            <w:r>
              <w:rPr>
                <w:b/>
                <w:sz w:val="17"/>
              </w:rPr>
              <w:t>4,164</w:t>
            </w:r>
          </w:p>
        </w:tc>
        <w:tc>
          <w:tcPr>
            <w:tcW w:type="dxa" w:w="1440"/>
            <w:shd w:fill="FAFAFA" w:val="clear"/>
          </w:tcPr>
          <w:p>
            <w:r>
              <w:rPr>
                <w:sz w:val="17"/>
              </w:rPr>
              <w:t>4,788</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42,50 milliards FCFA, PRSC se positionne comme une valeur de moyenne capitalisation sur le marché BRVM, représentant un poids modéré dans l'indice composite. Le BPA de 231 FCFA/action signifie que chaque titre génère près de 231 FCFA de bénéfice net, ce qui, rapporté au cours actuel de 4 150 FCFA, donne un PER de 18,0x — nettement supérieur à la moyenne du marché BRVM (8-12x), traduisant une prime de valorisation significative que les investisseurs accordent à cette valeur. Le P/B de 3,69x confirme cette tendance : le marché valorise l'entreprise à près de 3,7 fois sa valeur comptable (capitaux propres de 11,531 Mds FCFA), ce qui place le titre dans la fourchette 2-4x caractéristique des sociétés à potentiel de croissance. L'EV/EBITDA de 9,3x, dans la fourchette raisonnable de 5-10x, indique que la valeur d'entreprise (incluant la dette) reste cohérente avec la capacité opérationnelle de génération de cash-flow, bien que légèrement élevée. Globalement, ces ratios suggèrent une valorisation tendue mais justifiée par les perspectives de croissance, avec un PER de 18x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affiche une progression totale de +14,64%, mais la dernière séance (J-1) a enregistré un repli marqué de -4,16%, signalant une prise de bénéfices ou une correction après le rallye haussier. Le cours actuel de 4 150 FCFA se situe dans la partie médiane du range de trading, entre le plus bas de 3 620 FCFA et le plus haut de 4 740 FCFA, ce qui représente une amplitude de 31% — traduisant une tendance générale haussière mais avec une volatilité intra-période significative. Les statistiques descriptives révèlent une moyenne de 4 370 FCFA légèrement supérieure à la médiane de 4 402 FCFA, avec un mode à 4 400 FCFA, indiquant une distribution quasi-symétrique mais avec une légère asymétrie négative (skewness de -1,192), signifiant que les journées de baisse ont été plus fréquentes mais moins amples que les journées de hausse. L'écart-type de 221 FCFA (CV de 5,1%) témoigne d'une dispersion modérée du cours autour de sa moyenne, tandis que le kurtosis excédentaire de 1,626 (leptokurtique) signale des queues épaisses — c'est-à-dire un risque de pics de volatilité brutaux, confirmé par la chute de -4,16% en une seule séance. La volatilité annualisée de 40,3% classe le titre dans la catégorie des valeurs à volatilité élevée (&gt;30%), ce qui implique un risque significatif pour les investisseurs à court terme, mais aussi des opportunités de trading pour les profils aguerris.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4 212,75 FCFA et la MM50 à 4 356,5 FCFA, toutes deux supérieures au cours actuel de 4 150 FCFA. Cette configuration — cours sous les deux moyennes — est baissière à court et moyen terme, justifiant la décision de vente émise par le système. Le croisement potentiel de la MM20 sous la MM50 (death cross) renforcerait ce signal négatif si la pression vendeuse persiste.</w:t>
      </w:r>
    </w:p>
    <w:p>
      <w:pPr>
        <w:spacing w:after="120" w:line="276" w:lineRule="auto"/>
      </w:pPr>
      <w:r>
        <w:t>**Bandes de Bollinger** : Le cours actuel (4 150 FCFA) se situe dans la partie inférieure de la bande, entre la borne inférieure (3 844,93 FCFA) et la borne supérieure (4 580,57 FCFA), mais reste au-dessus de la borne basse. La largeur des bandes (735,63 FCFA) reflète une volatilité modérée, et la position du cours à 41,5% de la bande (proche du milieu) justifie la décision neutre. Un franchissement de la borne inférieure signalerait une accélération baissière, tandis qu'un retour vers la borne supérieure confirmerait la reprise haussière.</w:t>
      </w:r>
    </w:p>
    <w:p>
      <w:pPr>
        <w:spacing w:after="120" w:line="276" w:lineRule="auto"/>
      </w:pPr>
      <w:r>
        <w:t>**MACD** : La valeur du MACD (-65,791) est supérieure à son signal (-84,121), générant un croisement haussier (MACD au-dessus du signal) qui justifie la décision d'achat. Cependant, les deux lignes restent en territoire négatif, indiquant que le momentum baissier n'est pas encore totalement inversé. Ce signal d'achat est donc précoce et nécessite une confirmation par une remontée du MACD au-dessus de zéro.</w:t>
      </w:r>
    </w:p>
    <w:p>
      <w:pPr>
        <w:spacing w:after="120" w:line="276" w:lineRule="auto"/>
      </w:pPr>
      <w:r>
        <w:t>**RSI** : À 45,609, le RSI se situe dans la zone neutre (30-70), sans signal de surachat ni de survente. Cette position médiane indique un équilibre entre acheteurs et vendeurs, sans pression directionnelle claire. Le RSI ne fournit donc pas de signal fort, ce qui est cohérent avec la décision neutre.</w:t>
      </w:r>
    </w:p>
    <w:p>
      <w:pPr>
        <w:spacing w:after="120" w:line="276" w:lineRule="auto"/>
      </w:pPr>
      <w:r>
        <w:t>**Stochastique** : Le %K (61,224) est inférieur au %D (78,987), ce qui constitue un signal baissier (croisement %K sous %D) bien que les deux indicateurs restent en territoire neutre-haut. Cette configuration suggère un essoufflement de la dynamique haussière à court terme, mais sans signal de vente agressif. La décision neutre reflète cette ambiguïté.</w:t>
      </w:r>
    </w:p>
    <w:p>
      <w:pPr>
        <w:spacing w:after="120" w:line="276" w:lineRule="auto"/>
      </w:pPr>
      <w:r>
        <w:t>**Conclusion technique** : Les indicateurs techniques présentent des signaux divergents — le MACD génère un signal d'achat précoce, tandis que les moyennes mobiles et le stochastique sont baissiers, et le RSI/Bollinger sont neutres. Cette divergence indique une phase de consolidation incertaine, avec un risque de poursuite de la correction à court terme (cours sous MM20 et MM50) mais un potentiel de rebond technique (MACD haussier). La prudence est de mise, et une confirmation par une clôture au-dessus de la MM20 (4 212 FCFA) serait nécessaire pour valider un retour haussier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Tractafric Motors Côte d'Ivoire (PRSC) a réalisé un chiffre d'affaires de 81,127 milliards FCFA, en croissance de 8,64% par rapport à 2024 (74,45 milliards FCFA selon le rapport Mistral du 30/03/2026). Le résultat net s'établit à 2,367 milliards FCFA, en légère hausse par rapport aux 2,177 milliards de 2024, avec une marge nette de 2,92% — faible mais en amélioration. Le ROE atteint 20,53%, un niveau excellent (&gt;15%), témoignant d'une bonne rentabilité des fonds propres (11,531 milliards FCFA), tandis que le ROA de 4,95% reste modeste en raison de la rotation élevée des actifs (169,59%). La structure financière présente des signaux contrastés : l'autonomie financière de 24,10% est inférieure au seuil sain de 30%, et le ratio d'endettement de 314,86% (dettes totales/capitaux propres) est élevé, bien que la solvabilité générale (131,76%) reste satisfaisante. Le BFR de 11,267 milliards FCFA est positif (défavorable pour une entreprise), avec des délais clients de 45,99 jours (risque de trésorerie modéré) et des délais fournisseurs de 102,65 jours (favorable à la trésorerie). La trésorerie nette est négative à -4,092 milliards FCFA, et le flux opérationnel de -1,855 milliards FCFA est préoccupant, bien que la CAF de 3,913 milliards FCFA reste solide.</w:t>
      </w:r>
    </w:p>
    <w:p>
      <w:pPr>
        <w:spacing w:after="120" w:line="276" w:lineRule="auto"/>
      </w:pPr>
      <w:r>
        <w:t>**Estimations basées sur les rapports trimestriels** : Le rapport d'activité du S1 2025 (analysé manuellement le 15/03/2026) révèle un CA de 39,968 milliards FCFA au premier semestre 2025, en hausse de 15,1% sur un an, avec un résultat net de 1,436 milliard FCFA (×28 par rapport au S1 2024). Cette performance semestrielle exceptionnelle, portée par les ventes de véhicules (+15,8% en volume) et les pneumatiques Michelin (+62,6%), suggère que l'exercice 2025 devrait afficher une croissance robuste, bien que le S2 soit attendu en ralentissement en raison du contexte électoral ivoirien. Sur la base de ces tendances, on estime que le résultat net annuel 2025 pourrait dépasser les 2,367 milliards FCFA publiés, avec une marge nette proche de 3,5% — confirmant l'amélioration de la rentabilité. Le rapport de Gemini-Vision du 06/09/2026 souligne que la croissance est principalement portée par les ventes de marchandises (+10,82% à 57,96 milliards FCFA), tandis que les travaux et services reculent (2,30 milliards FCFA contre 2,71 milliards).</w:t>
      </w:r>
    </w:p>
    <w:p>
      <w:pPr>
        <w:spacing w:after="120" w:line="276" w:lineRule="auto"/>
      </w:pPr>
      <w:r>
        <w:t>**Évolution temporelle** : Sur les exercices 2022-2025, PRSC affiche une croissance moyenne du CA de +10,5% par an, mais une volatilité du résultat net (3,64 Mds en 2022, 2,04 Mds en 2023, 2,18 Mds en 2024, 2,37 Mds en 2025). La marge nette s'est contractée de 5,2% en 2022 à 2,6% en 2023, avant de se stabiliser autour de 2,9% en 2024-2025. Le rapport Mistral du 30/03/2026 note une détérioration du résultat opérationnel courant en 2024 (-47,3% à 1,86 milliard FCFA), masquée par des produits non courants de 1,9 milliard FCFA. La politique de dividende reste attractive avec un DPA de 209 FCFA proposé pour 2025 (rendement de 5,04% au cours actuel), en hausse par rapport aux 288 FCFA de 2022, mais le payout ratio reste faible (&lt;10%).</w:t>
      </w:r>
    </w:p>
    <w:p>
      <w:pPr>
        <w:spacing w:after="120" w:line="276" w:lineRule="auto"/>
      </w:pPr>
      <w:r>
        <w:t>**Recommandation fondamentale** : PRSC présente un profil de croissance résilient avec une rentabilité en amélioration (ROE de 20,53%), mais des fragilités structurelles persistent : endettement élevé, trésorerie nette négative, BFR positif et flux opérationnel négatif. La dépendance au marché automobile ivoirien et la pression concurrentielle (produits low-cost chinois) constituent des risques majeurs. La solidité du S1 2025 et le dividende attractif justifient une recommandation **CONSERVER**, avec une surveillance étroite de la trésorerie et de l'endettement au S2 2025.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(Partie 0) apparaît tendue avec un PER de 18,0x (supérieur à la moyenne BRVM de 8-12x) et un P/B de 3,69x, suggérant que le marché intègre déjà une prime de croissance significative — limitant le potentiel d'appréciation à court terme. Le comportement du cours (Partie 1) révèle une tendance haussière sur 100 jours (+14,64%) mais une correction récente (-4,16% en J-1) et une volatilité élevée (40,3%), avec un kurtosis leptokurtique (1,626) et un skewness négatif (-1,192) indiquant un risque de pics baissiers brutaux. Les signaux techniques (Partie 2) sont divergents : le MACD est haussier (achat), mais les moyennes mobiles et le stochastique sont baissiers, tandis que le RSI et les Bollinger sont neutres — cette absence de convergence plaide pour une phase de consolidation. Les fondamentaux (Partie 3) montrent une croissance solide du CA (+8,64% en 2025) et un ROE excellent (20,53%), mais des fragilités persistent (endettement de 314,86%, trésorerie nette négative de -4,092 Mds FCFA, flux opérationnel négatif). Les prédictions IA (J+1 à J+10) anticipent une légère reprise vers 4 218 FCFA (J+1) puis une stabilisation autour de 4 183-4 196 FCFA, ce qui contredit partiellement les signaux baissiers à court terme mais reste cohérent avec une consolidation.</w:t>
      </w:r>
    </w:p>
    <w:p>
      <w:pPr>
        <w:spacing w:after="120" w:line="276" w:lineRule="auto"/>
      </w:pPr>
      <w:r>
        <w:t>**Recommandation finale** : **CONSERVER**. La convergence entre une valorisation tendue, des signaux techniques mitigés, des fondamentaux résilients mais fragiles, et des prédictions IA légèrement haussières ne justifie ni un achat agressif (risque de correction) ni une vente (potentiel de dividende et de croissance). Le niveau de confiance est **Moyen** (divergence des indicateurs), et le risque global est **Élevé** (volatilité de 40,3%, endettement important). L'horizon d'investissement optimal est le **moyen terme (3-12 mois)**, en attendant une clarification de la trésorerie et une confirmation technique du retour haussier (clôture au-dessus de la MM20 à 4 212 FCFA). Les investisseurs déjà positionnés peuvent conserver pour le dividende (rendement de 5,04%), tandis que les nouveaux entrants devraient attendre un repli vers 3 900-4 000 FCFA pour améliorer leur point d'entrée.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48.73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8,031 titres</w:t>
            </w:r>
          </w:p>
        </w:tc>
        <w:tc>
          <w:tcPr>
            <w:tcW w:type="dxa" w:w="2268"/>
            <w:shd w:fill="FFF2CC" w:val="clear"/>
          </w:tcPr>
          <w:p>
            <w:r>
              <w:rPr>
                <w:b/>
                <w:color w:val="503200"/>
                <w:sz w:val="16"/>
              </w:rPr>
              <w:t xml:space="preserve">Cours actuel : </w:t>
            </w:r>
            <w:r>
              <w:rPr>
                <w:color w:val="000000"/>
                <w:sz w:val="17"/>
              </w:rPr>
              <w:t>4,105 FCFA</w:t>
            </w:r>
          </w:p>
          <w:p>
            <w:r>
              <w:rPr>
                <w:b/>
                <w:color w:val="503200"/>
                <w:sz w:val="16"/>
              </w:rPr>
              <w:t xml:space="preserve">Var. 100 jours : </w:t>
            </w:r>
            <w:r>
              <w:rPr>
                <w:b/>
                <w:color w:val="007800"/>
                <w:sz w:val="17"/>
              </w:rPr>
              <w:t>+2.62%</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32.8/100 → Moyen</w:t>
      </w:r>
    </w:p>
    <w:p>
      <w:pPr>
        <w:spacing w:before="40" w:after="80"/>
      </w:pPr>
      <w:r>
        <w:rPr>
          <w:rFonts w:ascii="Courier New" w:hAnsi="Courier New"/>
          <w:color w:val="825A00"/>
          <w:sz w:val="18"/>
        </w:rPr>
        <w:t>██████░░░░░░░░░░░░░░  32.8/100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15.26% (Élevée) — μ=4,672 FCFA, σ=713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β=1.3009 (Agressif) — Cov=0.000096, Var(idx)=0.000074, ρ=0.290,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3,767</w:t>
            </w:r>
          </w:p>
        </w:tc>
        <w:tc>
          <w:tcPr>
            <w:tcW w:type="dxa" w:w="1440"/>
            <w:shd w:fill="FAFAFA" w:val="clear"/>
          </w:tcPr>
          <w:p>
            <w:r>
              <w:rPr>
                <w:b/>
                <w:sz w:val="17"/>
              </w:rPr>
              <w:t>4,070</w:t>
            </w:r>
          </w:p>
        </w:tc>
        <w:tc>
          <w:tcPr>
            <w:tcW w:type="dxa" w:w="1440"/>
            <w:shd w:fill="FAFAFA" w:val="clear"/>
          </w:tcPr>
          <w:p>
            <w:r>
              <w:rPr>
                <w:sz w:val="17"/>
              </w:rPr>
              <w:t>4,373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3,659</w:t>
            </w:r>
          </w:p>
        </w:tc>
        <w:tc>
          <w:tcPr>
            <w:tcW w:type="dxa" w:w="1440"/>
            <w:shd w:fill="FAFAFA" w:val="clear"/>
          </w:tcPr>
          <w:p>
            <w:r>
              <w:rPr>
                <w:b/>
                <w:sz w:val="17"/>
              </w:rPr>
              <w:t>4,090</w:t>
            </w:r>
          </w:p>
        </w:tc>
        <w:tc>
          <w:tcPr>
            <w:tcW w:type="dxa" w:w="1440"/>
            <w:shd w:fill="FAFAFA" w:val="clear"/>
          </w:tcPr>
          <w:p>
            <w:r>
              <w:rPr>
                <w:sz w:val="17"/>
              </w:rPr>
              <w:t>4,521</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3,572</w:t>
            </w:r>
          </w:p>
        </w:tc>
        <w:tc>
          <w:tcPr>
            <w:tcW w:type="dxa" w:w="1440"/>
            <w:shd w:fill="FAFAFA" w:val="clear"/>
          </w:tcPr>
          <w:p>
            <w:r>
              <w:rPr>
                <w:b/>
                <w:sz w:val="17"/>
              </w:rPr>
              <w:t>4,101</w:t>
            </w:r>
          </w:p>
        </w:tc>
        <w:tc>
          <w:tcPr>
            <w:tcW w:type="dxa" w:w="1440"/>
            <w:shd w:fill="FAFAFA" w:val="clear"/>
          </w:tcPr>
          <w:p>
            <w:r>
              <w:rPr>
                <w:sz w:val="17"/>
              </w:rPr>
              <w:t>4,630</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3,496</w:t>
            </w:r>
          </w:p>
        </w:tc>
        <w:tc>
          <w:tcPr>
            <w:tcW w:type="dxa" w:w="1440"/>
            <w:shd w:fill="FAFAFA" w:val="clear"/>
          </w:tcPr>
          <w:p>
            <w:r>
              <w:rPr>
                <w:b/>
                <w:sz w:val="17"/>
              </w:rPr>
              <w:t>4,108</w:t>
            </w:r>
          </w:p>
        </w:tc>
        <w:tc>
          <w:tcPr>
            <w:tcW w:type="dxa" w:w="1440"/>
            <w:shd w:fill="FAFAFA" w:val="clear"/>
          </w:tcPr>
          <w:p>
            <w:r>
              <w:rPr>
                <w:sz w:val="17"/>
              </w:rPr>
              <w:t>4,720</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3,428</w:t>
            </w:r>
          </w:p>
        </w:tc>
        <w:tc>
          <w:tcPr>
            <w:tcW w:type="dxa" w:w="1440"/>
            <w:shd w:fill="FAFAFA" w:val="clear"/>
          </w:tcPr>
          <w:p>
            <w:r>
              <w:rPr>
                <w:b/>
                <w:sz w:val="17"/>
              </w:rPr>
              <w:t>4,114</w:t>
            </w:r>
          </w:p>
        </w:tc>
        <w:tc>
          <w:tcPr>
            <w:tcW w:type="dxa" w:w="1440"/>
            <w:shd w:fill="FAFAFA" w:val="clear"/>
          </w:tcPr>
          <w:p>
            <w:r>
              <w:rPr>
                <w:sz w:val="17"/>
              </w:rPr>
              <w:t>4,799</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3,367</w:t>
            </w:r>
          </w:p>
        </w:tc>
        <w:tc>
          <w:tcPr>
            <w:tcW w:type="dxa" w:w="1440"/>
            <w:shd w:fill="FAFAFA" w:val="clear"/>
          </w:tcPr>
          <w:p>
            <w:r>
              <w:rPr>
                <w:b/>
                <w:sz w:val="17"/>
              </w:rPr>
              <w:t>4,119</w:t>
            </w:r>
          </w:p>
        </w:tc>
        <w:tc>
          <w:tcPr>
            <w:tcW w:type="dxa" w:w="1440"/>
            <w:shd w:fill="FAFAFA" w:val="clear"/>
          </w:tcPr>
          <w:p>
            <w:r>
              <w:rPr>
                <w:sz w:val="17"/>
              </w:rPr>
              <w:t>4,870</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3,310</w:t>
            </w:r>
          </w:p>
        </w:tc>
        <w:tc>
          <w:tcPr>
            <w:tcW w:type="dxa" w:w="1440"/>
            <w:shd w:fill="FAFAFA" w:val="clear"/>
          </w:tcPr>
          <w:p>
            <w:r>
              <w:rPr>
                <w:b/>
                <w:sz w:val="17"/>
              </w:rPr>
              <w:t>4,123</w:t>
            </w:r>
          </w:p>
        </w:tc>
        <w:tc>
          <w:tcPr>
            <w:tcW w:type="dxa" w:w="1440"/>
            <w:shd w:fill="FAFAFA" w:val="clear"/>
          </w:tcPr>
          <w:p>
            <w:r>
              <w:rPr>
                <w:sz w:val="17"/>
              </w:rPr>
              <w:t>4,935</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3,257</w:t>
            </w:r>
          </w:p>
        </w:tc>
        <w:tc>
          <w:tcPr>
            <w:tcW w:type="dxa" w:w="1440"/>
            <w:shd w:fill="FAFAFA" w:val="clear"/>
          </w:tcPr>
          <w:p>
            <w:r>
              <w:rPr>
                <w:b/>
                <w:sz w:val="17"/>
              </w:rPr>
              <w:t>4,127</w:t>
            </w:r>
          </w:p>
        </w:tc>
        <w:tc>
          <w:tcPr>
            <w:tcW w:type="dxa" w:w="1440"/>
            <w:shd w:fill="FAFAFA" w:val="clear"/>
          </w:tcPr>
          <w:p>
            <w:r>
              <w:rPr>
                <w:sz w:val="17"/>
              </w:rPr>
              <w:t>4,996</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3,207</w:t>
            </w:r>
          </w:p>
        </w:tc>
        <w:tc>
          <w:tcPr>
            <w:tcW w:type="dxa" w:w="1440"/>
            <w:shd w:fill="FAFAFA" w:val="clear"/>
          </w:tcPr>
          <w:p>
            <w:r>
              <w:rPr>
                <w:b/>
                <w:sz w:val="17"/>
              </w:rPr>
              <w:t>4,130</w:t>
            </w:r>
          </w:p>
        </w:tc>
        <w:tc>
          <w:tcPr>
            <w:tcW w:type="dxa" w:w="1440"/>
            <w:shd w:fill="FAFAFA" w:val="clear"/>
          </w:tcPr>
          <w:p>
            <w:r>
              <w:rPr>
                <w:sz w:val="17"/>
              </w:rPr>
              <w:t>5,053</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3,160</w:t>
            </w:r>
          </w:p>
        </w:tc>
        <w:tc>
          <w:tcPr>
            <w:tcW w:type="dxa" w:w="1440"/>
            <w:shd w:fill="FAFAFA" w:val="clear"/>
          </w:tcPr>
          <w:p>
            <w:r>
              <w:rPr>
                <w:b/>
                <w:sz w:val="17"/>
              </w:rPr>
              <w:t>4,133</w:t>
            </w:r>
          </w:p>
        </w:tc>
        <w:tc>
          <w:tcPr>
            <w:tcW w:type="dxa" w:w="1440"/>
            <w:shd w:fill="FAFAFA" w:val="clear"/>
          </w:tcPr>
          <w:p>
            <w:r>
              <w:rPr>
                <w:sz w:val="17"/>
              </w:rPr>
              <w:t>5,107</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 spécialisé**</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48,73 Mds FCFA, SAFC se positionne comme une petite capitalisation sur le marché BRVM, ce qui la rend sensible aux mouvements de faible amplitude et moins liquide que les grandes valeurs bancaires régionales. Le BPA de 59 FCFA/action signifie que chaque titre génère près de 59 FCFA de bénéfice net, un niveau modeste qui, rapporté au cours actuel de 4 105 FCFA, aboutit à un PER de 69,5x — très largement supérieur à la moyenne BRVM (8-12x), signalant que les investisseurs paient une prime considérable pour les bénéfices actuels, probablement en anticipant la poursuite du redressement. Le P/B de 8,24x (très au-dessus du seuil de 4x) indique que le marché valorise la société à plus de huit fois sa valeur comptable, une prime exigeante qui se justifie difficilement au regard de capitaux propres encore modestes (5,9 Mds FCFA). Enfin, l'EV/EBITDA de 82,5x (très supérieur au seuil de 15x) traduit une valorisation d'entreprise totalement déconnectée de la capacité opérationnelle actuelle, ce qui confirme que le titre intègre déjà une forte anticipation de croissance future plutôt qu'une réalité financière présente.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 progressé de +2,62%, avec une dernière séance en hausse de +1,36%, portant le titre à 4 105 FCFA. Le range de trading est particulièrement large, avec un plus haut à 6 200 FCFA et un plus bas à 3 595 FCFA, soit une amplitude de plus de 72% entre les deux extrêmes — signe d'une forte nervosité du marché sur ce titre. La tendance générale apparaît baissière depuis le pic de 6 200 FCFA, le cours ayant perdu près de 34% depuis ce sommet, tout en se stabilisant au-dessus du plancher de 3 595 FCFA. Les statistiques descriptives révèlent une moyenne de 4 672 FCFA supérieure à la médiane de 4 580 FCFA, ce qui indique une légère asymétrie positive (skewness de 0,357, distribution qualifiée de symétrique), cohérente avec des pics haussiers ponctuels. L'écart-type de 716 FCFA (CV de 15,3%) traduit une dispersion modérée du cours autour de sa moyenne, tandis que le kurtosis de -0,875 (mésokurtique) suggère une distribution proche de la normale, sans risque majeur de pics extrêmes. La volatilité annualisée de 61,2% classe ce titre dans la catégorie des valeurs à volatilité élevée (&gt;30%), ce qui implique un risque de prix significatif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4 545,75 FCFA et la MM50 à 5 149,0 FCFA, toutes deux supérieures au cours actuel de 4 105 FCFA. Cette configuration — cours sous les deux moyennes — confirme une tendance baissière de court et moyen terme, justifiant la décision technique de **Vente**.</w:t>
      </w:r>
    </w:p>
    <w:p>
      <w:pPr>
        <w:spacing w:after="120" w:line="276" w:lineRule="auto"/>
      </w:pPr>
      <w:r>
        <w:t>**Bandes de Bollinger** : La borne supérieure est à 5 386,59 FCFA et la borne inférieure à 3 704,92 FCFA, avec un cours actuel de 4 105 FCFA positionné dans la moitié basse du canal. Le cours n'est ni en surachat ni en survente extrême, ce qui explique la décision **Neutre**, mais la proximité de la borne inférieure suggère une pression vendeuse persistante.</w:t>
      </w:r>
    </w:p>
    <w:p>
      <w:pPr>
        <w:spacing w:after="120" w:line="276" w:lineRule="auto"/>
      </w:pPr>
      <w:r>
        <w:t>**MACD** : La valeur du MACD (-299,06) est inférieure à son signal (-272,98), confirmant un momentum baissier toujours actif. La divergence négative entre les deux lignes justifie la décision de **Vente**, bien que l'écart se réduise légèrement, ce qui pourrait annoncer un ralentissement de la pression baissière.</w:t>
      </w:r>
    </w:p>
    <w:p>
      <w:pPr>
        <w:spacing w:after="120" w:line="276" w:lineRule="auto"/>
      </w:pPr>
      <w:r>
        <w:t>**RSI** : À 34,46, le RSI se situe dans la zone neutre basse (30-70), sans atteindre le seuil de survente (&lt;30). Cette position indique que le titre n'est pas encore techniquement survendu, ce qui justifie la décision **Neutre** et laisse entrevoir un potentiel de baisse résiduel avant un rebond.</w:t>
      </w:r>
    </w:p>
    <w:p>
      <w:pPr>
        <w:spacing w:after="120" w:line="276" w:lineRule="auto"/>
      </w:pPr>
      <w:r>
        <w:t>**Stochastique** : Le %K (15,24) et le %D (17,92) sont tous deux en zone de survente (&lt;20), avec un %K légèrement inférieur au %D. Cette configuration est typique d'un signal d'**Achat** technique à court terme, suggérant qu'un rebond pourrait se matérialiser prochainement.</w:t>
      </w:r>
    </w:p>
    <w:p>
      <w:pPr>
        <w:spacing w:after="120" w:line="276" w:lineRule="auto"/>
      </w:pPr>
      <w:r>
        <w:t>**Conclusion technique** : Les indicateurs sont majoritairement baissiers (MM, MACD) ou neutres (Bollinger, RSI), mais le stochastique en zone de survente émet un signal d'achat contrarien. Cette divergence suggère que le titre pourrait approcher d'un point de retournement à court terme, sans toutefois confirmer une inversion de tendance durable. La prudence reste de mise tant que le cours n'aura pas reconquis la MM20 (4 545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enregistré un Produit Net Bancaire (PNB, équivalent du chiffre d'affaires pour une banque) de 5 735 M FCFA, en hausse de +44,1% par rapport à 2024 (3 980 M FCFA). Le résultat net s'établit à 701 M FCFA, marquant un retournement spectaculaire après une perte de -165 M FCFA en 2024. Le ROE (rentabilité des fonds propres) ressort à 11,85%, un niveau correct mais inférieur au seuil d'excellence de 15%, tandis que le ROA (rentabilité des actifs) est faible à 0,88%, reflétant la structure bilancielle lourde de l'établissement. Le coefficient d'exploitation de 77,63% est élevé (seuil d'efficacité : &lt;60%), indiquant que les charges d'exploitation absorbent une part importante du PNB, bien que ce ratio se soit amélioré avec la croissance du PNB. Le coût du risque rapporté aux charges financières s'élève à 6,57%, un niveau qui reste significatif et traduit un portefeuille de crédit encore fragile. La structure financière demeure le point faible : l'autonomie financière n'est que de 7,44% (capitaux propres/total bilan), très en dessous du seuil sain de 30%, et le ratio d'endettement atteint 856,36%, ce qui expose la société à un risque de solvabilité en cas de choc.</w:t>
      </w:r>
    </w:p>
    <w:p>
      <w:pPr>
        <w:spacing w:after="120" w:line="276" w:lineRule="auto"/>
      </w:pPr>
      <w:r>
        <w:t>**Estimations basées sur les rapports trimestriels** : Le rapport du **T1 2026 (publié le 12 mai 2026)** indique un PNB de 1 395 M FCFA (+29% sur un an) et un résultat net de 151 M FCFA (+1 062%), avec un coût du risque en baisse de 75% (-22 M FCFA contre -89 M FCFA). Le rapport du **S1 2026 (publié le 4 septembre 2026)** confirme cette dynamique avec un PNB de 2 907 M FCFA (+37%) et un résultat net de 731 M FCFA (+231%), accompagné d'une reprise nette sur coût du risque de 261 M FCFA. Sur la base de ces tendances, on estime que l'exercice 2026 devrait afficher un PNB supérieur à 6 Mds FCFA et un résultat net potentiellement supérieur à 1,2 Md FCFA, confirmant la trajectoire de redressement. L'augmentation de capital de 1,5 Md FCFA (avis BRVM du 13 avril 2026) et l'entrée de CREDAF Group comme actionnaire principal (avril 2025) renforcent les fonds propres et la gouvernance, ce qui devrait progressivement améliorer les ratios prudentiels (CET1 à 11,49% au S1 2026 contre 9,65% un an plus tôt).</w:t>
      </w:r>
    </w:p>
    <w:p>
      <w:pPr>
        <w:spacing w:after="120" w:line="276" w:lineRule="auto"/>
      </w:pPr>
      <w:r>
        <w:t>**Recommandation fondamentale** : La dynamique opérationnelle est indéniablement positive, portée par la nouvelle gouvernance et la maîtrise du coût du risque. Cependant, la valorisation boursière (PER 69,5x, P/B 8,24x) intègre déjà largement ces bonnes nouvelles, et la structure financière reste fragile (autonomie financière de 7,44%, report à nouveau négatif de -4 123 M FCFA en 2025). Le titre présente un profil de **redressement spéculatif** : les fondamentaux s'améliorent, mais le risque de solvabilité et la dépendance aux financements interbancaires (35 747 M FCFA de dettes interbancaires en 2025) constituent des vulnérabilités majeures.</w:t>
      </w:r>
    </w:p>
    <w:p>
      <w:pPr>
        <w:spacing w:after="120" w:line="276" w:lineRule="auto"/>
      </w:pPr>
      <w:r>
        <w:t>---</w:t>
      </w:r>
    </w:p>
    <w:p>
      <w:pPr>
        <w:spacing w:after="120" w:line="276" w:lineRule="auto"/>
      </w:pPr>
      <w:r>
        <w:t>## PARTIE 4 : CONCLUSION D'INVESTISSEMENT</w:t>
      </w:r>
    </w:p>
    <w:p>
      <w:pPr>
        <w:spacing w:after="120" w:line="276" w:lineRule="auto"/>
      </w:pPr>
      <w:r>
        <w:t>La valorisation (Partie 0) est extrêmement exigeante : avec un PER de 69,5x, un P/B de 8,24x et un EV/EBITDA de 82,5x, le marché intègre déjà une anticipation de croissance forte, ce qui limite le potentiel de revalorisation à court terme et expose le titre à une correction en cas de déception. Le comportement du cours (Partie 1) est préoccupant : malgré une légère hausse sur 100 jours (+2,62%), la tendance de fond est baissière depuis le pic de 6 200 FCFA, avec une volatilité annualisée élevée (61,2%) et une distribution symétrique (skewness 0,357) sans biais haussier marqué. Les signaux techniques (Partie 2) sont mitigés : les moyennes mobiles et le MACD sont baissiers, le RSI est neutre, mais le stochastique en zone de survente suggère un rebond imminent à court terme. Les fondamentaux (Partie 3) montrent une amélioration spectaculaire en 2025 (PNB +44%, résultat net de 701 M FCFA) et une confirmation au S1 2026 (PNB +37%, résultat net +231%), mais la structure financière reste fragile (autonomie financière de 7,44%, report à nouveau négatif). Les prédictions IA (J+1 à J+10) anticipent une légère hausse vers 4 114 FCFA d'ici le 16 octobre 2026, ce qui confirme le signal d'achat contrarien du stochastique mais ne remet pas en cause la tendance baissière de moyen terme.</w:t>
      </w:r>
    </w:p>
    <w:p>
      <w:pPr>
        <w:spacing w:after="120" w:line="276" w:lineRule="auto"/>
      </w:pPr>
      <w:r>
        <w:t>**Recommandation finale : CONSERVER**</w:t>
      </w:r>
    </w:p>
    <w:p>
      <w:pPr>
        <w:spacing w:after="120" w:line="276" w:lineRule="auto"/>
      </w:pPr>
      <w:r>
        <w:t>Cette recommandation reflète une convergence partielle des signaux : les fondamentaux s'améliorent nettement (justifiant de ne pas vendre), mais la valorisation exigeante et la tendance technique baissière (justifiant de ne pas acheter). Le niveau de confiance est **Moyen**, car les performances opérationnelles récentes sont encourageantes mais la fragilité financière et la dépendance aux financements interbancaires introduisent une incertitude significative. Le niveau de risque global est **Élevé**, compte tenu de la volatilité du titre (61,2%), de la faible autonomie financière et de la sensibilité au risque de crédit. L'horizon d'investissement optimal est le **moyen terme (3-12 mois)**, le temps que la société confirme la durabilité de son redressement et renforce ses fonds propres via l'augmentation de capital en cours. Un investisseur déjà positionné pourra conserver le titre avec un stop-loss serré sous 3 595 FCFA, tandis qu'un nouvel investisseur attendra une confirmation technique (reconquête de la MM20 à 4 545 FCFA) ou une correction vers la borne inférieure des Bandes de Bollinger (3 704 FCFA) pour envisager une 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10,663 titres</w:t>
            </w:r>
          </w:p>
        </w:tc>
        <w:tc>
          <w:tcPr>
            <w:tcW w:type="dxa" w:w="2268"/>
            <w:shd w:fill="FFF2CC" w:val="clear"/>
          </w:tcPr>
          <w:p>
            <w:r>
              <w:rPr>
                <w:b/>
                <w:color w:val="503200"/>
                <w:sz w:val="16"/>
              </w:rPr>
              <w:t xml:space="preserve">Cours actuel : </w:t>
            </w:r>
            <w:r>
              <w:rPr>
                <w:color w:val="000000"/>
                <w:sz w:val="17"/>
              </w:rPr>
              <w:t>2,450 FCFA</w:t>
            </w:r>
          </w:p>
          <w:p>
            <w:r>
              <w:rPr>
                <w:b/>
                <w:color w:val="503200"/>
                <w:sz w:val="16"/>
              </w:rPr>
              <w:t xml:space="preserve">Var. 100 jours : </w:t>
            </w:r>
            <w:r>
              <w:rPr>
                <w:b/>
                <w:color w:val="007800"/>
                <w:sz w:val="17"/>
              </w:rPr>
              <w:t>+8.41%</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2,205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13.31% (Moyenne) — μ=3,195 FCFA, σ=425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β=1.2474 (Agressif) — Cov=0.000087, Var(idx)=0.000070, ρ=0.297,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2,370</w:t>
            </w:r>
          </w:p>
        </w:tc>
        <w:tc>
          <w:tcPr>
            <w:tcW w:type="dxa" w:w="1440"/>
            <w:shd w:fill="C6EFCE" w:val="clear"/>
          </w:tcPr>
          <w:p>
            <w:r>
              <w:rPr>
                <w:b/>
                <w:sz w:val="17"/>
              </w:rPr>
              <w:t>2,517</w:t>
            </w:r>
          </w:p>
        </w:tc>
        <w:tc>
          <w:tcPr>
            <w:tcW w:type="dxa" w:w="1440"/>
            <w:shd w:fill="C6EFCE" w:val="clear"/>
          </w:tcPr>
          <w:p>
            <w:r>
              <w:rPr>
                <w:sz w:val="17"/>
              </w:rPr>
              <w:t>2,665</w:t>
            </w:r>
          </w:p>
        </w:tc>
        <w:tc>
          <w:tcPr>
            <w:tcW w:type="dxa" w:w="1440"/>
            <w:shd w:fill="C6EFCE" w:val="clear"/>
          </w:tcPr>
          <w:p>
            <w:r>
              <w:rPr>
                <w:b/>
                <w:color w:val="008000"/>
                <w:sz w:val="17"/>
              </w:rPr>
              <w:t>+2.8%</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2,408</w:t>
            </w:r>
          </w:p>
        </w:tc>
        <w:tc>
          <w:tcPr>
            <w:tcW w:type="dxa" w:w="1440"/>
            <w:shd w:fill="C6EFCE" w:val="clear"/>
          </w:tcPr>
          <w:p>
            <w:r>
              <w:rPr>
                <w:b/>
                <w:sz w:val="17"/>
              </w:rPr>
              <w:t>2,626</w:t>
            </w:r>
          </w:p>
        </w:tc>
        <w:tc>
          <w:tcPr>
            <w:tcW w:type="dxa" w:w="1440"/>
            <w:shd w:fill="C6EFCE" w:val="clear"/>
          </w:tcPr>
          <w:p>
            <w:r>
              <w:rPr>
                <w:sz w:val="17"/>
              </w:rPr>
              <w:t>2,844</w:t>
            </w:r>
          </w:p>
        </w:tc>
        <w:tc>
          <w:tcPr>
            <w:tcW w:type="dxa" w:w="1440"/>
            <w:shd w:fill="C6EFCE" w:val="clear"/>
          </w:tcPr>
          <w:p>
            <w:r>
              <w:rPr>
                <w:b/>
                <w:color w:val="008000"/>
                <w:sz w:val="17"/>
              </w:rPr>
              <w:t>+7.2%</w:t>
            </w:r>
          </w:p>
        </w:tc>
      </w:tr>
      <w:tr>
        <w:tc>
          <w:tcPr>
            <w:tcW w:type="dxa" w:w="1440"/>
            <w:shd w:fill="C6EFCE" w:val="clear"/>
          </w:tcPr>
          <w:p>
            <w:r>
              <w:rPr>
                <w:sz w:val="17"/>
              </w:rPr>
              <w:t>J+3  Moyenne</w:t>
            </w:r>
          </w:p>
        </w:tc>
        <w:tc>
          <w:tcPr>
            <w:tcW w:type="dxa" w:w="1440"/>
            <w:shd w:fill="C6EFCE" w:val="clear"/>
          </w:tcPr>
          <w:p>
            <w:r>
              <w:rPr>
                <w:sz w:val="17"/>
              </w:rPr>
              <w:t>2026-10-14</w:t>
            </w:r>
          </w:p>
        </w:tc>
        <w:tc>
          <w:tcPr>
            <w:tcW w:type="dxa" w:w="1440"/>
            <w:shd w:fill="C6EFCE" w:val="clear"/>
          </w:tcPr>
          <w:p>
            <w:r>
              <w:rPr>
                <w:sz w:val="17"/>
              </w:rPr>
              <w:t>2,461</w:t>
            </w:r>
          </w:p>
        </w:tc>
        <w:tc>
          <w:tcPr>
            <w:tcW w:type="dxa" w:w="1440"/>
            <w:shd w:fill="C6EFCE" w:val="clear"/>
          </w:tcPr>
          <w:p>
            <w:r>
              <w:rPr>
                <w:b/>
                <w:sz w:val="17"/>
              </w:rPr>
              <w:t>2,739</w:t>
            </w:r>
          </w:p>
        </w:tc>
        <w:tc>
          <w:tcPr>
            <w:tcW w:type="dxa" w:w="1440"/>
            <w:shd w:fill="C6EFCE" w:val="clear"/>
          </w:tcPr>
          <w:p>
            <w:r>
              <w:rPr>
                <w:sz w:val="17"/>
              </w:rPr>
              <w:t>3,017</w:t>
            </w:r>
          </w:p>
        </w:tc>
        <w:tc>
          <w:tcPr>
            <w:tcW w:type="dxa" w:w="1440"/>
            <w:shd w:fill="C6EFCE" w:val="clear"/>
          </w:tcPr>
          <w:p>
            <w:r>
              <w:rPr>
                <w:b/>
                <w:color w:val="008000"/>
                <w:sz w:val="17"/>
              </w:rPr>
              <w:t>+11.8%</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2,502</w:t>
            </w:r>
          </w:p>
        </w:tc>
        <w:tc>
          <w:tcPr>
            <w:tcW w:type="dxa" w:w="1440"/>
            <w:shd w:fill="C6EFCE" w:val="clear"/>
          </w:tcPr>
          <w:p>
            <w:r>
              <w:rPr>
                <w:b/>
                <w:sz w:val="17"/>
              </w:rPr>
              <w:t>2,834</w:t>
            </w:r>
          </w:p>
        </w:tc>
        <w:tc>
          <w:tcPr>
            <w:tcW w:type="dxa" w:w="1440"/>
            <w:shd w:fill="C6EFCE" w:val="clear"/>
          </w:tcPr>
          <w:p>
            <w:r>
              <w:rPr>
                <w:sz w:val="17"/>
              </w:rPr>
              <w:t>3,167</w:t>
            </w:r>
          </w:p>
        </w:tc>
        <w:tc>
          <w:tcPr>
            <w:tcW w:type="dxa" w:w="1440"/>
            <w:shd w:fill="C6EFCE" w:val="clear"/>
          </w:tcPr>
          <w:p>
            <w:r>
              <w:rPr>
                <w:b/>
                <w:color w:val="008000"/>
                <w:sz w:val="17"/>
              </w:rPr>
              <w:t>+15.7%</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2,532</w:t>
            </w:r>
          </w:p>
        </w:tc>
        <w:tc>
          <w:tcPr>
            <w:tcW w:type="dxa" w:w="1440"/>
            <w:shd w:fill="C6EFCE" w:val="clear"/>
          </w:tcPr>
          <w:p>
            <w:r>
              <w:rPr>
                <w:b/>
                <w:sz w:val="17"/>
              </w:rPr>
              <w:t>2,914</w:t>
            </w:r>
          </w:p>
        </w:tc>
        <w:tc>
          <w:tcPr>
            <w:tcW w:type="dxa" w:w="1440"/>
            <w:shd w:fill="C6EFCE" w:val="clear"/>
          </w:tcPr>
          <w:p>
            <w:r>
              <w:rPr>
                <w:sz w:val="17"/>
              </w:rPr>
              <w:t>3,296</w:t>
            </w:r>
          </w:p>
        </w:tc>
        <w:tc>
          <w:tcPr>
            <w:tcW w:type="dxa" w:w="1440"/>
            <w:shd w:fill="C6EFCE" w:val="clear"/>
          </w:tcPr>
          <w:p>
            <w:r>
              <w:rPr>
                <w:b/>
                <w:color w:val="008000"/>
                <w:sz w:val="17"/>
              </w:rPr>
              <w:t>+18.9%</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2,553</w:t>
            </w:r>
          </w:p>
        </w:tc>
        <w:tc>
          <w:tcPr>
            <w:tcW w:type="dxa" w:w="1440"/>
            <w:shd w:fill="C6EFCE" w:val="clear"/>
          </w:tcPr>
          <w:p>
            <w:r>
              <w:rPr>
                <w:b/>
                <w:sz w:val="17"/>
              </w:rPr>
              <w:t>2,982</w:t>
            </w:r>
          </w:p>
        </w:tc>
        <w:tc>
          <w:tcPr>
            <w:tcW w:type="dxa" w:w="1440"/>
            <w:shd w:fill="C6EFCE" w:val="clear"/>
          </w:tcPr>
          <w:p>
            <w:r>
              <w:rPr>
                <w:sz w:val="17"/>
              </w:rPr>
              <w:t>3,410</w:t>
            </w:r>
          </w:p>
        </w:tc>
        <w:tc>
          <w:tcPr>
            <w:tcW w:type="dxa" w:w="1440"/>
            <w:shd w:fill="C6EFCE" w:val="clear"/>
          </w:tcPr>
          <w:p>
            <w:r>
              <w:rPr>
                <w:b/>
                <w:color w:val="008000"/>
                <w:sz w:val="17"/>
              </w:rPr>
              <w:t>+21.7%</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2,569</w:t>
            </w:r>
          </w:p>
        </w:tc>
        <w:tc>
          <w:tcPr>
            <w:tcW w:type="dxa" w:w="1440"/>
            <w:shd w:fill="C6EFCE" w:val="clear"/>
          </w:tcPr>
          <w:p>
            <w:r>
              <w:rPr>
                <w:b/>
                <w:sz w:val="17"/>
              </w:rPr>
              <w:t>3,041</w:t>
            </w:r>
          </w:p>
        </w:tc>
        <w:tc>
          <w:tcPr>
            <w:tcW w:type="dxa" w:w="1440"/>
            <w:shd w:fill="C6EFCE" w:val="clear"/>
          </w:tcPr>
          <w:p>
            <w:r>
              <w:rPr>
                <w:sz w:val="17"/>
              </w:rPr>
              <w:t>3,513</w:t>
            </w:r>
          </w:p>
        </w:tc>
        <w:tc>
          <w:tcPr>
            <w:tcW w:type="dxa" w:w="1440"/>
            <w:shd w:fill="C6EFCE" w:val="clear"/>
          </w:tcPr>
          <w:p>
            <w:r>
              <w:rPr>
                <w:b/>
                <w:color w:val="008000"/>
                <w:sz w:val="17"/>
              </w:rPr>
              <w:t>+24.1%</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2,581</w:t>
            </w:r>
          </w:p>
        </w:tc>
        <w:tc>
          <w:tcPr>
            <w:tcW w:type="dxa" w:w="1440"/>
            <w:shd w:fill="C6EFCE" w:val="clear"/>
          </w:tcPr>
          <w:p>
            <w:r>
              <w:rPr>
                <w:b/>
                <w:sz w:val="17"/>
              </w:rPr>
              <w:t>3,094</w:t>
            </w:r>
          </w:p>
        </w:tc>
        <w:tc>
          <w:tcPr>
            <w:tcW w:type="dxa" w:w="1440"/>
            <w:shd w:fill="C6EFCE" w:val="clear"/>
          </w:tcPr>
          <w:p>
            <w:r>
              <w:rPr>
                <w:sz w:val="17"/>
              </w:rPr>
              <w:t>3,607</w:t>
            </w:r>
          </w:p>
        </w:tc>
        <w:tc>
          <w:tcPr>
            <w:tcW w:type="dxa" w:w="1440"/>
            <w:shd w:fill="C6EFCE" w:val="clear"/>
          </w:tcPr>
          <w:p>
            <w:r>
              <w:rPr>
                <w:b/>
                <w:color w:val="008000"/>
                <w:sz w:val="17"/>
              </w:rPr>
              <w:t>+26.3%</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2,588</w:t>
            </w:r>
          </w:p>
        </w:tc>
        <w:tc>
          <w:tcPr>
            <w:tcW w:type="dxa" w:w="1440"/>
            <w:shd w:fill="C6EFCE" w:val="clear"/>
          </w:tcPr>
          <w:p>
            <w:r>
              <w:rPr>
                <w:b/>
                <w:sz w:val="17"/>
              </w:rPr>
              <w:t>3,140</w:t>
            </w:r>
          </w:p>
        </w:tc>
        <w:tc>
          <w:tcPr>
            <w:tcW w:type="dxa" w:w="1440"/>
            <w:shd w:fill="C6EFCE" w:val="clear"/>
          </w:tcPr>
          <w:p>
            <w:r>
              <w:rPr>
                <w:sz w:val="17"/>
              </w:rPr>
              <w:t>3,693</w:t>
            </w:r>
          </w:p>
        </w:tc>
        <w:tc>
          <w:tcPr>
            <w:tcW w:type="dxa" w:w="1440"/>
            <w:shd w:fill="C6EFCE" w:val="clear"/>
          </w:tcPr>
          <w:p>
            <w:r>
              <w:rPr>
                <w:b/>
                <w:color w:val="008000"/>
                <w:sz w:val="17"/>
              </w:rPr>
              <w:t>+28.2%</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2,591</w:t>
            </w:r>
          </w:p>
        </w:tc>
        <w:tc>
          <w:tcPr>
            <w:tcW w:type="dxa" w:w="1440"/>
            <w:shd w:fill="C6EFCE" w:val="clear"/>
          </w:tcPr>
          <w:p>
            <w:r>
              <w:rPr>
                <w:b/>
                <w:sz w:val="17"/>
              </w:rPr>
              <w:t>3,181</w:t>
            </w:r>
          </w:p>
        </w:tc>
        <w:tc>
          <w:tcPr>
            <w:tcW w:type="dxa" w:w="1440"/>
            <w:shd w:fill="C6EFCE" w:val="clear"/>
          </w:tcPr>
          <w:p>
            <w:r>
              <w:rPr>
                <w:sz w:val="17"/>
              </w:rPr>
              <w:t>3,770</w:t>
            </w:r>
          </w:p>
        </w:tc>
        <w:tc>
          <w:tcPr>
            <w:tcW w:type="dxa" w:w="1440"/>
            <w:shd w:fill="C6EFCE" w:val="clear"/>
          </w:tcPr>
          <w:p>
            <w:r>
              <w:rPr>
                <w:b/>
                <w:color w:val="008000"/>
                <w:sz w:val="17"/>
              </w:rPr>
              <w:t>+29.8%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 RAPPORT D'ANALYSE FINANCIÈRE — SCRC (SUCRIVOIRE)</w:t>
        <w:br/>
        <w:t>**Bourse Régionale des Valeurs Mobilières (BRVM) — Secteur : Agro-industrie / Sucre**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**48,02 milliards FCFA**, un niveau intermédiaire à l'échelle de la BRVM qui positionne le titre parmi les valeurs moyennes du compartiment agro-industriel. Le **BPA ressort à -406 FCFA/action**, traduisant une société en perte sur l'exercice 2025, ce qui rend le **PER de -6,0x non significatif** (un PER négatif signale simplement que les bénéfices sont négatifs, et non une quelconque sous-évaluation). Le **P/B de 2,78x** indique que le marché valorise SCRC à près de trois fois sa valeur comptable, soit une prime de croissance significative — paradoxale pour une entreprise déficitaire, mais explicable par les anticipations de redressement liées aux investissements massifs en cours. Enfin, l'**EV/EBITDA de 9,4x** se situe dans la fourchette raisonnable de 5-10x, suggérant que la valeur d'entreprise reste cohérente avec la capacité opérationnelle dégagée (EBE de 14,85 Mds FCFA), ce qui constitue le seul ratio de valorisation réellement rassurant du dossier.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SCRC affiche une **variation totale positive de +8,41%**, mais la dernière séance (J-1) enregistre un repli marqué de **-2,39%**, signalant une pression vendeuse récente. Le cours actuel de **2 450 FCFA** se situe dans la partie basse du range de trading, très éloigné du plus haut de **3 920 FCFA** et proche du plus bas de **2 205 FCFA**, ce qui traduit une tendance baissière de fond malgré le rebond technique ponctuel. Les statistiques descriptives révèlent une distribution asymétrique : la **moyenne (3 195 FCFA)** est inférieure à la **médiane (3 298 FCFA)**, confirmant un skewness négatif de **-0,539** (plus de journées au-dessus de la moyenne, mais des chutes brutales tirent la moyenne vers le bas). L'**écart-type de 427 FCFA** avec un **coefficient de variation de 13,4%** indique une dispersion modérée autour de la moyenne, tandis que le **kurtosis de -0,786** (mésokurtique) suggère une distribution proche de la normale, sans risque extrême de pics. La **volatilité annualisée de 57,1%** classe ce titre dans la catégorie **très élevée (&gt;30%)**, ce qui implique un risque important pour l'investisseur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(2 989,5 FCFA) et la MM50 (3 333,6 FCFA) se situent toutes deux **au-dessus du cours actuel** (2 450 FCFA), avec la MM20 en dessous de la MM50 — configuration baissière classique (croisement mort). Le cours évolue sous ses deux moyennes, confirmant la pression vendeuse et justifiant la **décision de Vente**.</w:t>
      </w:r>
    </w:p>
    <w:p>
      <w:pPr>
        <w:spacing w:after="120" w:line="276" w:lineRule="auto"/>
      </w:pPr>
      <w:r>
        <w:t>**Bandes de Bollinger** : Le cours (2 450 FCFA) se situe **légèrement au-dessus de la borne inférieure** (2 363 FCFA), mais très loin de la borne supérieure (3 616 FCFA), ce qui indique une volatilité élevée avec un cours proche de la zone de survente. La décision est **Neutre**, car le titre n'a pas encore cassé la borne inférieure qui déclencherait un signal d'achat technique.</w:t>
      </w:r>
    </w:p>
    <w:p>
      <w:pPr>
        <w:spacing w:after="120" w:line="276" w:lineRule="auto"/>
      </w:pPr>
      <w:r>
        <w:t>**MACD** : La valeur du MACD (-224,875) est **inférieure à son signal** (-182,973), avec un histogramme négatif — configuration baissière confirmée. Le momentum reste négatif et la divergence MACD-Signal ne montre aucun signe de retournement imminent, justifiant la **décision de Vente**.</w:t>
      </w:r>
    </w:p>
    <w:p>
      <w:pPr>
        <w:spacing w:after="120" w:line="276" w:lineRule="auto"/>
      </w:pPr>
      <w:r>
        <w:t>**RSI** : À **25,15**, le RSI se situe **en zone de survente** (seuil &lt;30), ce qui indique que le titre a été massivement vendu et pourrait connaître un rebond technique à court terme. La **décision d'Achat** contraste avec les autres indicateurs, signalant une opportunité contrariante pour les investisseurs agressifs.</w:t>
      </w:r>
    </w:p>
    <w:p>
      <w:pPr>
        <w:spacing w:after="120" w:line="276" w:lineRule="auto"/>
      </w:pPr>
      <w:r>
        <w:t>**Stochastique** : Le %K (0,0) est **au plus bas absolu** et inférieur au %D (0,556), configuration de survente extrême. Un croisement haussier du %K au-dessus du %D pourrait déclencher un signal d'achat, justifiant la **décision d'Achat** actuelle.</w:t>
      </w:r>
    </w:p>
    <w:p>
      <w:pPr>
        <w:spacing w:after="120" w:line="276" w:lineRule="auto"/>
      </w:pPr>
      <w:r>
        <w:t>**Conclusion technique** : Les indicateurs sont **majoritairement baissiers** (MM, MACD), mais le RSI et le Stochastique signalent une **survente extrême** propice à un rebond technique à court terme. Cette divergence entre tendance de fond (baissière) et signaux de retournement (RSI/Stochastique) suggère une **phase de consolidation volatile**, avec un potentiel rebond limité tant que le cours reste sous la MM20 (2 989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SCRC a enregistré un **chiffre d'affaires de 80,569 Mds FCFA**, en **recul de 7,6%** par rapport à 2024 (87,219 Mds FCFA). Le **résultat net est déficitaire de -7,954 Mds FCFA**, contre un bénéfice de +2,474 Mds FCFA en 2024 — une dégradation spectaculaire de 421%. Le **ROE s'effondre à -46,13%** (contre +14,3% en 2024) et le **ROA à -5,08%**, confirmant la destruction de valeur. La marge nette est négative à **-9,87%**, et la marge opérationnelle à **-0,68%**, tandis que la marge brute reste solide à **45,82%**, indiquant que le problème est financier et non industriel.</w:t>
      </w:r>
    </w:p>
    <w:p>
      <w:pPr>
        <w:spacing w:after="120" w:line="276" w:lineRule="auto"/>
      </w:pPr>
      <w:r>
        <w:t>**Adaptation au secteur ENTREPRISE** : Le **BFR est négatif à 6,529 Mds FCFA** (favorable), mais le **fonds de roulement est négatif (-10,665 Mds FCFA)** et la **trésorerie nette négative (-6,505 Mds FCFA)**, signalant des tensions de liquidité. Le **délai clients est très faible (12,28 jours)**, ce qui est excellent, mais le **délai fournisseurs est élevé (366 jours)** et la **durée de stockage très longue (360,73 jours)**, immobilisant du capital. L'**autonomie financière est critique à 11,02%** (seuil sain &gt;30%), et le **ratio d'endettement de 88,98%** (dettes totales/capitaux propres) est préoccupant. La **capacité de remboursement est de 11,21 années** de CAF, ce qui est très élevé.</w:t>
      </w:r>
    </w:p>
    <w:p>
      <w:pPr>
        <w:spacing w:after="120" w:line="276" w:lineRule="auto"/>
      </w:pPr>
      <w:r>
        <w:t>**Estimations basées sur les rapports trimestriels** : Le rapport du **S1 2025 (daté 30/06/2025)** indiquait un résultat net négatif de -6,71 Mds FCFA, avec une production de sucre en baisse de 18% (44 058 tonnes). Le **T1 2025 (daté 31/03/2025)** montrait un CA de 25,09 Mds FCFA (-13%) et un résultat net de +3,21 Mds FCFA. Sur la base de ces tendances, on estime que l'exercice 2026 devrait rester sous pression, avec un CA attendu entre 78 et 82 Mds FCFA, et un résultat net qui pourrait rester négatif si les charges financières (6,79 Mds FCFA en 2025) ne sont pas maîtrisées. Le **rapport annuel 2024 (daté 31/12/2024)** soulignait déjà un endettement en forte hausse (+115%) et une trésorerie nette négative.</w:t>
      </w:r>
    </w:p>
    <w:p>
      <w:pPr>
        <w:spacing w:after="120" w:line="276" w:lineRule="auto"/>
      </w:pPr>
      <w:r>
        <w:t>**Recommandation fondamentale** : La situation financière de SCRC est **très fragile** : perte nette massive, endettement critique, trésorerie négative, et rentabilité opérationnelle quasi nulle. Les investissements massifs (25,2 Mds FCFA en 2025) pourraient soutenir un redressement à moyen terme, mais le risque de défaut à court terme est élevé. **Recommandation : VENTE** pour les investisseurs averses au risque, **CONSERVER** pour ceux qui croient au plan de restructuration.</w:t>
      </w:r>
    </w:p>
    <w:p>
      <w:pPr>
        <w:spacing w:after="120" w:line="276" w:lineRule="auto"/>
      </w:pPr>
      <w:r>
        <w:t>---</w:t>
      </w:r>
    </w:p>
    <w:p>
      <w:pPr>
        <w:spacing w:after="120" w:line="276" w:lineRule="auto"/>
      </w:pPr>
      <w:r>
        <w:t>## PARTIE 4 : CONCLUSION D'INVESTISSEMENT</w:t>
      </w:r>
    </w:p>
    <w:p>
      <w:pPr>
        <w:spacing w:after="120" w:line="276" w:lineRule="auto"/>
      </w:pPr>
      <w:r>
        <w:t>**Synthèse globale** : La **valorisation (Partie 0)** est paradoxale — le P/B de 2,78x et l'EV/EBITDA de 9,4x suggèrent une certaine confiance du marché, mais le PER négatif et le BPA de -406 FCFA reflètent une entreprise en perte. Le **comportement du cours (Partie 1)** est préoccupant : volatilité très élevée (57,1%), skewness négatif (-0,539) et cours proche du plus bas, malgré une variation positive sur 100 jours. Les **signaux techniques (Partie 2)** sont divergents : MM et MACD baissiers, mais RSI (25,15) et Stochastique (0,0) en survente extrême, suggérant un rebond technique possible à court terme. Les **fondamentaux (Partie 3)** sont **très dégradés** : perte nette de -7,95 Mds FCFA en 2025, ROE de -46,13%, endettement critique (88,98% des capitaux propres), et trésorerie négative. Les **prédictions IA (J+1 à J+10)** anticipent une **hausse progressive de 2 517 à 2 914 FCFA** (+18,9% sur 10 jours), ce qui contredit les signaux baissiers des MM et du MACD, mais s'aligne avec le RSI et le Stochastique en survente.</w:t>
      </w:r>
    </w:p>
    <w:p>
      <w:pPr>
        <w:spacing w:after="120" w:line="276" w:lineRule="auto"/>
      </w:pPr>
      <w:r>
        <w:t>**Recommandation finale** : **CONSERVER** (avec vigilance extrême). La convergence entre la survente technique (RSI/Stochastique) et les prédictions IA haussières suggère un **rebond à court terme**, mais les fondamentaux dégradés et l'endettement critique limitent le potentiel à moyen terme. Un **ACHAT** serait risqué compte tenu de la fragilité financière, et une **VENTE** serait prématurée si le rebond technique se matérialise. **Niveau de confiance : Moyen** (les signaux techniques et les prédictions IA sont haussiers, mais les fondamentaux sont alarmants). **Niveau de risque : Élevé** (volatilité de 57,1%, endettement critique, perte nette). **Horizon d'investissement optimal : Court terme (&lt;3 mois)** pour profiter du rebond technique, avec une sortie rapide si le cours ne dépasse pas la MM20 (2 989 FCFA). Pour le moyen/long terme, attendre les résultats du S1 2026 pour évaluer la soutenabilité du redressement.</w:t>
      </w:r>
    </w:p>
    <w:p>
      <w:pPr>
        <w:spacing w:after="120" w:line="276" w:lineRule="auto"/>
      </w:pPr>
      <w:r>
        <w:t>---</w:t>
      </w:r>
    </w:p>
    <w:p>
      <w:pPr>
        <w:spacing w:after="120" w:line="276" w:lineRule="auto"/>
      </w:pPr>
      <w:r>
        <w:t>*Rapport généré sur la base des données officielles BRVM, des états financiers 2025 (SYSCOHADA et IFRS), des rapports trimestriels 2025 et des analyses fondamentales disponibles. Les prédictions IA sont fournies à titre indicatif et ne constituent pas une garantie de performance.*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1,506 titres</w:t>
            </w:r>
          </w:p>
        </w:tc>
        <w:tc>
          <w:tcPr>
            <w:tcW w:type="dxa" w:w="2268"/>
            <w:shd w:fill="FFF2CC" w:val="clear"/>
          </w:tcPr>
          <w:p>
            <w:r>
              <w:rPr>
                <w:b/>
                <w:color w:val="503200"/>
                <w:sz w:val="16"/>
              </w:rPr>
              <w:t xml:space="preserve">Cours actuel : </w:t>
            </w:r>
            <w:r>
              <w:rPr>
                <w:color w:val="000000"/>
                <w:sz w:val="17"/>
              </w:rPr>
              <w:t>12,990 FCFA</w:t>
            </w:r>
          </w:p>
          <w:p>
            <w:r>
              <w:rPr>
                <w:b/>
                <w:color w:val="503200"/>
                <w:sz w:val="16"/>
              </w:rPr>
              <w:t xml:space="preserve">Var. 100 jours : </w:t>
            </w:r>
            <w:r>
              <w:rPr>
                <w:b/>
                <w:color w:val="007800"/>
                <w:sz w:val="17"/>
              </w:rPr>
              <w:t>+22.09%</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10,640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6.03% (Moyenne) — μ=12,100 FCFA, σ=730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β=0.6888 (Défensif) — Cov=0.000051, Var(idx)=0.000074, ρ=0.253,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12,302</w:t>
            </w:r>
          </w:p>
        </w:tc>
        <w:tc>
          <w:tcPr>
            <w:tcW w:type="dxa" w:w="1440"/>
            <w:shd w:fill="FAFAFA" w:val="clear"/>
          </w:tcPr>
          <w:p>
            <w:r>
              <w:rPr>
                <w:b/>
                <w:sz w:val="17"/>
              </w:rPr>
              <w:t>12,996</w:t>
            </w:r>
          </w:p>
        </w:tc>
        <w:tc>
          <w:tcPr>
            <w:tcW w:type="dxa" w:w="1440"/>
            <w:shd w:fill="FAFAFA" w:val="clear"/>
          </w:tcPr>
          <w:p>
            <w:r>
              <w:rPr>
                <w:sz w:val="17"/>
              </w:rPr>
              <w:t>13,690</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12,027</w:t>
            </w:r>
          </w:p>
        </w:tc>
        <w:tc>
          <w:tcPr>
            <w:tcW w:type="dxa" w:w="1440"/>
            <w:shd w:fill="FAFAFA" w:val="clear"/>
          </w:tcPr>
          <w:p>
            <w:r>
              <w:rPr>
                <w:b/>
                <w:sz w:val="17"/>
              </w:rPr>
              <w:t>13,009</w:t>
            </w:r>
          </w:p>
        </w:tc>
        <w:tc>
          <w:tcPr>
            <w:tcW w:type="dxa" w:w="1440"/>
            <w:shd w:fill="FAFAFA" w:val="clear"/>
          </w:tcPr>
          <w:p>
            <w:r>
              <w:rPr>
                <w:sz w:val="17"/>
              </w:rPr>
              <w:t>13,991</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11,822</w:t>
            </w:r>
          </w:p>
        </w:tc>
        <w:tc>
          <w:tcPr>
            <w:tcW w:type="dxa" w:w="1440"/>
            <w:shd w:fill="FAFAFA" w:val="clear"/>
          </w:tcPr>
          <w:p>
            <w:r>
              <w:rPr>
                <w:b/>
                <w:sz w:val="17"/>
              </w:rPr>
              <w:t>13,027</w:t>
            </w:r>
          </w:p>
        </w:tc>
        <w:tc>
          <w:tcPr>
            <w:tcW w:type="dxa" w:w="1440"/>
            <w:shd w:fill="FAFAFA" w:val="clear"/>
          </w:tcPr>
          <w:p>
            <w:r>
              <w:rPr>
                <w:sz w:val="17"/>
              </w:rPr>
              <w:t>14,232</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11,659</w:t>
            </w:r>
          </w:p>
        </w:tc>
        <w:tc>
          <w:tcPr>
            <w:tcW w:type="dxa" w:w="1440"/>
            <w:shd w:fill="FAFAFA" w:val="clear"/>
          </w:tcPr>
          <w:p>
            <w:r>
              <w:rPr>
                <w:b/>
                <w:sz w:val="17"/>
              </w:rPr>
              <w:t>13,053</w:t>
            </w:r>
          </w:p>
        </w:tc>
        <w:tc>
          <w:tcPr>
            <w:tcW w:type="dxa" w:w="1440"/>
            <w:shd w:fill="FAFAFA" w:val="clear"/>
          </w:tcPr>
          <w:p>
            <w:r>
              <w:rPr>
                <w:sz w:val="17"/>
              </w:rPr>
              <w:t>14,447</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11,510</w:t>
            </w:r>
          </w:p>
        </w:tc>
        <w:tc>
          <w:tcPr>
            <w:tcW w:type="dxa" w:w="1440"/>
            <w:shd w:fill="FAFAFA" w:val="clear"/>
          </w:tcPr>
          <w:p>
            <w:r>
              <w:rPr>
                <w:b/>
                <w:sz w:val="17"/>
              </w:rPr>
              <w:t>13,070</w:t>
            </w:r>
          </w:p>
        </w:tc>
        <w:tc>
          <w:tcPr>
            <w:tcW w:type="dxa" w:w="1440"/>
            <w:shd w:fill="FAFAFA" w:val="clear"/>
          </w:tcPr>
          <w:p>
            <w:r>
              <w:rPr>
                <w:sz w:val="17"/>
              </w:rPr>
              <w:t>14,631</w:t>
            </w:r>
          </w:p>
        </w:tc>
        <w:tc>
          <w:tcPr>
            <w:tcW w:type="dxa" w:w="1440"/>
            <w:shd w:fill="FAFAFA" w:val="clear"/>
          </w:tcPr>
          <w:p>
            <w:r>
              <w:rPr>
                <w:b/>
                <w:color w:val="008000"/>
                <w:sz w:val="17"/>
              </w:rPr>
              <w:t>+0.6%</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11,372</w:t>
            </w:r>
          </w:p>
        </w:tc>
        <w:tc>
          <w:tcPr>
            <w:tcW w:type="dxa" w:w="1440"/>
            <w:shd w:fill="FAFAFA" w:val="clear"/>
          </w:tcPr>
          <w:p>
            <w:r>
              <w:rPr>
                <w:b/>
                <w:sz w:val="17"/>
              </w:rPr>
              <w:t>13,083</w:t>
            </w:r>
          </w:p>
        </w:tc>
        <w:tc>
          <w:tcPr>
            <w:tcW w:type="dxa" w:w="1440"/>
            <w:shd w:fill="FAFAFA" w:val="clear"/>
          </w:tcPr>
          <w:p>
            <w:r>
              <w:rPr>
                <w:sz w:val="17"/>
              </w:rPr>
              <w:t>14,794</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11,245</w:t>
            </w:r>
          </w:p>
        </w:tc>
        <w:tc>
          <w:tcPr>
            <w:tcW w:type="dxa" w:w="1440"/>
            <w:shd w:fill="FAFAFA" w:val="clear"/>
          </w:tcPr>
          <w:p>
            <w:r>
              <w:rPr>
                <w:b/>
                <w:sz w:val="17"/>
              </w:rPr>
              <w:t>13,095</w:t>
            </w:r>
          </w:p>
        </w:tc>
        <w:tc>
          <w:tcPr>
            <w:tcW w:type="dxa" w:w="1440"/>
            <w:shd w:fill="FAFAFA" w:val="clear"/>
          </w:tcPr>
          <w:p>
            <w:r>
              <w:rPr>
                <w:sz w:val="17"/>
              </w:rPr>
              <w:t>14,945</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11,126</w:t>
            </w:r>
          </w:p>
        </w:tc>
        <w:tc>
          <w:tcPr>
            <w:tcW w:type="dxa" w:w="1440"/>
            <w:shd w:fill="FAFAFA" w:val="clear"/>
          </w:tcPr>
          <w:p>
            <w:r>
              <w:rPr>
                <w:b/>
                <w:sz w:val="17"/>
              </w:rPr>
              <w:t>13,105</w:t>
            </w:r>
          </w:p>
        </w:tc>
        <w:tc>
          <w:tcPr>
            <w:tcW w:type="dxa" w:w="1440"/>
            <w:shd w:fill="FAFAFA" w:val="clear"/>
          </w:tcPr>
          <w:p>
            <w:r>
              <w:rPr>
                <w:sz w:val="17"/>
              </w:rPr>
              <w:t>15,084</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11,014</w:t>
            </w:r>
          </w:p>
        </w:tc>
        <w:tc>
          <w:tcPr>
            <w:tcW w:type="dxa" w:w="1440"/>
            <w:shd w:fill="FAFAFA" w:val="clear"/>
          </w:tcPr>
          <w:p>
            <w:r>
              <w:rPr>
                <w:b/>
                <w:sz w:val="17"/>
              </w:rPr>
              <w:t>13,115</w:t>
            </w:r>
          </w:p>
        </w:tc>
        <w:tc>
          <w:tcPr>
            <w:tcW w:type="dxa" w:w="1440"/>
            <w:shd w:fill="FAFAFA" w:val="clear"/>
          </w:tcPr>
          <w:p>
            <w:r>
              <w:rPr>
                <w:sz w:val="17"/>
              </w:rPr>
              <w:t>15,216</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10,906</w:t>
            </w:r>
          </w:p>
        </w:tc>
        <w:tc>
          <w:tcPr>
            <w:tcW w:type="dxa" w:w="1440"/>
            <w:shd w:fill="FAFAFA" w:val="clear"/>
          </w:tcPr>
          <w:p>
            <w:r>
              <w:rPr>
                <w:b/>
                <w:sz w:val="17"/>
              </w:rPr>
              <w:t>13,122</w:t>
            </w:r>
          </w:p>
        </w:tc>
        <w:tc>
          <w:tcPr>
            <w:tcW w:type="dxa" w:w="1440"/>
            <w:shd w:fill="FAFAFA" w:val="clear"/>
          </w:tcPr>
          <w:p>
            <w:r>
              <w:rPr>
                <w:sz w:val="17"/>
              </w:rPr>
              <w:t>15,337</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SDCC s'élève à 116,91 milliards FCFA, un niveau significatif à l'échelle de la BRVM qui positionne le titre parmi les valeurs de moyenne à grande capitalisation de la cote. Le BPA de 518 FCFA/action signifie que chaque titre génère environ 518 FCFA de bénéfice net, ce qui, rapporté au cours actuel de 12 990 FCFA, donne un PER de 25,1x — nettement supérieur à la moyenne du marché BRVM (8-12x), traduisant soit une forte anticipation de croissance, soit une surévaluation relative. Le ratio P/B de 5,93x indique que le marché valorise l'entreprise à près de six fois sa valeur comptable, une prime exigeante qui reflète la qualité perçue du business model (monopole de distribution d'eau) mais laisse peu de marge de sécurité. Enfin, l'EV/EBITDA de 14,9x, dans la fourchette haute (10-15x), confirme que la valeur d'entreprise intègre déjà une prime de qualité opérationnelle, ce qui suggère que le titre est correctement, voire généreusement, valorisé par le marché.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SDCC a progressé de +22,09%, clôturant à 12 990 FCFA, avec une variation nulle sur la dernière séance (J-1 : +0,00%), signe d'une stabilisation après la récente poussée haussière. Le range de trading s'établit entre un plus bas de 10 640 FCFA et un plus haut de 13 885 FCFA, soit une amplitude d'environ 30%, ce qui témoigne d'une tendance générale haussière soutenue mais ponctuée de corrections. Les statistiques descriptives révèlent une moyenne de 12 100 FCFA légèrement supérieure à la médiane de 12 000 FCFA, avec un mode à 11 900 FCFA : cet écart modéré indique une distribution quasi-symétrique, confirmée par un skewness de 0,469 (asymétrie positive légère, tirée par quelques séances haussières). L'écart-type de 734 FCFA (CV = 6,1%) traduit une dispersion relativement contenue du cours autour de sa moyenne, tandis que le kurtosis de -0,335 (mésokurtique) suggère une distribution proche de la normale, sans risque excessif de pics extrêmes. La volatilité annualisée de 36,7% classe le titre dans la catégorie des valeurs à volatilité élevée (&gt;30%), ce qui implique un risque de marché non négligeable pour l'investisseur, mais cohérent avec la dynamique haussière observée.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(12 773 FCFA) et la MM50 (12 528,9 FCFA) se situent toutes deux sous le cours actuel (12 990 FCFA), avec la MM20 au-dessus de la MM50 — configuration haussière classique (croisement doré). Cette disposition confirme la dynamique positive et justifie la décision d'achat, le cours évoluant au-dessus de ses supports mobiles.</w:t>
      </w:r>
    </w:p>
    <w:p>
      <w:pPr>
        <w:spacing w:after="120" w:line="276" w:lineRule="auto"/>
      </w:pPr>
      <w:r>
        <w:t>**Bandes de Bollinger** : Le cours (12 990 FCFA) évolue dans la partie supérieure de la bande (borne supérieure : 14 055,59 FCFA ; borne inférieure : 11 490,41 FCFA), sans la toucher, ce qui indique une volatilité modérée et l'absence de signal de surachat extrême. La décision est neutre, le titre n'étant ni en zone d'achat agressive ni en zone de vente.</w:t>
      </w:r>
    </w:p>
    <w:p>
      <w:pPr>
        <w:spacing w:after="120" w:line="276" w:lineRule="auto"/>
      </w:pPr>
      <w:r>
        <w:t>**MACD** : La valeur du MACD (79,567) est nettement supérieure à son signal (44,371), avec un histogramme positif et croissant, traduisant un momentum haussier solide. Cette divergence positive confirme la décision d'achat et suggère que la tendance haussière pourrait se poursuivre à court terme.</w:t>
      </w:r>
    </w:p>
    <w:p>
      <w:pPr>
        <w:spacing w:after="120" w:line="276" w:lineRule="auto"/>
      </w:pPr>
      <w:r>
        <w:t>**RSI** : À 57,594, le RSI se situe en zone neutre (entre 30 et 70), sans signal de surachat (&gt;70) ni de survente (&lt;30). Cela indique que le titre dispose encore d'un potentiel de hausse sans être techniquement épuisé, justifiant une position d'attente neutre.</w:t>
      </w:r>
    </w:p>
    <w:p>
      <w:pPr>
        <w:spacing w:after="120" w:line="276" w:lineRule="auto"/>
      </w:pPr>
      <w:r>
        <w:t>**Stochastique** : Le %K (99,455) est très proche du %D (92,555), avec un %K en zone de surachat extrême (&gt;80). Ce positionnement signale une possible correction à court terme, justifiant la décision de vente technique, bien que le croisement ne soit pas encore confirmé.</w:t>
      </w:r>
    </w:p>
    <w:p>
      <w:pPr>
        <w:spacing w:after="120" w:line="276" w:lineRule="auto"/>
      </w:pPr>
      <w:r>
        <w:t>**Conclusion technique** : Les indicateurs de tendance (MM, MACD) sont clairement haussiers, tandis que les oscillateurs (RSI, Stochastique) affichent des signaux divergents — le RSI reste neutre mais le Stochastique est en surachat. Cette configuration suggère que la tendance haussière est intacte mais qu'une consolidation ou une légère correction pourrait survenir à court terme. Le titre reste techniquement bien orienté, avec un support dynamique autour de 12 500-12 700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SDCC affichent un chiffre d'affaires de 189,430 milliards FCFA, en croissance de +9,98% par rapport à 2024, porté par la hausse des volumes d'eau facturés et l'élargissement du portefeuille clients (2 272 032 clients, +6,14%). Le résultat net s'établit à 4,663 milliards FCFA, en progression de +31% (contre 3,56 milliards en 2024), avec une marge nette de 2,46% — en amélioration par rapport aux 2,1% de 2024. Le ROE atteint 23,65%, un niveau excellent (&gt;15%), témoignant d'une rentabilité des fonds propres très solide, tandis que le ROA reste faible à 0,99%, reflétant l'intensité capitalistique du secteur (total actif de 472,672 milliards FCFA). La structure financière présente des signaux contrastés : l'autonomie financière est très faible (4,17%), avec un ratio d'endettement de 95,83% et une dépendance financière de 740,21%, ce qui traduit un fort levier. Le BFR s'élève à 104,748 milliards FCFA, avec un délai clients très élevé de 749,25 jours — un risque de trésorerie majeur — et une trésorerie nette négative de -61,710 milliards FCFA. Les flux opérationnels sont négatifs (-36,655 milliards FCFA), confirmant les tensions de liquidité. Sur la base du rapport T1 2026 (publié en 2026), le chiffre d'affaires recule légèrement de -2% à 40 916 millions FCFA, mais le résultat net bondit de +118% à 1 318 millions FCFA, avec un résultat d'exploitation multiplié par 2,5 (2 730 millions FCFA) grâce à une meilleure maîtrise des charges. On estime donc que l'exercice 2026 devrait confirmer l'amélioration de la rentabilité opérationnelle, malgré un CA stable, avec un résultat net annuel potentiellement supérieur à 5 milliards FCFA si la dynamique se poursuit. Le dividende proposé pour 2025 est de 525 FCFA/action, offrant un rendement d'environ 4,04% au cours actuel — attractif mais inférieur au taux de distribution de 101% observé en 2024. En synthèse, SDCC présente une solidité opérationnelle et une rentabilité en nette amélioration, mais sa structure financière reste fragile (endettement élevé, trésorerie négative, délais clients excessifs), ce qui constitue un risque majeur malgré la confiance du management.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(PER 25,1x, P/B 5,93x, EV/EBITDA 14,9x) indique une surévaluation relative par rapport aux standards du marché BRVM, le titre intégrant déjà une prime de qualité et des anticipations de croissance. Le comportement du cours sur 100 jours est haussier (+22,09%), avec une volatilité élevée (36,7%) mais une distribution quasi-normale (kurtosis -0,335, skewness 0,469), sans risque excessif de pics extrêmes. Les signaux techniques sont majoritairement haussiers (MM20 &gt; MM50, MACD positif, cours au-dessus des supports), mais le Stochastique en surachat extrême (%K = 99,455) suggère une correction imminente, créant une divergence à court terme. Les fondamentaux sont en amélioration (CA +9,98%, RN +31%, ROE 23,65% en 2025), avec un T1 2026 confirmant la dynamique (RN +118%), mais la structure financière reste préoccupante (autonomie financière 4,17%, trésorerie nette -61,71 milliards FCFA, délai clients 749 jours). Les prédictions IA (J+1 à J+10) tablent sur une légère hausse vers 13 070 FCFA, confirmant la tendance haussière mais sans emballement. Sur la base de cette synthèse, la recommandation finale est **CONSERVER** : le titre offre une qualité fondamentale et une dynamique positive, mais sa valorisation exigeante et ses risques financiers (endettement, trésorerie) limitent le potentiel de hausse à court terme. Le niveau de confiance est **Moyen**, en raison de la divergence entre technique (surachat) et fondamental (amélioration), et le risque global est **Élevé** (volatilité 36,7%, levier financier important). L'horizon d'investissement optimal est le **moyen terme (3-12 mois)**, le temps que la société confirme le redressement de sa rentabilité et stabilise sa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155.68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17,463 titres</w:t>
            </w:r>
          </w:p>
        </w:tc>
        <w:tc>
          <w:tcPr>
            <w:tcW w:type="dxa" w:w="2268"/>
            <w:shd w:fill="FFF2CC" w:val="clear"/>
          </w:tcPr>
          <w:p>
            <w:r>
              <w:rPr>
                <w:b/>
                <w:color w:val="503200"/>
                <w:sz w:val="16"/>
              </w:rPr>
              <w:t xml:space="preserve">Cours actuel : </w:t>
            </w:r>
            <w:r>
              <w:rPr>
                <w:color w:val="000000"/>
                <w:sz w:val="17"/>
              </w:rPr>
              <w:t>2,860 FCFA</w:t>
            </w:r>
          </w:p>
          <w:p>
            <w:r>
              <w:rPr>
                <w:b/>
                <w:color w:val="503200"/>
                <w:sz w:val="16"/>
              </w:rPr>
              <w:t xml:space="preserve">Var. 100 jours : </w:t>
            </w:r>
            <w:r>
              <w:rPr>
                <w:b/>
                <w:color w:val="007800"/>
                <w:sz w:val="17"/>
              </w:rPr>
              <w:t>+68.73%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15.89% (Élevée) — μ=2,554 FCFA, σ=406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β=0.5204 (Défensif) — Cov=0.000038, Var(idx)=0.000074, ρ=0.138,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17,463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σ_j=3.26%/j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2,721</w:t>
            </w:r>
          </w:p>
        </w:tc>
        <w:tc>
          <w:tcPr>
            <w:tcW w:type="dxa" w:w="1440"/>
            <w:shd w:fill="FAFAFA" w:val="clear"/>
          </w:tcPr>
          <w:p>
            <w:r>
              <w:rPr>
                <w:b/>
                <w:sz w:val="17"/>
              </w:rPr>
              <w:t>2,865</w:t>
            </w:r>
          </w:p>
        </w:tc>
        <w:tc>
          <w:tcPr>
            <w:tcW w:type="dxa" w:w="1440"/>
            <w:shd w:fill="FAFAFA" w:val="clear"/>
          </w:tcPr>
          <w:p>
            <w:r>
              <w:rPr>
                <w:sz w:val="17"/>
              </w:rPr>
              <w:t>3,009</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2,673</w:t>
            </w:r>
          </w:p>
        </w:tc>
        <w:tc>
          <w:tcPr>
            <w:tcW w:type="dxa" w:w="1440"/>
            <w:shd w:fill="FAFAFA" w:val="clear"/>
          </w:tcPr>
          <w:p>
            <w:r>
              <w:rPr>
                <w:b/>
                <w:sz w:val="17"/>
              </w:rPr>
              <w:t>2,878</w:t>
            </w:r>
          </w:p>
        </w:tc>
        <w:tc>
          <w:tcPr>
            <w:tcW w:type="dxa" w:w="1440"/>
            <w:shd w:fill="FAFAFA" w:val="clear"/>
          </w:tcPr>
          <w:p>
            <w:r>
              <w:rPr>
                <w:sz w:val="17"/>
              </w:rPr>
              <w:t>3,082</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2,635</w:t>
            </w:r>
          </w:p>
        </w:tc>
        <w:tc>
          <w:tcPr>
            <w:tcW w:type="dxa" w:w="1440"/>
            <w:shd w:fill="FAFAFA" w:val="clear"/>
          </w:tcPr>
          <w:p>
            <w:r>
              <w:rPr>
                <w:b/>
                <w:sz w:val="17"/>
              </w:rPr>
              <w:t>2,886</w:t>
            </w:r>
          </w:p>
        </w:tc>
        <w:tc>
          <w:tcPr>
            <w:tcW w:type="dxa" w:w="1440"/>
            <w:shd w:fill="FAFAFA" w:val="clear"/>
          </w:tcPr>
          <w:p>
            <w:r>
              <w:rPr>
                <w:sz w:val="17"/>
              </w:rPr>
              <w:t>3,137</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2,599</w:t>
            </w:r>
          </w:p>
        </w:tc>
        <w:tc>
          <w:tcPr>
            <w:tcW w:type="dxa" w:w="1440"/>
            <w:shd w:fill="FAFAFA" w:val="clear"/>
          </w:tcPr>
          <w:p>
            <w:r>
              <w:rPr>
                <w:b/>
                <w:sz w:val="17"/>
              </w:rPr>
              <w:t>2,889</w:t>
            </w:r>
          </w:p>
        </w:tc>
        <w:tc>
          <w:tcPr>
            <w:tcW w:type="dxa" w:w="1440"/>
            <w:shd w:fill="FAFAFA" w:val="clear"/>
          </w:tcPr>
          <w:p>
            <w:r>
              <w:rPr>
                <w:sz w:val="17"/>
              </w:rPr>
              <w:t>3,180</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2,565</w:t>
            </w:r>
          </w:p>
        </w:tc>
        <w:tc>
          <w:tcPr>
            <w:tcW w:type="dxa" w:w="1440"/>
            <w:shd w:fill="FAFAFA" w:val="clear"/>
          </w:tcPr>
          <w:p>
            <w:r>
              <w:rPr>
                <w:b/>
                <w:sz w:val="17"/>
              </w:rPr>
              <w:t>2,890</w:t>
            </w:r>
          </w:p>
        </w:tc>
        <w:tc>
          <w:tcPr>
            <w:tcW w:type="dxa" w:w="1440"/>
            <w:shd w:fill="FAFAFA" w:val="clear"/>
          </w:tcPr>
          <w:p>
            <w:r>
              <w:rPr>
                <w:sz w:val="17"/>
              </w:rPr>
              <w:t>3,214</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2,533</w:t>
            </w:r>
          </w:p>
        </w:tc>
        <w:tc>
          <w:tcPr>
            <w:tcW w:type="dxa" w:w="1440"/>
            <w:shd w:fill="FAFAFA" w:val="clear"/>
          </w:tcPr>
          <w:p>
            <w:r>
              <w:rPr>
                <w:b/>
                <w:sz w:val="17"/>
              </w:rPr>
              <w:t>2,889</w:t>
            </w:r>
          </w:p>
        </w:tc>
        <w:tc>
          <w:tcPr>
            <w:tcW w:type="dxa" w:w="1440"/>
            <w:shd w:fill="FAFAFA" w:val="clear"/>
          </w:tcPr>
          <w:p>
            <w:r>
              <w:rPr>
                <w:sz w:val="17"/>
              </w:rPr>
              <w:t>3,244</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2,504</w:t>
            </w:r>
          </w:p>
        </w:tc>
        <w:tc>
          <w:tcPr>
            <w:tcW w:type="dxa" w:w="1440"/>
            <w:shd w:fill="FAFAFA" w:val="clear"/>
          </w:tcPr>
          <w:p>
            <w:r>
              <w:rPr>
                <w:b/>
                <w:sz w:val="17"/>
              </w:rPr>
              <w:t>2,887</w:t>
            </w:r>
          </w:p>
        </w:tc>
        <w:tc>
          <w:tcPr>
            <w:tcW w:type="dxa" w:w="1440"/>
            <w:shd w:fill="FAFAFA" w:val="clear"/>
          </w:tcPr>
          <w:p>
            <w:r>
              <w:rPr>
                <w:sz w:val="17"/>
              </w:rPr>
              <w:t>3,271</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2,476</w:t>
            </w:r>
          </w:p>
        </w:tc>
        <w:tc>
          <w:tcPr>
            <w:tcW w:type="dxa" w:w="1440"/>
            <w:shd w:fill="FAFAFA" w:val="clear"/>
          </w:tcPr>
          <w:p>
            <w:r>
              <w:rPr>
                <w:b/>
                <w:sz w:val="17"/>
              </w:rPr>
              <w:t>2,886</w:t>
            </w:r>
          </w:p>
        </w:tc>
        <w:tc>
          <w:tcPr>
            <w:tcW w:type="dxa" w:w="1440"/>
            <w:shd w:fill="FAFAFA" w:val="clear"/>
          </w:tcPr>
          <w:p>
            <w:r>
              <w:rPr>
                <w:sz w:val="17"/>
              </w:rPr>
              <w:t>3,296</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2,449</w:t>
            </w:r>
          </w:p>
        </w:tc>
        <w:tc>
          <w:tcPr>
            <w:tcW w:type="dxa" w:w="1440"/>
            <w:shd w:fill="FAFAFA" w:val="clear"/>
          </w:tcPr>
          <w:p>
            <w:r>
              <w:rPr>
                <w:b/>
                <w:sz w:val="17"/>
              </w:rPr>
              <w:t>2,884</w:t>
            </w:r>
          </w:p>
        </w:tc>
        <w:tc>
          <w:tcPr>
            <w:tcW w:type="dxa" w:w="1440"/>
            <w:shd w:fill="FAFAFA" w:val="clear"/>
          </w:tcPr>
          <w:p>
            <w:r>
              <w:rPr>
                <w:sz w:val="17"/>
              </w:rPr>
              <w:t>3,319</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2,424</w:t>
            </w:r>
          </w:p>
        </w:tc>
        <w:tc>
          <w:tcPr>
            <w:tcW w:type="dxa" w:w="1440"/>
            <w:shd w:fill="FAFAFA" w:val="clear"/>
          </w:tcPr>
          <w:p>
            <w:r>
              <w:rPr>
                <w:b/>
                <w:sz w:val="17"/>
              </w:rPr>
              <w:t>2,882</w:t>
            </w:r>
          </w:p>
        </w:tc>
        <w:tc>
          <w:tcPr>
            <w:tcW w:type="dxa" w:w="1440"/>
            <w:shd w:fill="FAFAFA" w:val="clear"/>
          </w:tcPr>
          <w:p>
            <w:r>
              <w:rPr>
                <w:sz w:val="17"/>
              </w:rPr>
              <w:t>3,340</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1.280 Mds FCFA</w:t>
            </w:r>
          </w:p>
        </w:tc>
        <w:tc>
          <w:tcPr>
            <w:tcW w:type="dxa" w:w="5669"/>
            <w:shd w:fill="FFFFFF" w:val="clear"/>
          </w:tcPr>
          <w:p>
            <w:r>
              <w:rPr>
                <w:color w:val="282828"/>
                <w:sz w:val="15"/>
              </w:rPr>
              <w:t>Rotation stocks = 71.9x/an.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118.327 Mds FCFA</w:t>
            </w:r>
          </w:p>
        </w:tc>
        <w:tc>
          <w:tcPr>
            <w:tcW w:type="dxa" w:w="5669"/>
            <w:shd w:fill="FFFFFF" w:val="clear"/>
          </w:tcPr>
          <w:p>
            <w:r>
              <w:rPr>
                <w:color w:val="282828"/>
                <w:sz w:val="15"/>
              </w:rPr>
              <w:t>Ratio actif circ./passif circ. = 0.67x.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267.07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54.655 Mds FCFA</w:t>
            </w:r>
          </w:p>
        </w:tc>
        <w:tc>
          <w:tcPr>
            <w:tcW w:type="dxa" w:w="5669"/>
            <w:shd w:fill="FFFFFF" w:val="clear"/>
          </w:tcPr>
          <w:p>
            <w:r>
              <w:rPr>
                <w:color w:val="282828"/>
                <w:sz w:val="15"/>
              </w:rPr>
              <w:t>Outil industriel (21.1%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64.340 Mds FCFA</w:t>
            </w:r>
          </w:p>
        </w:tc>
        <w:tc>
          <w:tcPr>
            <w:tcW w:type="dxa" w:w="5669"/>
            <w:shd w:fill="FFFFFF" w:val="clear"/>
          </w:tcPr>
          <w:p>
            <w:r>
              <w:rPr>
                <w:color w:val="282828"/>
                <w:sz w:val="15"/>
              </w:rPr>
              <w:t>Actif immobilisé = 24.8%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76.782 Mds FCFA</w:t>
            </w:r>
          </w:p>
        </w:tc>
        <w:tc>
          <w:tcPr>
            <w:tcW w:type="dxa" w:w="5669"/>
            <w:shd w:fill="FFFFFF" w:val="clear"/>
          </w:tcPr>
          <w:p>
            <w:r>
              <w:rPr>
                <w:color w:val="282828"/>
                <w:sz w:val="15"/>
              </w:rPr>
              <w:t>Liquidités disponibles (29.6%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259.448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61.200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73.552 Mds FCFA</w:t>
            </w:r>
          </w:p>
        </w:tc>
        <w:tc>
          <w:tcPr>
            <w:tcW w:type="dxa" w:w="5669"/>
            <w:shd w:fill="FFFFFF" w:val="clear"/>
          </w:tcPr>
          <w:p>
            <w:r>
              <w:rPr>
                <w:color w:val="282828"/>
                <w:sz w:val="15"/>
              </w:rPr>
              <w:t>Fonds propres = 28.3%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81.783 Mds FCFA</w:t>
            </w:r>
          </w:p>
        </w:tc>
        <w:tc>
          <w:tcPr>
            <w:tcW w:type="dxa" w:w="5669"/>
            <w:shd w:fill="FFFFFF" w:val="clear"/>
          </w:tcPr>
          <w:p>
            <w:r>
              <w:rPr>
                <w:color w:val="282828"/>
                <w:sz w:val="15"/>
              </w:rPr>
              <w:t>Capitaux permanents / Actif immobilisé = 1.27x.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8.231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10.231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185.896 Mds FCFA</w:t>
            </w:r>
          </w:p>
        </w:tc>
        <w:tc>
          <w:tcPr>
            <w:tcW w:type="dxa" w:w="5669"/>
            <w:shd w:fill="FFFFFF" w:val="clear"/>
          </w:tcPr>
          <w:p>
            <w:r>
              <w:rPr>
                <w:color w:val="282828"/>
                <w:sz w:val="15"/>
              </w:rPr>
              <w:t>Dettes totales = 71.7%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92.004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92.004 Mds FCFA</w:t>
            </w:r>
          </w:p>
        </w:tc>
        <w:tc>
          <w:tcPr>
            <w:tcW w:type="dxa" w:w="5669"/>
            <w:shd w:fill="FFFFFF" w:val="clear"/>
          </w:tcPr>
          <w:p>
            <w:r>
              <w:rPr>
                <w:color w:val="282828"/>
                <w:sz w:val="15"/>
              </w:rPr>
              <w:t>Chiffre d'affaires. Croissance: 7.4%.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9.043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36.205 Mds FCFA</w:t>
            </w:r>
          </w:p>
        </w:tc>
        <w:tc>
          <w:tcPr>
            <w:tcW w:type="dxa" w:w="5669"/>
            <w:shd w:fill="FFFFFF" w:val="clear"/>
          </w:tcPr>
          <w:p>
            <w:r>
              <w:rPr>
                <w:color w:val="282828"/>
                <w:sz w:val="15"/>
              </w:rPr>
              <w:t>Masse salariale = 39.4%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40.469 Mds FCFA</w:t>
            </w:r>
          </w:p>
        </w:tc>
        <w:tc>
          <w:tcPr>
            <w:tcW w:type="dxa" w:w="5669"/>
            <w:shd w:fill="FFFFFF" w:val="clear"/>
          </w:tcPr>
          <w:p>
            <w:r>
              <w:rPr>
                <w:color w:val="282828"/>
                <w:sz w:val="15"/>
              </w:rPr>
              <w:t>VA = 44.0%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4.264 Mds FCFA</w:t>
            </w:r>
          </w:p>
        </w:tc>
        <w:tc>
          <w:tcPr>
            <w:tcW w:type="dxa" w:w="5669"/>
            <w:shd w:fill="FFFFFF" w:val="clear"/>
          </w:tcPr>
          <w:p>
            <w:r>
              <w:rPr>
                <w:color w:val="282828"/>
                <w:sz w:val="15"/>
              </w:rPr>
              <w:t>EBE = 4.6%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-2.271 Mds FCFA</w:t>
            </w:r>
          </w:p>
        </w:tc>
        <w:tc>
          <w:tcPr>
            <w:tcW w:type="dxa" w:w="5669"/>
            <w:shd w:fill="FFFFFF" w:val="clear"/>
          </w:tcPr>
          <w:p>
            <w:r>
              <w:rPr>
                <w:color w:val="282828"/>
                <w:sz w:val="15"/>
              </w:rPr>
              <w:t>Profit d'exploitation = -2.5%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EB9C" w:val="clear"/>
          </w:tcPr>
          <w:p>
            <w:r>
              <w:rPr>
                <w:b/>
                <w:color w:val="006400"/>
                <w:sz w:val="17"/>
              </w:rPr>
              <w:t>784.97 M FCFA</w:t>
            </w:r>
          </w:p>
        </w:tc>
        <w:tc>
          <w:tcPr>
            <w:tcW w:type="dxa" w:w="5669"/>
            <w:shd w:fill="FFFFFF" w:val="clear"/>
          </w:tcPr>
          <w:p>
            <w:r>
              <w:rPr>
                <w:color w:val="282828"/>
                <w:sz w:val="15"/>
              </w:rPr>
              <w:t>Marge nette = 0.9%.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7.503 Mds FCFA</w:t>
            </w:r>
          </w:p>
        </w:tc>
        <w:tc>
          <w:tcPr>
            <w:tcW w:type="dxa" w:w="5669"/>
            <w:shd w:fill="FFFFFF" w:val="clear"/>
          </w:tcPr>
          <w:p>
            <w:r>
              <w:rPr>
                <w:color w:val="282828"/>
                <w:sz w:val="15"/>
              </w:rPr>
              <w:t>CAF = 7.50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83.198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-19.195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-4.838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55.471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-57.339 Mds FCFA</w:t>
            </w:r>
          </w:p>
        </w:tc>
        <w:tc>
          <w:tcPr>
            <w:tcW w:type="dxa" w:w="5669"/>
            <w:shd w:fill="FFFFFF" w:val="clear"/>
          </w:tcPr>
          <w:p>
            <w:r>
              <w:rPr>
                <w:color w:val="282828"/>
                <w:sz w:val="15"/>
              </w:rPr>
              <w:t>BFR = -62.3%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17.443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74.782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FFEB9C" w:val="clear"/>
          </w:tcPr>
          <w:p>
            <w:r>
              <w:rPr>
                <w:b/>
                <w:color w:val="006400"/>
                <w:sz w:val="17"/>
              </w:rPr>
              <w:t>0.85%</w:t>
            </w:r>
          </w:p>
        </w:tc>
        <w:tc>
          <w:tcPr>
            <w:tcW w:type="dxa" w:w="5669"/>
            <w:shd w:fill="FFFFFF" w:val="clear"/>
          </w:tcPr>
          <w:p>
            <w:r>
              <w:rPr>
                <w:color w:val="282828"/>
                <w:sz w:val="15"/>
              </w:rPr>
              <w:t>Résultat net / revenus = 0.85%. ⚠️ Marge nette très fine — sensible aux aléas.</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-2.47%</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1.07%</w:t>
            </w:r>
          </w:p>
        </w:tc>
        <w:tc>
          <w:tcPr>
            <w:tcW w:type="dxa" w:w="5669"/>
            <w:shd w:fill="FFFFFF" w:val="clear"/>
          </w:tcPr>
          <w:p>
            <w:r>
              <w:rPr>
                <w:color w:val="282828"/>
                <w:sz w:val="15"/>
              </w:rPr>
              <w:t>Résultat net / capitaux propres = 1.07%.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0.30%</w:t>
            </w:r>
          </w:p>
        </w:tc>
        <w:tc>
          <w:tcPr>
            <w:tcW w:type="dxa" w:w="5669"/>
            <w:shd w:fill="FFFFFF" w:val="clear"/>
          </w:tcPr>
          <w:p>
            <w:r>
              <w:rPr>
                <w:color w:val="282828"/>
                <w:sz w:val="15"/>
              </w:rPr>
              <w:t>Résultat net / total actif = 0.30%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35.46%</w:t>
            </w:r>
          </w:p>
        </w:tc>
        <w:tc>
          <w:tcPr>
            <w:tcW w:type="dxa" w:w="5669"/>
            <w:shd w:fill="FFFFFF" w:val="clear"/>
          </w:tcPr>
          <w:p>
            <w:r>
              <w:rPr>
                <w:color w:val="282828"/>
                <w:sz w:val="15"/>
              </w:rPr>
              <w:t>CA / total actif = 35.46x.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7.43%</w:t>
            </w:r>
          </w:p>
        </w:tc>
        <w:tc>
          <w:tcPr>
            <w:tcW w:type="dxa" w:w="5669"/>
            <w:shd w:fill="FFFFFF" w:val="clear"/>
          </w:tcPr>
          <w:p>
            <w:r>
              <w:rPr>
                <w:color w:val="282828"/>
                <w:sz w:val="15"/>
              </w:rPr>
              <w:t>Croissance CA vs exercice précédent = 7.43%.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28.35%</w:t>
            </w:r>
          </w:p>
        </w:tc>
        <w:tc>
          <w:tcPr>
            <w:tcW w:type="dxa" w:w="5669"/>
            <w:shd w:fill="FFFFFF" w:val="clear"/>
          </w:tcPr>
          <w:p>
            <w:r>
              <w:rPr>
                <w:color w:val="282828"/>
                <w:sz w:val="15"/>
              </w:rPr>
              <w:t>Fonds propres / total bilan = 28.35%.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71.65%</w:t>
            </w:r>
          </w:p>
        </w:tc>
        <w:tc>
          <w:tcPr>
            <w:tcW w:type="dxa" w:w="5669"/>
            <w:shd w:fill="FFFFFF" w:val="clear"/>
          </w:tcPr>
          <w:p>
            <w:r>
              <w:rPr>
                <w:color w:val="282828"/>
                <w:sz w:val="15"/>
              </w:rPr>
              <w:t>Dettes financières / total bilan = 71.65%.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13.91%</w:t>
            </w:r>
          </w:p>
        </w:tc>
        <w:tc>
          <w:tcPr>
            <w:tcW w:type="dxa" w:w="5669"/>
            <w:shd w:fill="FFFFFF" w:val="clear"/>
          </w:tcPr>
          <w:p>
            <w:r>
              <w:rPr>
                <w:color w:val="282828"/>
                <w:sz w:val="15"/>
              </w:rPr>
              <w:t>Dettes totales / fonds propres = 13.91%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139.57%</w:t>
            </w:r>
          </w:p>
        </w:tc>
        <w:tc>
          <w:tcPr>
            <w:tcW w:type="dxa" w:w="5669"/>
            <w:shd w:fill="FFFFFF" w:val="clear"/>
          </w:tcPr>
          <w:p>
            <w:r>
              <w:rPr>
                <w:color w:val="282828"/>
                <w:sz w:val="15"/>
              </w:rPr>
              <w:t>Total actif / dettes totales = 139.57x.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109.82%</w:t>
            </w:r>
          </w:p>
        </w:tc>
        <w:tc>
          <w:tcPr>
            <w:tcW w:type="dxa" w:w="5669"/>
            <w:shd w:fill="FFFFFF" w:val="clear"/>
          </w:tcPr>
          <w:p>
            <w:r>
              <w:rPr>
                <w:color w:val="282828"/>
                <w:sz w:val="15"/>
              </w:rPr>
              <w:t>Actif circulant / passif circulant = 109.82x.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43.22%</w:t>
            </w:r>
          </w:p>
        </w:tc>
        <w:tc>
          <w:tcPr>
            <w:tcW w:type="dxa" w:w="5669"/>
            <w:shd w:fill="FFFFFF" w:val="clear"/>
          </w:tcPr>
          <w:p>
            <w:r>
              <w:rPr>
                <w:color w:val="282828"/>
                <w:sz w:val="15"/>
              </w:rPr>
              <w:t>Trésorerie / passif circulant = 43.22x.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109.10%</w:t>
            </w:r>
          </w:p>
        </w:tc>
        <w:tc>
          <w:tcPr>
            <w:tcW w:type="dxa" w:w="5669"/>
            <w:shd w:fill="FFFFFF" w:val="clear"/>
          </w:tcPr>
          <w:p>
            <w:r>
              <w:rPr>
                <w:color w:val="282828"/>
                <w:sz w:val="15"/>
              </w:rPr>
              <w:t>(Actif circ. - stocks) / passif circ. = 109.10x.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127.11%</w:t>
            </w:r>
          </w:p>
        </w:tc>
        <w:tc>
          <w:tcPr>
            <w:tcW w:type="dxa" w:w="5669"/>
            <w:shd w:fill="FFFFFF" w:val="clear"/>
          </w:tcPr>
          <w:p>
            <w:r>
              <w:rPr>
                <w:color w:val="282828"/>
                <w:sz w:val="15"/>
              </w:rPr>
              <w:t>Capitaux permanents / actif immobilisé = 127.11x.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1.4 ans</w:t>
            </w:r>
          </w:p>
        </w:tc>
        <w:tc>
          <w:tcPr>
            <w:tcW w:type="dxa" w:w="5669"/>
            <w:shd w:fill="FFFFFF" w:val="clear"/>
          </w:tcPr>
          <w:p>
            <w:r>
              <w:rPr>
                <w:color w:val="282828"/>
                <w:sz w:val="15"/>
              </w:rPr>
              <w:t>Dettes financières / CAF = 1.4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-289.33%</w:t>
            </w:r>
          </w:p>
        </w:tc>
        <w:tc>
          <w:tcPr>
            <w:tcW w:type="dxa" w:w="5669"/>
            <w:shd w:fill="FFFFFF" w:val="clear"/>
          </w:tcPr>
          <w:p>
            <w:r>
              <w:rPr>
                <w:color w:val="282828"/>
                <w:sz w:val="15"/>
              </w:rPr>
              <w:t>Résultat exploit. / charges financières = -289.33x.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27.06%</w:t>
            </w:r>
          </w:p>
        </w:tc>
        <w:tc>
          <w:tcPr>
            <w:tcW w:type="dxa" w:w="5669"/>
            <w:shd w:fill="FFFFFF" w:val="clear"/>
          </w:tcPr>
          <w:p>
            <w:r>
              <w:rPr>
                <w:color w:val="282828"/>
                <w:sz w:val="15"/>
              </w:rPr>
              <w:t>CAF / investissements = 27.06x. ⚠️ Financement externe nécessaire pour les investissements.</w:t>
            </w:r>
          </w:p>
        </w:tc>
      </w:tr>
    </w:tbl>
    <w:p/>
    <w:p>
      <w:pPr>
        <w:spacing w:after="120" w:line="276" w:lineRule="auto"/>
      </w:pPr>
      <w:r>
        <w:t># RAPPORT D'ANALYSE FINANCIÈRE — ACTION SDSC (AGL Côte d'Ivoire)</w:t>
        <w:br/>
        <w:t>**Bourse Régionale des Valeurs Mobilières (BRVM) — Secteur : Logistique &amp; Transport**</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155,68 milliards FCFA, SDSC s'impose comme une valeur de taille intermédiaire significative sur la BRVM, témoignant de la confiance du marché envers ce leader de la logistique en Afrique de l'Ouest. Le BPA de 14 FCFA/action révèle toutefois une rentabilité unitaire très faible, ce qui se traduit par un PER de 198,3x — un niveau exceptionnellement élevé comparé à la moyenne BRVM (8-12x), signalant que les investisseurs paient une prime considérable pour des bénéfices quasi-inexistants. Le P/B de 2,12x indique que le marché valorise l'entreprise à plus du double de sa valeur comptable, accordant une prime de croissance qui contraste avec la dégradation récente des marges. Enfin, l'EV/EBITDA de 21,4x (seuil d'exigence &gt;15x) confirme que la valeur d'entreprise intègre des anticipations de redressement opérationnel qui restent à démontrer, rendant la valorisation actuelle particulièrement exigeante au regard des fondamentaux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+68,73%, passant d'un plus bas de 1 650 FCFA à un plus haut de 3 205 FCFA, avant de clôturer à 2 860 FCFA, soit un repli de -3,05% lors de la dernière séance. Ce range de trading de 1 555 FCFA (soit près du double du plus bas) illustre une dynamique haussière puissante, bien que le cours actuel se situe à 10,8% sous son sommet, suggérant une phase de consolidation après un rallye exceptionnel. Les statistiques descriptives révèlent une moyenne de 2 554 FCFA légèrement inférieure à la médiane de 2 655 FCFA, avec un mode à 2 800 FCFA — cet écart indique une asymétrie négative (skewness de -0,609), confirmant que davantage de journées se sont négociées au-dessus de la moyenne, typique d'un titre en tendance haussière avec des corrections ponctuelles. L'écart-type de 408 FCFA (CV de 16,0%) traduit une dispersion modérée du cours autour de sa moyenne, tandis que le kurtosis de -0,536 (mésokurtique) suggère une distribution proche de la normale, sans risque excessif de pics extrêmes. La volatilité annualisée de 51,8% classe ce titre dans la catégorie **élevée** (&gt;30%), ce qui est cohérent avec un rallye de +68% sur une période courte et impose une gestion rigoureuse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(2 961,25 FCFA) et la MM50 (2 849,60 FCFA) encadrent le cours actuel de 2 860 FCFA, qui évolue légèrement au-dessus de la MM50 mais sous la MM20. Cette configuration suggère une consolidation à court terme, mais la décision technique globale reste **Achat** car la MM20 demeure supérieure à la MM50, confirmant la tendance haussière de fond malgré le repli récent.</w:t>
      </w:r>
    </w:p>
    <w:p>
      <w:pPr>
        <w:spacing w:after="120" w:line="276" w:lineRule="auto"/>
      </w:pPr>
      <w:r>
        <w:t>**Bandes de Bollinger :** Le cours (2 860 FCFA) se situe dans la partie inférieure de la bande (borne supérieure : 3 164,20 FCFA ; borne inférieure : 2 758,30 FCFA), à seulement 3,7% au-dessus de la borne basse. Cette position indique une pression vendeuse récente, mais la largeur des bandes (405,90 FCFA) reflète une volatilité encore élevée. La décision **Neutre** traduit l'absence de signal directionnel clair, le cours n'ayant pas encore testé les extrêmes.</w:t>
      </w:r>
    </w:p>
    <w:p>
      <w:pPr>
        <w:spacing w:after="120" w:line="276" w:lineRule="auto"/>
      </w:pPr>
      <w:r>
        <w:t>**MACD :** La valeur du MACD (25,53) est nettement inférieure à son signal (38,745), générant un croisement baissier et une divergence négative. Cette configuration indique un essoufflement du momentum haussier, justifiant la décision **Vente** à court terme, bien que le MACD reste en territoire positif, ce qui tempère la portée du signal.</w:t>
      </w:r>
    </w:p>
    <w:p>
      <w:pPr>
        <w:spacing w:after="120" w:line="276" w:lineRule="auto"/>
      </w:pPr>
      <w:r>
        <w:t>**RSI :** À 47,706, le RSI se situe en zone neutre (30-70), sans signal de surachat (&gt;70) ni de survente (&lt;30). Cette valeur médiane reflète un équilibre entre acheteurs et vendeurs, justifiant la décision **Neutre** et suggérant qu'aucun mouvement directionnel fort n'est imminent.</w:t>
      </w:r>
    </w:p>
    <w:p>
      <w:pPr>
        <w:spacing w:after="120" w:line="276" w:lineRule="auto"/>
      </w:pPr>
      <w:r>
        <w:t>**Stochastique :** Le %K (20,339) est nettement inférieur au %D (52,542), avec un %K en zone de survente (&lt;20), signalant une pression baissière à court terme. Le croisement baissier des deux lignes justifie la décision **Neutre**, mais la position basse du %K pourrait annoncer un rebond technique imminent si un croisement haussier se matérialise.</w:t>
      </w:r>
    </w:p>
    <w:p>
      <w:pPr>
        <w:spacing w:after="120" w:line="276" w:lineRule="auto"/>
      </w:pPr>
      <w:r>
        <w:t>**Conclusion technique :** Les indicateurs présentent une divergence notable : les moyennes mobiles maintiennent un biais haussier de fond (MM20 &gt; MM50), tandis que le MACD et le stochastique signalent un essoufflement à court terme. Le RSI neutre et la position basse du cours dans les bandes de Bollinger suggèrent une phase de consolidation, avec un potentiel de rebond technique si le support de 2 758 FCFA (borne inférieure) tient. La prudence est de mise à court terme, mais la tendance de fond reste intacte.</w:t>
      </w:r>
    </w:p>
    <w:p>
      <w:pPr>
        <w:spacing w:after="120" w:line="276" w:lineRule="auto"/>
      </w:pPr>
      <w:r>
        <w:t>---</w:t>
      </w:r>
    </w:p>
    <w:p>
      <w:pPr>
        <w:spacing w:after="120" w:line="276" w:lineRule="auto"/>
      </w:pPr>
      <w:r>
        <w:t>## PARTIE 3 : ANALYSE FONDAMENTALE</w:t>
      </w:r>
    </w:p>
    <w:p>
      <w:pPr>
        <w:spacing w:after="120" w:line="276" w:lineRule="auto"/>
      </w:pPr>
      <w:r>
        <w:t>**Données structurées (exercice 2025) :** Selon les états financiers officiels de l'exercice 2025, AGL Côte d'Ivoire affiche un chiffre d'affaires de 92,004 milliards FCFA, en croissance de +7,43% par rapport à 2024 (85,643 milliards). Cependant, le résultat net s'effondre à 784,97 millions FCFA (contre 21,069 milliards en 2024, soit -96%), générant une marge nette catastrophique de 0,85% (vs 24,6% en 2024). Le résultat d'exploitation devient négatif à -2,271 milliards FCFA, pénalisé par une hausse de 41% des dotations aux amortissements (9,043 milliards) et des charges de personnel élevées (36,205 milliards). Le ROE s'établit à seulement 1,07% (très loin du seuil d'excellence de 15%) et le ROA à 0,30%, confirmant une rentabilité quasi-nulle. La structure financière reste solide avec des capitaux propres de 73,552 milliards FCFA, une trésorerie nette de 74,782 milliards FCFA et un BFR négatif de -57,339 milliards (favorable), mais l'autonomie financière de 28,35% est légèrement sous le seuil sain de 30%. Le ratio d'endettement de 13,91% et la capacité de remboursement de 1,36 année témoignent d'un faible levier, mais la couverture des intérêts négative (-289%) révèle une incapacité à couvrir les charges financières par l'exploitation.</w:t>
      </w:r>
    </w:p>
    <w:p>
      <w:pPr>
        <w:spacing w:after="120" w:line="276" w:lineRule="auto"/>
      </w:pPr>
      <w:r>
        <w:t>**Estimations basées sur les rapports trimestriels :** Les rapports T1 2025 (CA +6,2%, résultat net -193 millions), S1 2025 (CA +4,2%, résultat net -427 millions) et T3 2025 (CA +7,4%, résultat net 4,341 milliards en chute de 77%) confirment la tendance annuelle : croissance du chiffre d'affaires portée par la campagne cacao et le cajou, mais rentabilité opérationnelle structurellement déficitaire. Le rapport du T3 2025 (daté du 30/09/2025) souligne que la chute du résultat net est principalement due à la non-répétition de dividendes exceptionnels perçus des filiales en 2024, masquant la faiblesse de l'exploitation propre. Sur la base de ces tendances, on estime que l'exercice 2026 devrait maintenir une croissance modérée du CA (+5-7%), mais la rentabilité restera sous pression tant que les charges d'exploitation (personnel, amortissements) ne seront pas maîtrisées et que les produits financiers ne se redresseront pas.</w:t>
      </w:r>
    </w:p>
    <w:p>
      <w:pPr>
        <w:spacing w:after="120" w:line="276" w:lineRule="auto"/>
      </w:pPr>
      <w:r>
        <w:t>**Recommandation fondamentale :** La société présente une solidité bilancielle indéniable (trésorerie abondante, endettement faible, BFR négatif), mais la dégradation de la rentabilité opérationnelle et la dépendance aux revenus financiers exceptionnels constituent des risques majeurs. Le dividende proposé de 544,35 millions FCFA (en baisse de 89% par rapport à 2024) reflète cette pression. La recommandation fondamentale est **CONSERVER avec vigilance**, en attendant une clarification sur la capacité de la direction à restaurer les marges opérationnelles et à pérenniser les revenus.</w:t>
      </w:r>
    </w:p>
    <w:p>
      <w:pPr>
        <w:spacing w:after="120" w:line="276" w:lineRule="auto"/>
      </w:pPr>
      <w:r>
        <w:t>---</w:t>
      </w:r>
    </w:p>
    <w:p>
      <w:pPr>
        <w:spacing w:after="120" w:line="276" w:lineRule="auto"/>
      </w:pPr>
      <w:r>
        <w:t>## PARTIE 4 : CONCLUSION D'INVESTISSEMENT</w:t>
      </w:r>
    </w:p>
    <w:p>
      <w:pPr>
        <w:spacing w:after="120" w:line="276" w:lineRule="auto"/>
      </w:pPr>
      <w:r>
        <w:t>La valorisation actuelle de SDSC apparaît **surévaluée** au regard des fondamentaux 2025 : le PER de 198,3x, le P/B de 2,12x et l'EV/EBITDA de 21,4x intègrent des anticipations de redressement qui ne sont pas encore matérialisées, créant un décalage préoccupant entre le prix de marché et la rentabilité réelle (marge nette de 0,85%, ROE de 1,07%). Le comportement du cours sur 100 jours (+68,73%) témoigne d'un engouement spéculatif, mais la volatilité élevée (51,8%) et le repli de -3,05% lors de la dernière séance, couplés à une asymétrie négative (skewness -0,609), suggèrent une phase de consolidation voire de correction. Les signaux techniques sont **divergents** : les moyennes mobiles maintiennent un biais haussier (MM20 &gt; MM50), mais le MACD baissier, le stochastique en survente et la position basse du cours dans les bandes de Bollinger signalent un essoufflement à court terme. Les fondamentaux, bien que soutenus par une trésorerie solide (74,78 milliards FCFA) et un BFR négatif favorable, restent fragiles avec un résultat d'exploitation négatif (-2,271 milliards) et une dépendance aux revenus financiers. Les prédictions IA (J+1 à J+10 : 2 865 → 2 890 FCFA) anticipent une légère reprise (+1,05% sur 10 jours), confirmant la thèse d'une consolidation avec potentiel de rebond technique, mais sans conviction forte. **Recommandation finale : CONSERVER**, avec un niveau de confiance **Moyen** et un risque global **Élevé**. La convergence partielle entre technique (biais haussier de fond) et prédictions IA (reprise modérée) soutient cette position, mais la divergence avec les fondamentaux (rentabilité quasi-nulle) et la valorisation exigeante impose la prudence. L'horizon d'investissement optimal est **moyen terme (3-12 mois)**, en surveillant les prochains rapports trimestriels (T1 2026) pour confirmer ou infirmer la reprise opérationnelle. Un seuil de vente est recommandé si le cours casse le support de 2 758 FCFA (borne inférieure de Bollinger) ou si le résultat d'exploitation reste négatif au T1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β=1.0555 (Neutre (suit le marché)) — Cov=0.000040, Var(idx)=0.000038, ρ=0.224, n=84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ACTION SEMC (EVIOSYS PACKAGING SIEM)**</w:t>
        <w:br/>
        <w:t>**Bourse Régionale des Valeurs Mobilières (BRVM) — Côte d'Ivoire**</w:t>
        <w:br/>
        <w:t>*Date d'analyse : mars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de petite capitalisation, ce qui implique une liquidité limitée et une sensibilité accrue aux mouvements de faible volume. Les ratios de valorisation classiques (BPA, PER, P/B, EV/EBITDA) ne sont pas calculables en l'absence de données financières structurées exploitables dans la base, ce qui prive l'investisseur d'une lecture directe du prix payé par unité de bénéfice ou de valeur comptable. Toutefois, en croisant le résultat net 2023 de 1,01 milliard FCFA (rapport du 31/12/2023) avec la capitalisation actuelle, on obtient un PER implicite d'environ 37x, très supérieur à la moyenne BRVM (8-12x), signe d'une valorisation tendue au regard des bénéfices présents. À l'inverse, le rapport 2022 faisait état d'un résultat net de 12,8 milliards FCFA, ce qui aurait impliqué un PER bien plus raisonnable — illustrant la volatilité extrême des fondamentaux et la difficulté à valoriser le titre sur une base stable. L'investisseur doit donc considérer que le marché price aujourd'hui davantage les perspectives de relance post-restructuration (rachat par Sonoco) que les bénéfices courants.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affiche une variation totale de -16,94%, avec une dernière séance en repli de -1,64%, confirmant une tendance baissière persistante. Le cours actuel de 1 495 FCFA se situe dans la partie basse du range de trading établi entre 1 350 FCFA (plus bas) et 1 800 FCFA (plus haut), soit une amplitude de 33% qui traduit une forte nervosité du titre. La moyenne (1 527 FCFA) est légèrement supérieure à la médiane (1 520 FCFA), et le mode se fixe à 1 500 FCFA : cet écart faible indique une distribution globalement équilibrée, bien que le skewness positif de 0,558 révèle une asymétrie avec davantage de journées de cotation sous la moyenne, signe d'une pression vendeuse dominante. L'écart-type de 69 FCFA (CV de 4,5%) traduit une dispersion modérée en valeur relative, mais le kurtosis excédentaire de 1,652 (distribution leptokurtique) signale des queues épaisses, donc un risque de pics de volatilité brutaux qu'il faut intégrer dans la gestion du risque. Enfin, la volatilité annualisée de 47,2% classe SEMC dans la catégorie des titres à volatilité élevée (&gt;30%), ce qui est cohérent avec une valeur de petite capitalisation en phase de restructuration.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se situe juste sous la MM50 mais nettement sous la MM20. Cette configuration — MM20 &gt; MM50 avec cours en dessous des deux — traduit un affaiblissement récent de la dynamique haussière, bien que la décision automatique affichée soit "Achat" sur la base du croisement MM20/MM50. Le signal est donc ambigu : la structure de fond reste positive mais le momentum court terme s'est retourné.</w:t>
      </w:r>
    </w:p>
    <w:p>
      <w:pPr>
        <w:spacing w:after="120" w:line="276" w:lineRule="auto"/>
      </w:pPr>
      <w:r>
        <w:t>**Bandes de Bollinger** : Le cours (1 495 FCFA) évolue dans la moitié basse de la bande, entre la borne inférieure (1 459,69 FCFA) et la borne supérieure (1 621,81 FCFA), sans toucher les extrêmes. Cette position médiane-basse, combinée à une largeur de bande importante, indique une volatilité élevée sans signal de survente ni de surachat, justifiant la décision "Neutre". Le titre n'offre donc pas de point d'entrée technique évident à ce stade.</w:t>
      </w:r>
    </w:p>
    <w:p>
      <w:pPr>
        <w:spacing w:after="120" w:line="276" w:lineRule="auto"/>
      </w:pPr>
      <w:r>
        <w:t>**MACD** : La valeur du MACD (7,313) est inférieure à son signal (11,682), ce qui constitue un croisement baissier et un momentum négatif. La décision "Vente" confirme que la pression baissière l'emporte à court terme, et cette divergence négative plaide pour la prudence tant que le MACD ne repasse pas au-dessus de son signal.</w:t>
      </w:r>
    </w:p>
    <w:p>
      <w:pPr>
        <w:spacing w:after="120" w:line="276" w:lineRule="auto"/>
      </w:pPr>
      <w:r>
        <w:t>**RSI** : À 49,533, le RSI se situe exactement dans la zone neutre (30-70), sans signal de surachat ni de survente. Cette valeur médiane indique un équilibre entre acheteurs et vendeurs, cohérent avec la décision "Neutre" et l'absence de catalyseur directionnel clair à court terme.</w:t>
      </w:r>
    </w:p>
    <w:p>
      <w:pPr>
        <w:spacing w:after="120" w:line="276" w:lineRule="auto"/>
      </w:pPr>
      <w:r>
        <w:t>**Stochastique** : Le %K (34,615) est nettement inférieur au %D (57,692), configuration baissière qui suggère que le %K pourrait continuer à descendre vers la zone de survente. La décision "Neutre" masque donc un biais baissier sous-jacent, et un croisement baissier confirmé renforcerait le signal de vente à court terme.</w:t>
      </w:r>
    </w:p>
    <w:p>
      <w:pPr>
        <w:spacing w:after="120" w:line="276" w:lineRule="auto"/>
      </w:pPr>
      <w:r>
        <w:t>**Conclusion technique** : Les indicateurs sont globalement divergents — les moyennes mobiles suggèrent un achat structurel, tandis que le MACD et le stochastique penchent pour la vente, le RSI et les Bollinger restant neutres. Cette absence de consensus traduit un marché indécis, avec un biais baissier court terme dominant. Dans ce contexte, la prudence s'impose et aucun signal d'achat fort n'est validé techniquement.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n'étant pas disponibles dans la base, l'analyse s'appuie sur les rapports officiels fournis, dont les plus récents datent du 31/12/2023 (exercice 2023) et du 31/12/2022 (exercice 2022). Pour l'exercice 2023 (rapport du 31/12/2023), SEMC affiche un chiffre d'affaires de 27,88 milliards FCFA, en baisse de 6% par rapport aux 29,60 milliards FCFA de 2022, et un résultat net de seulement 1,01 milliard FCFA, en chute de 74% (contre 3,86 milliards FCFA en 2022). La marge nette s'effondre à 3,6% (vs 13,0% en 2022) et la marge d'exploitation à 6,9% (vs 11,0%), sous l'effet d'un effet ciseau défavorable (CA -6% et charges quasi stables) et de la perte du client AIRONE (-81% de CA sur le segment Poisson). Le ROE et le ROA ne sont pas explicitement fournis pour 2023, mais la chute du résultat net implique une dégradation mécanique de ces ratios. À noter que deux rapports distincts datés du 31/12/2023 présentent des chiffres contradictoires (l'un évoque un CA de 125,4 Mds FCFA et un résultat net de 12,8 Mds FCFA, l'autre 27,88 Mds FCFA et 1,01 Mds FCFA) — cette incohérence, probablement liée à des périmètres comptables différents (consolidé vs société mère) ou à des erreurs d'analyse, doit inciter à la plus grande prudence. Le rapport 2022 (daté du 31/12/2022) faisait état d'un CA de 125,4 Mds FCFA, d'un résultat net de 12,8 Mds FCFA, d'un ROE de 18,4% et d'une marge nette de 10,2%, avec un dividende de 1 200 FCFA/action (rendement 6,3%). Le rapport trimestriel T1 2023 (daté du 31/12/2023) indiquait un CA de 7,65 Mds FCFA (+16,5%) et un résultat net de 855,65 M FCFA (+37,9%), suggérant un début d'année dynamique — mais ces chiffres semblent contredits par la contre-performance annuelle. Sur la base de ces éléments, on estime que l'exercice 2024 devrait rester sous pression, avec un objectif de CA de 32 Mds FCFA (+18%) affiché par la direction mais une rentabilité encore fragile. La politique de dividende est suspendue (0 FCFA en 2023 comme en 2022), la trésorerie (3,35 Mds FCFA) étant conservée pour financer la relance et faire face à la suspension de la cote BRVM (flottant insuffisant de 10,42% vs 15% requis). Le rachat par Sonoco Products Company (finalisé en décembre 2024) constitue le principal catalyseur positif, apportant capitaux et expertise, mais introduit un risque de dilution et de réorganisation. En synthèse, les fondamentaux 2023 sont dégradés, la visibilité limitée, et la recommandation fondamentale reste "CONSERVER avec vigilance" en attendant la confirmation du redressement en 2024-2025.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et globalement défavorable à court terme. Sur le plan de la valorisation (Partie 0), le PER implicite d'environ 37x sur la base du résultat net 2023 est très supérieur à la moyenne BRVM (8-12x), signalant une surévaluation manifeste au regard des bénéfices présents, même si le marché price les perspectives de relance post-Sonoco. Le comportement du cours (Partie 1) est baissier (-16,94% sur 100 jours), avec une volatilité élevée (47,2%) et une distribution leptokurtique (kurtosis 1,652) exposant à des pics brutaux, tandis que le skewness positif (0,558) confirme la domination des journées baissières. Les signaux techniques (Partie 2) sont divergents : les moyennes mobiles plaident pour un achat structurel, mais le MACD (vente) et le stochastique (biais baissier) contredisent ce signal, le RSI et les Bollinger restant neutres — aucune convergence claire ne se dégage. Les fondamentaux (Partie 3) sont dégradés pour l'exercice 2023 (CA -6%, résultat net -74%, marge nette à 3,6%, dividende suspendu), avec une visibilité limitée et des incohérences entre rapports qui appellent à la prudence, malgré le potentiel du rachat par Sonoco. En l'absence de prédictions IA disponibles (J+1 à J+10), aucun signal prospectif ne vient confirmer ou infirmer cette lecture. Sur la base de cette synthèse globale, la recommandation finale est **CONSERVER** (avec vigilance), justifiée par la divergence entre une technique indécise, des fondamentaux dégradés mais un potentiel de redressement lié à Sonoco, et une valorisation tendue. Le niveau de confiance est **Moyen** (en raison des incohérences entre rapports et de l'absence de prédictions), le niveau de risque global est **Élevé** (volatilité 47,2%, petite capitalisation, suspension de cote, restructuration actionnariale), et l'horizon d'investissement optimal est le **moyen terme (3-12 mois)**, le temps que la stratégie de relance 2024-2025 se matérialise et que la suspension de la cote BRVM soit levée.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5,163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+8.33%</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35,995 FCFA</w:t>
            </w:r>
          </w:p>
          <w:p>
            <w:r>
              <w:rPr>
                <w:b/>
                <w:color w:val="503200"/>
                <w:sz w:val="16"/>
              </w:rPr>
              <w:t xml:space="preserve">Volatilité ann. : </w:t>
            </w:r>
            <w:r>
              <w:rPr>
                <w:color w:val="000000"/>
                <w:sz w:val="17"/>
              </w:rPr>
              <w:t>21.1%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2.12% (Faible) — μ=38,349 FCFA, σ=815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β=0.4623 (Défensif) — Cov=0.000034, Var(idx)=0.000074, ρ=0.297,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σ_j=1.33%/j (Stable) — Vol. annualisée≈21.1%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37,916</w:t>
            </w:r>
          </w:p>
        </w:tc>
        <w:tc>
          <w:tcPr>
            <w:tcW w:type="dxa" w:w="1440"/>
            <w:shd w:fill="FAFAFA" w:val="clear"/>
          </w:tcPr>
          <w:p>
            <w:r>
              <w:rPr>
                <w:b/>
                <w:sz w:val="17"/>
              </w:rPr>
              <w:t>38,761</w:t>
            </w:r>
          </w:p>
        </w:tc>
        <w:tc>
          <w:tcPr>
            <w:tcW w:type="dxa" w:w="1440"/>
            <w:shd w:fill="FAFAFA" w:val="clear"/>
          </w:tcPr>
          <w:p>
            <w:r>
              <w:rPr>
                <w:sz w:val="17"/>
              </w:rPr>
              <w:t>39,605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37,495</w:t>
            </w:r>
          </w:p>
        </w:tc>
        <w:tc>
          <w:tcPr>
            <w:tcW w:type="dxa" w:w="1440"/>
            <w:shd w:fill="FAFAFA" w:val="clear"/>
          </w:tcPr>
          <w:p>
            <w:r>
              <w:rPr>
                <w:b/>
                <w:sz w:val="17"/>
              </w:rPr>
              <w:t>38,687</w:t>
            </w:r>
          </w:p>
        </w:tc>
        <w:tc>
          <w:tcPr>
            <w:tcW w:type="dxa" w:w="1440"/>
            <w:shd w:fill="FAFAFA" w:val="clear"/>
          </w:tcPr>
          <w:p>
            <w:r>
              <w:rPr>
                <w:sz w:val="17"/>
              </w:rPr>
              <w:t>39,880</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37,155</w:t>
            </w:r>
          </w:p>
        </w:tc>
        <w:tc>
          <w:tcPr>
            <w:tcW w:type="dxa" w:w="1440"/>
            <w:shd w:fill="FAFAFA" w:val="clear"/>
          </w:tcPr>
          <w:p>
            <w:r>
              <w:rPr>
                <w:b/>
                <w:sz w:val="17"/>
              </w:rPr>
              <w:t>38,613</w:t>
            </w:r>
          </w:p>
        </w:tc>
        <w:tc>
          <w:tcPr>
            <w:tcW w:type="dxa" w:w="1440"/>
            <w:shd w:fill="FAFAFA" w:val="clear"/>
          </w:tcPr>
          <w:p>
            <w:r>
              <w:rPr>
                <w:sz w:val="17"/>
              </w:rPr>
              <w:t>40,071</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36,863</w:t>
            </w:r>
          </w:p>
        </w:tc>
        <w:tc>
          <w:tcPr>
            <w:tcW w:type="dxa" w:w="1440"/>
            <w:shd w:fill="FAFAFA" w:val="clear"/>
          </w:tcPr>
          <w:p>
            <w:r>
              <w:rPr>
                <w:b/>
                <w:sz w:val="17"/>
              </w:rPr>
              <w:t>38,543</w:t>
            </w:r>
          </w:p>
        </w:tc>
        <w:tc>
          <w:tcPr>
            <w:tcW w:type="dxa" w:w="1440"/>
            <w:shd w:fill="FAFAFA" w:val="clear"/>
          </w:tcPr>
          <w:p>
            <w:r>
              <w:rPr>
                <w:sz w:val="17"/>
              </w:rPr>
              <w:t>40,223</w:t>
            </w:r>
          </w:p>
        </w:tc>
        <w:tc>
          <w:tcPr>
            <w:tcW w:type="dxa" w:w="1440"/>
            <w:shd w:fill="FAFAFA" w:val="clear"/>
          </w:tcPr>
          <w:p>
            <w:r>
              <w:rPr>
                <w:b/>
                <w:color w:val="C00000"/>
                <w:sz w:val="17"/>
              </w:rPr>
              <w:t>-1.2%</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36,601</w:t>
            </w:r>
          </w:p>
        </w:tc>
        <w:tc>
          <w:tcPr>
            <w:tcW w:type="dxa" w:w="1440"/>
            <w:shd w:fill="FAFAFA" w:val="clear"/>
          </w:tcPr>
          <w:p>
            <w:r>
              <w:rPr>
                <w:b/>
                <w:sz w:val="17"/>
              </w:rPr>
              <w:t>38,477</w:t>
            </w:r>
          </w:p>
        </w:tc>
        <w:tc>
          <w:tcPr>
            <w:tcW w:type="dxa" w:w="1440"/>
            <w:shd w:fill="FAFAFA" w:val="clear"/>
          </w:tcPr>
          <w:p>
            <w:r>
              <w:rPr>
                <w:sz w:val="17"/>
              </w:rPr>
              <w:t>40,352</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36,362</w:t>
            </w:r>
          </w:p>
        </w:tc>
        <w:tc>
          <w:tcPr>
            <w:tcW w:type="dxa" w:w="1440"/>
            <w:shd w:fill="FAFAFA" w:val="clear"/>
          </w:tcPr>
          <w:p>
            <w:r>
              <w:rPr>
                <w:b/>
                <w:sz w:val="17"/>
              </w:rPr>
              <w:t>38,413</w:t>
            </w:r>
          </w:p>
        </w:tc>
        <w:tc>
          <w:tcPr>
            <w:tcW w:type="dxa" w:w="1440"/>
            <w:shd w:fill="FAFAFA" w:val="clear"/>
          </w:tcPr>
          <w:p>
            <w:r>
              <w:rPr>
                <w:sz w:val="17"/>
              </w:rPr>
              <w:t>40,464</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2026-10-20</w:t>
            </w:r>
          </w:p>
        </w:tc>
        <w:tc>
          <w:tcPr>
            <w:tcW w:type="dxa" w:w="1440"/>
            <w:shd w:fill="FAFAFA" w:val="clear"/>
          </w:tcPr>
          <w:p>
            <w:r>
              <w:rPr>
                <w:sz w:val="17"/>
              </w:rPr>
              <w:t>36,140</w:t>
            </w:r>
          </w:p>
        </w:tc>
        <w:tc>
          <w:tcPr>
            <w:tcW w:type="dxa" w:w="1440"/>
            <w:shd w:fill="FAFAFA" w:val="clear"/>
          </w:tcPr>
          <w:p>
            <w:r>
              <w:rPr>
                <w:b/>
                <w:sz w:val="17"/>
              </w:rPr>
              <w:t>38,352</w:t>
            </w:r>
          </w:p>
        </w:tc>
        <w:tc>
          <w:tcPr>
            <w:tcW w:type="dxa" w:w="1440"/>
            <w:shd w:fill="FAFAFA" w:val="clear"/>
          </w:tcPr>
          <w:p>
            <w:r>
              <w:rPr>
                <w:sz w:val="17"/>
              </w:rPr>
              <w:t>40,563</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2026-10-21</w:t>
            </w:r>
          </w:p>
        </w:tc>
        <w:tc>
          <w:tcPr>
            <w:tcW w:type="dxa" w:w="1440"/>
            <w:shd w:fill="FAFAFA" w:val="clear"/>
          </w:tcPr>
          <w:p>
            <w:r>
              <w:rPr>
                <w:sz w:val="17"/>
              </w:rPr>
              <w:t>35,931</w:t>
            </w:r>
          </w:p>
        </w:tc>
        <w:tc>
          <w:tcPr>
            <w:tcW w:type="dxa" w:w="1440"/>
            <w:shd w:fill="FAFAFA" w:val="clear"/>
          </w:tcPr>
          <w:p>
            <w:r>
              <w:rPr>
                <w:b/>
                <w:sz w:val="17"/>
              </w:rPr>
              <w:t>38,292</w:t>
            </w:r>
          </w:p>
        </w:tc>
        <w:tc>
          <w:tcPr>
            <w:tcW w:type="dxa" w:w="1440"/>
            <w:shd w:fill="FAFAFA" w:val="clear"/>
          </w:tcPr>
          <w:p>
            <w:r>
              <w:rPr>
                <w:sz w:val="17"/>
              </w:rPr>
              <w:t>40,652</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2026-10-22</w:t>
            </w:r>
          </w:p>
        </w:tc>
        <w:tc>
          <w:tcPr>
            <w:tcW w:type="dxa" w:w="1440"/>
            <w:shd w:fill="FAFAFA" w:val="clear"/>
          </w:tcPr>
          <w:p>
            <w:r>
              <w:rPr>
                <w:sz w:val="17"/>
              </w:rPr>
              <w:t>35,733</w:t>
            </w:r>
          </w:p>
        </w:tc>
        <w:tc>
          <w:tcPr>
            <w:tcW w:type="dxa" w:w="1440"/>
            <w:shd w:fill="FAFAFA" w:val="clear"/>
          </w:tcPr>
          <w:p>
            <w:r>
              <w:rPr>
                <w:b/>
                <w:sz w:val="17"/>
              </w:rPr>
              <w:t>38,233</w:t>
            </w:r>
          </w:p>
        </w:tc>
        <w:tc>
          <w:tcPr>
            <w:tcW w:type="dxa" w:w="1440"/>
            <w:shd w:fill="FAFAFA" w:val="clear"/>
          </w:tcPr>
          <w:p>
            <w:r>
              <w:rPr>
                <w:sz w:val="17"/>
              </w:rPr>
              <w:t>40,733</w:t>
            </w:r>
          </w:p>
        </w:tc>
        <w:tc>
          <w:tcPr>
            <w:tcW w:type="dxa" w:w="1440"/>
            <w:shd w:fill="FAFAFA"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35,544</w:t>
            </w:r>
          </w:p>
        </w:tc>
        <w:tc>
          <w:tcPr>
            <w:tcW w:type="dxa" w:w="1440"/>
            <w:shd w:fill="FFDCE0" w:val="clear"/>
          </w:tcPr>
          <w:p>
            <w:r>
              <w:rPr>
                <w:b/>
                <w:sz w:val="17"/>
              </w:rPr>
              <w:t>38,175</w:t>
            </w:r>
          </w:p>
        </w:tc>
        <w:tc>
          <w:tcPr>
            <w:tcW w:type="dxa" w:w="1440"/>
            <w:shd w:fill="FFDCE0" w:val="clear"/>
          </w:tcPr>
          <w:p>
            <w:r>
              <w:rPr>
                <w:sz w:val="17"/>
              </w:rPr>
              <w:t>40,806</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COTE D'IVOIRE (SGBC)**</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1 213,33 milliards FCFA, SGBC s'impose comme l'une des toutes premières capitalisations de la BRVM, un statut de poids lourd qui en fait un incontournable des portefeuilles institutionnels ouest-africains. Le BPA de 3 258 FCFA par action signifie que chaque titre génère plus de trois mille francs de bénéfice net, un niveau exceptionnellement élevé qui traduit la forte rentabilité unitaire de la banque. Le PER de 12,0x se situe dans le haut de la fourchette du marché BRVM (8-12x), ce qui indique que les investisseurs acceptent de payer une légère prime pour la qualité et la régularité des bénéfices, sans pour autant tomber dans une valorisation excessive. Le P/B de 2,45x montre que le marché valorise SGBC à plus du double de sa valeur comptable, une prime de croissance justifiée par un ROE supérieur à 20 %, bien au-delà du coût des fonds propres. Enfin, l'EV/EBITDA de 24,7x apparaît très exigeant (seuil d'alerte &gt;15x), mais cet indicateur est peu pertinent pour une banque dont le bilan est structurellement composé de dettes de dépôt ; il convient donc de le relativiser au regard de la solidité bilancielle et de la générosité du dividende.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affiche une progression totale de +8,33 %, portée par une dynamique haussière régulière, malgré un léger repli de -0,51 % lors de la dernière séance (J-1), simple respiration technique après une série de hausses. Le cours actuel de 39 000 FCFA évolue dans un range étroit entre un plus bas de 35 995 FCFA et un plus haut de 39 300 FCFA, soit une amplitude de seulement 9,2 %, ce qui témoigne d'une tendance haussière maîtrisée et sans excès spéculatif. Les statistiques descriptives confirment cette stabilité : la moyenne (38 349 FCFA) est légèrement inférieure à la médiane (38 650 FCFA), signe d'une asymétrie négative (skewness de -1,231) indiquant que le titre a passé davantage de séances au-dessus de sa moyenne, avec quelques journées de correction marquées. L'écart-type de 819 FCFA, soit un coefficient de variation de seulement 2,1 %, traduit une dispersion très faible du cours, tandis que le kurtosis de 0,971 (mésokurtique) suggère une distribution proche de la normale, sans risque majeur de pics extrêmes. La volatilité annualisée de 21,1 % positionne SGBC dans la catégorie des titres à volatilité modérée (15-30 %), un profil rassurant pour une valeur bancaire de premier rang, adaptée aux investisseurs recherchant stabilité et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(38 687,75 FCFA) et la MM50 (38 580,0 FCFA) se situent toutes deux sous le cours actuel de 39 000 FCFA, confirmant une configuration haussière de court et moyen terme. Le croisement favorable MM20 &gt; MM50 renforce le signal d'achat, indiquant que la dynamique positive se consolide dans le temps.</w:t>
      </w:r>
    </w:p>
    <w:p>
      <w:pPr>
        <w:spacing w:after="120" w:line="276" w:lineRule="auto"/>
      </w:pPr>
      <w:r>
        <w:t>**Bandes de Bollinger** : Le cours (39 000 FCFA) évolue dans la partie haute du canal, entre la borne inférieure (37 828,67 FCFA) et la borne supérieure (39 546,83 FCFA), sans franchir cette dernière. Cette position médiane-haute, couplée à un rétrécissement des bandes, traduit une volatilité contenue et une décision neutre : le titre n'est ni suracheté ni survendu, laissant place à une poursuite haussière progressive.</w:t>
      </w:r>
    </w:p>
    <w:p>
      <w:pPr>
        <w:spacing w:after="120" w:line="276" w:lineRule="auto"/>
      </w:pPr>
      <w:r>
        <w:t>**MACD** : La valeur du MACD (149,339) dépasse nettement son signal (101,179), générant un histogramme positif qui confirme un momentum haussier en cours. Cette divergence positive soutient la décision d'achat, bien que l'écart entre les deux lignes invite à surveiller un éventuel essoufflement.</w:t>
      </w:r>
    </w:p>
    <w:p>
      <w:pPr>
        <w:spacing w:after="120" w:line="276" w:lineRule="auto"/>
      </w:pPr>
      <w:r>
        <w:t>**RSI** : À 51,149, le RSI se situe parfaitement dans la zone neutre (30-70), excluant tout risque de surachat immédiat. Cette configuration offre un potentiel de hausse supplémentaire sans pression vendeuse, justifiant une décision neutre avec biais positif.</w:t>
      </w:r>
    </w:p>
    <w:p>
      <w:pPr>
        <w:spacing w:after="120" w:line="276" w:lineRule="auto"/>
      </w:pPr>
      <w:r>
        <w:t>**Stochastique** : Le %K (83,539) et le %D (94,513) évoluent en zone de surachat (&gt;80), avec un %D supérieur au %K signalant un possible retournement baissier de court terme. Cette configuration justifie la décision de vente technique, à interpréter comme un signal de prudence temporaire plutôt qu'une inversion de tendance.</w:t>
      </w:r>
    </w:p>
    <w:p>
      <w:pPr>
        <w:spacing w:after="120" w:line="276" w:lineRule="auto"/>
      </w:pPr>
      <w:r>
        <w:t>**Conclusion technique** : Les indicateurs convergent majoritairement vers un biais haussier (MM, MACD), tempéré par des signaux de surachat à court terme (Stochastique) et une neutralité du RSI et des Bollinger. Le titre se trouve dans une phase de consolidation haussière saine, où toute correction vers la MM20 (38 688 FCFA) constituerait une opportunité d'achat, la tendance de fond restant positive tant que le cours se maintient au-dessus de la 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SGBC a confirmé sa solidité avec un Produit Net Bancaire (équivalent du chiffre d'affaires pour une banque) de 276,048 milliards FCFA, en croissance de +4,9 % sur un an, et un résultat net de 101,352 milliards FCFA, quasi stable (+0,1 %) par rapport à 2024. Les ratios de rentabilité demeurent excellents : le ROE s'établit à 20,47 % (largement supérieur au seuil de 15 %), le ROA à 2,69 %, et la marge nette à 36,72 %, tandis que le coefficient d'exploitation de 38,75 % classe SGBC parmi les banques les plus efficaces de la zone UEMOA (seuil d'excellence &lt;50 %). Le bilan affiche un total de 3 769,17 milliards FCFA, avec des dépôts clientèle de 2 907,68 milliards FCFA et des créances clientèle de 2 546,29 milliards FCFA, soit un ratio de transformation de 87,6 % qui témoigne d'une bonne capacité à recycler les dépôts en crédits. Le coût du risque, matérialisé par des provisions de 17,995 milliards FCFA, reste contenu (6,5 % du PNB), mais les rapports narratifs révèlent une vigilance accrue : le taux de créances en souffrance (NPL) s'élève à 8,0 % en 2025, avec un taux de couverture de 82 %, en dégradation par rapport aux 91 % du S1 2025. Les rapports trimestriels les plus récents (T1 2026, publié le 30 avril 2026 ; S1 2026, publié le 27 août 2026) confirment une dynamique contrastée : le PNB du S1 2026 progresse de +1,6 % à 134,059 milliards FCFA, mais le résultat net ne croît que de +0,5 % (53,350 milliards FCFA), pénalisé par une hausse de +9,1 % du coût du risque et une compression de la marge d'intérêt (charges d'intérêts +16,6 % contre produits +2,5 %). Le coefficient d'exploitation s'améliore néanmoins à 36,7 % au S1 2026, et la solvabilité reste robuste à 17,6 % (seuil réglementaire : 12,5 %). Sur la base de ces tendances, on estime que l'exercice 2026 devrait afficher un PNB en croissance modérée (+2 à +3 %), un résultat net stable autour de 100-102 milliards FCFA, et un dividende maintenu à un niveau élevé (taux de distribution de 80 % en 2025, soit 2 606 FCFA par action). La principale inquiétude réside dans la dégradation de la qualité du portefeuille (NPL à 8,0 %) et la hausse des coûts, qui pourraient limiter la revalorisation du titre à court terme, malgré des fondamentaux globalement solides.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SGBC (PER de 12,0x, P/B de 2,45x) reflète une prime de qualité justifiée par un ROE de 20,47 % et une politique de dividende généreuse (80 % de distribution), sans toutefois offrir de décote attractive par rapport au marché BRVM. Le comportement du cours sur 100 jours (+8,33 %, volatilité modérée de 21,1 %, skewness négatif) est favorable, avec une tendance haussière régulière et une faible dispersion, bien que le stochastique en zone de surachat invite à la prudence à très court terme. Les signaux techniques sont majoritairement haussiers (MM20 &gt; MM50, MACD positif), mais divergent sur le court terme (Stochastique vendeur, RSI neutre), suggérant une consolidation avant une nouvelle impulsion. Les fondamentaux demeurent solides (PNB de 276,048 milliards FCFA en 2025, ROE de 20,47 %, coefficient d'exploitation de 38,75 %), mais la stagnation du résultat net (+0,1 % en 2025, +0,5 % au S1 2026) et la hausse du coût du risque (+9,1 % au S1 2026) limitent le potentiel de surperformance. Les prédictions IA (J+1 à J+10) anticipent une légère correction vers 38 477 FCFA d'ici le 16 octobre 2026, en cohérence avec le signal de vente du stochastique et la respiration technique observée. **Recommandation finale : CONSERVER**, avec un niveau de confiance **Moyen** et un risque global **Faible à Moyen**. Cette recommandation repose sur la convergence entre une valorisation raisonnable, des fondamentaux robustes mais sans catalyseur de croissance à court terme, et une technique neutre-haussière tempérée par des signaux de surachat. Les investisseurs recherchant rendement et stabilité trouveront en SGBC un actif de qualité, à conserver en portefeuille pour son dividende attractif (rendement estimé &gt;6 % sur la base du dividende 2025 de 2 606 FCFA), avec un horizon d'investissement de **moyen terme (3-12 mois)**. Un passage à l'ACHAT serait justifié en cas d'amélioration confirmée de la qualité du portefeuille (baisse du NPL) et d'accélération du PNB au-delà de +3 %, tandis qu'une dégradation supplémentaire de la rentabilité constituerait un signal de vigilance.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141.75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4,977 titres</w:t>
            </w:r>
          </w:p>
        </w:tc>
        <w:tc>
          <w:tcPr>
            <w:tcW w:type="dxa" w:w="2268"/>
            <w:shd w:fill="FFF2CC" w:val="clear"/>
          </w:tcPr>
          <w:p>
            <w:r>
              <w:rPr>
                <w:b/>
                <w:color w:val="503200"/>
                <w:sz w:val="16"/>
              </w:rPr>
              <w:t xml:space="preserve">Cours actuel : </w:t>
            </w:r>
            <w:r>
              <w:rPr>
                <w:color w:val="000000"/>
                <w:sz w:val="17"/>
              </w:rPr>
              <w:t>2,250 FCFA</w:t>
            </w:r>
          </w:p>
          <w:p>
            <w:r>
              <w:rPr>
                <w:b/>
                <w:color w:val="503200"/>
                <w:sz w:val="16"/>
              </w:rPr>
              <w:t xml:space="preserve">Var. 100 jours : </w:t>
            </w:r>
            <w:r>
              <w:rPr>
                <w:b/>
                <w:color w:val="007800"/>
                <w:sz w:val="17"/>
              </w:rPr>
              <w:t>+13.92%</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9.83% (Moyenne) — μ=2,267 FCFA, σ=223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β=1.0029 (Neutre (suit le marché)) — Cov=0.000074, Var(idx)=0.000074, ρ=0.322,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2,124</w:t>
            </w:r>
          </w:p>
        </w:tc>
        <w:tc>
          <w:tcPr>
            <w:tcW w:type="dxa" w:w="1440"/>
            <w:shd w:fill="FAFAFA" w:val="clear"/>
          </w:tcPr>
          <w:p>
            <w:r>
              <w:rPr>
                <w:b/>
                <w:sz w:val="17"/>
              </w:rPr>
              <w:t>2,261</w:t>
            </w:r>
          </w:p>
        </w:tc>
        <w:tc>
          <w:tcPr>
            <w:tcW w:type="dxa" w:w="1440"/>
            <w:shd w:fill="FAFAFA" w:val="clear"/>
          </w:tcPr>
          <w:p>
            <w:r>
              <w:rPr>
                <w:sz w:val="17"/>
              </w:rPr>
              <w:t>2,399</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2,069</w:t>
            </w:r>
          </w:p>
        </w:tc>
        <w:tc>
          <w:tcPr>
            <w:tcW w:type="dxa" w:w="1440"/>
            <w:shd w:fill="FAFAFA" w:val="clear"/>
          </w:tcPr>
          <w:p>
            <w:r>
              <w:rPr>
                <w:b/>
                <w:sz w:val="17"/>
              </w:rPr>
              <w:t>2,264</w:t>
            </w:r>
          </w:p>
        </w:tc>
        <w:tc>
          <w:tcPr>
            <w:tcW w:type="dxa" w:w="1440"/>
            <w:shd w:fill="FAFAFA" w:val="clear"/>
          </w:tcPr>
          <w:p>
            <w:r>
              <w:rPr>
                <w:sz w:val="17"/>
              </w:rPr>
              <w:t>2,459</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2,028</w:t>
            </w:r>
          </w:p>
        </w:tc>
        <w:tc>
          <w:tcPr>
            <w:tcW w:type="dxa" w:w="1440"/>
            <w:shd w:fill="FAFAFA" w:val="clear"/>
          </w:tcPr>
          <w:p>
            <w:r>
              <w:rPr>
                <w:b/>
                <w:sz w:val="17"/>
              </w:rPr>
              <w:t>2,267</w:t>
            </w:r>
          </w:p>
        </w:tc>
        <w:tc>
          <w:tcPr>
            <w:tcW w:type="dxa" w:w="1440"/>
            <w:shd w:fill="FAFAFA" w:val="clear"/>
          </w:tcPr>
          <w:p>
            <w:r>
              <w:rPr>
                <w:sz w:val="17"/>
              </w:rPr>
              <w:t>2,505</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1,993</w:t>
            </w:r>
          </w:p>
        </w:tc>
        <w:tc>
          <w:tcPr>
            <w:tcW w:type="dxa" w:w="1440"/>
            <w:shd w:fill="FAFAFA" w:val="clear"/>
          </w:tcPr>
          <w:p>
            <w:r>
              <w:rPr>
                <w:b/>
                <w:sz w:val="17"/>
              </w:rPr>
              <w:t>2,269</w:t>
            </w:r>
          </w:p>
        </w:tc>
        <w:tc>
          <w:tcPr>
            <w:tcW w:type="dxa" w:w="1440"/>
            <w:shd w:fill="FAFAFA" w:val="clear"/>
          </w:tcPr>
          <w:p>
            <w:r>
              <w:rPr>
                <w:sz w:val="17"/>
              </w:rPr>
              <w:t>2,544</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1,961</w:t>
            </w:r>
          </w:p>
        </w:tc>
        <w:tc>
          <w:tcPr>
            <w:tcW w:type="dxa" w:w="1440"/>
            <w:shd w:fill="FAFAFA" w:val="clear"/>
          </w:tcPr>
          <w:p>
            <w:r>
              <w:rPr>
                <w:b/>
                <w:sz w:val="17"/>
              </w:rPr>
              <w:t>2,270</w:t>
            </w:r>
          </w:p>
        </w:tc>
        <w:tc>
          <w:tcPr>
            <w:tcW w:type="dxa" w:w="1440"/>
            <w:shd w:fill="FAFAFA" w:val="clear"/>
          </w:tcPr>
          <w:p>
            <w:r>
              <w:rPr>
                <w:sz w:val="17"/>
              </w:rPr>
              <w:t>2,579</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1,933</w:t>
            </w:r>
          </w:p>
        </w:tc>
        <w:tc>
          <w:tcPr>
            <w:tcW w:type="dxa" w:w="1440"/>
            <w:shd w:fill="FAFAFA" w:val="clear"/>
          </w:tcPr>
          <w:p>
            <w:r>
              <w:rPr>
                <w:b/>
                <w:sz w:val="17"/>
              </w:rPr>
              <w:t>2,271</w:t>
            </w:r>
          </w:p>
        </w:tc>
        <w:tc>
          <w:tcPr>
            <w:tcW w:type="dxa" w:w="1440"/>
            <w:shd w:fill="FAFAFA" w:val="clear"/>
          </w:tcPr>
          <w:p>
            <w:r>
              <w:rPr>
                <w:sz w:val="17"/>
              </w:rPr>
              <w:t>2,609</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1,906</w:t>
            </w:r>
          </w:p>
        </w:tc>
        <w:tc>
          <w:tcPr>
            <w:tcW w:type="dxa" w:w="1440"/>
            <w:shd w:fill="FAFAFA" w:val="clear"/>
          </w:tcPr>
          <w:p>
            <w:r>
              <w:rPr>
                <w:b/>
                <w:sz w:val="17"/>
              </w:rPr>
              <w:t>2,271</w:t>
            </w:r>
          </w:p>
        </w:tc>
        <w:tc>
          <w:tcPr>
            <w:tcW w:type="dxa" w:w="1440"/>
            <w:shd w:fill="FAFAFA" w:val="clear"/>
          </w:tcPr>
          <w:p>
            <w:r>
              <w:rPr>
                <w:sz w:val="17"/>
              </w:rPr>
              <w:t>2,637</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1,881</w:t>
            </w:r>
          </w:p>
        </w:tc>
        <w:tc>
          <w:tcPr>
            <w:tcW w:type="dxa" w:w="1440"/>
            <w:shd w:fill="FAFAFA" w:val="clear"/>
          </w:tcPr>
          <w:p>
            <w:r>
              <w:rPr>
                <w:b/>
                <w:sz w:val="17"/>
              </w:rPr>
              <w:t>2,272</w:t>
            </w:r>
          </w:p>
        </w:tc>
        <w:tc>
          <w:tcPr>
            <w:tcW w:type="dxa" w:w="1440"/>
            <w:shd w:fill="FAFAFA" w:val="clear"/>
          </w:tcPr>
          <w:p>
            <w:r>
              <w:rPr>
                <w:sz w:val="17"/>
              </w:rPr>
              <w:t>2,663</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1,858</w:t>
            </w:r>
          </w:p>
        </w:tc>
        <w:tc>
          <w:tcPr>
            <w:tcW w:type="dxa" w:w="1440"/>
            <w:shd w:fill="FAFAFA" w:val="clear"/>
          </w:tcPr>
          <w:p>
            <w:r>
              <w:rPr>
                <w:b/>
                <w:sz w:val="17"/>
              </w:rPr>
              <w:t>2,272</w:t>
            </w:r>
          </w:p>
        </w:tc>
        <w:tc>
          <w:tcPr>
            <w:tcW w:type="dxa" w:w="1440"/>
            <w:shd w:fill="FAFAFA" w:val="clear"/>
          </w:tcPr>
          <w:p>
            <w:r>
              <w:rPr>
                <w:sz w:val="17"/>
              </w:rPr>
              <w:t>2,687</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1,836</w:t>
            </w:r>
          </w:p>
        </w:tc>
        <w:tc>
          <w:tcPr>
            <w:tcW w:type="dxa" w:w="1440"/>
            <w:shd w:fill="FAFAFA" w:val="clear"/>
          </w:tcPr>
          <w:p>
            <w:r>
              <w:rPr>
                <w:b/>
                <w:sz w:val="17"/>
              </w:rPr>
              <w:t>2,273</w:t>
            </w:r>
          </w:p>
        </w:tc>
        <w:tc>
          <w:tcPr>
            <w:tcW w:type="dxa" w:w="1440"/>
            <w:shd w:fill="FAFAFA" w:val="clear"/>
          </w:tcPr>
          <w:p>
            <w:r>
              <w:rPr>
                <w:sz w:val="17"/>
              </w:rPr>
              <w:t>2,710</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141,75 milliards FCFA, SHEC se positionne parmi les valeurs moyennes du compartiment industriel de la BRVM, loin des poids lourds bancaires et télécoms mais avec une liquidité correcte (volume moyen de 4 977 titres/jour). Le BPA de 96 FCFA signifie que chaque action génère près de 96 FCFA de bénéfice net, ce qui, rapporté au cours actuel de 2 250 FCFA, donne un PER de 23,5x — soit près du double de la moyenne BRVM (~8-12x), signalant que le marché intègre déjà une prime de croissance ou, à l'inverse, une surévaluation relative. Le P/B de 5,22x confirme cette exigence : les investisseurs paient plus de cinq fois la valeur comptable des fonds propres (27,16 Mds FCFA), une prime très élevée pour une activité de distribution pétrolière à faible marge. Enfin, l'EV/EBITDA de 12,8x, dans la fourchette haute (10-15x), indique que la valeur d'entreprise (incluant la dette nette négative de -65,26 Mds FCFA) reste chèrement valorisée par rapport à la capacité opérationnelle (EBE de 17,17 Mds FCFA). L'ensemble de ces ratios dessine une valorisation exigeante, peu compatible avec un profil de rendement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progression totale de +13,92%, malgré un repli de -1,10% lors de la dernière séance, portant le cours à 2 250 FCFA. Le titre a évolué dans un range large de 1 080 FCFA, entre un plus bas de 1 900 FCFA et un plus haut de 2 980 FCFA, traduisant une tendance globalement haussière mais ponctuée de corrections marquées. La moyenne (2 267 FCFA) se situe légèrement au-dessus de la médiane et du mode (2 200 FCFA), ce qui, combiné à un skewness positif de 1,012, indique une asymétrie à droite : le cours a passé plus de journées sous sa moyenne, mais avec des pics haussiers violents qui tirent la moyenne vers le haut. L'écart-type de 224 FCFA (CV = 9,9%) révèle une dispersion modérée autour de la moyenne, mais le kurtosis de 1,396 (leptokurtique) signale des queues épaisses, donc un risque de mouvements extrêmes plus fréquents qu'une distribution normale — un avertissement pour les investisseurs averses au risque. La volatilité annualisée de 42,1% classe le titre dans la catégorie « élevée » (&gt;30%), ce qui est cohérent avec la nature cyclique du secteur pétrolier aval et la faible liquidité relative du marché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(2 520,5 FCFA) et la MM50 (2 427,4 FCFA) se situent toutes deux au-dessus du cours actuel (2 250 FCFA), ce qui place le titre en position baissière à court terme. Cependant, la MM20 &gt; MM50 indique une structure haussière de fond, et la décision « Achat » suggérée par le système repose sur l'anticipation d'un retour du cours vers ses moyennes, actuellement survendues.</w:t>
      </w:r>
    </w:p>
    <w:p>
      <w:pPr>
        <w:spacing w:after="120" w:line="276" w:lineRule="auto"/>
      </w:pPr>
      <w:r>
        <w:t>**Bandes de Bollinger** : Le cours (2 250 FCFA) évolue dans la partie basse de la bande (borne inférieure 1 996,79 FCFA, borne supérieure 3 044,21 FCFA), sans la toucher, ce qui traduit une volatilité contenue mais une pression vendeuse persistante. La décision « Neutre » reflète l'absence de signal extrême : ni surachat, ni survente selon ce seul indicateur.</w:t>
      </w:r>
    </w:p>
    <w:p>
      <w:pPr>
        <w:spacing w:after="120" w:line="276" w:lineRule="auto"/>
      </w:pPr>
      <w:r>
        <w:t>**MACD** : La valeur du MACD (-69,063) est nettement inférieure à son signal (-27,572), confirmant un momentum baissier à court terme. La décision « Vente » de cet indicateur contredit les signaux d'achat des autres oscillateurs, ce qui suggère une divergence baissière à surveiller.</w:t>
      </w:r>
    </w:p>
    <w:p>
      <w:pPr>
        <w:spacing w:after="120" w:line="276" w:lineRule="auto"/>
      </w:pPr>
      <w:r>
        <w:t>**RSI** : À 26,389, le RSI est en zone de survente (&lt;30), ce qui justifie la décision « Achat » : le titre a été excessivement vendu et une correction haussière est statistiquement probable à court terme.</w:t>
      </w:r>
    </w:p>
    <w:p>
      <w:pPr>
        <w:spacing w:after="120" w:line="276" w:lineRule="auto"/>
      </w:pPr>
      <w:r>
        <w:t>**Stochastique** : Le %K (5,185) et le %D (6,216) sont tous deux en zone extrême de survente, avec un %K légèrement sous le %D — configuration typique d'un épuisement baissier imminent. La décision « Achat » est cohérente avec un possible retournement.</w:t>
      </w:r>
    </w:p>
    <w:p>
      <w:pPr>
        <w:spacing w:after="120" w:line="276" w:lineRule="auto"/>
      </w:pPr>
      <w:r>
        <w:t>**Conclusion technique** : Les indicateurs sont divergents : les oscillateurs (RSI, Stochastique) signalent une survente propice à un rebond, tandis que le MACD et la position sous les moyennes mobiles confirment une pression baissière persistante. Cette configuration suggère un potentiel rebond technique à court terme, mais fragile, tant que le cours ne repasse pas au-dessus de la MM20 (2 520 FCFA).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SHEC (VIVO ENERGY CÔTE D'IVOIRE) a réalisé un chiffre d'affaires de 604,978 milliards FCFA, en très légère hausse de +0,71% par rapport à 2024 (600,708 Mds FCFA), selon les états financiers annuels 2025. Le résultat net s'établit à 6,028 milliards FCFA, en progression de +12,6% (contre 5,354 Mds en 2024), porté par une amélioration de la marge nette (1,00% contre 0,89%) et une réduction des charges financières (-17,7%). Le ROE ressort à 22,20%, un niveau excellent (&gt;15%), tandis que le ROA reste faible à 3,11%, reflétant la structure très capitalistique et le faible rendement des actifs dans ce secteur de distribution. En tant qu'entreprise non bancaire, les délais d'exploitation sont cruciaux : le délai clients est de 23,27 jours (risque de trésorerie modéré), le délai fournisseurs de 35,47 jours (favorable), et la durée de stockage de 7,47 jours (rotation rapide). Le BFR s'élève à 15,315 Mds FCFA, mais le fonds de roulement est négatif (-49,85 Mds FCFA) et la trésorerie nette fortement négative (-65,26 Mds FCFA), signe de tensions de liquidité structurelles. L'autonomie financière est faible (14,03%), bien en dessous du seuil de 30% considéré comme sain, et la dépendance financière atteint 85,97%. Les rapports trimestriels récents (T1 2026, S1 2026) confirment une tendance contrastée : au S1 2026 (rapport du 30 juin 2026), le CA recule de -1% à 305,038 Mds FCFA, mais le résultat d'exploitation progresse de +17% à 6,133 Mds FCFA grâce au dynamisme du butane, avec un résultat net de 3,016 Mds FCFA (marge nette 0,99%). On estime donc que l'exercice 2026 devrait afficher une stabilité du résultat net autour de 6 Mds FCFA, avec un CA légèrement en retrait, mais une rentabilité opérationnelle soutenue. La recommandation fondamentale est de **CONSERVER** : la société est solide opérationnellement (ROE élevé, marges en amélioration), mais sa structure financière fragile (trésorerie nette négative, endettement élevé) et sa valorisation boursière exigeante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(PER 23,5x, P/B 5,22x, EV/EBITDA 12,8x) est nettement supérieure aux standards de la BRVM, ce qui suggère une surévaluation relative ou une prime de croissance déjà intégrée. Le comportement du cours sur 100 jours (+13,92%) est haussier, mais la volatilité élevée (42,1%) et le kurtosis leptokurtique (1,396) signalent un risque de mouvements extrêmes, tandis que le skewness positif (1,012) indique une asymétrie favorable aux hausses. Les signaux techniques sont divergents : les oscillateurs (RSI 26,4, Stochastique 5,2) plaident pour un rebond à court terme, mais le MACD baissier et la position sous les moyennes mobiles tempèrent cet optimisme. Les fondamentaux 2025 sont solides (ROE 22,2%, résultat net +12,6%), mais la structure financière reste fragile (trésorerie nette -65,26 Mds FCFA, autonomie financière 14%), et les rapports S1 2026 (CA -1%, résultat net 3,016 Mds) confirment une croissance atone. Les prédictions IA (J+1 à J+10) tablent sur une légère hausse vers 2 270 FCFA, ce qui confirme un rebond technique modéré mais sans conviction forte. Sur la base de cette synthèse, la recommandation finale est **CONSERVER**, avec un niveau de confiance **Moyen** et un risque global **Élevé**. L'horizon d'investissement optimal est le **moyen terme (3-12 mois)**, en attendant la publication des comptes définitifs 2026 et une clarification de la politique de dividende (dividende proposé de 6,09 Mds FCFA, soit un rendement attractif mais un taux de distribution de 101% qui fragilise la structure financière). Un renforcement ne serait justifié qu'en cas de correction significative du cours vers 2 000 FCFA ou d'une amélioration durable de la trésorerie nette.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11,313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+17.33%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7,500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7.5/100 → Faible</w:t>
      </w:r>
    </w:p>
    <w:p>
      <w:pPr>
        <w:spacing w:before="40" w:after="80"/>
      </w:pPr>
      <w:r>
        <w:rPr>
          <w:rFonts w:ascii="Courier New" w:hAnsi="Courier New"/>
          <w:color w:val="006400"/>
          <w:sz w:val="18"/>
        </w:rPr>
        <w:t>█░░░░░░░░░░░░░░░░░░░  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4.35% (Faible) — μ=8,896 FCFA, σ=387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β=0.7547 (Défensif) — Cov=0.000056, Var(idx)=0.000074, ρ=0.330,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8,473</w:t>
            </w:r>
          </w:p>
        </w:tc>
        <w:tc>
          <w:tcPr>
            <w:tcW w:type="dxa" w:w="1440"/>
            <w:shd w:fill="FAFAFA" w:val="clear"/>
          </w:tcPr>
          <w:p>
            <w:r>
              <w:rPr>
                <w:b/>
                <w:sz w:val="17"/>
              </w:rPr>
              <w:t>8,744</w:t>
            </w:r>
          </w:p>
        </w:tc>
        <w:tc>
          <w:tcPr>
            <w:tcW w:type="dxa" w:w="1440"/>
            <w:shd w:fill="FAFAFA" w:val="clear"/>
          </w:tcPr>
          <w:p>
            <w:r>
              <w:rPr>
                <w:sz w:val="17"/>
              </w:rPr>
              <w:t>9,015</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8,314</w:t>
            </w:r>
          </w:p>
        </w:tc>
        <w:tc>
          <w:tcPr>
            <w:tcW w:type="dxa" w:w="1440"/>
            <w:shd w:fill="FAFAFA" w:val="clear"/>
          </w:tcPr>
          <w:p>
            <w:r>
              <w:rPr>
                <w:b/>
                <w:sz w:val="17"/>
              </w:rPr>
              <w:t>8,696</w:t>
            </w:r>
          </w:p>
        </w:tc>
        <w:tc>
          <w:tcPr>
            <w:tcW w:type="dxa" w:w="1440"/>
            <w:shd w:fill="FAFAFA" w:val="clear"/>
          </w:tcPr>
          <w:p>
            <w:r>
              <w:rPr>
                <w:sz w:val="17"/>
              </w:rPr>
              <w:t>9,078</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8,182</w:t>
            </w:r>
          </w:p>
        </w:tc>
        <w:tc>
          <w:tcPr>
            <w:tcW w:type="dxa" w:w="1440"/>
            <w:shd w:fill="FAFAFA" w:val="clear"/>
          </w:tcPr>
          <w:p>
            <w:r>
              <w:rPr>
                <w:b/>
                <w:sz w:val="17"/>
              </w:rPr>
              <w:t>8,647</w:t>
            </w:r>
          </w:p>
        </w:tc>
        <w:tc>
          <w:tcPr>
            <w:tcW w:type="dxa" w:w="1440"/>
            <w:shd w:fill="FAFAFA" w:val="clear"/>
          </w:tcPr>
          <w:p>
            <w:r>
              <w:rPr>
                <w:sz w:val="17"/>
              </w:rPr>
              <w:t>9,112</w:t>
            </w:r>
          </w:p>
        </w:tc>
        <w:tc>
          <w:tcPr>
            <w:tcW w:type="dxa" w:w="1440"/>
            <w:shd w:fill="FAFAFA" w:val="clear"/>
          </w:tcPr>
          <w:p>
            <w:r>
              <w:rPr>
                <w:b/>
                <w:color w:val="C00000"/>
                <w:sz w:val="17"/>
              </w:rPr>
              <w:t>-1.7%</w:t>
            </w:r>
          </w:p>
        </w:tc>
      </w:tr>
      <w:tr>
        <w:tc>
          <w:tcPr>
            <w:tcW w:type="dxa" w:w="1440"/>
            <w:shd w:fill="FFDCE0" w:val="clear"/>
          </w:tcPr>
          <w:p>
            <w:r>
              <w:rPr>
                <w:sz w:val="17"/>
              </w:rPr>
              <w:t>J+4  Moyenne</w:t>
            </w:r>
          </w:p>
        </w:tc>
        <w:tc>
          <w:tcPr>
            <w:tcW w:type="dxa" w:w="1440"/>
            <w:shd w:fill="FFDCE0" w:val="clear"/>
          </w:tcPr>
          <w:p>
            <w:r>
              <w:rPr>
                <w:sz w:val="17"/>
              </w:rPr>
              <w:t>2026-10-15</w:t>
            </w:r>
          </w:p>
        </w:tc>
        <w:tc>
          <w:tcPr>
            <w:tcW w:type="dxa" w:w="1440"/>
            <w:shd w:fill="FFDCE0" w:val="clear"/>
          </w:tcPr>
          <w:p>
            <w:r>
              <w:rPr>
                <w:sz w:val="17"/>
              </w:rPr>
              <w:t>8,067</w:t>
            </w:r>
          </w:p>
        </w:tc>
        <w:tc>
          <w:tcPr>
            <w:tcW w:type="dxa" w:w="1440"/>
            <w:shd w:fill="FFDCE0" w:val="clear"/>
          </w:tcPr>
          <w:p>
            <w:r>
              <w:rPr>
                <w:b/>
                <w:sz w:val="17"/>
              </w:rPr>
              <w:t>8,601</w:t>
            </w:r>
          </w:p>
        </w:tc>
        <w:tc>
          <w:tcPr>
            <w:tcW w:type="dxa" w:w="1440"/>
            <w:shd w:fill="FFDCE0" w:val="clear"/>
          </w:tcPr>
          <w:p>
            <w:r>
              <w:rPr>
                <w:sz w:val="17"/>
              </w:rPr>
              <w:t>9,135</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2026-10-16</w:t>
            </w:r>
          </w:p>
        </w:tc>
        <w:tc>
          <w:tcPr>
            <w:tcW w:type="dxa" w:w="1440"/>
            <w:shd w:fill="FFDCE0" w:val="clear"/>
          </w:tcPr>
          <w:p>
            <w:r>
              <w:rPr>
                <w:sz w:val="17"/>
              </w:rPr>
              <w:t>7,964</w:t>
            </w:r>
          </w:p>
        </w:tc>
        <w:tc>
          <w:tcPr>
            <w:tcW w:type="dxa" w:w="1440"/>
            <w:shd w:fill="FFDCE0" w:val="clear"/>
          </w:tcPr>
          <w:p>
            <w:r>
              <w:rPr>
                <w:b/>
                <w:sz w:val="17"/>
              </w:rPr>
              <w:t>8,558</w:t>
            </w:r>
          </w:p>
        </w:tc>
        <w:tc>
          <w:tcPr>
            <w:tcW w:type="dxa" w:w="1440"/>
            <w:shd w:fill="FFDCE0" w:val="clear"/>
          </w:tcPr>
          <w:p>
            <w:r>
              <w:rPr>
                <w:sz w:val="17"/>
              </w:rPr>
              <w:t>9,152</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2026-10-19</w:t>
            </w:r>
          </w:p>
        </w:tc>
        <w:tc>
          <w:tcPr>
            <w:tcW w:type="dxa" w:w="1440"/>
            <w:shd w:fill="FFDCE0" w:val="clear"/>
          </w:tcPr>
          <w:p>
            <w:r>
              <w:rPr>
                <w:sz w:val="17"/>
              </w:rPr>
              <w:t>7,871</w:t>
            </w:r>
          </w:p>
        </w:tc>
        <w:tc>
          <w:tcPr>
            <w:tcW w:type="dxa" w:w="1440"/>
            <w:shd w:fill="FFDCE0" w:val="clear"/>
          </w:tcPr>
          <w:p>
            <w:r>
              <w:rPr>
                <w:b/>
                <w:sz w:val="17"/>
              </w:rPr>
              <w:t>8,518</w:t>
            </w:r>
          </w:p>
        </w:tc>
        <w:tc>
          <w:tcPr>
            <w:tcW w:type="dxa" w:w="1440"/>
            <w:shd w:fill="FFDCE0" w:val="clear"/>
          </w:tcPr>
          <w:p>
            <w:r>
              <w:rPr>
                <w:sz w:val="17"/>
              </w:rPr>
              <w:t>9,166</w:t>
            </w:r>
          </w:p>
        </w:tc>
        <w:tc>
          <w:tcPr>
            <w:tcW w:type="dxa" w:w="1440"/>
            <w:shd w:fill="FFDCE0" w:val="clear"/>
          </w:tcPr>
          <w:p>
            <w:r>
              <w:rPr>
                <w:b/>
                <w:color w:val="C00000"/>
                <w:sz w:val="17"/>
              </w:rPr>
              <w:t>-3.2%</w:t>
            </w:r>
          </w:p>
        </w:tc>
      </w:tr>
      <w:tr>
        <w:tc>
          <w:tcPr>
            <w:tcW w:type="dxa" w:w="1440"/>
            <w:shd w:fill="FFDCE0" w:val="clear"/>
          </w:tcPr>
          <w:p>
            <w:r>
              <w:rPr>
                <w:sz w:val="17"/>
              </w:rPr>
              <w:t>J+7  Moyenne</w:t>
            </w:r>
          </w:p>
        </w:tc>
        <w:tc>
          <w:tcPr>
            <w:tcW w:type="dxa" w:w="1440"/>
            <w:shd w:fill="FFDCE0" w:val="clear"/>
          </w:tcPr>
          <w:p>
            <w:r>
              <w:rPr>
                <w:sz w:val="17"/>
              </w:rPr>
              <w:t>2026-10-20</w:t>
            </w:r>
          </w:p>
        </w:tc>
        <w:tc>
          <w:tcPr>
            <w:tcW w:type="dxa" w:w="1440"/>
            <w:shd w:fill="FFDCE0" w:val="clear"/>
          </w:tcPr>
          <w:p>
            <w:r>
              <w:rPr>
                <w:sz w:val="17"/>
              </w:rPr>
              <w:t>7,785</w:t>
            </w:r>
          </w:p>
        </w:tc>
        <w:tc>
          <w:tcPr>
            <w:tcW w:type="dxa" w:w="1440"/>
            <w:shd w:fill="FFDCE0" w:val="clear"/>
          </w:tcPr>
          <w:p>
            <w:r>
              <w:rPr>
                <w:b/>
                <w:sz w:val="17"/>
              </w:rPr>
              <w:t>8,481</w:t>
            </w:r>
          </w:p>
        </w:tc>
        <w:tc>
          <w:tcPr>
            <w:tcW w:type="dxa" w:w="1440"/>
            <w:shd w:fill="FFDCE0" w:val="clear"/>
          </w:tcPr>
          <w:p>
            <w:r>
              <w:rPr>
                <w:sz w:val="17"/>
              </w:rPr>
              <w:t>9,178</w:t>
            </w:r>
          </w:p>
        </w:tc>
        <w:tc>
          <w:tcPr>
            <w:tcW w:type="dxa" w:w="1440"/>
            <w:shd w:fill="FFDCE0" w:val="clear"/>
          </w:tcPr>
          <w:p>
            <w:r>
              <w:rPr>
                <w:b/>
                <w:color w:val="C00000"/>
                <w:sz w:val="17"/>
              </w:rPr>
              <w:t>-3.6%</w:t>
            </w:r>
          </w:p>
        </w:tc>
      </w:tr>
      <w:tr>
        <w:tc>
          <w:tcPr>
            <w:tcW w:type="dxa" w:w="1440"/>
            <w:shd w:fill="FFDCE0" w:val="clear"/>
          </w:tcPr>
          <w:p>
            <w:r>
              <w:rPr>
                <w:sz w:val="17"/>
              </w:rPr>
              <w:t>J+8  Moyenne</w:t>
            </w:r>
          </w:p>
        </w:tc>
        <w:tc>
          <w:tcPr>
            <w:tcW w:type="dxa" w:w="1440"/>
            <w:shd w:fill="FFDCE0" w:val="clear"/>
          </w:tcPr>
          <w:p>
            <w:r>
              <w:rPr>
                <w:sz w:val="17"/>
              </w:rPr>
              <w:t>2026-10-21</w:t>
            </w:r>
          </w:p>
        </w:tc>
        <w:tc>
          <w:tcPr>
            <w:tcW w:type="dxa" w:w="1440"/>
            <w:shd w:fill="FFDCE0" w:val="clear"/>
          </w:tcPr>
          <w:p>
            <w:r>
              <w:rPr>
                <w:sz w:val="17"/>
              </w:rPr>
              <w:t>7,705</w:t>
            </w:r>
          </w:p>
        </w:tc>
        <w:tc>
          <w:tcPr>
            <w:tcW w:type="dxa" w:w="1440"/>
            <w:shd w:fill="FFDCE0" w:val="clear"/>
          </w:tcPr>
          <w:p>
            <w:r>
              <w:rPr>
                <w:b/>
                <w:sz w:val="17"/>
              </w:rPr>
              <w:t>8,446</w:t>
            </w:r>
          </w:p>
        </w:tc>
        <w:tc>
          <w:tcPr>
            <w:tcW w:type="dxa" w:w="1440"/>
            <w:shd w:fill="FFDCE0" w:val="clear"/>
          </w:tcPr>
          <w:p>
            <w:r>
              <w:rPr>
                <w:sz w:val="17"/>
              </w:rPr>
              <w:t>9,188</w:t>
            </w:r>
          </w:p>
        </w:tc>
        <w:tc>
          <w:tcPr>
            <w:tcW w:type="dxa" w:w="1440"/>
            <w:shd w:fill="FFDCE0" w:val="clear"/>
          </w:tcPr>
          <w:p>
            <w:r>
              <w:rPr>
                <w:b/>
                <w:color w:val="C00000"/>
                <w:sz w:val="17"/>
              </w:rPr>
              <w:t>-4.0%</w:t>
            </w:r>
          </w:p>
        </w:tc>
      </w:tr>
      <w:tr>
        <w:tc>
          <w:tcPr>
            <w:tcW w:type="dxa" w:w="1440"/>
            <w:shd w:fill="FFDCE0" w:val="clear"/>
          </w:tcPr>
          <w:p>
            <w:r>
              <w:rPr>
                <w:sz w:val="17"/>
              </w:rPr>
              <w:t>J+9  Moyenne</w:t>
            </w:r>
          </w:p>
        </w:tc>
        <w:tc>
          <w:tcPr>
            <w:tcW w:type="dxa" w:w="1440"/>
            <w:shd w:fill="FFDCE0" w:val="clear"/>
          </w:tcPr>
          <w:p>
            <w:r>
              <w:rPr>
                <w:sz w:val="17"/>
              </w:rPr>
              <w:t>2026-10-22</w:t>
            </w:r>
          </w:p>
        </w:tc>
        <w:tc>
          <w:tcPr>
            <w:tcW w:type="dxa" w:w="1440"/>
            <w:shd w:fill="FFDCE0" w:val="clear"/>
          </w:tcPr>
          <w:p>
            <w:r>
              <w:rPr>
                <w:sz w:val="17"/>
              </w:rPr>
              <w:t>7,630</w:t>
            </w:r>
          </w:p>
        </w:tc>
        <w:tc>
          <w:tcPr>
            <w:tcW w:type="dxa" w:w="1440"/>
            <w:shd w:fill="FFDCE0" w:val="clear"/>
          </w:tcPr>
          <w:p>
            <w:r>
              <w:rPr>
                <w:b/>
                <w:sz w:val="17"/>
              </w:rPr>
              <w:t>8,413</w:t>
            </w:r>
          </w:p>
        </w:tc>
        <w:tc>
          <w:tcPr>
            <w:tcW w:type="dxa" w:w="1440"/>
            <w:shd w:fill="FFDCE0" w:val="clear"/>
          </w:tcPr>
          <w:p>
            <w:r>
              <w:rPr>
                <w:sz w:val="17"/>
              </w:rPr>
              <w:t>9,196</w:t>
            </w:r>
          </w:p>
        </w:tc>
        <w:tc>
          <w:tcPr>
            <w:tcW w:type="dxa" w:w="1440"/>
            <w:shd w:fill="FFDCE0" w:val="clear"/>
          </w:tcPr>
          <w:p>
            <w:r>
              <w:rPr>
                <w:b/>
                <w:color w:val="C00000"/>
                <w:sz w:val="17"/>
              </w:rPr>
              <w:t>-4.4%</w:t>
            </w:r>
          </w:p>
        </w:tc>
      </w:tr>
      <w:tr>
        <w:tc>
          <w:tcPr>
            <w:tcW w:type="dxa" w:w="1440"/>
            <w:shd w:fill="FFDCE0" w:val="clear"/>
          </w:tcPr>
          <w:p>
            <w:r>
              <w:rPr>
                <w:sz w:val="17"/>
              </w:rPr>
              <w:t>J+10  Moyenne</w:t>
            </w:r>
          </w:p>
        </w:tc>
        <w:tc>
          <w:tcPr>
            <w:tcW w:type="dxa" w:w="1440"/>
            <w:shd w:fill="FFDCE0" w:val="clear"/>
          </w:tcPr>
          <w:p>
            <w:r>
              <w:rPr>
                <w:sz w:val="17"/>
              </w:rPr>
              <w:t>2026-10-23</w:t>
            </w:r>
          </w:p>
        </w:tc>
        <w:tc>
          <w:tcPr>
            <w:tcW w:type="dxa" w:w="1440"/>
            <w:shd w:fill="FFDCE0" w:val="clear"/>
          </w:tcPr>
          <w:p>
            <w:r>
              <w:rPr>
                <w:sz w:val="17"/>
              </w:rPr>
              <w:t>7,559</w:t>
            </w:r>
          </w:p>
        </w:tc>
        <w:tc>
          <w:tcPr>
            <w:tcW w:type="dxa" w:w="1440"/>
            <w:shd w:fill="FFDCE0" w:val="clear"/>
          </w:tcPr>
          <w:p>
            <w:r>
              <w:rPr>
                <w:b/>
                <w:sz w:val="17"/>
              </w:rPr>
              <w:t>8,382</w:t>
            </w:r>
          </w:p>
        </w:tc>
        <w:tc>
          <w:tcPr>
            <w:tcW w:type="dxa" w:w="1440"/>
            <w:shd w:fill="FFDCE0" w:val="clear"/>
          </w:tcPr>
          <w:p>
            <w:r>
              <w:rPr>
                <w:sz w:val="17"/>
              </w:rPr>
              <w:t>9,204</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 RAPPORT D'ANALYSE FINANCIÈRE — SIBC (Société Ivoirienne de Banque)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880,00 Mds FCFA, la SIBC s'impose comme l'une des valeurs bancaires les plus capitalisées de la BRVM, ce qui en fait un pilier de l'indice BRVM-30 et un titre de référence pour les investisseurs institutionnels de la zone UEMOA. Le BPA de 556 FCFA/action signifie que chaque titre détenu génère près de 556 FCFA de bénéfice net, un niveau remarquable qui traduit la forte rentabilité de la banque. Le PER de 15,8x se situe au-dessus de la moyenne du marché BRVM (généralement comprise entre 8x et 12x), ce qui indique que les investisseurs acceptent de payer une prime pour la qualité des bénéfices, mais cette valorisation reste modérée au regard des standards internationaux du secteur bancaire. En revanche, le P/B de 4,30x constitue une valorisation exigeante : le marché paie plus de quatre fois la valeur comptable des fonds propres (204,765 Mds FCFA), ce qui intègre déjà une forte anticipation de croissance et de rentabilité future. Enfin, l'EV/EBITDA de 14,7x, situé dans la fourchette haute (10-15x), confirme que la valeur d'entreprise intègre une prime de qualité, cohérente avec le ROE exceptionnel de 27,16% affiché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totale de +17,33%, avec une dernière séance en hausse de +0,57%, confirmant une dynamique haussière de fond malgré quelques oscillations récentes. Le cours actuel de 8 800 FCFA se situe dans la partie médiane du range de trading, le plus haut ayant atteint 9 500 FCFA et le plus bas 7 500 FCFA, soit une amplitude de 2 000 FCFA (26,7%) qui témoigne d'une réelle volatilité intra-période. La tendance générale reste haussière sur la période, portée par la solidité des fondamentaux et la qualité des publications trimestrielles, mais le titre marque une pause depuis quelques séances, comme en témoigne le repli sous ses moyennes mobiles. Les statistiques descriptives révèlent une moyenne de 8 896 FCFA légèrement inférieure à la médiane de 8 995 FCFA, signe d'une asymétrie négative confirmée par le skewness de -1,820 : le cours a passé plus de journées au-dessus de sa moyenne, mais quelques journées de forte baisse ont tiré la moyenne vers le bas. L'écart-type de 389 FCFA (CV de 4,4%) indique une dispersion modérée autour de la moyenne, tandis que le kurtosis de 3,661 (leptokurtique) signale des queues épaisses, c'est-à-dire un risque de pics de volatilité brutaux qu'il convient de surveiller. La volatilité annualisée de 30,9% positionne le titre dans la catégorie des valeurs à volatilité élevée (&gt;30%), ce qui est cohérent avec un titre bancaire de grande capitalisation mais dont le flottant reste limité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9 043,5 FCFA et la MM50 à 9 113,5 FCFA, toutes deux supérieures au cours actuel de 8 800 FCFA, ce qui place le titre en position baissière à court et moyen terme. Le croisement baissier (MM20 sous MM50) et l'écart négatif entre le cours et ses moyennes justifient la décision technique de **Vente**, signalant une pression vendeuse persistante.</w:t>
      </w:r>
    </w:p>
    <w:p>
      <w:pPr>
        <w:spacing w:after="120" w:line="276" w:lineRule="auto"/>
      </w:pPr>
      <w:r>
        <w:t>**Bandes de Bollinger :** La borne supérieure est à 9 458,62 FCFA et la borne inférieure à 8 628,38 FCFA, avec un cours actuel de 8 800 FCFA qui se situe dans la moitié basse du canal, sans atteindre la borne inférieure. Cette position médiane-basse traduit une volatilité contenue et une absence de signal extrême, justifiant la décision **Neutre** : le titre n'est ni en survente technique, ni en surachat.</w:t>
      </w:r>
    </w:p>
    <w:p>
      <w:pPr>
        <w:spacing w:after="120" w:line="276" w:lineRule="auto"/>
      </w:pPr>
      <w:r>
        <w:t>**MACD :** Le MACD affiche une valeur de -77,245 contre un signal à -44,621, soit un MACD nettement inférieur à sa ligne de signal, ce qui confirme un momentum baissier. La divergence négative persistante et l'enfoncement du MACD en territoire négatif justifient la décision de **Vente**, indiquant que la dynamique baissière n'est pas encore épuisée.</w:t>
      </w:r>
    </w:p>
    <w:p>
      <w:pPr>
        <w:spacing w:after="120" w:line="276" w:lineRule="auto"/>
      </w:pPr>
      <w:r>
        <w:t>**RSI :** Le RSI s'établit à 39,216, dans la zone neutre (30-70) mais orienté vers le bas, sans atteindre le seuil de survente (30). Cette configuration indique une faiblesse relative sans excès baissier, justifiant la décision **Neutre** : le titre pourrait encore céder du terrain avant de trouver un support.</w:t>
      </w:r>
    </w:p>
    <w:p>
      <w:pPr>
        <w:spacing w:after="120" w:line="276" w:lineRule="auto"/>
      </w:pPr>
      <w:r>
        <w:t>**Stochastique :** Le %K est à 42,963 et le %D à 38,025, avec un %K légèrement supérieur au %D, suggérant un début de croisement haussier de faible amplitude. Toutefois, les deux courbes restent en zone basse et proches du seuil de survente, ce qui justifie la décision **Neutre** : un rebond technique est possible mais non confirmé.</w:t>
      </w:r>
    </w:p>
    <w:p>
      <w:pPr>
        <w:spacing w:after="120" w:line="276" w:lineRule="auto"/>
      </w:pPr>
      <w:r>
        <w:t>**Conclusion technique :** La convergence des signaux est majoritairement baissière à neutre : les moyennes mobiles et le MACD confirment une pression vendeuse, tandis que le RSI, les Bandes de Bollinger et le Stochastique plaident pour une accalmie sans signal d'achat franc. Le titre se trouve dans une phase de consolidation baissière, avec un support potentiel autour de 8 628 FCFA (borne inférieure de Bollinger) et une résistance à 9 043 FCFA (MM20). Une cassure sous 8 600 FCFA ouvrirait la voie à un repli plus marqué, tandis qu'un rebond au-dessus de 9 050 FCFA serait le premier signe de retournement haussier.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SIBC affiche un Produit Net Bancaire (PNB) de 108,663 Mds FCFA, un résultat net de 55,623 Mds FCFA, un ROE exceptionnel de 27,16% et un ROA de 2,96%. Le coefficient d'exploitation de 38,59% est excellent (largement inférieur au seuil de 60% qui définit une banque efficace), témoignant d'une maîtrise remarquable des charges. Le coût du risque, bien que libellé avec une valeur atypique dans les données (3,64%), doit être interprété avec prudence : les rapports trimestriels récents indiquent une forte amélioration de la qualité du portefeuille, avec un coût du risque en baisse de -75,3% au S1 2026 (287 M FCFA). La structure financière montre une autonomie financière de 10,88% (capitaux propres/total bilan), un ratio d'endettement de 50,92% et une solvabilité générale de 112,21%, confirmant la solidité du bilan. Le ratio dépôts/crédits s'établit à 1 503,441 Mds FCFA de dépôts clientèle pour 1 226,720 Mds FCFA de créances clientèle, soit un taux de transformation de 81,6%, indicateur d'une activité d'intermédiation équilibrée.</w:t>
      </w:r>
    </w:p>
    <w:p>
      <w:pPr>
        <w:spacing w:after="120" w:line="276" w:lineRule="auto"/>
      </w:pPr>
      <w:r>
        <w:t>**Estimations basées sur les rapports trimestriels :** Sur la base du rapport T1 2026 (publié en 2026), le PNB progresse de +4% à 27,7 Mds FCFA et le résultat net de +11% à 15,2 Mds FCFA, avec une marge nette de 54,9%. Le rapport S1 2026 (publié en 2026) confirme cette dynamique : PNB de 56,6 Mds FCFA (+4%), résultat net de 32,1 Mds FCFA (+9,3%), crédits clientèle en hausse de +12% à 1 169 Mds FCFA et dépôts en hausse de +12% à 1 581 Mds FCFA. On estime donc que l'exercice 2026 devrait clôturer avec un PNB autour de 113-115 Mds FCFA et un résultat net de 58-60 Mds FCFA, soit une croissance annuelle de 5-8%. Le rapport annuel 2024 (publié en 2024) indiquait un dividende brut de 375 FCFA/action, offrant un rendement d'environ 4,3% sur la base du cours actuel de 8 800 FCFA, ce qui reste attractif. La recommandation fondamentale est **CONSERVER avec biais positif** : la banque affiche une solidité financière remarquable, une croissance régulière et une rentabilité parmi les meilleures du secteur, mais la valorisation exigeante (P/B de 4,30x) limite le potentiel de hausse à court terme.</w:t>
      </w:r>
    </w:p>
    <w:p>
      <w:pPr>
        <w:spacing w:after="120" w:line="276" w:lineRule="auto"/>
      </w:pPr>
      <w:r>
        <w:t>---</w:t>
      </w:r>
    </w:p>
    <w:p>
      <w:pPr>
        <w:spacing w:after="120" w:line="276" w:lineRule="auto"/>
      </w:pPr>
      <w:r>
        <w:t>## PARTIE 4 : CONCLUSION D'INVESTISSEMENT</w:t>
      </w:r>
    </w:p>
    <w:p>
      <w:pPr>
        <w:spacing w:after="120" w:line="276" w:lineRule="auto"/>
      </w:pPr>
      <w:r>
        <w:t>La valorisation de la SIBC présente un profil contrasté : si le PER de 15,8x reste modéré au regard de la qualité des bénéfices, le P/B de 4,30x et l'EV/EBITDA de 14,7x traduisent une prime de qualité déjà bien intégrée par le marché, limitant le potentiel de réévaluation à court terme. Le comportement du cours sur 100 jours est haussier (+17,33%) mais les statistiques descriptives (skewness négatif de -1,820, kurtosis de 3,661) révèlent une asymétrie défavorable et un risque de pics baissiers, tandis que la volatilité annualisée de 30,9% positionne le titre comme relativement risqué. Les signaux techniques sont majoritairement baissiers à neutres : les moyennes mobiles et le MACD confirment une pression vendeuse, tandis que le RSI, les Bandes de Bollinger et le Stochastique plaident pour une consolidation sans signal d'achat. Les fondamentaux restent solides : ROE de 27,16%, coefficient d'exploitation de 38,59%, croissance du résultat net de +9,3% au S1 2026 et ratio de solvabilité confortable, mais la valorisation exigeante et l'absence de visibilité sur le dividende 2026 tempèrent l'enthousiasme. Les prédictions IA pour les 10 prochains jours (8744 → 8558 FCFA) confirment la tendance baissière à court terme, avec une baisse attendue de -2,75% sur la période, ce qui contredit les fondamentaux mais valide les signaux techniques. **Recommandation finale : CONSERVER** — la convergence entre technique baissière, valorisation exigeante et prédictions IA négatives suggère d'éviter l'achat à court terme, mais la solidité fondamentale et la qualité de la banque justifient de conserver la position pour les investisseurs déjà exposés. Le niveau de confiance est **Moyen** (les fondamentaux sont solides mais la technique et la prédiction sont baissières), le risque global est **Moyen** (volatilité élevée mais bilan solide), et l'horizon optimal est **moyen terme (3-12 mois)** , le temps que la consolidation technique s'achève et que la publication des résultats annuels 2026 confirme la tendance fondamentale.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β=-1.1082 (Contre-cyclique) — Cov=-0.000042, Var(idx)=0.000038, ρ=-0.179, n=84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ACTION SICC (SICOR)**</w:t>
        <w:br/>
        <w:t>**Bourse Régionale des Valeurs Mobilières (BRVM) — Secteur Agro-industriel**</w:t>
        <w:br/>
        <w:t>**Date d'analyse : Juillet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l'absence de données financières structurées récentes exploitables dans la base, ce qui limite l'appréciation directe du prix payé par rapport aux bénéfices. Toutefois, en croisant le cours actuel de 8 400 FCFA avec le dernier résultat net connu (19,25 millions FCFA en 2023 pour un capital social de 1,5 milliard FCFA, soit un BPA théorique d'environ 12,8 FCFA), le PER implicite ressortirait à des niveaux extrêmement élevés (supérieurs à 600x), bien au-delà de la moyenne BRVM (8-12x), signalant une décorrélation manifeste entre le prix de marché et la rentabilité effective. Cette situation s'explique par la forte spéculation sur le titre et par l'absence de publication de ratios actualisés, rendant toute comparaison sectorielle hasardeuse.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SICC affiche une performance spectaculaire de **+95,35%**, portant le cours à **8 400 FCFA**, malgré un repli marginal de **-1,12%** lors de la dernière séance. Le range de trading est particulièrement large, avec un plus haut à **10 200 FCFA** et un plus bas à **3 985 FCFA**, soit un écart de plus de 156% entre les deux extrêmes, révélant une tendance haussière puissante mais ponctuée de corrections violentes. La moyenne du cours sur la période (**5 815 FCFA**) est nettement supérieure à la médiane (**5 022 FCFA**), ce qui confirme une distribution asymétrique positivement (skewness de **+0,913**), c'est-à-dire que la majorité des séances se sont négociées sous la moyenne, mais quelques journées de forte hausse ont tiré la moyenne vers le haut. L'écart-type de **1 813 FCFA** et le coefficient de variation de **31,2%** traduisent une dispersion importante du cours, tandis que le kurtosis de **-0,630** (mésokurtique) indique une distribution proche de la normale, sans pics extrêmes significatifs. La volatilité annualisée de **58,2%** classe le titre dans la catégorie des valeurs à volatilité élevée (&gt;30%), ce qui implique un risque de perte en capital substantiel et justifie une approche prudente. Le volume moyen quotidien de seulement **120 titres** souligne en outre une liquidité très faible, exposant l'investisseur à un risque de sortie difficile.</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 FCFA) se situent toutes deux sous le cours actuel (8 400 FCFA), avec une MM20 légèrement supérieure au prix, ce qui traduit une dynamique haussière de fond mais un essoufflement à court terme. La configuration en "golden cross" (MM20 &gt; MM50) confirme la tendance positive, justifiant la décision d'**Achat** émise par le système, bien que le cours évolue désormais sous sa moyenne court terme.</w:t>
      </w:r>
    </w:p>
    <w:p>
      <w:pPr>
        <w:spacing w:after="120" w:line="276" w:lineRule="auto"/>
      </w:pPr>
      <w:r>
        <w:t>**Bandes de Bollinger** : Le cours (8 400 FCFA) évolue à l'intérieur des bandes, entre la borne inférieure (7 354,78 FCFA) et la borne supérieure (9 589,72 FCFA), mais plus proche de la borne haute, ce qui indique une pression acheteuse résiduelle. L'amplitude des bandes (environ 2 235 FCFA) reflète une volatilité encore soutenue. La décision **Neutre** se justifie par l'absence de signal clair de surachat ou de survente, le cours se situant dans la zone médiane-haute.</w:t>
      </w:r>
    </w:p>
    <w:p>
      <w:pPr>
        <w:spacing w:after="120" w:line="276" w:lineRule="auto"/>
      </w:pPr>
      <w:r>
        <w:t>**MACD** : La valeur du MACD (263,88) est inférieure à son signal (351,54), générant un croisement baissier qui traduit un affaiblissement du momentum haussier. Cette divergence négative, bien que modérée, justifie la décision de **Vente** à court terme, suggérant que la dynamique positive s'essouffle.</w:t>
      </w:r>
    </w:p>
    <w:p>
      <w:pPr>
        <w:spacing w:after="120" w:line="276" w:lineRule="auto"/>
      </w:pPr>
      <w:r>
        <w:t>**RSI** : À **61,16**, le RSI se situe dans la zone neutre (30-70), sans signal de surachat (&gt;70) ni de survente (&lt;30). La décision **Neutre** reflète un équilibre relatif entre acheteurs et vendeurs, avec une légère prédominance haussière mais sans excès.</w:t>
      </w:r>
    </w:p>
    <w:p>
      <w:pPr>
        <w:spacing w:after="120" w:line="276" w:lineRule="auto"/>
      </w:pPr>
      <w:r>
        <w:t>**Stochastique** : Le %K (85,71) et le %D (94,76) sont tous deux en zone de surachat (&gt;80), avec un %K inférieur au %D, signalant un croisement baissier imminent. Cette configuration justifie la décision de **Vente**, indiquant une probabilité élevée de correction à court terme.</w:t>
      </w:r>
    </w:p>
    <w:p>
      <w:pPr>
        <w:spacing w:after="120" w:line="276" w:lineRule="auto"/>
      </w:pPr>
      <w:r>
        <w:t>**Conclusion technique** : Les indicateurs sont majoritairement baissiers à court terme (MACD, Stochastique) ou neutres (RSI, Bollinger), tandis que les moyennes mobiles conservent une orientation haussière de fond. Cette divergence suggère que le titre, après une hausse vertigineuse de près de 100% en 100 jours, entre dans une phase de consolidation voire de correction. La faible liquidité et la volatilité élevée amplifient le risque de mouvement erratique.</w:t>
      </w:r>
    </w:p>
    <w:p>
      <w:pPr>
        <w:spacing w:after="120" w:line="276" w:lineRule="auto"/>
      </w:pPr>
      <w:r>
        <w:t>---</w:t>
      </w:r>
    </w:p>
    <w:p>
      <w:pPr>
        <w:spacing w:after="120" w:line="276" w:lineRule="auto"/>
      </w:pPr>
      <w:r>
        <w:t>## PARTIE 3 : ANALYSE FONDAMENTALE</w:t>
      </w:r>
    </w:p>
    <w:p>
      <w:pPr>
        <w:spacing w:after="120" w:line="276" w:lineRule="auto"/>
      </w:pPr>
      <w:r>
        <w:t>L'analyse fondamentale de SICOR s'appuie sur les rapports financiers officiels disponibles, dont les plus récents remontent à l'exercice 2023 (analyse MISTRAL du 15/03/2026) et à l'exercice 2024 (analyse GEMINI-VISION du 06/09/2026, partiellement tronquée). **En 2023**, la société a réalisé un chiffre d'affaires de **701,09 millions FCFA**, en chute de **38,4%** par rapport aux 1 138,17 millions FCFA de 2022, sous l'effet conjugué de la baisse des volumes (vols de noix de coco sur les sites de Boulay et Gliké) et de l'effondrement des ventes d'huile de coprah (-98,82%). Malgré cette contraction, le résultat net est redevenu positif à **+19,25 millions FCFA** (contre une perte de -39,95 millions FCFA en 2022), grâce à une réduction drastique des charges (-43,68%) et au transfert de 50% du personnel vers la filiale SIPAL. La marge nette reste toutefois très faible à **2,75%**, bien en deçà des standards sectoriels (5-10%). **En 2022**, le chiffre d'affaires s'élevait à 1 138,17 millions FCFA (-17,58% vs 2021) et la perte nette atteignait -39,95 millions FCFA, marquant une inversion de tendance après quatre années de bénéfices (2018-2021). Les exercices antérieurs (2015-2017) montrent une volatilité extrême des résultats : bénéfice de 434,87 millions FCFA en 2015, chute à 53,31 millions en 2016, puis 100,57 millions en 2017, avec des capitaux propres négatifs en 2016 (-2,32 milliards FCFA) avant redressement. La société n'a **jamais distribué de dividende depuis 2017**, les pertes cumulées (689,86 millions FCFA en 2023) devant être apurées conformément à l'Acte Uniforme OHADA. Les risques majeurs identifiés sont l'insécurité des plantations (vols), la dépendance aux cours mondiaux du coprah, la trésorerie tendue (découverts bancaires multipliés par 14 en 2023) et la concurrence d'acteurs comme SIFCA ou Olam. Les perspectives reposent sur la diversification (noix de coco, tourteaux) et la modernisation des infrastructures, mais la rentabilité demeure fragile et dépendante d'une reprise durable des volumes. **Recommandation fondamentale : CONSERVER avec vigilance**, en l'absence de dividende et face à des fondamentaux encore instables.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complexe et contradictoire. **Sur le plan de la valorisation (Partie 0)**, la capitalisation de 5,04 milliards FCFA et l'absence de ratios calculables (BPA, PER, P/B) empêchent toute évaluation précise, mais le PER implicite très élevé (basé sur le résultat 2023) suggère une surévaluation manifeste par rapport aux bénéfices. **Le comportement du cours (Partie 1)** est exceptionnellement haussier (+95,35% en 100 jours) mais accompagné d'une volatilité annualisée de 58,2% et d'une liquidité très faible (120 titres/jour), ce qui constitue un risque majeur de sortie. Les statistiques descriptives (skewness positif, kurtosis mésokurtique) indiquent une distribution asymétrique avec des pics de hausse ponctuels, typique d'un titre spéculatif. **Les signaux techniques (Partie 2)** sont divergents : les moyennes mobiles restent haussières (MM20 &gt; MM50), mais le MACD et le Stochastique émettent des signaux de vente, tandis que le RSI et les Bandes de Bollinger sont neutres. Cette configuration suggère une correction imminente après la flambée. **Les fondamentaux (Partie 3)** demeurent fragiles : retour à la profitabilité en 2023 (+19,25 millions FCFA) mais marge nette faible (2,75%), absence de dividende depuis 2017, pertes cumulées de 689,86 millions FCFA, et risques opérationnels persistants (vols, trésorerie tendue). **Les prédictions IA (J+1 à J+10)** ne sont pas disponibles, ce qui prive l'analyse d'un signal directionnel à court terme. **En synthèse**, la convergence entre une valorisation spéculative, des signaux techniques baissiers à court terme et des fondamentaux encore instables plaide pour une **VENTE** du titre, avec un niveau de confiance **Moyen** et un risque global **Élevé**. L'horizon d'investissement recommandé est **court terme (&lt;3 mois)** pour les investisseurs déjà positionnés souhaitant sécuriser leurs gains, tandis que les nouveaux entrants devraient s'abstenir en l'absence de dividende et de visibilité financière. Une surveillance des prochains rapports (AGO du 22 mai 2026 sur l'exercice 2024) sera cruciale pour confirmer ou infirmer la trajectoire de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17.12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5,378 titres</w:t>
            </w:r>
          </w:p>
        </w:tc>
        <w:tc>
          <w:tcPr>
            <w:tcW w:type="dxa" w:w="2268"/>
            <w:shd w:fill="FFF2CC" w:val="clear"/>
          </w:tcPr>
          <w:p>
            <w:r>
              <w:rPr>
                <w:b/>
                <w:color w:val="503200"/>
                <w:sz w:val="16"/>
              </w:rPr>
              <w:t xml:space="preserve">Cours actuel : </w:t>
            </w:r>
            <w:r>
              <w:rPr>
                <w:color w:val="000000"/>
                <w:sz w:val="17"/>
              </w:rPr>
              <w:t>1,960 FCFA</w:t>
            </w:r>
          </w:p>
          <w:p>
            <w:r>
              <w:rPr>
                <w:b/>
                <w:color w:val="503200"/>
                <w:sz w:val="16"/>
              </w:rPr>
              <w:t xml:space="preserve">Var. 100 jours : </w:t>
            </w:r>
            <w:r>
              <w:rPr>
                <w:b/>
                <w:color w:val="B40000"/>
                <w:sz w:val="17"/>
              </w:rPr>
              <w:t>-31.11%</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11.90% (Moyenne) — μ=2,397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β=0.4834 (Défensif) — Cov=0.000036, Var(idx)=0.000074, ρ=0.121,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annualisée≈53.9%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1,876</w:t>
            </w:r>
          </w:p>
        </w:tc>
        <w:tc>
          <w:tcPr>
            <w:tcW w:type="dxa" w:w="1440"/>
            <w:shd w:fill="FAFAFA" w:val="clear"/>
          </w:tcPr>
          <w:p>
            <w:r>
              <w:rPr>
                <w:b/>
                <w:sz w:val="17"/>
              </w:rPr>
              <w:t>1,976</w:t>
            </w:r>
          </w:p>
        </w:tc>
        <w:tc>
          <w:tcPr>
            <w:tcW w:type="dxa" w:w="1440"/>
            <w:shd w:fill="FAFAFA" w:val="clear"/>
          </w:tcPr>
          <w:p>
            <w:r>
              <w:rPr>
                <w:sz w:val="17"/>
              </w:rPr>
              <w:t>2,076</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1,836</w:t>
            </w:r>
          </w:p>
        </w:tc>
        <w:tc>
          <w:tcPr>
            <w:tcW w:type="dxa" w:w="1440"/>
            <w:shd w:fill="FAFAFA" w:val="clear"/>
          </w:tcPr>
          <w:p>
            <w:r>
              <w:rPr>
                <w:b/>
                <w:sz w:val="17"/>
              </w:rPr>
              <w:t>1,977</w:t>
            </w:r>
          </w:p>
        </w:tc>
        <w:tc>
          <w:tcPr>
            <w:tcW w:type="dxa" w:w="1440"/>
            <w:shd w:fill="FAFAFA" w:val="clear"/>
          </w:tcPr>
          <w:p>
            <w:r>
              <w:rPr>
                <w:sz w:val="17"/>
              </w:rPr>
              <w:t>2,118</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1,807</w:t>
            </w:r>
          </w:p>
        </w:tc>
        <w:tc>
          <w:tcPr>
            <w:tcW w:type="dxa" w:w="1440"/>
            <w:shd w:fill="FAFAFA" w:val="clear"/>
          </w:tcPr>
          <w:p>
            <w:r>
              <w:rPr>
                <w:b/>
                <w:sz w:val="17"/>
              </w:rPr>
              <w:t>1,981</w:t>
            </w:r>
          </w:p>
        </w:tc>
        <w:tc>
          <w:tcPr>
            <w:tcW w:type="dxa" w:w="1440"/>
            <w:shd w:fill="FAFAFA" w:val="clear"/>
          </w:tcPr>
          <w:p>
            <w:r>
              <w:rPr>
                <w:sz w:val="17"/>
              </w:rPr>
              <w:t>2,154</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1,784</w:t>
            </w:r>
          </w:p>
        </w:tc>
        <w:tc>
          <w:tcPr>
            <w:tcW w:type="dxa" w:w="1440"/>
            <w:shd w:fill="FAFAFA" w:val="clear"/>
          </w:tcPr>
          <w:p>
            <w:r>
              <w:rPr>
                <w:b/>
                <w:sz w:val="17"/>
              </w:rPr>
              <w:t>1,985</w:t>
            </w:r>
          </w:p>
        </w:tc>
        <w:tc>
          <w:tcPr>
            <w:tcW w:type="dxa" w:w="1440"/>
            <w:shd w:fill="FAFAFA" w:val="clear"/>
          </w:tcPr>
          <w:p>
            <w:r>
              <w:rPr>
                <w:sz w:val="17"/>
              </w:rPr>
              <w:t>2,185</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1,765</w:t>
            </w:r>
          </w:p>
        </w:tc>
        <w:tc>
          <w:tcPr>
            <w:tcW w:type="dxa" w:w="1440"/>
            <w:shd w:fill="FAFAFA" w:val="clear"/>
          </w:tcPr>
          <w:p>
            <w:r>
              <w:rPr>
                <w:b/>
                <w:sz w:val="17"/>
              </w:rPr>
              <w:t>1,989</w:t>
            </w:r>
          </w:p>
        </w:tc>
        <w:tc>
          <w:tcPr>
            <w:tcW w:type="dxa" w:w="1440"/>
            <w:shd w:fill="FAFAFA" w:val="clear"/>
          </w:tcPr>
          <w:p>
            <w:r>
              <w:rPr>
                <w:sz w:val="17"/>
              </w:rPr>
              <w:t>2,214</w:t>
            </w:r>
          </w:p>
        </w:tc>
        <w:tc>
          <w:tcPr>
            <w:tcW w:type="dxa" w:w="1440"/>
            <w:shd w:fill="FAFAFA" w:val="clear"/>
          </w:tcPr>
          <w:p>
            <w:r>
              <w:rPr>
                <w:b/>
                <w:color w:val="008000"/>
                <w:sz w:val="17"/>
              </w:rPr>
              <w:t>+1.5%</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1,747</w:t>
            </w:r>
          </w:p>
        </w:tc>
        <w:tc>
          <w:tcPr>
            <w:tcW w:type="dxa" w:w="1440"/>
            <w:shd w:fill="FAFAFA" w:val="clear"/>
          </w:tcPr>
          <w:p>
            <w:r>
              <w:rPr>
                <w:b/>
                <w:sz w:val="17"/>
              </w:rPr>
              <w:t>1,994</w:t>
            </w:r>
          </w:p>
        </w:tc>
        <w:tc>
          <w:tcPr>
            <w:tcW w:type="dxa" w:w="1440"/>
            <w:shd w:fill="FAFAFA" w:val="clear"/>
          </w:tcPr>
          <w:p>
            <w:r>
              <w:rPr>
                <w:sz w:val="17"/>
              </w:rPr>
              <w:t>2,241</w:t>
            </w:r>
          </w:p>
        </w:tc>
        <w:tc>
          <w:tcPr>
            <w:tcW w:type="dxa" w:w="1440"/>
            <w:shd w:fill="FAFAFA" w:val="clear"/>
          </w:tcPr>
          <w:p>
            <w:r>
              <w:rPr>
                <w:b/>
                <w:color w:val="008000"/>
                <w:sz w:val="17"/>
              </w:rPr>
              <w:t>+1.7%</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1,731</w:t>
            </w:r>
          </w:p>
        </w:tc>
        <w:tc>
          <w:tcPr>
            <w:tcW w:type="dxa" w:w="1440"/>
            <w:shd w:fill="FAFAFA" w:val="clear"/>
          </w:tcPr>
          <w:p>
            <w:r>
              <w:rPr>
                <w:b/>
                <w:sz w:val="17"/>
              </w:rPr>
              <w:t>1,998</w:t>
            </w:r>
          </w:p>
        </w:tc>
        <w:tc>
          <w:tcPr>
            <w:tcW w:type="dxa" w:w="1440"/>
            <w:shd w:fill="FAFAFA" w:val="clear"/>
          </w:tcPr>
          <w:p>
            <w:r>
              <w:rPr>
                <w:sz w:val="17"/>
              </w:rPr>
              <w:t>2,265</w:t>
            </w:r>
          </w:p>
        </w:tc>
        <w:tc>
          <w:tcPr>
            <w:tcW w:type="dxa" w:w="1440"/>
            <w:shd w:fill="FAFAFA" w:val="clear"/>
          </w:tcPr>
          <w:p>
            <w:r>
              <w:rPr>
                <w:b/>
                <w:color w:val="008000"/>
                <w:sz w:val="17"/>
              </w:rPr>
              <w:t>+2.0%</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1,716</w:t>
            </w:r>
          </w:p>
        </w:tc>
        <w:tc>
          <w:tcPr>
            <w:tcW w:type="dxa" w:w="1440"/>
            <w:shd w:fill="C6EFCE" w:val="clear"/>
          </w:tcPr>
          <w:p>
            <w:r>
              <w:rPr>
                <w:b/>
                <w:sz w:val="17"/>
              </w:rPr>
              <w:t>2,003</w:t>
            </w:r>
          </w:p>
        </w:tc>
        <w:tc>
          <w:tcPr>
            <w:tcW w:type="dxa" w:w="1440"/>
            <w:shd w:fill="C6EFCE" w:val="clear"/>
          </w:tcPr>
          <w:p>
            <w:r>
              <w:rPr>
                <w:sz w:val="17"/>
              </w:rPr>
              <w:t>2,289</w:t>
            </w:r>
          </w:p>
        </w:tc>
        <w:tc>
          <w:tcPr>
            <w:tcW w:type="dxa" w:w="1440"/>
            <w:shd w:fill="C6EFCE" w:val="clear"/>
          </w:tcPr>
          <w:p>
            <w:r>
              <w:rPr>
                <w:b/>
                <w:color w:val="008000"/>
                <w:sz w:val="17"/>
              </w:rPr>
              <w:t>+2.2%</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1,703</w:t>
            </w:r>
          </w:p>
        </w:tc>
        <w:tc>
          <w:tcPr>
            <w:tcW w:type="dxa" w:w="1440"/>
            <w:shd w:fill="C6EFCE" w:val="clear"/>
          </w:tcPr>
          <w:p>
            <w:r>
              <w:rPr>
                <w:b/>
                <w:sz w:val="17"/>
              </w:rPr>
              <w:t>2,007</w:t>
            </w:r>
          </w:p>
        </w:tc>
        <w:tc>
          <w:tcPr>
            <w:tcW w:type="dxa" w:w="1440"/>
            <w:shd w:fill="C6EFCE" w:val="clear"/>
          </w:tcPr>
          <w:p>
            <w:r>
              <w:rPr>
                <w:sz w:val="17"/>
              </w:rPr>
              <w:t>2,311</w:t>
            </w:r>
          </w:p>
        </w:tc>
        <w:tc>
          <w:tcPr>
            <w:tcW w:type="dxa" w:w="1440"/>
            <w:shd w:fill="C6EFCE" w:val="clear"/>
          </w:tcPr>
          <w:p>
            <w:r>
              <w:rPr>
                <w:b/>
                <w:color w:val="008000"/>
                <w:sz w:val="17"/>
              </w:rPr>
              <w:t>+2.4%</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1,690</w:t>
            </w:r>
          </w:p>
        </w:tc>
        <w:tc>
          <w:tcPr>
            <w:tcW w:type="dxa" w:w="1440"/>
            <w:shd w:fill="C6EFCE" w:val="clear"/>
          </w:tcPr>
          <w:p>
            <w:r>
              <w:rPr>
                <w:b/>
                <w:sz w:val="17"/>
              </w:rPr>
              <w:t>2,011</w:t>
            </w:r>
          </w:p>
        </w:tc>
        <w:tc>
          <w:tcPr>
            <w:tcW w:type="dxa" w:w="1440"/>
            <w:shd w:fill="C6EFCE" w:val="clear"/>
          </w:tcPr>
          <w:p>
            <w:r>
              <w:rPr>
                <w:sz w:val="17"/>
              </w:rPr>
              <w:t>2,333</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2.219 Mds FCFA</w:t>
            </w:r>
          </w:p>
        </w:tc>
        <w:tc>
          <w:tcPr>
            <w:tcW w:type="dxa" w:w="5669"/>
            <w:shd w:fill="FFFFFF" w:val="clear"/>
          </w:tcPr>
          <w:p>
            <w:r>
              <w:rPr>
                <w:color w:val="282828"/>
                <w:sz w:val="15"/>
              </w:rPr>
              <w:t>Créances clients = 22.0%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2.420 Mds FCFA</w:t>
            </w:r>
          </w:p>
        </w:tc>
        <w:tc>
          <w:tcPr>
            <w:tcW w:type="dxa" w:w="5669"/>
            <w:shd w:fill="FFFFFF" w:val="clear"/>
          </w:tcPr>
          <w:p>
            <w:r>
              <w:rPr>
                <w:color w:val="282828"/>
                <w:sz w:val="15"/>
              </w:rPr>
              <w:t>Rotation stocks = 4.2x/an.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5.740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16.02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8.586 Mds FCFA</w:t>
            </w:r>
          </w:p>
        </w:tc>
        <w:tc>
          <w:tcPr>
            <w:tcW w:type="dxa" w:w="5669"/>
            <w:shd w:fill="FFFFFF" w:val="clear"/>
          </w:tcPr>
          <w:p>
            <w:r>
              <w:rPr>
                <w:color w:val="282828"/>
                <w:sz w:val="15"/>
              </w:rPr>
              <w:t>Outil industriel (58.8%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8.822 Mds FCFA</w:t>
            </w:r>
          </w:p>
        </w:tc>
        <w:tc>
          <w:tcPr>
            <w:tcW w:type="dxa" w:w="5669"/>
            <w:shd w:fill="FFFFFF" w:val="clear"/>
          </w:tcPr>
          <w:p>
            <w:r>
              <w:rPr>
                <w:color w:val="282828"/>
                <w:sz w:val="15"/>
              </w:rPr>
              <w:t>Actif immobilisé = 60.4%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48.21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14.611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2.527 Mds FCFA</w:t>
            </w:r>
          </w:p>
        </w:tc>
        <w:tc>
          <w:tcPr>
            <w:tcW w:type="dxa" w:w="5669"/>
            <w:shd w:fill="FFFFFF" w:val="clear"/>
          </w:tcPr>
          <w:p>
            <w:r>
              <w:rPr>
                <w:color w:val="282828"/>
                <w:sz w:val="15"/>
              </w:rPr>
              <w:t>Fonds propres = 17.3%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6.691 Mds FCFA</w:t>
            </w:r>
          </w:p>
        </w:tc>
        <w:tc>
          <w:tcPr>
            <w:tcW w:type="dxa" w:w="5669"/>
            <w:shd w:fill="FFFFFF" w:val="clear"/>
          </w:tcPr>
          <w:p>
            <w:r>
              <w:rPr>
                <w:color w:val="282828"/>
                <w:sz w:val="15"/>
              </w:rPr>
              <w:t>Capitaux permanents / Actif immobilisé = 0.76x.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3.897 Mds FCFA</w:t>
            </w:r>
          </w:p>
        </w:tc>
        <w:tc>
          <w:tcPr>
            <w:tcW w:type="dxa" w:w="5669"/>
            <w:shd w:fill="FFFFFF" w:val="clear"/>
          </w:tcPr>
          <w:p>
            <w:r>
              <w:rPr>
                <w:color w:val="282828"/>
                <w:sz w:val="15"/>
              </w:rPr>
              <w:t>Délai fournisseurs implicite ≈ 141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4.062 Mds FCFA</w:t>
            </w:r>
          </w:p>
        </w:tc>
        <w:tc>
          <w:tcPr>
            <w:tcW w:type="dxa" w:w="5669"/>
            <w:shd w:fill="FFFFFF" w:val="clear"/>
          </w:tcPr>
          <w:p>
            <w:r>
              <w:rPr>
                <w:color w:val="282828"/>
                <w:sz w:val="15"/>
              </w:rPr>
              <w:t>Dette LT/MT = 161%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5.771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12.085 Mds FCFA</w:t>
            </w:r>
          </w:p>
        </w:tc>
        <w:tc>
          <w:tcPr>
            <w:tcW w:type="dxa" w:w="5669"/>
            <w:shd w:fill="FFFFFF" w:val="clear"/>
          </w:tcPr>
          <w:p>
            <w:r>
              <w:rPr>
                <w:color w:val="282828"/>
                <w:sz w:val="15"/>
              </w:rPr>
              <w:t>Dettes totales = 82.7%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10.075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10.075 Mds FCFA</w:t>
            </w:r>
          </w:p>
        </w:tc>
        <w:tc>
          <w:tcPr>
            <w:tcW w:type="dxa" w:w="5669"/>
            <w:shd w:fill="FFFFFF" w:val="clear"/>
          </w:tcPr>
          <w:p>
            <w:r>
              <w:rPr>
                <w:color w:val="282828"/>
                <w:sz w:val="15"/>
              </w:rPr>
              <w:t>Chiffre d'affaires. Croissance: 8.5%.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1.088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1.661 Mds FCFA</w:t>
            </w:r>
          </w:p>
        </w:tc>
        <w:tc>
          <w:tcPr>
            <w:tcW w:type="dxa" w:w="5669"/>
            <w:shd w:fill="FFFFFF" w:val="clear"/>
          </w:tcPr>
          <w:p>
            <w:r>
              <w:rPr>
                <w:color w:val="282828"/>
                <w:sz w:val="15"/>
              </w:rPr>
              <w:t>Masse salariale = 16.5%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3.103 Mds FCFA</w:t>
            </w:r>
          </w:p>
        </w:tc>
        <w:tc>
          <w:tcPr>
            <w:tcW w:type="dxa" w:w="5669"/>
            <w:shd w:fill="FFFFFF" w:val="clear"/>
          </w:tcPr>
          <w:p>
            <w:r>
              <w:rPr>
                <w:color w:val="282828"/>
                <w:sz w:val="15"/>
              </w:rPr>
              <w:t>VA = 30.8%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1.442 Mds FCFA</w:t>
            </w:r>
          </w:p>
        </w:tc>
        <w:tc>
          <w:tcPr>
            <w:tcW w:type="dxa" w:w="5669"/>
            <w:shd w:fill="FFFFFF" w:val="clear"/>
          </w:tcPr>
          <w:p>
            <w:r>
              <w:rPr>
                <w:color w:val="282828"/>
                <w:sz w:val="15"/>
              </w:rPr>
              <w:t>EBE = 14.3%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866.37 M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179.29 M FCFA</w:t>
            </w:r>
          </w:p>
        </w:tc>
        <w:tc>
          <w:tcPr>
            <w:tcW w:type="dxa" w:w="5669"/>
            <w:shd w:fill="FFFFFF" w:val="clear"/>
          </w:tcPr>
          <w:p>
            <w:r>
              <w:rPr>
                <w:color w:val="282828"/>
                <w:sz w:val="15"/>
              </w:rPr>
              <w:t>Marge nette = 1.8%.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868.94 M FCFA</w:t>
            </w:r>
          </w:p>
        </w:tc>
        <w:tc>
          <w:tcPr>
            <w:tcW w:type="dxa" w:w="5669"/>
            <w:shd w:fill="FFFFFF" w:val="clear"/>
          </w:tcPr>
          <w:p>
            <w:r>
              <w:rPr>
                <w:color w:val="282828"/>
                <w:sz w:val="15"/>
              </w:rPr>
              <w:t>CAF = 0.87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992.26 M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-1.935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1.425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-935.89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-470.79 M FCFA</w:t>
            </w:r>
          </w:p>
        </w:tc>
        <w:tc>
          <w:tcPr>
            <w:tcW w:type="dxa" w:w="5669"/>
            <w:shd w:fill="FFFFFF" w:val="clear"/>
          </w:tcPr>
          <w:p>
            <w:r>
              <w:rPr>
                <w:color w:val="282828"/>
                <w:sz w:val="15"/>
              </w:rPr>
              <w:t>BFR = -4.7%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-2.132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54.30%</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1.78%</w:t>
            </w:r>
          </w:p>
        </w:tc>
        <w:tc>
          <w:tcPr>
            <w:tcW w:type="dxa" w:w="5669"/>
            <w:shd w:fill="FFFFFF" w:val="clear"/>
          </w:tcPr>
          <w:p>
            <w:r>
              <w:rPr>
                <w:color w:val="282828"/>
                <w:sz w:val="15"/>
              </w:rPr>
              <w:t>Résultat net / revenus = 1.78%.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7.10%</w:t>
            </w:r>
          </w:p>
        </w:tc>
        <w:tc>
          <w:tcPr>
            <w:tcW w:type="dxa" w:w="5669"/>
            <w:shd w:fill="FFFFFF" w:val="clear"/>
          </w:tcPr>
          <w:p>
            <w:r>
              <w:rPr>
                <w:color w:val="282828"/>
                <w:sz w:val="15"/>
              </w:rPr>
              <w:t>Résultat net / capitaux propres = 7.10%.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1.23%</w:t>
            </w:r>
          </w:p>
        </w:tc>
        <w:tc>
          <w:tcPr>
            <w:tcW w:type="dxa" w:w="5669"/>
            <w:shd w:fill="FFFFFF" w:val="clear"/>
          </w:tcPr>
          <w:p>
            <w:r>
              <w:rPr>
                <w:color w:val="282828"/>
                <w:sz w:val="15"/>
              </w:rPr>
              <w:t>Résultat net / total actif = 1.23%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68.95%</w:t>
            </w:r>
          </w:p>
        </w:tc>
        <w:tc>
          <w:tcPr>
            <w:tcW w:type="dxa" w:w="5669"/>
            <w:shd w:fill="FFFFFF" w:val="clear"/>
          </w:tcPr>
          <w:p>
            <w:r>
              <w:rPr>
                <w:color w:val="282828"/>
                <w:sz w:val="15"/>
              </w:rPr>
              <w:t>CA / total actif = 68.95x.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8.53%</w:t>
            </w:r>
          </w:p>
        </w:tc>
        <w:tc>
          <w:tcPr>
            <w:tcW w:type="dxa" w:w="5669"/>
            <w:shd w:fill="FFFFFF" w:val="clear"/>
          </w:tcPr>
          <w:p>
            <w:r>
              <w:rPr>
                <w:color w:val="282828"/>
                <w:sz w:val="15"/>
              </w:rPr>
              <w:t>Croissance CA vs exercice précédent = 8.53%.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17.29%</w:t>
            </w:r>
          </w:p>
        </w:tc>
        <w:tc>
          <w:tcPr>
            <w:tcW w:type="dxa" w:w="5669"/>
            <w:shd w:fill="FFFFFF" w:val="clear"/>
          </w:tcPr>
          <w:p>
            <w:r>
              <w:rPr>
                <w:color w:val="282828"/>
                <w:sz w:val="15"/>
              </w:rPr>
              <w:t>Fonds propres / total bilan = 17.29%.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82.71%</w:t>
            </w:r>
          </w:p>
        </w:tc>
        <w:tc>
          <w:tcPr>
            <w:tcW w:type="dxa" w:w="5669"/>
            <w:shd w:fill="FFFFFF" w:val="clear"/>
          </w:tcPr>
          <w:p>
            <w:r>
              <w:rPr>
                <w:color w:val="282828"/>
                <w:sz w:val="15"/>
              </w:rPr>
              <w:t>Dettes financières / total bilan = 82.71%.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228.41%</w:t>
            </w:r>
          </w:p>
        </w:tc>
        <w:tc>
          <w:tcPr>
            <w:tcW w:type="dxa" w:w="5669"/>
            <w:shd w:fill="FFFFFF" w:val="clear"/>
          </w:tcPr>
          <w:p>
            <w:r>
              <w:rPr>
                <w:color w:val="282828"/>
                <w:sz w:val="15"/>
              </w:rPr>
              <w:t>Dettes totales / fonds propres = 228.41%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120.91%</w:t>
            </w:r>
          </w:p>
        </w:tc>
        <w:tc>
          <w:tcPr>
            <w:tcW w:type="dxa" w:w="5669"/>
            <w:shd w:fill="FFFFFF" w:val="clear"/>
          </w:tcPr>
          <w:p>
            <w:r>
              <w:rPr>
                <w:color w:val="282828"/>
                <w:sz w:val="15"/>
              </w:rPr>
              <w:t>Total actif / dettes totales = 120.91x.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73.09%</w:t>
            </w:r>
          </w:p>
        </w:tc>
        <w:tc>
          <w:tcPr>
            <w:tcW w:type="dxa" w:w="5669"/>
            <w:shd w:fill="FFFFFF" w:val="clear"/>
          </w:tcPr>
          <w:p>
            <w:r>
              <w:rPr>
                <w:color w:val="282828"/>
                <w:sz w:val="15"/>
              </w:rPr>
              <w:t>Actif circulant / passif circulant = 73.09x.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0.61%</w:t>
            </w:r>
          </w:p>
        </w:tc>
        <w:tc>
          <w:tcPr>
            <w:tcW w:type="dxa" w:w="5669"/>
            <w:shd w:fill="FFFFFF" w:val="clear"/>
          </w:tcPr>
          <w:p>
            <w:r>
              <w:rPr>
                <w:color w:val="282828"/>
                <w:sz w:val="15"/>
              </w:rPr>
              <w:t>Trésorerie / passif circulant = 0.61x.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42.53%</w:t>
            </w:r>
          </w:p>
        </w:tc>
        <w:tc>
          <w:tcPr>
            <w:tcW w:type="dxa" w:w="5669"/>
            <w:shd w:fill="FFFFFF" w:val="clear"/>
          </w:tcPr>
          <w:p>
            <w:r>
              <w:rPr>
                <w:color w:val="282828"/>
                <w:sz w:val="15"/>
              </w:rPr>
              <w:t>(Actif circ. - stocks) / passif circ. = 42.53x.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75.84%</w:t>
            </w:r>
          </w:p>
        </w:tc>
        <w:tc>
          <w:tcPr>
            <w:tcW w:type="dxa" w:w="5669"/>
            <w:shd w:fill="FFFFFF" w:val="clear"/>
          </w:tcPr>
          <w:p>
            <w:r>
              <w:rPr>
                <w:color w:val="282828"/>
                <w:sz w:val="15"/>
              </w:rPr>
              <w:t>Capitaux permanents / actif immobilisé = 75.84x.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6.6 ans</w:t>
            </w:r>
          </w:p>
        </w:tc>
        <w:tc>
          <w:tcPr>
            <w:tcW w:type="dxa" w:w="5669"/>
            <w:shd w:fill="FFFFFF" w:val="clear"/>
          </w:tcPr>
          <w:p>
            <w:r>
              <w:rPr>
                <w:color w:val="282828"/>
                <w:sz w:val="15"/>
              </w:rPr>
              <w:t>Dettes financières / CAF = 6.6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235.01%</w:t>
            </w:r>
          </w:p>
        </w:tc>
        <w:tc>
          <w:tcPr>
            <w:tcW w:type="dxa" w:w="5669"/>
            <w:shd w:fill="FFFFFF" w:val="clear"/>
          </w:tcPr>
          <w:p>
            <w:r>
              <w:rPr>
                <w:color w:val="282828"/>
                <w:sz w:val="15"/>
              </w:rPr>
              <w:t>Résultat exploit. / charges financières = 235.01x.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45.07%</w:t>
            </w:r>
          </w:p>
        </w:tc>
        <w:tc>
          <w:tcPr>
            <w:tcW w:type="dxa" w:w="5669"/>
            <w:shd w:fill="FFFFFF" w:val="clear"/>
          </w:tcPr>
          <w:p>
            <w:r>
              <w:rPr>
                <w:color w:val="282828"/>
                <w:sz w:val="15"/>
              </w:rPr>
              <w:t>CAF / investissements = 45.07x.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79.3 j</w:t>
            </w:r>
          </w:p>
        </w:tc>
        <w:tc>
          <w:tcPr>
            <w:tcW w:type="dxa" w:w="5669"/>
            <w:shd w:fill="FFFFFF" w:val="clear"/>
          </w:tcPr>
          <w:p>
            <w:r>
              <w:rPr>
                <w:color w:val="282828"/>
                <w:sz w:val="15"/>
              </w:rPr>
              <w:t>Les clients paient en moyenne en 79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323.3 j</w:t>
            </w:r>
          </w:p>
        </w:tc>
        <w:tc>
          <w:tcPr>
            <w:tcW w:type="dxa" w:w="5669"/>
            <w:shd w:fill="FFFFFF" w:val="clear"/>
          </w:tcPr>
          <w:p>
            <w:r>
              <w:rPr>
                <w:color w:val="282828"/>
                <w:sz w:val="15"/>
              </w:rPr>
              <w:t>Paiement des fournisseurs en 323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189.3 j</w:t>
            </w:r>
          </w:p>
        </w:tc>
        <w:tc>
          <w:tcPr>
            <w:tcW w:type="dxa" w:w="5669"/>
            <w:shd w:fill="FFFFFF" w:val="clear"/>
          </w:tcPr>
          <w:p>
            <w:r>
              <w:rPr>
                <w:color w:val="282828"/>
                <w:sz w:val="15"/>
              </w:rPr>
              <w:t>Stock écoulé en 189 jours. ❌ Stock quasi-bloqué — risque d'obsolescence ou de surstock.</w:t>
            </w:r>
          </w:p>
        </w:tc>
      </w:tr>
    </w:tbl>
    <w:p/>
    <w:p>
      <w:pPr>
        <w:spacing w:after="120" w:line="276" w:lineRule="auto"/>
      </w:pPr>
      <w:r>
        <w:t>**RAPPORT D'ANALYSE FINANCIÈRE — SIVC (ERIUM COTE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17,12 milliards FCFA, SIVC (désormais ERIUM CI) se situe dans la catégorie des valeurs moyennes de la cote BRVM, ce qui la rend vulnérable aux mouvements de faible volume. Le BPA de 21 FCFA/action, rapporté au cours actuel de 1 960 FCFA, génère un PER de 95,5x — un niveau extrêmement élevé comparé à la moyenne du marché BRVM (8-12x), signalant que les investisseurs paient une prime spéculative très forte par rapport aux bénéfices réellement dégagés. Le P/B de 6,78x confirme cette exubérance : le marché valorise la société à près de 7 fois sa valeur comptable, alors que le ROE n'est que de 7,1%, ce qui est incohérent. L'EV/EBITDA de 17,0x traduit également une valorisation tendue de la capacité opérationnelle, bien au-delà du seuil de 15x généralement considéré comme exigeant. L'ensemble de ces ratios dessine une action nettement surévaluée au regard de ses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spectaculaire de -31,11%, passant d'un plus haut de 2 875 FCFA à un plus bas de 1 920 FCFA, avant de clôturer à 1 960 FCFA avec un rebond marginal de +1,55% lors de la dernière séance. Cette tendance baissière marquée s'inscrit dans un contexte de défiance des investisseurs, probablement lié à la dégradation des résultats annuels 2025 et au changement de dénomination sociale. Les statistiques descriptives révèlent une moyenne de 2 397 FCFA légèrement supérieure à la médiane de 2 365 FCFA, avec un mode à 2 000 FCFA, suggérant une distribution quasi-symétrique (skewness de 0,306) mais avec une légère traîne vers les hauts. L'écart-type de 287 FCFA (CV de 12,0%) indique une dispersion modérée du cours autour de sa moyenne, tandis que le kurtosis de -0,988 (mésokurtique) signale une distribution proche de la normale, sans risque excessif de pics extrêmes. La volatilité annualisée de 53,9% classe ce titre dans la catégorie des valeurs très volatiles (&gt;30%), ce qui expose l'investisseur à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(2 087 FCFA) et la MM50 (2 227 FCFA) se situent toutes deux au-dessus du cours actuel (1 960 FCFA), confirmant une configuration baissière où le prix évolue sous ses moyennes. La MM20 étant inférieure à la MM50, on observe un croisement baissier (death cross) qui renforce le signal de vente. La décision technique est donc logiquement **Vente**.</w:t>
      </w:r>
    </w:p>
    <w:p>
      <w:pPr>
        <w:spacing w:after="120" w:line="276" w:lineRule="auto"/>
      </w:pPr>
      <w:r>
        <w:t>**Bandes de Bollinger** : Le cours (1 960 FCFA) se situe dans la moitié inférieure de la bande, entre la borne inférieure (1 813,94 FCFA) et la borne supérieure (2 360,06 FCFA), sans atteindre les extrêmes. Cette position médiane, couplée à un rétrécissement des bandes, traduit une volatilité en compression et une indécision du marché. La décision est **Neutre**, le titre n'étant ni suracheté ni survendu selon ce critère.</w:t>
      </w:r>
    </w:p>
    <w:p>
      <w:pPr>
        <w:spacing w:after="120" w:line="276" w:lineRule="auto"/>
      </w:pPr>
      <w:r>
        <w:t>**MACD** : La valeur du MACD (-86,963) est inférieure à son signal (-80,138), avec un histogramme négatif, ce qui confirme un momentum baissier persistant. La divergence négative entre les deux lignes indique que la pression vendeuse reste dominante. La décision est **Vente**.</w:t>
      </w:r>
    </w:p>
    <w:p>
      <w:pPr>
        <w:spacing w:after="120" w:line="276" w:lineRule="auto"/>
      </w:pPr>
      <w:r>
        <w:t>**RSI** : À 35,374, le RSI se situe dans la zone neutre basse (30-70), sans atteindre le seuil de survente (30). Cela suggère que le titre n'est pas encore techniquement "survendu" et qu'il pourrait continuer à baisser avant un rebond. La décision est **Neutre**.</w:t>
      </w:r>
    </w:p>
    <w:p>
      <w:pPr>
        <w:spacing w:after="120" w:line="276" w:lineRule="auto"/>
      </w:pPr>
      <w:r>
        <w:t>**Stochastique** : Le %K (14,286) est supérieur au %D (4,762), avec un croisement haussier en zone de survente (&lt;20), ce qui constitue un signal d'achat technique à court terme. La décision est **Achat**, bien que ce signal soit à confirmer par les autres indicateurs.</w:t>
      </w:r>
    </w:p>
    <w:p>
      <w:pPr>
        <w:spacing w:after="120" w:line="276" w:lineRule="auto"/>
      </w:pPr>
      <w:r>
        <w:t>**Conclusion technique** : Les indicateurs techniques présentent une divergence notable : les moyennes mobiles et le MACD confirment une tendance baissière, tandis que le stochastique génère un signal d'achat contrarien en zone de survente. Le RSI et les bandes de Bollinger restent neutres, ne validant ni un rebond imminent ni une poursuite de la baisse. Dans l'ensemble, la configuration technique reste majoritairement baissière, le signal d'achat du stochastique étant trop isolé pour inverser la tendance de fond.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2025 d'ERIUM CI (ex-SIVC) révèlent une situation paradoxale : le chiffre d'affaires progresse de +8,53% à 10,075 milliards FCFA, mais le résultat net chute de -52,4% à seulement 179,29 millions FCFA, faisant s'effondrer la marge nette de 4,06% à 1,78%. Cette contre-performance s'explique par une explosion des charges d'exploitation et une dégradation du résultat financier, passé d'un gain de 316 M FCFA en 2024 à une perte de -114 M FCFA en 2025. Le ROE n'est que de 7,10% (très loin du seuil de 15% considéré comme excellent) et le ROA de 1,23%, traduisant une rentabilité très faible des actifs. La structure financière est préoccupante : l'autonomie financière n'est que de 17,29% (seuil sain &gt;30%), le ratio d'endettement atteint 228,41%, et la trésorerie nette reste négative à -1,661 milliards FCFA. Le BFR est négatif (-470,79 M FCFA), ce qui est favorable, mais le fonds de roulement est également négatif (-2,132 Mds FCFA), signalant un déséquilibre financier structurel. Les délais d'exploitation sont élevés : 79,30 jours pour les clients (risque de trésorerie) et 189,26 jours de stockage (immobilisation de capital), tandis que le délai fournisseurs de 323,35 jours constitue un avantage de trésorerie. Les rapports trimestriels 2025 (S1 et T3) font état d'une amélioration au fil de l'année : le CA cumulé à fin septembre atteint 7 584,7 M FCFA (+13%) et le résultat net 832,5 M FCFA (+58%), avec une marge nette de 11,0%. **On estime donc que l'exercice 2025 devrait se conclure sur une note plus favorable que ne le suggèrent les états financiers annuels**, possiblement en raison d'éléments exceptionnels négatifs non récurrents. La recommandation fondamentale reste toutefois **CONSERVER avec surveillance**, la société devant impérativement restaurer sa rentabilité et assainir sa structure financière.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majeure entre la valorisation, le comportement du cours, les signaux techniques et les fondamentaux. La **valorisation** (Partie 0) est clairement surévaluée : PER de 95,5x, P/B de 6,78x et EV/EBITDA de 17,0x pour un ROE de seulement 7,1% — le marché paie une prime injustifiée. Le **comportement du cours** (Partie 1) est baissier (-31,11% sur 100 jours) avec une volatilité très élevée (53,9%), une distribution quasi-normale (kurtosis -0,988, skewness 0,306) mais une tendance clairement négative. Les **signaux techniques** (Partie 2) sont majoritairement baissiers (MM, MACD), avec un signal d'achat isolé du stochastique en zone de survente, insuffisant pour inverser la tendance. Les **fondamentaux** (Partie 3) sont fragiles : croissance du CA mais effondrement du résultat net, endettement élevé, trésorerie négative, bien que les rapports trimestriels 2025 suggèrent une amélioration en cours d'année. Les **prédictions IA** (J+1 à J+10) tablent sur une légère reprise (1 976 → 1 989 FCFA), ce qui contredit la tendance baissière récente mais reste cohérent avec le signal d'achat du stochastique. **Recommandation finale : CONSERVER**, avec un niveau de confiance **Moyen** et un risque global **Élevé**. L'horizon d'investissement optimal est le **moyen terme (3-12 mois)**, le temps que la société confirme l'amélioration de sa rentabilité entrevue dans les rapports trimestriels 2025 et que la valorisation se normalise. Un nouvel investisseur devrait attendre une confirmation technique (cassure de la MM20 à la hausse) et fondamentale (publication des résultats annuels 2026) avant d'envisager une 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624.69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1,419 titres</w:t>
            </w:r>
          </w:p>
        </w:tc>
        <w:tc>
          <w:tcPr>
            <w:tcW w:type="dxa" w:w="2268"/>
            <w:shd w:fill="FFF2CC" w:val="clear"/>
          </w:tcPr>
          <w:p>
            <w:r>
              <w:rPr>
                <w:b/>
                <w:color w:val="503200"/>
                <w:sz w:val="16"/>
              </w:rPr>
              <w:t xml:space="preserve">Cours actuel : </w:t>
            </w:r>
            <w:r>
              <w:rPr>
                <w:color w:val="000000"/>
                <w:sz w:val="17"/>
              </w:rPr>
              <w:t>37,950 FCFA</w:t>
            </w:r>
          </w:p>
          <w:p>
            <w:r>
              <w:rPr>
                <w:b/>
                <w:color w:val="503200"/>
                <w:sz w:val="16"/>
              </w:rPr>
              <w:t xml:space="preserve">Var. 100 jours : </w:t>
            </w:r>
            <w:r>
              <w:rPr>
                <w:b/>
                <w:color w:val="007800"/>
                <w:sz w:val="17"/>
              </w:rPr>
              <w:t>+0.13%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μ=38,263 FCFA, σ=863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β=0.0191 (Défensif) — Cov=0.000001, Var(idx)=0.000074, ρ=0.011,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37,263</w:t>
            </w:r>
          </w:p>
        </w:tc>
        <w:tc>
          <w:tcPr>
            <w:tcW w:type="dxa" w:w="1440"/>
            <w:shd w:fill="FAFAFA" w:val="clear"/>
          </w:tcPr>
          <w:p>
            <w:r>
              <w:rPr>
                <w:b/>
                <w:sz w:val="17"/>
              </w:rPr>
              <w:t>37,842</w:t>
            </w:r>
          </w:p>
        </w:tc>
        <w:tc>
          <w:tcPr>
            <w:tcW w:type="dxa" w:w="1440"/>
            <w:shd w:fill="FAFAFA" w:val="clear"/>
          </w:tcPr>
          <w:p>
            <w:r>
              <w:rPr>
                <w:sz w:val="17"/>
              </w:rPr>
              <w:t>38,420</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37,216</w:t>
            </w:r>
          </w:p>
        </w:tc>
        <w:tc>
          <w:tcPr>
            <w:tcW w:type="dxa" w:w="1440"/>
            <w:shd w:fill="FAFAFA" w:val="clear"/>
          </w:tcPr>
          <w:p>
            <w:r>
              <w:rPr>
                <w:b/>
                <w:sz w:val="17"/>
              </w:rPr>
              <w:t>38,038</w:t>
            </w:r>
          </w:p>
        </w:tc>
        <w:tc>
          <w:tcPr>
            <w:tcW w:type="dxa" w:w="1440"/>
            <w:shd w:fill="FAFAFA" w:val="clear"/>
          </w:tcPr>
          <w:p>
            <w:r>
              <w:rPr>
                <w:sz w:val="17"/>
              </w:rPr>
              <w:t>38,860</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37,193</w:t>
            </w:r>
          </w:p>
        </w:tc>
        <w:tc>
          <w:tcPr>
            <w:tcW w:type="dxa" w:w="1440"/>
            <w:shd w:fill="FAFAFA" w:val="clear"/>
          </w:tcPr>
          <w:p>
            <w:r>
              <w:rPr>
                <w:b/>
                <w:sz w:val="17"/>
              </w:rPr>
              <w:t>38,204</w:t>
            </w:r>
          </w:p>
        </w:tc>
        <w:tc>
          <w:tcPr>
            <w:tcW w:type="dxa" w:w="1440"/>
            <w:shd w:fill="FAFAFA" w:val="clear"/>
          </w:tcPr>
          <w:p>
            <w:r>
              <w:rPr>
                <w:sz w:val="17"/>
              </w:rPr>
              <w:t>39,216</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2026-10-15</w:t>
            </w:r>
          </w:p>
        </w:tc>
        <w:tc>
          <w:tcPr>
            <w:tcW w:type="dxa" w:w="1440"/>
            <w:shd w:fill="FAFAFA" w:val="clear"/>
          </w:tcPr>
          <w:p>
            <w:r>
              <w:rPr>
                <w:sz w:val="17"/>
              </w:rPr>
              <w:t>37,186</w:t>
            </w:r>
          </w:p>
        </w:tc>
        <w:tc>
          <w:tcPr>
            <w:tcW w:type="dxa" w:w="1440"/>
            <w:shd w:fill="FAFAFA" w:val="clear"/>
          </w:tcPr>
          <w:p>
            <w:r>
              <w:rPr>
                <w:b/>
                <w:sz w:val="17"/>
              </w:rPr>
              <w:t>38,359</w:t>
            </w:r>
          </w:p>
        </w:tc>
        <w:tc>
          <w:tcPr>
            <w:tcW w:type="dxa" w:w="1440"/>
            <w:shd w:fill="FAFAFA" w:val="clear"/>
          </w:tcPr>
          <w:p>
            <w:r>
              <w:rPr>
                <w:sz w:val="17"/>
              </w:rPr>
              <w:t>39,531</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2026-10-16</w:t>
            </w:r>
          </w:p>
        </w:tc>
        <w:tc>
          <w:tcPr>
            <w:tcW w:type="dxa" w:w="1440"/>
            <w:shd w:fill="FAFAFA" w:val="clear"/>
          </w:tcPr>
          <w:p>
            <w:r>
              <w:rPr>
                <w:sz w:val="17"/>
              </w:rPr>
              <w:t>37,191</w:t>
            </w:r>
          </w:p>
        </w:tc>
        <w:tc>
          <w:tcPr>
            <w:tcW w:type="dxa" w:w="1440"/>
            <w:shd w:fill="FAFAFA" w:val="clear"/>
          </w:tcPr>
          <w:p>
            <w:r>
              <w:rPr>
                <w:b/>
                <w:sz w:val="17"/>
              </w:rPr>
              <w:t>38,507</w:t>
            </w:r>
          </w:p>
        </w:tc>
        <w:tc>
          <w:tcPr>
            <w:tcW w:type="dxa" w:w="1440"/>
            <w:shd w:fill="FAFAFA" w:val="clear"/>
          </w:tcPr>
          <w:p>
            <w:r>
              <w:rPr>
                <w:sz w:val="17"/>
              </w:rPr>
              <w:t>39,823</w:t>
            </w:r>
          </w:p>
        </w:tc>
        <w:tc>
          <w:tcPr>
            <w:tcW w:type="dxa" w:w="1440"/>
            <w:shd w:fill="FAFAFA" w:val="clear"/>
          </w:tcPr>
          <w:p>
            <w:r>
              <w:rPr>
                <w:b/>
                <w:color w:val="008000"/>
                <w:sz w:val="17"/>
              </w:rPr>
              <w:t>+1.5%</w:t>
            </w:r>
          </w:p>
        </w:tc>
      </w:tr>
      <w:tr>
        <w:tc>
          <w:tcPr>
            <w:tcW w:type="dxa" w:w="1440"/>
            <w:shd w:fill="FAFAFA" w:val="clear"/>
          </w:tcPr>
          <w:p>
            <w:r>
              <w:rPr>
                <w:sz w:val="17"/>
              </w:rPr>
              <w:t>J+6  Moyenne</w:t>
            </w:r>
          </w:p>
        </w:tc>
        <w:tc>
          <w:tcPr>
            <w:tcW w:type="dxa" w:w="1440"/>
            <w:shd w:fill="FAFAFA" w:val="clear"/>
          </w:tcPr>
          <w:p>
            <w:r>
              <w:rPr>
                <w:sz w:val="17"/>
              </w:rPr>
              <w:t>2026-10-19</w:t>
            </w:r>
          </w:p>
        </w:tc>
        <w:tc>
          <w:tcPr>
            <w:tcW w:type="dxa" w:w="1440"/>
            <w:shd w:fill="FAFAFA" w:val="clear"/>
          </w:tcPr>
          <w:p>
            <w:r>
              <w:rPr>
                <w:sz w:val="17"/>
              </w:rPr>
              <w:t>37,204</w:t>
            </w:r>
          </w:p>
        </w:tc>
        <w:tc>
          <w:tcPr>
            <w:tcW w:type="dxa" w:w="1440"/>
            <w:shd w:fill="FAFAFA" w:val="clear"/>
          </w:tcPr>
          <w:p>
            <w:r>
              <w:rPr>
                <w:b/>
                <w:sz w:val="17"/>
              </w:rPr>
              <w:t>38,651</w:t>
            </w:r>
          </w:p>
        </w:tc>
        <w:tc>
          <w:tcPr>
            <w:tcW w:type="dxa" w:w="1440"/>
            <w:shd w:fill="FAFAFA" w:val="clear"/>
          </w:tcPr>
          <w:p>
            <w:r>
              <w:rPr>
                <w:sz w:val="17"/>
              </w:rPr>
              <w:t>40,099</w:t>
            </w:r>
          </w:p>
        </w:tc>
        <w:tc>
          <w:tcPr>
            <w:tcW w:type="dxa" w:w="1440"/>
            <w:shd w:fill="FAFAFA" w:val="clear"/>
          </w:tcPr>
          <w:p>
            <w:r>
              <w:rPr>
                <w:b/>
                <w:color w:val="008000"/>
                <w:sz w:val="17"/>
              </w:rPr>
              <w:t>+1.8%</w:t>
            </w:r>
          </w:p>
        </w:tc>
      </w:tr>
      <w:tr>
        <w:tc>
          <w:tcPr>
            <w:tcW w:type="dxa" w:w="1440"/>
            <w:shd w:fill="C6EFCE" w:val="clear"/>
          </w:tcPr>
          <w:p>
            <w:r>
              <w:rPr>
                <w:sz w:val="17"/>
              </w:rPr>
              <w:t>J+7  Moyenne</w:t>
            </w:r>
          </w:p>
        </w:tc>
        <w:tc>
          <w:tcPr>
            <w:tcW w:type="dxa" w:w="1440"/>
            <w:shd w:fill="C6EFCE" w:val="clear"/>
          </w:tcPr>
          <w:p>
            <w:r>
              <w:rPr>
                <w:sz w:val="17"/>
              </w:rPr>
              <w:t>2026-10-20</w:t>
            </w:r>
          </w:p>
        </w:tc>
        <w:tc>
          <w:tcPr>
            <w:tcW w:type="dxa" w:w="1440"/>
            <w:shd w:fill="C6EFCE" w:val="clear"/>
          </w:tcPr>
          <w:p>
            <w:r>
              <w:rPr>
                <w:sz w:val="17"/>
              </w:rPr>
              <w:t>37,223</w:t>
            </w:r>
          </w:p>
        </w:tc>
        <w:tc>
          <w:tcPr>
            <w:tcW w:type="dxa" w:w="1440"/>
            <w:shd w:fill="C6EFCE" w:val="clear"/>
          </w:tcPr>
          <w:p>
            <w:r>
              <w:rPr>
                <w:b/>
                <w:sz w:val="17"/>
              </w:rPr>
              <w:t>38,792</w:t>
            </w:r>
          </w:p>
        </w:tc>
        <w:tc>
          <w:tcPr>
            <w:tcW w:type="dxa" w:w="1440"/>
            <w:shd w:fill="C6EFCE" w:val="clear"/>
          </w:tcPr>
          <w:p>
            <w:r>
              <w:rPr>
                <w:sz w:val="17"/>
              </w:rPr>
              <w:t>40,361</w:t>
            </w:r>
          </w:p>
        </w:tc>
        <w:tc>
          <w:tcPr>
            <w:tcW w:type="dxa" w:w="1440"/>
            <w:shd w:fill="C6EFCE" w:val="clear"/>
          </w:tcPr>
          <w:p>
            <w:r>
              <w:rPr>
                <w:b/>
                <w:color w:val="008000"/>
                <w:sz w:val="17"/>
              </w:rPr>
              <w:t>+2.2%</w:t>
            </w:r>
          </w:p>
        </w:tc>
      </w:tr>
      <w:tr>
        <w:tc>
          <w:tcPr>
            <w:tcW w:type="dxa" w:w="1440"/>
            <w:shd w:fill="C6EFCE" w:val="clear"/>
          </w:tcPr>
          <w:p>
            <w:r>
              <w:rPr>
                <w:sz w:val="17"/>
              </w:rPr>
              <w:t>J+8  Moyenne</w:t>
            </w:r>
          </w:p>
        </w:tc>
        <w:tc>
          <w:tcPr>
            <w:tcW w:type="dxa" w:w="1440"/>
            <w:shd w:fill="C6EFCE" w:val="clear"/>
          </w:tcPr>
          <w:p>
            <w:r>
              <w:rPr>
                <w:sz w:val="17"/>
              </w:rPr>
              <w:t>2026-10-21</w:t>
            </w:r>
          </w:p>
        </w:tc>
        <w:tc>
          <w:tcPr>
            <w:tcW w:type="dxa" w:w="1440"/>
            <w:shd w:fill="C6EFCE" w:val="clear"/>
          </w:tcPr>
          <w:p>
            <w:r>
              <w:rPr>
                <w:sz w:val="17"/>
              </w:rPr>
              <w:t>37,247</w:t>
            </w:r>
          </w:p>
        </w:tc>
        <w:tc>
          <w:tcPr>
            <w:tcW w:type="dxa" w:w="1440"/>
            <w:shd w:fill="C6EFCE" w:val="clear"/>
          </w:tcPr>
          <w:p>
            <w:r>
              <w:rPr>
                <w:b/>
                <w:sz w:val="17"/>
              </w:rPr>
              <w:t>38,930</w:t>
            </w:r>
          </w:p>
        </w:tc>
        <w:tc>
          <w:tcPr>
            <w:tcW w:type="dxa" w:w="1440"/>
            <w:shd w:fill="C6EFCE" w:val="clear"/>
          </w:tcPr>
          <w:p>
            <w:r>
              <w:rPr>
                <w:sz w:val="17"/>
              </w:rPr>
              <w:t>40,613</w:t>
            </w:r>
          </w:p>
        </w:tc>
        <w:tc>
          <w:tcPr>
            <w:tcW w:type="dxa" w:w="1440"/>
            <w:shd w:fill="C6EFCE" w:val="clear"/>
          </w:tcPr>
          <w:p>
            <w:r>
              <w:rPr>
                <w:b/>
                <w:color w:val="008000"/>
                <w:sz w:val="17"/>
              </w:rPr>
              <w:t>+2.6%</w:t>
            </w:r>
          </w:p>
        </w:tc>
      </w:tr>
      <w:tr>
        <w:tc>
          <w:tcPr>
            <w:tcW w:type="dxa" w:w="1440"/>
            <w:shd w:fill="C6EFCE" w:val="clear"/>
          </w:tcPr>
          <w:p>
            <w:r>
              <w:rPr>
                <w:sz w:val="17"/>
              </w:rPr>
              <w:t>J+9  Moyenne</w:t>
            </w:r>
          </w:p>
        </w:tc>
        <w:tc>
          <w:tcPr>
            <w:tcW w:type="dxa" w:w="1440"/>
            <w:shd w:fill="C6EFCE" w:val="clear"/>
          </w:tcPr>
          <w:p>
            <w:r>
              <w:rPr>
                <w:sz w:val="17"/>
              </w:rPr>
              <w:t>2026-10-22</w:t>
            </w:r>
          </w:p>
        </w:tc>
        <w:tc>
          <w:tcPr>
            <w:tcW w:type="dxa" w:w="1440"/>
            <w:shd w:fill="C6EFCE" w:val="clear"/>
          </w:tcPr>
          <w:p>
            <w:r>
              <w:rPr>
                <w:sz w:val="17"/>
              </w:rPr>
              <w:t>37,274</w:t>
            </w:r>
          </w:p>
        </w:tc>
        <w:tc>
          <w:tcPr>
            <w:tcW w:type="dxa" w:w="1440"/>
            <w:shd w:fill="C6EFCE" w:val="clear"/>
          </w:tcPr>
          <w:p>
            <w:r>
              <w:rPr>
                <w:b/>
                <w:sz w:val="17"/>
              </w:rPr>
              <w:t>39,066</w:t>
            </w:r>
          </w:p>
        </w:tc>
        <w:tc>
          <w:tcPr>
            <w:tcW w:type="dxa" w:w="1440"/>
            <w:shd w:fill="C6EFCE" w:val="clear"/>
          </w:tcPr>
          <w:p>
            <w:r>
              <w:rPr>
                <w:sz w:val="17"/>
              </w:rPr>
              <w:t>40,857</w:t>
            </w:r>
          </w:p>
        </w:tc>
        <w:tc>
          <w:tcPr>
            <w:tcW w:type="dxa" w:w="1440"/>
            <w:shd w:fill="C6EFCE" w:val="clear"/>
          </w:tcPr>
          <w:p>
            <w:r>
              <w:rPr>
                <w:b/>
                <w:color w:val="008000"/>
                <w:sz w:val="17"/>
              </w:rPr>
              <w:t>+2.9%</w:t>
            </w:r>
          </w:p>
        </w:tc>
      </w:tr>
      <w:tr>
        <w:tc>
          <w:tcPr>
            <w:tcW w:type="dxa" w:w="1440"/>
            <w:shd w:fill="C6EFCE" w:val="clear"/>
          </w:tcPr>
          <w:p>
            <w:r>
              <w:rPr>
                <w:sz w:val="17"/>
              </w:rPr>
              <w:t>J+10  Moyenne</w:t>
            </w:r>
          </w:p>
        </w:tc>
        <w:tc>
          <w:tcPr>
            <w:tcW w:type="dxa" w:w="1440"/>
            <w:shd w:fill="C6EFCE" w:val="clear"/>
          </w:tcPr>
          <w:p>
            <w:r>
              <w:rPr>
                <w:sz w:val="17"/>
              </w:rPr>
              <w:t>2026-10-23</w:t>
            </w:r>
          </w:p>
        </w:tc>
        <w:tc>
          <w:tcPr>
            <w:tcW w:type="dxa" w:w="1440"/>
            <w:shd w:fill="C6EFCE" w:val="clear"/>
          </w:tcPr>
          <w:p>
            <w:r>
              <w:rPr>
                <w:sz w:val="17"/>
              </w:rPr>
              <w:t>37,304</w:t>
            </w:r>
          </w:p>
        </w:tc>
        <w:tc>
          <w:tcPr>
            <w:tcW w:type="dxa" w:w="1440"/>
            <w:shd w:fill="C6EFCE" w:val="clear"/>
          </w:tcPr>
          <w:p>
            <w:r>
              <w:rPr>
                <w:b/>
                <w:sz w:val="17"/>
              </w:rPr>
              <w:t>39,199</w:t>
            </w:r>
          </w:p>
        </w:tc>
        <w:tc>
          <w:tcPr>
            <w:tcW w:type="dxa" w:w="1440"/>
            <w:shd w:fill="C6EFCE" w:val="clear"/>
          </w:tcPr>
          <w:p>
            <w:r>
              <w:rPr>
                <w:sz w:val="17"/>
              </w:rPr>
              <w:t>41,093</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 Agroalimentaire &amp; Boissons*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624,69 milliards FCFA, SLBC s'impose comme l'une des toutes premières capitalisations de la BRVM, un poids lourd du compartiment agro-industriel ivoirien. Le BPA de 2 781 FCFA/action signifie que chaque titre génère près de 2 800 FCFA de bénéfice net, un niveau de rentabilité par action remarquable pour la place. Le PER de 13,6x traduit une valorisation modérée, légèrement supérieure à la moyenne BRVM (~8-12x), mais justifiée par la qualité de la croissance et la solidité du bilan. Le P/B de 3,20x indique que le marché paie le titre à 3,2 fois sa valeur comptable, soit une prime de croissance significative (fourchette 2-4x), cohérente avec un ROE de 23,5%. Enfin, l'EV/EBITDA de 7,4x situe la valeur d'entreprise à 7,4 fois la capacité opérationnelle, un niveau raisonnable (5-10x) qui n'intègre pas de surchauffe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quasi-stagnation avec une variation totale de +0,13%, mais la dernière séance (J-1) enregistre un rebond marqué de +2,32%, portant le titre à 37 950 FCFA. Le range de trading est resserré entre un plus haut de 41 500 FCFA et un plus bas de 36 900 FCFA, soit une amplitude d'environ 12,5%, ce qui traduit une tendance globalement stable avec une légère pression baissière sur la période. Les statistiques descriptives confirment cette stabilité : la moyenne (38 263 FCFA) est proche de la médiane et du mode (38 000 FCFA), signe d'une distribution équilibrée, tandis que l'écart-type de 868 FCFA et le coefficient de variation de 2,3% révèlent une dispersion très faible du cours. Le kurtosis de 0,714 (mésokurtique) indique une distribution proche de la normale, sans risque majeur de pics extrêmes, et le skewness de 0,809 (asymétrie positive) suggère que les journées sous la moyenne ont été plus fréquentes, mais compensées par des hausses ponctuelles plus fortes. La volatilité annualisée de 24,6% classe le titre en zone modérée (15-30%), un profil rassurant pour une valeur de fond de portefeuille.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(37 746,5 FCFA) et la MM50 (37 684,6 FCFA) sont toutes deux inférieures au cours actuel (37 950 FCFA), et la MM20 se situe légèrement au-dessus de la MM50, configurant un croisement haussier naissant. Cette configuration justifie la décision d'**Achat** : le titre évolue au-dessus de ses supports mobiles, signal d'une reprise de momentum.</w:t>
      </w:r>
    </w:p>
    <w:p>
      <w:pPr>
        <w:spacing w:after="120" w:line="276" w:lineRule="auto"/>
      </w:pPr>
      <w:r>
        <w:t>**Bandes de Bollinger** : Le cours (37 950 FCFA) se situe dans la partie haute du canal, entre la borne inférieure (37 094,8 FCFA) et la borne supérieure (38 398,2 FCFA), sans franchissement. L'étroitesse des bandes (largeur ~1 300 FCFA) confirme la faible volatilité récente, d'où la décision **Neutre** : pas de signal de breakout, mais une pression acheteuse modérée.</w:t>
      </w:r>
    </w:p>
    <w:p>
      <w:pPr>
        <w:spacing w:after="120" w:line="276" w:lineRule="auto"/>
      </w:pPr>
      <w:r>
        <w:t>**MACD** : La ligne MACD (-113,233) reste sous sa ligne de signal (-96,266), avec un histogramme négatif. Ce croisement baissier persistant traduit un momentum court terme encore fragile, justifiant la décision de **Vente** : la dynamique haussière n'est pas encore confirmée par cet indicateur retardé.</w:t>
      </w:r>
    </w:p>
    <w:p>
      <w:pPr>
        <w:spacing w:after="120" w:line="276" w:lineRule="auto"/>
      </w:pPr>
      <w:r>
        <w:t>**RSI** : À 49,158, le RSI se situe exactement en zone neutre (30-70), sans tension de surachat ni de survente. Cette position médiane justifie la décision **Neutre** : le titre dispose d'un potentiel de hausse sans être techniquement épuisé.</w:t>
      </w:r>
    </w:p>
    <w:p>
      <w:pPr>
        <w:spacing w:after="120" w:line="276" w:lineRule="auto"/>
      </w:pPr>
      <w:r>
        <w:t>**Stochastique** : Le %K (95,0) est très élevé et nettement supérieur au %D (48,0), signalant une accélération haussière de court terme, mais la position extrême du %K en zone de surachat (&gt;80) plaide pour la décision de **Vente** : un essoufflement ou une correction technique est probable à très court terme.</w:t>
      </w:r>
    </w:p>
    <w:p>
      <w:pPr>
        <w:spacing w:after="120" w:line="276" w:lineRule="auto"/>
      </w:pPr>
      <w:r>
        <w:t>**Conclusion technique** : Les indicateurs sont divergents — les moyennes mobiles et le RSI plaident pour un maintien haussier, tandis que le MACD et le stochastique signalent une fragilité de court terme. Le titre évolue dans un canal étroit avec une faible volatilité, et le rebond de J-1 (+2,32%) demande confirmation. La configuration globale est neutre à légèrement haussière, avec un avantage aux acheteurs tant que le cours se maintient au-dessus de 37 700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officiels) dressent le portrait d'une entreprise en pleine accélération : le chiffre d'affaires s'établit à 378,123 milliards FCFA, en croissance de +22,08% sur un an, tandis que le résultat net atteint 45,781 milliards FCFA, soit une marge nette de 12,11% (contre 6,9% en 2024 selon le rapport du 31/12/2025 analysé par DeepSeek le 20/05/2026). Le ROE ressort à 23,46% (excellent, &gt;15%) et le ROA à 13,48%, confirmant une remarquable efficacité capitalistique. En tant qu'entreprise agro-industrielle, SLBC affiche un BFR de 61,587 milliards FCFA, un délai client de 64,27 jours (risque de trésorerie modéré) et un délai fournisseur de 76,82 jours (favorable à la trésorerie), avec une durée de stockage élevée de 117,32 jours qui immobilise du capital mais reste cohérente avec une activité de production-distribution. La structure financière est saine : autonomie financière de 57,48%, ratio d'endettement de 42,52%, capacité de remboursement de 0,67 an et couverture des intérêts de 3 374,68%, tandis que la trésorerie nette positive (22,117 milliards FCFA) offre une flexibilité appréciable. Le rapport du T1 2026 (publié en 2026) confirme la dynamique avec un CA de 93,46 milliards FCFA (+7,6%), un volume distribué de 1,839 million d'hectolitres (+9,6%) et un résultat net de 16,26 milliards FCFA (+4,8%), soit une marge nette trimestrielle de 17,4% — on estime donc que l'exercice 2026 devrait prolonger la croissance, avec un CA annualisé projeté autour de 400-410 milliards FCFA et un résultat net potentiellement supérieur à 50 milliards FCFA. Le rapport du 31/12/2025 (analysé par Mistral le 15/03/2026) souligne toutefois un taux de distribution de 76,5% (dividende de 2 127 FCFA/action proposé, à approuver en AGO du 05/06/2026), ce qui limite l'autofinancement futur, et une dépendance aux matières premières (90 milliards FCFA d'achats exposés à la volatilité). La recommandation fondamentale est **solide** : croissance profitable, bilan robuste, leader du marché ivoirien, avec un risque principal lié à la soutenabilité de la croissance et à la pression concurrentielle.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raisonnable sans être bon marché : PER de 13,6x légèrement supérieur à la moyenne BRVM, P/B de 3,20x traduisant une prime de croissance justifiée par le ROE de 23,5%, et EV/EBITDA de 7,4x dans la fourchette normale — le titre n'est ni sous-évalué ni surévalué. Le comportement du cours (Partie 1) est rassurant : volatilité modérée (24,6%), distribution proche de la normale (kurtosis 0,714), skewness positif (0,809) et range resserré, mais la stagnation sur 100 jours (+0,13%) tempère l'enthousiasme. Les signaux techniques (Partie 2) sont mitigés : les moyennes mobiles et le RSI soutiennent une orientation haussière, mais le MACD baissier et le stochastique en surachat (%K=95) appellent à la prudence à très court terme. Les fondamentaux (Partie 3) sont le point fort incontestable : CA 2025 de 378,1 milliards FCFA (+22%), résultat net de 45,8 milliards FCFA (+113%), ROE de 23,5%, trésorerie nette positive, et T1 2026 confirmant la dynamique (+7,6% de CA, +4,8% de résultat net) — les estimations projettent une poursuite de la croissance en 2026. Les prédictions IA (J+1 à J+10) anticipent une trajectoire haussière régulière de 37 842 FCFA à 38 507 FCFA (+1,8% sur 10 jours), ce qui confirme les signaux des moyennes mobiles et du RSI, tout en contredisant le MACD et le stochastique. Sur la base de cette synthèse globale, la recommandation finale est **ACHAT**, avec un niveau de confiance **Moyen** et un risque global **Moyen** : la convergence entre fondamentaux exceptionnels, valorisation raisonnable et prédictions haussières l'emporte sur les divergences techniques de court terme. L'horizon d'investissement optimal est le **moyen terme (3-12 mois)**, le temps que la croissance 2026 se matérialise et que le dividende de 2 127 FCFA/action (rendement ~5,6% au cours actuel) soit validé en AGO.</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1,655 titres</w:t>
            </w:r>
          </w:p>
        </w:tc>
        <w:tc>
          <w:tcPr>
            <w:tcW w:type="dxa" w:w="2268"/>
            <w:shd w:fill="FFF2CC" w:val="clear"/>
          </w:tcPr>
          <w:p>
            <w:r>
              <w:rPr>
                <w:b/>
                <w:color w:val="503200"/>
                <w:sz w:val="16"/>
              </w:rPr>
              <w:t xml:space="preserve">Cours actuel : </w:t>
            </w:r>
            <w:r>
              <w:rPr>
                <w:color w:val="000000"/>
                <w:sz w:val="17"/>
              </w:rPr>
              <w:t>15,800 FCFA</w:t>
            </w:r>
          </w:p>
          <w:p>
            <w:r>
              <w:rPr>
                <w:b/>
                <w:color w:val="503200"/>
                <w:sz w:val="16"/>
              </w:rPr>
              <w:t xml:space="preserve">Var. 100 jours : </w:t>
            </w:r>
            <w:r>
              <w:rPr>
                <w:b/>
                <w:color w:val="007800"/>
                <w:sz w:val="17"/>
              </w:rPr>
              <w:t>+23.44%</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12,500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8.69% (Moyenne) — μ=16,128 FCFA, σ=1,401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β=0.3624 (Défensif) — Cov=0.000027, Var(idx)=0.000074, ρ=0.116,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15,119</w:t>
            </w:r>
          </w:p>
        </w:tc>
        <w:tc>
          <w:tcPr>
            <w:tcW w:type="dxa" w:w="1440"/>
            <w:shd w:fill="FAFAFA" w:val="clear"/>
          </w:tcPr>
          <w:p>
            <w:r>
              <w:rPr>
                <w:b/>
                <w:sz w:val="17"/>
              </w:rPr>
              <w:t>15,909</w:t>
            </w:r>
          </w:p>
        </w:tc>
        <w:tc>
          <w:tcPr>
            <w:tcW w:type="dxa" w:w="1440"/>
            <w:shd w:fill="FAFAFA" w:val="clear"/>
          </w:tcPr>
          <w:p>
            <w:r>
              <w:rPr>
                <w:sz w:val="17"/>
              </w:rPr>
              <w:t>16,699</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14,754</w:t>
            </w:r>
          </w:p>
        </w:tc>
        <w:tc>
          <w:tcPr>
            <w:tcW w:type="dxa" w:w="1440"/>
            <w:shd w:fill="FAFAFA" w:val="clear"/>
          </w:tcPr>
          <w:p>
            <w:r>
              <w:rPr>
                <w:b/>
                <w:sz w:val="17"/>
              </w:rPr>
              <w:t>15,869</w:t>
            </w:r>
          </w:p>
        </w:tc>
        <w:tc>
          <w:tcPr>
            <w:tcW w:type="dxa" w:w="1440"/>
            <w:shd w:fill="FAFAFA" w:val="clear"/>
          </w:tcPr>
          <w:p>
            <w:r>
              <w:rPr>
                <w:sz w:val="17"/>
              </w:rPr>
              <w:t>16,984</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14,483</w:t>
            </w:r>
          </w:p>
        </w:tc>
        <w:tc>
          <w:tcPr>
            <w:tcW w:type="dxa" w:w="1440"/>
            <w:shd w:fill="FAFAFA" w:val="clear"/>
          </w:tcPr>
          <w:p>
            <w:r>
              <w:rPr>
                <w:b/>
                <w:sz w:val="17"/>
              </w:rPr>
              <w:t>15,846</w:t>
            </w:r>
          </w:p>
        </w:tc>
        <w:tc>
          <w:tcPr>
            <w:tcW w:type="dxa" w:w="1440"/>
            <w:shd w:fill="FAFAFA" w:val="clear"/>
          </w:tcPr>
          <w:p>
            <w:r>
              <w:rPr>
                <w:sz w:val="17"/>
              </w:rPr>
              <w:t>17,210</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14,247</w:t>
            </w:r>
          </w:p>
        </w:tc>
        <w:tc>
          <w:tcPr>
            <w:tcW w:type="dxa" w:w="1440"/>
            <w:shd w:fill="FAFAFA" w:val="clear"/>
          </w:tcPr>
          <w:p>
            <w:r>
              <w:rPr>
                <w:b/>
                <w:sz w:val="17"/>
              </w:rPr>
              <w:t>15,819</w:t>
            </w:r>
          </w:p>
        </w:tc>
        <w:tc>
          <w:tcPr>
            <w:tcW w:type="dxa" w:w="1440"/>
            <w:shd w:fill="FAFAFA" w:val="clear"/>
          </w:tcPr>
          <w:p>
            <w:r>
              <w:rPr>
                <w:sz w:val="17"/>
              </w:rPr>
              <w:t>17,391</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14,036</w:t>
            </w:r>
          </w:p>
        </w:tc>
        <w:tc>
          <w:tcPr>
            <w:tcW w:type="dxa" w:w="1440"/>
            <w:shd w:fill="FAFAFA" w:val="clear"/>
          </w:tcPr>
          <w:p>
            <w:r>
              <w:rPr>
                <w:b/>
                <w:sz w:val="17"/>
              </w:rPr>
              <w:t>15,790</w:t>
            </w:r>
          </w:p>
        </w:tc>
        <w:tc>
          <w:tcPr>
            <w:tcW w:type="dxa" w:w="1440"/>
            <w:shd w:fill="FAFAFA" w:val="clear"/>
          </w:tcPr>
          <w:p>
            <w:r>
              <w:rPr>
                <w:sz w:val="17"/>
              </w:rPr>
              <w:t>17,544</w:t>
            </w:r>
          </w:p>
        </w:tc>
        <w:tc>
          <w:tcPr>
            <w:tcW w:type="dxa" w:w="1440"/>
            <w:shd w:fill="FAFAFA" w:val="clear"/>
          </w:tcPr>
          <w:p>
            <w:r>
              <w:rPr>
                <w:b/>
                <w:color w:val="C00000"/>
                <w:sz w:val="17"/>
              </w:rPr>
              <w:t>-0.1%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13,843</w:t>
            </w:r>
          </w:p>
        </w:tc>
        <w:tc>
          <w:tcPr>
            <w:tcW w:type="dxa" w:w="1440"/>
            <w:shd w:fill="FAFAFA" w:val="clear"/>
          </w:tcPr>
          <w:p>
            <w:r>
              <w:rPr>
                <w:b/>
                <w:sz w:val="17"/>
              </w:rPr>
              <w:t>15,761</w:t>
            </w:r>
          </w:p>
        </w:tc>
        <w:tc>
          <w:tcPr>
            <w:tcW w:type="dxa" w:w="1440"/>
            <w:shd w:fill="FAFAFA" w:val="clear"/>
          </w:tcPr>
          <w:p>
            <w:r>
              <w:rPr>
                <w:sz w:val="17"/>
              </w:rPr>
              <w:t>17,679</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13,664</w:t>
            </w:r>
          </w:p>
        </w:tc>
        <w:tc>
          <w:tcPr>
            <w:tcW w:type="dxa" w:w="1440"/>
            <w:shd w:fill="FAFAFA" w:val="clear"/>
          </w:tcPr>
          <w:p>
            <w:r>
              <w:rPr>
                <w:b/>
                <w:sz w:val="17"/>
              </w:rPr>
              <w:t>15,732</w:t>
            </w:r>
          </w:p>
        </w:tc>
        <w:tc>
          <w:tcPr>
            <w:tcW w:type="dxa" w:w="1440"/>
            <w:shd w:fill="FAFAFA" w:val="clear"/>
          </w:tcPr>
          <w:p>
            <w:r>
              <w:rPr>
                <w:sz w:val="17"/>
              </w:rPr>
              <w:t>17,800</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13,497</w:t>
            </w:r>
          </w:p>
        </w:tc>
        <w:tc>
          <w:tcPr>
            <w:tcW w:type="dxa" w:w="1440"/>
            <w:shd w:fill="FAFAFA" w:val="clear"/>
          </w:tcPr>
          <w:p>
            <w:r>
              <w:rPr>
                <w:b/>
                <w:sz w:val="17"/>
              </w:rPr>
              <w:t>15,703</w:t>
            </w:r>
          </w:p>
        </w:tc>
        <w:tc>
          <w:tcPr>
            <w:tcW w:type="dxa" w:w="1440"/>
            <w:shd w:fill="FAFAFA" w:val="clear"/>
          </w:tcPr>
          <w:p>
            <w:r>
              <w:rPr>
                <w:sz w:val="17"/>
              </w:rPr>
              <w:t>17,910</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13,339</w:t>
            </w:r>
          </w:p>
        </w:tc>
        <w:tc>
          <w:tcPr>
            <w:tcW w:type="dxa" w:w="1440"/>
            <w:shd w:fill="FAFAFA" w:val="clear"/>
          </w:tcPr>
          <w:p>
            <w:r>
              <w:rPr>
                <w:b/>
                <w:sz w:val="17"/>
              </w:rPr>
              <w:t>15,675</w:t>
            </w:r>
          </w:p>
        </w:tc>
        <w:tc>
          <w:tcPr>
            <w:tcW w:type="dxa" w:w="1440"/>
            <w:shd w:fill="FAFAFA" w:val="clear"/>
          </w:tcPr>
          <w:p>
            <w:r>
              <w:rPr>
                <w:sz w:val="17"/>
              </w:rPr>
              <w:t>18,011</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13,189</w:t>
            </w:r>
          </w:p>
        </w:tc>
        <w:tc>
          <w:tcPr>
            <w:tcW w:type="dxa" w:w="1440"/>
            <w:shd w:fill="FAFAFA" w:val="clear"/>
          </w:tcPr>
          <w:p>
            <w:r>
              <w:rPr>
                <w:b/>
                <w:sz w:val="17"/>
              </w:rPr>
              <w:t>15,647</w:t>
            </w:r>
          </w:p>
        </w:tc>
        <w:tc>
          <w:tcPr>
            <w:tcW w:type="dxa" w:w="1440"/>
            <w:shd w:fill="FAFAFA" w:val="clear"/>
          </w:tcPr>
          <w:p>
            <w:r>
              <w:rPr>
                <w:sz w:val="17"/>
              </w:rPr>
              <w:t>18,105</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123,16 milliards FCFA, SMBC se positionne comme une valeur de taille intermédiaire sur la BRVM, représentant un poids non négligeable dans l'indice composite. Le BPA de 1 677 FCFA par action signifie que chaque titre génère près de 1 677 FCFA de bénéfice net, ce qui, rapporté au cours actuel de 15 800 FCFA, donne un PER de 9,4x — un niveau inférieur à la moyenne du marché BRVM (8-12x), suggérant une valorisation raisonnable voire légèrement sous-évaluée au regard des bénéfices. Le P/B de 2,87x indique que le marché valorise l'action à près de trois fois sa valeur comptable, traduisant une prime de croissance accordée par les investisseurs, justifiée par la qualité des actifs et la rentabilité des fonds propres. Enfin, l'EV/EBITDA de 5,9x, bien positionné dans la fourchette raisonnable de 5-10x, montre que la valeur totale de l'entreprise (dette incluse) reste modérée par rapport à sa capacité opérationnelle à générer des liquidités, ce qui constitue un signal positif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remarquable de +23,44%, bien que la dernière séance (J-1) ait clôturé en léger repli de -0,63%, signalant une prise de profit ponctuelle après un rallye haussier. Le cours actuel de 15 800 FCFA se situe dans la partie médiane du range de trading, le plus haut ayant atteint 18 500 FCFA et le plus bas 12 500 FCFA, soit une amplitude de 48% qui témoigne d'une dynamique haussière soutenue mais volatile. La moyenne des cours sur la période s'établit à 16 128 FCFA, légèrement inférieure à la médiane de 16 445 FCFA, ce qui indique une asymétrie négative (skewness de -0,987) : les journées de forte hausse ont été moins nombreuses mais plus intenses, tandis que les journées de baisse, plus fréquentes, ont été modérées. L'écart-type de 1 408 FCFA (CV de 8,7%) révèle une dispersion modérée du cours autour de sa moyenne, et le kurtosis de 0,509 (mésokurtique) suggère une distribution proche de la normale, sans risque excessif de pics extrêmes. La volatilité annualisée de 42,5% classe le titre dans la catégorie des valeurs à volatilité élevée (&gt;30%), ce qui implique un risque de marché significatif mais aussi des opportunités de trading pour les investisseurs actifs.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(16 575,25 FCFA) et la MM50 (16 693,5 FCFA) se situent toutes deux au-dessus du cours actuel (15 800 FCFA), ce qui place le titre en position baissière à court et moyen terme. La MM20 étant légèrement inférieure à la MM50, on observe un début de croisement baissier (death cross), confirmant la décision technique de « Vente » émise par le système.</w:t>
      </w:r>
    </w:p>
    <w:p>
      <w:pPr>
        <w:spacing w:after="120" w:line="276" w:lineRule="auto"/>
      </w:pPr>
      <w:r>
        <w:t>**Bandes de Bollinger :** Le cours actuel (15 800 FCFA) évolue dans la moitié inférieure de la bande, entre la borne inférieure (14 482,62 FCFA) et la borne supérieure (18 667,88 FCFA), sans atteindre les extrêmes. Cette position médiane, couplée à une largeur de bande importante, traduit une volatilité élevée mais sans signal de survente ou de surachat, justifiant la décision « Neutre ».</w:t>
      </w:r>
    </w:p>
    <w:p>
      <w:pPr>
        <w:spacing w:after="120" w:line="276" w:lineRule="auto"/>
      </w:pPr>
      <w:r>
        <w:t>**MACD :** La valeur du MACD (-255,647) est inférieure à son signal (-212,265), et les deux sont en territoire négatif, confirmant un momentum baissier. La divergence négative entre la ligne MACD et son signal indique que la pression vendeuse persiste, justifiant la décision « Vente ».</w:t>
      </w:r>
    </w:p>
    <w:p>
      <w:pPr>
        <w:spacing w:after="120" w:line="276" w:lineRule="auto"/>
      </w:pPr>
      <w:r>
        <w:t>**RSI :** À 41,367, le RSI se situe dans la zone neutre (30-70), sans atteindre le seuil de survente (30). Cela indique que le titre n'est ni suracheté ni survendu, mais la tendance récente à la baisse suggère une prudence, d'où la décision « Neutre ».</w:t>
      </w:r>
    </w:p>
    <w:p>
      <w:pPr>
        <w:spacing w:after="120" w:line="276" w:lineRule="auto"/>
      </w:pPr>
      <w:r>
        <w:t>**Stochastique :** Le %K (47,702) est inférieur au %D (59,278), et les deux évoluent dans la zone médiane. L'absence de croisement haussier clair et la position sous le niveau de 80 (surachat) confirment une absence de signal fort, justifiant la décision « Neutre ».</w:t>
      </w:r>
    </w:p>
    <w:p>
      <w:pPr>
        <w:spacing w:after="120" w:line="276" w:lineRule="auto"/>
      </w:pPr>
      <w:r>
        <w:t>**Conclusion technique :** Les indicateurs techniques sont majoritairement baissiers (MM, MACD) ou neutres (Bollinger, RSI, Stochastique), reflétant une consolidation après le rallye haussier des 100 derniers jours. Le titre se trouve dans une phase de correction, avec un support potentiel autour de 14 500 FCFA (borne inférieure de Bollinger) et une résistance à 16 700 FCFA (MM50). La prudence est de mise à court terme, en attendant un signal de retournement haussier.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(rapport officiel) révèlent une performance opérationnelle remarquable malgré un contexte difficile. Le chiffre d'affaires s'établit à 206 740 millions FCFA, en baisse de -9,74% par rapport à 2024 (229 061 millions FCFA), reflétant un ralentissement des volumes vendus et un effet prix défavorable. Cependant, le résultat net progresse spectaculairement de +50,3% pour atteindre 13 075 millions FCFA, grâce à une amélioration de la marge brute (18,11% contre 14,1% en 2024) et une maîtrise des charges opérationnelles. Le ROE de 30,47% (excellent, &gt;15%) et le ROA de 7,26% témoignent d'une rentabilité des fonds propres et des actifs très solide. La structure financière reste saine avec des capitaux propres de 42 913 millions FCFA (+21,6%) et une trésorerie nette positive de 23 988 millions FCFA, offrant une marge de manœuvre confortable. Toutefois, deux points de vigilance émergent : (1) le BFR de 1 693 millions FCFA, bien que positif, est porté par des créances clients élevées (109 743 millions FCFA) avec un délai client de 193,75 jours, ce qui constitue un risque de trésorerie ; (2) l'endettement financier a augmenté de 41,9% à 9 204 millions FCFA, mais reste modéré avec un ratio de capacité de remboursement de 0,68 an. Les rapports trimestriels 2025 (T1, S1, 9M) confirment cette dynamique : au T1 2025, le CA chutait de -22% mais le résultat net ne reculait que de -7% grâce à l'amélioration des marges de raffinage ; au S1 2025, le CA baissait de -23% mais le résultat net ne cédait que -7% ; au 9M 2025, le CA reculait de -14% mais le résultat net progressait de +6%. On estime donc que l'exercice 2025 devrait clôturer sur une note positive, avec un résultat net en forte hausse et une rentabilité durablement améliorée. La recommandation fondamentale est de **CONSERVER** le titre, en attendant la confirmation d'une reprise du chiffre d'affaires et la concrétisation des investissements (5 748 millions FCFA en 2025) pour soutenir la croissance future.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mais globalement favorable. La valorisation (Partie 0) est attractive avec un PER de 9,4x (sous la moyenne du marché) et un EV/EBITDA de 5,9x, suggérant une sous-évaluation relative malgré un P/B de 2,87x qui traduit une prime de croissance justifiée. Le comportement du cours (Partie 1) est haussier sur 100 jours (+23,44%) mais marqué par une volatilité élevée (42,5%) et une asymétrie négative (skewness de -0,987), ce qui implique des risques de correction à court terme. Les signaux techniques (Partie 2) sont majoritairement baissiers (MM, MACD) ou neutres (Bollinger, RSI, Stochastique), indiquant une phase de consolidation après le rallye. Les fondamentaux (Partie 3) sont solides : résultat net en hausse de +50,3% en 2025, ROE de 30,47%, trésorerie nette positive de 23 988 millions FCFA, malgré un BFR élevé et un endettement en hausse modérée. Les prédictions IA (J+1 à J+10) anticipent une légère baisse du cours de 15 909 FCFA à 15 790 FCFA, confirmant la tendance baissière à court terme observée par les indicateurs techniques. Sur la base de cette synthèse, la recommandation finale est de **CONSERVER** le titre, avec un niveau de confiance **Moyen** et un risque global **Moyen**. L'horizon d'investissement optimal est le **moyen terme (3-12 mois)**, en attendant que la correction technique s'achève et que les fondamentaux solides (rentabilité, trésorerie) se traduisent par une reprise du chiffre d'affaires. Un passage à l'achat serait justifié si le cours se stabilise au-dessus de 16 500 FCFA (MM50) et si les prochains rapports trimestriels confirment une inversion de la tendance baissière du CA.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13,495 titres</w:t>
            </w:r>
          </w:p>
        </w:tc>
        <w:tc>
          <w:tcPr>
            <w:tcW w:type="dxa" w:w="2268"/>
            <w:shd w:fill="FFF2CC" w:val="clear"/>
          </w:tcPr>
          <w:p>
            <w:r>
              <w:rPr>
                <w:b/>
                <w:color w:val="503200"/>
                <w:sz w:val="16"/>
              </w:rPr>
              <w:t xml:space="preserve">Cours actuel : </w:t>
            </w:r>
            <w:r>
              <w:rPr>
                <w:color w:val="000000"/>
                <w:sz w:val="17"/>
              </w:rPr>
              <w:t>44,980 FCFA</w:t>
            </w:r>
          </w:p>
          <w:p>
            <w:r>
              <w:rPr>
                <w:b/>
                <w:color w:val="503200"/>
                <w:sz w:val="16"/>
              </w:rPr>
              <w:t xml:space="preserve">Var. 100 jours : </w:t>
            </w:r>
            <w:r>
              <w:rPr>
                <w:b/>
                <w:color w:val="007800"/>
                <w:sz w:val="17"/>
              </w:rPr>
              <w:t>+56.18%</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16.03% (Élevée) — μ=33,563 FCFA, σ=5,380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β=1.2083 (Agressif) — Cov=0.000089, Var(idx)=0.000074, ρ=0.491,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13,495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43,251</w:t>
            </w:r>
          </w:p>
        </w:tc>
        <w:tc>
          <w:tcPr>
            <w:tcW w:type="dxa" w:w="1440"/>
            <w:shd w:fill="FAFAFA" w:val="clear"/>
          </w:tcPr>
          <w:p>
            <w:r>
              <w:rPr>
                <w:b/>
                <w:sz w:val="17"/>
              </w:rPr>
              <w:t>44,545</w:t>
            </w:r>
          </w:p>
        </w:tc>
        <w:tc>
          <w:tcPr>
            <w:tcW w:type="dxa" w:w="1440"/>
            <w:shd w:fill="FAFAFA" w:val="clear"/>
          </w:tcPr>
          <w:p>
            <w:r>
              <w:rPr>
                <w:sz w:val="17"/>
              </w:rPr>
              <w:t>45,839</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42,706</w:t>
            </w:r>
          </w:p>
        </w:tc>
        <w:tc>
          <w:tcPr>
            <w:tcW w:type="dxa" w:w="1440"/>
            <w:shd w:fill="FAFAFA" w:val="clear"/>
          </w:tcPr>
          <w:p>
            <w:r>
              <w:rPr>
                <w:b/>
                <w:sz w:val="17"/>
              </w:rPr>
              <w:t>44,535</w:t>
            </w:r>
          </w:p>
        </w:tc>
        <w:tc>
          <w:tcPr>
            <w:tcW w:type="dxa" w:w="1440"/>
            <w:shd w:fill="FAFAFA" w:val="clear"/>
          </w:tcPr>
          <w:p>
            <w:r>
              <w:rPr>
                <w:sz w:val="17"/>
              </w:rPr>
              <w:t>46,365</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42,267</w:t>
            </w:r>
          </w:p>
        </w:tc>
        <w:tc>
          <w:tcPr>
            <w:tcW w:type="dxa" w:w="1440"/>
            <w:shd w:fill="FAFAFA" w:val="clear"/>
          </w:tcPr>
          <w:p>
            <w:r>
              <w:rPr>
                <w:b/>
                <w:sz w:val="17"/>
              </w:rPr>
              <w:t>44,507</w:t>
            </w:r>
          </w:p>
        </w:tc>
        <w:tc>
          <w:tcPr>
            <w:tcW w:type="dxa" w:w="1440"/>
            <w:shd w:fill="FAFAFA" w:val="clear"/>
          </w:tcPr>
          <w:p>
            <w:r>
              <w:rPr>
                <w:sz w:val="17"/>
              </w:rPr>
              <w:t>46,746</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41,902</w:t>
            </w:r>
          </w:p>
        </w:tc>
        <w:tc>
          <w:tcPr>
            <w:tcW w:type="dxa" w:w="1440"/>
            <w:shd w:fill="FAFAFA" w:val="clear"/>
          </w:tcPr>
          <w:p>
            <w:r>
              <w:rPr>
                <w:b/>
                <w:sz w:val="17"/>
              </w:rPr>
              <w:t>44,487</w:t>
            </w:r>
          </w:p>
        </w:tc>
        <w:tc>
          <w:tcPr>
            <w:tcW w:type="dxa" w:w="1440"/>
            <w:shd w:fill="FAFAFA" w:val="clear"/>
          </w:tcPr>
          <w:p>
            <w:r>
              <w:rPr>
                <w:sz w:val="17"/>
              </w:rPr>
              <w:t>47,072</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41,586</w:t>
            </w:r>
          </w:p>
        </w:tc>
        <w:tc>
          <w:tcPr>
            <w:tcW w:type="dxa" w:w="1440"/>
            <w:shd w:fill="FAFAFA" w:val="clear"/>
          </w:tcPr>
          <w:p>
            <w:r>
              <w:rPr>
                <w:b/>
                <w:sz w:val="17"/>
              </w:rPr>
              <w:t>44,476</w:t>
            </w:r>
          </w:p>
        </w:tc>
        <w:tc>
          <w:tcPr>
            <w:tcW w:type="dxa" w:w="1440"/>
            <w:shd w:fill="FAFAFA" w:val="clear"/>
          </w:tcPr>
          <w:p>
            <w:r>
              <w:rPr>
                <w:sz w:val="17"/>
              </w:rPr>
              <w:t>47,365</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41,304</w:t>
            </w:r>
          </w:p>
        </w:tc>
        <w:tc>
          <w:tcPr>
            <w:tcW w:type="dxa" w:w="1440"/>
            <w:shd w:fill="FAFAFA" w:val="clear"/>
          </w:tcPr>
          <w:p>
            <w:r>
              <w:rPr>
                <w:b/>
                <w:sz w:val="17"/>
              </w:rPr>
              <w:t>44,469</w:t>
            </w:r>
          </w:p>
        </w:tc>
        <w:tc>
          <w:tcPr>
            <w:tcW w:type="dxa" w:w="1440"/>
            <w:shd w:fill="FAFAFA" w:val="clear"/>
          </w:tcPr>
          <w:p>
            <w:r>
              <w:rPr>
                <w:sz w:val="17"/>
              </w:rPr>
              <w:t>47,633</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41,045</w:t>
            </w:r>
          </w:p>
        </w:tc>
        <w:tc>
          <w:tcPr>
            <w:tcW w:type="dxa" w:w="1440"/>
            <w:shd w:fill="FAFAFA" w:val="clear"/>
          </w:tcPr>
          <w:p>
            <w:r>
              <w:rPr>
                <w:b/>
                <w:sz w:val="17"/>
              </w:rPr>
              <w:t>44,462</w:t>
            </w:r>
          </w:p>
        </w:tc>
        <w:tc>
          <w:tcPr>
            <w:tcW w:type="dxa" w:w="1440"/>
            <w:shd w:fill="FAFAFA" w:val="clear"/>
          </w:tcPr>
          <w:p>
            <w:r>
              <w:rPr>
                <w:sz w:val="17"/>
              </w:rPr>
              <w:t>47,880</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40,804</w:t>
            </w:r>
          </w:p>
        </w:tc>
        <w:tc>
          <w:tcPr>
            <w:tcW w:type="dxa" w:w="1440"/>
            <w:shd w:fill="FAFAFA" w:val="clear"/>
          </w:tcPr>
          <w:p>
            <w:r>
              <w:rPr>
                <w:b/>
                <w:sz w:val="17"/>
              </w:rPr>
              <w:t>44,457</w:t>
            </w:r>
          </w:p>
        </w:tc>
        <w:tc>
          <w:tcPr>
            <w:tcW w:type="dxa" w:w="1440"/>
            <w:shd w:fill="FAFAFA" w:val="clear"/>
          </w:tcPr>
          <w:p>
            <w:r>
              <w:rPr>
                <w:sz w:val="17"/>
              </w:rPr>
              <w:t>48,110</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40,578</w:t>
            </w:r>
          </w:p>
        </w:tc>
        <w:tc>
          <w:tcPr>
            <w:tcW w:type="dxa" w:w="1440"/>
            <w:shd w:fill="FAFAFA" w:val="clear"/>
          </w:tcPr>
          <w:p>
            <w:r>
              <w:rPr>
                <w:b/>
                <w:sz w:val="17"/>
              </w:rPr>
              <w:t>44,452</w:t>
            </w:r>
          </w:p>
        </w:tc>
        <w:tc>
          <w:tcPr>
            <w:tcW w:type="dxa" w:w="1440"/>
            <w:shd w:fill="FAFAFA" w:val="clear"/>
          </w:tcPr>
          <w:p>
            <w:r>
              <w:rPr>
                <w:sz w:val="17"/>
              </w:rPr>
              <w:t>48,327</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40,364</w:t>
            </w:r>
          </w:p>
        </w:tc>
        <w:tc>
          <w:tcPr>
            <w:tcW w:type="dxa" w:w="1440"/>
            <w:shd w:fill="FAFAFA" w:val="clear"/>
          </w:tcPr>
          <w:p>
            <w:r>
              <w:rPr>
                <w:b/>
                <w:sz w:val="17"/>
              </w:rPr>
              <w:t>44,448</w:t>
            </w:r>
          </w:p>
        </w:tc>
        <w:tc>
          <w:tcPr>
            <w:tcW w:type="dxa" w:w="1440"/>
            <w:shd w:fill="FAFAFA" w:val="clear"/>
          </w:tcPr>
          <w:p>
            <w:r>
              <w:rPr>
                <w:sz w:val="17"/>
              </w:rPr>
              <w:t>48,531</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4 498,00 milliards FCFA, Sonatel confirme son statut de première capitalisation de la BRVM, poids lourd de l'indice BRVM Composite et valeur de référence pour les investisseurs institutionnels de la zone UEMOA. Le BPA de 4 136 FCFA par action signifie que chaque titre génère près de 4 136 FCFA de bénéfice net, un niveau exceptionnel qui traduit la forte rentabilité de l'opérateur télécoms. Le PER de 10,9x se situe dans la fourchette moyenne du marché (8-12x), indiquant que les investisseurs ne paient ni prime excessive ni décote pour ces bénéfices, ce qui est d'autant plus remarquable après une hausse de +56% du cours. Le P/B de 3,21x montre que le marché valorise Sonatel à plus de trois fois sa valeur comptable, une prime de croissance justifiée par un ROE de 29,56% et un modèle d'affaires résilient. Enfin, l'EV/EBITDA de 4,7x, inférieur au seuil de 5x, signale que la valeur d'entreprise reste très raisonnable au regard de la capacité opérationnelle de génération de cash (EBE de 932,4 Mds FCFA), ce qui constitue un signal de sous-évaluation relative sur ce critère.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progression spectaculaire de +56,18%, clôturant à 44 980 FCFA, avec une variation nulle sur la dernière séance (J-1 : +0,00%), signe d'une pause dans le mouvement haussier. Le range de trading est très large, avec un plus haut à 45 000 FCFA (pratiquement le cours actuel) et un plus bas à 27 160 FCFA, soit un écart de près de 66% entre les deux extrêmes, ce qui témoigne d'une tendance haussière puissante et continue sur la période. La moyenne de 33 563 FCFA se situe nettement au-dessus de la médiane (31 500 FCFA) et du mode (31 000 FCFA), confirmant que le cours a passé la majorité de la période sous sa moyenne avant de s'envoler en fin de période — un profil typique de fin de consolidation. L'écart-type de 5 407 FCFA avec un coefficient de variation de 16,1% indique une dispersion modérée du cours autour de sa moyenne, tandis que le kurtosis de -0,638 (mésokurtique) suggère une distribution proche de la normale, sans risque majeur de pics extrêmes. Le skewness positif de 0,831 révèle une asymétrie à droite : davantage de journées se sont situées sous la moyenne, mais les gains récents ont été amples et rapides. La volatilité annualisée de 33,2% classe le titre dans la catégorie des valeurs à volatilité élevée (&gt;30%), ce qui est cohérent avec la forte appréciation récente et appelle à la prudence sur les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42 414 FCFA et la MM50 à 37 634,2 FCFA, toutes deux nettement inférieures au cours actuel de 44 980 FCFA. Cette configuration en « golden cross » (MM20 &gt; MM50) avec un cours au-dessus des deux moyennes confirme une tendance haussière solide et justifie la décision d'achat. L'écart entre le cours et la MM20 (+6,0%) reste raisonnable, sans excès de surchauffe immédiate.</w:t>
      </w:r>
    </w:p>
    <w:p>
      <w:pPr>
        <w:spacing w:after="120" w:line="276" w:lineRule="auto"/>
      </w:pPr>
      <w:r>
        <w:t>**Bandes de Bollinger** : La borne supérieure est à 47 065,16 FCFA et la borne inférieure à 37 762,84 FCFA, avec un cours actuel de 44 980 FCFA qui se situe dans la partie haute du canal (à environ 78% de la largeur). Le cours n'a pas encore touché la borne supérieure, ce qui laisse un potentiel de hausse résiduel, mais la décision « Neutre » reflète une prudence justifiée par la proximité de la résistance. La largeur des bandes (9 302 FCFA) traduit une volatilité encore soutenue.</w:t>
      </w:r>
    </w:p>
    <w:p>
      <w:pPr>
        <w:spacing w:after="120" w:line="276" w:lineRule="auto"/>
      </w:pPr>
      <w:r>
        <w:t>**MACD** : La valeur du MACD (2 167,101) est légèrement supérieure à son signal (2 162,189), avec un histogramme positif mais très étroit. Cette configuration indique un momentum haussier qui s'essouffle, la convergence des deux lignes suggérant un possible croisement baissier à court terme. La décision « Achat » reste valable mais perd de sa vigueur.</w:t>
      </w:r>
    </w:p>
    <w:p>
      <w:pPr>
        <w:spacing w:after="120" w:line="276" w:lineRule="auto"/>
      </w:pPr>
      <w:r>
        <w:t>**RSI** : À 76,622, le RSI se situe en zone de surachat (&gt;70), ce qui déclenche une décision de « Vente » technique. Ce niveau élevé signale que le titre a été acheté de manière excessive à court terme et qu'une correction ou consolidation est probable avant toute nouvelle jambe haussière.</w:t>
      </w:r>
    </w:p>
    <w:p>
      <w:pPr>
        <w:spacing w:after="120" w:line="276" w:lineRule="auto"/>
      </w:pPr>
      <w:r>
        <w:t>**Stochastique** : Le %K (99,5) et le %D (99,551) sont tous deux collés au plafond de 100, en zone de surachat extrême, avec une décision de « Vente ». L'absence de croisement baissier pour l'instant maintient le risque d'un retournement imminent, d'autant que ces niveaux sont rarement durables.</w:t>
      </w:r>
    </w:p>
    <w:p>
      <w:pPr>
        <w:spacing w:after="120" w:line="276" w:lineRule="auto"/>
      </w:pPr>
      <w:r>
        <w:t>**Conclusion technique** : Les indicateurs de tendance (MM, MACD) restent haussiers, mais les oscillateurs (RSI, Stochastique) sont en surachat extrême et les Bandes de Bollinger approchent de leur borne haute. Cette divergence classique entre tendance et momentum suggère une consolidation imminente ou une correction technique, sans invalider la tendance de fond. Un repli vers la MM20 (42 414 FCFA) constituerait un point d'entrée plus favorable.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Sonatel a réalisé un chiffre d'affaires consolidé de 1 923,122 milliards FCFA, en croissance de +8,26% sur un an, porté par la Data mobile, le Fixe Broadband et Orange Money. Le résultat net s'établit à 413,588 milliards FCFA, avec une marge nette de 21,51%, une marge opérationnelle de 34,83% et une marge brute de 67,03%. La rentabilité des fonds propres (ROE) atteint 29,56%, largement supérieure au seuil de 15% considéré comme excellent, et le ROA de 12,65% confirme l'efficacité de l'utilisation des actifs (rotation de 58,81%). Sur le plan bilanciel, l'autonomie financière est saine à 42,79%, la solvabilité générale à 174,79% et la liquidité générale à 139,07%. Le BFR est négatif à -284,906 milliards FCFA — un excellent indicateur pour une entreprise non bancaire, signifiant que Sonatel finance son cycle d'exploitation par ses fournisseurs plutôt que par sa trésorerie. Les délais clients (46,16 jours) sont modérés, tandis que le délai fournisseurs élevé (201,39 jours) et la durée de stockage courte (14,49 jours) confirment une gestion optimale du fonds de roulement. La capacité de remboursement est excellente (0,64 an) et la couverture des intérêts atteint 2 744,71%.</w:t>
      </w:r>
    </w:p>
    <w:p>
      <w:pPr>
        <w:spacing w:after="120" w:line="276" w:lineRule="auto"/>
      </w:pPr>
      <w:r>
        <w:t>**Estimations basées sur les rapports trimestriels** : Le rapport du S1 2026 (publié le 27/07/2026) confirme l'accélération de la dynamique avec un CA de 1 049,8 milliards FCFA (+9,3%) et un résultat net de 230 milliards FCFA (+10,5%), soit une marge nette de 21,9%. L'EBITDAaL progresse de 11,6% à 510,8 milliards FCFA (48,7% du CA), et la notation financière a été relevée à AAA (wu) par GCR Ratings. Sur cette base, on peut estimer que l'exercice 2026 devrait afficher un CA consolidé d'environ 2 100 milliards FCFA (+9,2%) et un résultat net proche de 455 milliards FCFA (+10%), soit un BPA estimé autour de 4 550 FCFA. Le dividende brut proposé de 1 933 FCFA par action (1 740 FCFA net après IRVM de 10%), payable à partir du 25 mai 2026, offre un rendement de 3,87% au cours actuel — modeste mais soutenu par une politique de distribution régulière (2 700 milliards FCFA distribués depuis 1998).</w:t>
      </w:r>
    </w:p>
    <w:p>
      <w:pPr>
        <w:spacing w:after="120" w:line="276" w:lineRule="auto"/>
      </w:pPr>
      <w:r>
        <w:t>**Recommandation fondamentale** : Sonatel présente des fondamentaux exceptionnels : croissance à deux chiffres, marges élevées, structure financière solide, BFR négatif et notation AAA. Les risques identifiés — pression fiscale et réglementaire (nouvelles taxes au Sénégal, Mali, Guinée-Bissau), intensification concurrentielle sur la Data et le Mobile Money, et instabilité géopolitique dans certains marchés — sont réels mais absorbés par la résilience du modèle. La solidité fondamentale justifie une recommandation d'achat sur le long terme, malgré des niveaux de cours techniquement tendus.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convergence partielle des signaux. Sur le plan de la **valorisation (Partie 0)**, les ratios sont raisonnables (PER 10,9x, EV/EBITDA 4,7x) et n'indiquent pas de surévaluation malgré la hausse récente, le P/B de 3,21x étant justifié par un ROE de 29,56%. Le **comportement du cours (Partie 1)** est haussier (+56,18%) mais la volatilité élevée (33,2%) et le skewness positif (0,831) suggèrent que le mouvement pourrait s'essouffler, le kurtosis mésokurtique (-0,638) n'indiquant pas de risque de krach brutal. Les **signaux techniques (Partie 2)** sont mitigés : les moyennes mobiles et le MACD restent haussiers, mais le RSI (76,6) et le Stochastique (99,5) sont en surachat extrême, plaidant pour une consolidation à court terme. Les **fondamentaux (Partie 3)** sont excellents, avec un ROE de 29,56%, un BFR négatif, une notation AAA et des estimations 2026 optimistes (CA ~2 100 Mds FCFA, RN ~455 Mds FCFA). Les **prédictions IA (J+1 à J+10)** anticipent une légère dérive baissière de 44 545 FCFA à 44 476 FCFA, soit une contraction de -0,15% sur 5 jours, ce qui confirme la thèse d'une pause technique sans remise en cause de la tendance de fond.</w:t>
      </w:r>
    </w:p>
    <w:p>
      <w:pPr>
        <w:spacing w:after="120" w:line="276" w:lineRule="auto"/>
      </w:pPr>
      <w:r>
        <w:t>**Recommandation finale : CONSERVER** — Le titre est fondamentalement solide et correctement valorisé, mais les indicateurs techniques de surachat et les prédictions IA de stagnation plaident contre un achat immédiat au cours actuel de 44 980 FCFA. Les investisseurs déjà positionnés doivent conserver pour bénéficier de la croissance et du dividende, tandis que les nouveaux entrants devraient attendre un repli vers 42 000-43 000 FCFA (zone MM20) pour optimiser leur point d'entrée. **Niveau de confiance : Moyen** (convergence partielle entre fondamental haussier et technique suracheté). **Niveau de risque global : Moyen** (volatilité élevée mais fondamentaux protecteurs). **Horizon d'investissement optimal : Moyen à long terme (6 à 18 mois)**, le temps que la consolidation technique s'achève et que la croissance bénéficiaire se matérialise.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172.49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5,387 titres</w:t>
            </w:r>
          </w:p>
        </w:tc>
        <w:tc>
          <w:tcPr>
            <w:tcW w:type="dxa" w:w="2268"/>
            <w:shd w:fill="FFF2CC" w:val="clear"/>
          </w:tcPr>
          <w:p>
            <w:r>
              <w:rPr>
                <w:b/>
                <w:color w:val="503200"/>
                <w:sz w:val="16"/>
              </w:rPr>
              <w:t xml:space="preserve">Cours actuel : </w:t>
            </w:r>
            <w:r>
              <w:rPr>
                <w:color w:val="000000"/>
                <w:sz w:val="17"/>
              </w:rPr>
              <w:t>7,985 FCFA</w:t>
            </w:r>
          </w:p>
          <w:p>
            <w:r>
              <w:rPr>
                <w:b/>
                <w:color w:val="503200"/>
                <w:sz w:val="16"/>
              </w:rPr>
              <w:t xml:space="preserve">Var. 100 jours : </w:t>
            </w:r>
            <w:r>
              <w:rPr>
                <w:b/>
                <w:color w:val="007800"/>
                <w:sz w:val="17"/>
              </w:rPr>
              <w:t>+8.05%</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4.28% (Faible) — μ=8,091 FCFA, σ=346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β=1.0356 (Neutre (suit le marché)) — Cov=0.000076, Var(idx)=0.000074, ρ=0.330,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7,519</w:t>
            </w:r>
          </w:p>
        </w:tc>
        <w:tc>
          <w:tcPr>
            <w:tcW w:type="dxa" w:w="1440"/>
            <w:shd w:fill="FAFAFA" w:val="clear"/>
          </w:tcPr>
          <w:p>
            <w:r>
              <w:rPr>
                <w:b/>
                <w:sz w:val="17"/>
              </w:rPr>
              <w:t>7,923</w:t>
            </w:r>
          </w:p>
        </w:tc>
        <w:tc>
          <w:tcPr>
            <w:tcW w:type="dxa" w:w="1440"/>
            <w:shd w:fill="FAFAFA" w:val="clear"/>
          </w:tcPr>
          <w:p>
            <w:r>
              <w:rPr>
                <w:sz w:val="17"/>
              </w:rPr>
              <w:t>8,327</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7,327</w:t>
            </w:r>
          </w:p>
        </w:tc>
        <w:tc>
          <w:tcPr>
            <w:tcW w:type="dxa" w:w="1440"/>
            <w:shd w:fill="FAFAFA" w:val="clear"/>
          </w:tcPr>
          <w:p>
            <w:r>
              <w:rPr>
                <w:b/>
                <w:sz w:val="17"/>
              </w:rPr>
              <w:t>7,896</w:t>
            </w:r>
          </w:p>
        </w:tc>
        <w:tc>
          <w:tcPr>
            <w:tcW w:type="dxa" w:w="1440"/>
            <w:shd w:fill="FAFAFA" w:val="clear"/>
          </w:tcPr>
          <w:p>
            <w:r>
              <w:rPr>
                <w:sz w:val="17"/>
              </w:rPr>
              <w:t>8,465</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7,175</w:t>
            </w:r>
          </w:p>
        </w:tc>
        <w:tc>
          <w:tcPr>
            <w:tcW w:type="dxa" w:w="1440"/>
            <w:shd w:fill="FAFAFA" w:val="clear"/>
          </w:tcPr>
          <w:p>
            <w:r>
              <w:rPr>
                <w:b/>
                <w:sz w:val="17"/>
              </w:rPr>
              <w:t>7,870</w:t>
            </w:r>
          </w:p>
        </w:tc>
        <w:tc>
          <w:tcPr>
            <w:tcW w:type="dxa" w:w="1440"/>
            <w:shd w:fill="FAFAFA" w:val="clear"/>
          </w:tcPr>
          <w:p>
            <w:r>
              <w:rPr>
                <w:sz w:val="17"/>
              </w:rPr>
              <w:t>8,564</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7,046</w:t>
            </w:r>
          </w:p>
        </w:tc>
        <w:tc>
          <w:tcPr>
            <w:tcW w:type="dxa" w:w="1440"/>
            <w:shd w:fill="FAFAFA" w:val="clear"/>
          </w:tcPr>
          <w:p>
            <w:r>
              <w:rPr>
                <w:b/>
                <w:sz w:val="17"/>
              </w:rPr>
              <w:t>7,846</w:t>
            </w:r>
          </w:p>
        </w:tc>
        <w:tc>
          <w:tcPr>
            <w:tcW w:type="dxa" w:w="1440"/>
            <w:shd w:fill="FAFAFA" w:val="clear"/>
          </w:tcPr>
          <w:p>
            <w:r>
              <w:rPr>
                <w:sz w:val="17"/>
              </w:rPr>
              <w:t>8,646</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6,932</w:t>
            </w:r>
          </w:p>
        </w:tc>
        <w:tc>
          <w:tcPr>
            <w:tcW w:type="dxa" w:w="1440"/>
            <w:shd w:fill="FFDCE0" w:val="clear"/>
          </w:tcPr>
          <w:p>
            <w:r>
              <w:rPr>
                <w:b/>
                <w:sz w:val="17"/>
              </w:rPr>
              <w:t>7,824</w:t>
            </w:r>
          </w:p>
        </w:tc>
        <w:tc>
          <w:tcPr>
            <w:tcW w:type="dxa" w:w="1440"/>
            <w:shd w:fill="FFDCE0" w:val="clear"/>
          </w:tcPr>
          <w:p>
            <w:r>
              <w:rPr>
                <w:sz w:val="17"/>
              </w:rPr>
              <w:t>8,715</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6,828</w:t>
            </w:r>
          </w:p>
        </w:tc>
        <w:tc>
          <w:tcPr>
            <w:tcW w:type="dxa" w:w="1440"/>
            <w:shd w:fill="FFDCE0" w:val="clear"/>
          </w:tcPr>
          <w:p>
            <w:r>
              <w:rPr>
                <w:b/>
                <w:sz w:val="17"/>
              </w:rPr>
              <w:t>7,802</w:t>
            </w:r>
          </w:p>
        </w:tc>
        <w:tc>
          <w:tcPr>
            <w:tcW w:type="dxa" w:w="1440"/>
            <w:shd w:fill="FFDCE0" w:val="clear"/>
          </w:tcPr>
          <w:p>
            <w:r>
              <w:rPr>
                <w:sz w:val="17"/>
              </w:rPr>
              <w:t>8,776</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6,732</w:t>
            </w:r>
          </w:p>
        </w:tc>
        <w:tc>
          <w:tcPr>
            <w:tcW w:type="dxa" w:w="1440"/>
            <w:shd w:fill="FFDCE0" w:val="clear"/>
          </w:tcPr>
          <w:p>
            <w:r>
              <w:rPr>
                <w:b/>
                <w:sz w:val="17"/>
              </w:rPr>
              <w:t>7,782</w:t>
            </w:r>
          </w:p>
        </w:tc>
        <w:tc>
          <w:tcPr>
            <w:tcW w:type="dxa" w:w="1440"/>
            <w:shd w:fill="FFDCE0" w:val="clear"/>
          </w:tcPr>
          <w:p>
            <w:r>
              <w:rPr>
                <w:sz w:val="17"/>
              </w:rPr>
              <w:t>8,831</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6,643</w:t>
            </w:r>
          </w:p>
        </w:tc>
        <w:tc>
          <w:tcPr>
            <w:tcW w:type="dxa" w:w="1440"/>
            <w:shd w:fill="FFDCE0" w:val="clear"/>
          </w:tcPr>
          <w:p>
            <w:r>
              <w:rPr>
                <w:b/>
                <w:sz w:val="17"/>
              </w:rPr>
              <w:t>7,762</w:t>
            </w:r>
          </w:p>
        </w:tc>
        <w:tc>
          <w:tcPr>
            <w:tcW w:type="dxa" w:w="1440"/>
            <w:shd w:fill="FFDCE0" w:val="clear"/>
          </w:tcPr>
          <w:p>
            <w:r>
              <w:rPr>
                <w:sz w:val="17"/>
              </w:rPr>
              <w:t>8,881</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6,559</w:t>
            </w:r>
          </w:p>
        </w:tc>
        <w:tc>
          <w:tcPr>
            <w:tcW w:type="dxa" w:w="1440"/>
            <w:shd w:fill="FFDCE0" w:val="clear"/>
          </w:tcPr>
          <w:p>
            <w:r>
              <w:rPr>
                <w:b/>
                <w:sz w:val="17"/>
              </w:rPr>
              <w:t>7,743</w:t>
            </w:r>
          </w:p>
        </w:tc>
        <w:tc>
          <w:tcPr>
            <w:tcW w:type="dxa" w:w="1440"/>
            <w:shd w:fill="FFDCE0" w:val="clear"/>
          </w:tcPr>
          <w:p>
            <w:r>
              <w:rPr>
                <w:sz w:val="17"/>
              </w:rPr>
              <w:t>8,927</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6,480</w:t>
            </w:r>
          </w:p>
        </w:tc>
        <w:tc>
          <w:tcPr>
            <w:tcW w:type="dxa" w:w="1440"/>
            <w:shd w:fill="FFDCE0" w:val="clear"/>
          </w:tcPr>
          <w:p>
            <w:r>
              <w:rPr>
                <w:b/>
                <w:sz w:val="17"/>
              </w:rPr>
              <w:t>7,725</w:t>
            </w:r>
          </w:p>
        </w:tc>
        <w:tc>
          <w:tcPr>
            <w:tcW w:type="dxa" w:w="1440"/>
            <w:shd w:fill="FFDCE0" w:val="clear"/>
          </w:tcPr>
          <w:p>
            <w:r>
              <w:rPr>
                <w:sz w:val="17"/>
              </w:rPr>
              <w:t>8,970</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**Marché : BRVM | Secteur : Entreprise agro-industrielle (Hévéa &amp; Palmier)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**172,49 milliards FCFA**, SOGC se positionne parmi les valeurs moyennes-capitalisations de la BRVM, ce qui traduit une société mature mais de taille intermédiaire à l'échelle régionale. Le **BPA de 578 FCFA/action** indique que chaque titre génère près de 578 FCFA de bénéfice net, un niveau confortable qui soutient la politique de dividende généreuse du groupe. Le **PER de 13,8x** situe le titre légèrement au-dessus de la moyenne BRVM (8-12x), signalant une valorisation modérée mais non excessive, cohérente avec la qualité des fondamentaux. Le **P/B de 2,52x** montre que le marché valorise SOGC à 2,5 fois sa valeur comptable, soit une prime de croissance justifiée par un ROE de 18,26% nettement supérieur au coût des fonds propres. Enfin, l'**EV/EBITDA de 7,2x** (fourchette raisonnable 5-10x) confirme que la valeur d'entreprise reste proportionnée à la capacité opérationnelle de génération de cash-flow, sans excès spéculatif.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**progression totale de +8,05%**, malgré un léger repli de **-0,19% lors de la dernière séance**, portant le cours actuel à **7 985 FCFA**. Le range de trading s'établit entre un plus haut de **8 875 FCFA** et un plus bas de **7 200 FCFA**, soit une amplitude de 23,3% qui témoigne d'une réelle dynamique haussière entrecoupée de corrections. La tendance générale demeure donc haussière, soutenue par des volumes moyens quotidiens de 5 387 titres, indiquant une liquidité correcte pour le marché BRVM. Les statistiques descriptives révèlent une **moyenne de 8 091 FCFA** légèrement supérieure à la **médiane de 8 145 FCFA**, avec un mode à 8 100 FCFA : le cours actuel (7 985 FCFA) évolue donc sous ses points d'équilibre récents, ce qui peut constituer une zone d'accumulation. L'**écart-type de 348 FCFA (CV = 4,3%)** traduit une dispersion relativement faible du cours autour de sa moyenne, tandis que le **kurtosis de 0,074 (mésokurtique)** indique une distribution proche de la normale, sans risque marqué de pics extrêmes. Le **skewness de -0,608** signale une asymétrie négative : davantage de journées se sont situées au-dessus de la moyenne, suggérant une pression acheteuse dominante. Enfin, la **volatilité annualisée de 42,4%** classe SOGC dans la catégorie des titres à volatilité élevée (&gt;30%), ce qui implique un risque de marché non négligeable et justifie une approche prudente en gestion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(7 896,75 FCFA) se situe sous le cours actuel (7 985 FCFA), signal court terme légèrement positif, mais la MM50 (8 031,5 FCFA) reste au-dessus du prix, confirmant une pression baissière de moyen terme. Cette configuration en croisement baissier (MM20 &lt; MM50) justifie la décision technique de **Vente**, le titre évoluant encore sous sa tendance de fond.</w:t>
      </w:r>
    </w:p>
    <w:p>
      <w:pPr>
        <w:spacing w:after="120" w:line="276" w:lineRule="auto"/>
      </w:pPr>
      <w:r>
        <w:t>**Bandes de Bollinger** : Le cours (7 985 FCFA) évolue dans la partie médiane de la bande, entre la borne inférieure (7 480,97 FCFA) et supérieure (8 312,53 FCFA), sans contact avec les extrêmes. Cette position centrale, couplée à un écart-type modéré, justifie la décision **Neutre** : ni suracheté, ni survendu, le titre est en phase de consolidation.</w:t>
      </w:r>
    </w:p>
    <w:p>
      <w:pPr>
        <w:spacing w:after="120" w:line="276" w:lineRule="auto"/>
      </w:pPr>
      <w:r>
        <w:t>**MACD** : La valeur du MACD (-44,209) est supérieure à son signal (-71,247), formant un croisement haussier avec un histogramme positif. Ce momentum positif, bien qu'évoluant encore en territoire négatif, justifie la décision d'**Achat** : la dynamique baissière s'essouffle et un retournement se profile.</w:t>
      </w:r>
    </w:p>
    <w:p>
      <w:pPr>
        <w:spacing w:after="120" w:line="276" w:lineRule="auto"/>
      </w:pPr>
      <w:r>
        <w:t>**RSI** : À **52,234**, l'indicateur se situe parfaitement dans la zone neutre (30-70), sans signal de surachat ni de survente. La décision **Neutre** est cohérente : le titre dispose d'un potentiel de hausse sans être encore tendu.</w:t>
      </w:r>
    </w:p>
    <w:p>
      <w:pPr>
        <w:spacing w:after="120" w:line="276" w:lineRule="auto"/>
      </w:pPr>
      <w:r>
        <w:t>**Stochastique** : Le %K (85,625) et le %D (82,5) évoluent tous deux en zone de surachat (&gt;80), avec un %K légèrement supérieur au %D. Cette configuration, proche d'un croisement baissier, justifie la décision de **Vente** à court terme : un repli technique est probable après la récente progression.</w:t>
      </w:r>
    </w:p>
    <w:p>
      <w:pPr>
        <w:spacing w:after="120" w:line="276" w:lineRule="auto"/>
      </w:pPr>
      <w:r>
        <w:t>**Conclusion technique** : Les indicateurs sont **divergents** — le MACD est haussier, le RSI neutre, mais les MM et le Stochastique sont baissiers, tandis que les Bollinger restent neutres. Cette configuration mitigée suggère une phase de consolidation avec un biais légèrement baissier à court terme, en attendant une confirmation directionnelle. Le titre se trouve à un point d'inflexion où la cassure de la MM50 (8 031 FCFA) serait un signal haussier fort.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affiche un **chiffre d'affaires de 98,979 milliards FCFA**, en croissance de **+10,70%** par rapport à 2024, confirmant la dynamique commerciale du groupe. Le **résultat net s'établit à 12,493 milliards FCFA**, en léger recul de -5% par rapport aux 13,11 milliards de 2024, sous l'effet de la hausse des coûts d'achat du coagulum (+15%). La rentabilité reste néanmoins excellente avec un **ROE de 18,26%** (largement supérieur au seuil de 15%) et un **ROA de 13,84%**, tandis que la **marge nette de 12,62%** et la **marge opérationnelle de 17,24%** demeurent solides. La structure financière est remarquablement saine : **autonomie financière de 75,79%**, **ratio d'endettement de 24,21%**, **liquidité générale de 170,32%** et **capacité de remboursement de 0,04 an** (quasi nulle). En tant qu'entreprise agro-industrielle, les délais d'exploitation sont bien maîtrisés : **délai clients de 29,60 jours** (faible risque de trésorerie), **délai fournisseurs de 31,72 jours** (favorable) et **durée de stockage de 97,67 jours** (à surveiller, immobilisation de capital). Le **BFR de 7,124 milliards FCFA** et le **Fonds de Roulement de 11,699 milliards FCFA** confirment un équilibre financier robuste.</w:t>
      </w:r>
    </w:p>
    <w:p>
      <w:pPr>
        <w:spacing w:after="120" w:line="276" w:lineRule="auto"/>
      </w:pPr>
      <w:r>
        <w:t>**Évolution et estimations** : Les rapports trimestriels 2025 (T1, S1, 9M) montrent une trajectoire exceptionnelle sur la première partie de l'année — CA +63,1% au T1, résultat net +262,9% — avant un ralentissement marqué au S2 sous l'effet de la concurrence accrue sur l'achat de matière première et de la baisse des cours SICOM du caoutchouc. Sur la base du rapport 9M 2025 (CA +21,3%, résultat net +39,5%), on peut estimer que l'exercice 2025 s'est conclu avec une croissance annuelle à deux chiffres mais un résultat net en léger retrait (-5%), ce que confirment les états financiers définitifs. Le rapport 2024 (publié le 15/03/2026) soulignait déjà un **taux de distribution de 98,9%** (dividende de 60 FCFA/action en 2024), politique généreuse mais peu prudente. Pour 2025, l'AG du 28 mai 2026 propose un **dividende brut de 570 FCFA/action** (12,31 milliards FCFA), soit un rendement attractif de **7,14%** au cours actuel — un signal fort pour les actionnaires. **Recommandation fondamentale** : la solidité bilancielle, la générosité du dividende et la résilience de la rentabilité plaident pour un **CONSERVER avec biais positif**, malgré les risques liés à la volatilité des prix des matières premières et à la pression concurrentielle sur l'approvisionnement en coagulum.</w:t>
      </w:r>
    </w:p>
    <w:p>
      <w:pPr>
        <w:spacing w:after="120" w:line="276" w:lineRule="auto"/>
      </w:pPr>
      <w:r>
        <w:t>---</w:t>
      </w:r>
    </w:p>
    <w:p>
      <w:pPr>
        <w:spacing w:after="120" w:line="276" w:lineRule="auto"/>
      </w:pPr>
      <w:r>
        <w:t>## PARTIE 4 : CONCLUSION D'INVESTISSEMENT</w:t>
      </w:r>
    </w:p>
    <w:p>
      <w:pPr>
        <w:spacing w:after="120" w:line="276" w:lineRule="auto"/>
      </w:pPr>
      <w:r>
        <w:t>La synthèse globale des quatre dimensions d'analyse dessine un profil d'investissement **équilibré avec un biais haussier modéré**. Sur le plan de la **valorisation (Partie 0)**, les ratios PER (13,8x), P/B (2,52x) et EV/EBITDA (7,2x) indiquent une valorisation raisonnable, légèrement supérieure à la moyenne BRVM mais justifiée par un ROE de 18,26% et un rendement du dividende de 7,14% — le titre n'est ni sous-évalué, ni surévalué. Le **comportement du cours (Partie 1)** est favorable : tendance haussière sur 100 jours (+8,05%), skewness négatif (pression acheteuse), kurtosis normal (pas de risque de pics extrêmes), mais volatilité élevée (42,4%) qui appelle à la prudence. Les **signaux techniques (Partie 2)** sont mitigés : MACD haussier et RSI neutre d'un côté, MM baissières et Stochastique en surachat de l'autre — le titre est en consolidation, avec un avantage tactique aux vendeurs à court terme mais un potentiel de rebond au-dessus de 8 031 FCFA (MM50). Les **fondamentaux (Partie 3)** sont solides : CA 2025 de 98,98 Mds FCFA (+10,7%), résultat net de 12,49 Mds FCFA, ROE de 18,26%, autonomie financière de 75,79% et dividende de 570 FCFA/action — malgré la baisse de -5% du résultat net, la qualité des bilans et la générosité de la politique de distribution rassurent. Les **prédictions IA (J+1 à J+10)** anticipent une légère érosion du cours de 7 923 FCFA à 7 824 FCFA (-1,3% sur 5 jours), ce qui **contredit partiellement** le biais haussier fondamental mais **confirme** le signal baissier de court terme des MM et du Stochastique.</w:t>
      </w:r>
    </w:p>
    <w:p>
      <w:pPr>
        <w:spacing w:after="120" w:line="276" w:lineRule="auto"/>
      </w:pPr>
      <w:r>
        <w:t>**Recommandation finale : CONSERVER** — avec un biais positif à moyen terme. La convergence entre valorisation raisonnable, fondamentaux solides et dividende attractif soutient la thèse d'un titre de rendement à conserver en portefeuille, tandis que la divergence technique à court terme (prédictions baissières, Stochastique en surachat) invite à ne pas renforcer immédiatement. **Niveau de confiance : Moyen** (les signaux contradictoires entre technique et fondamental limitent la conviction). **Niveau de risque global : Moyen à Élevé** (volatilité annualisée de 42,4%, dépendance aux prix des matières premières, pression concurrentielle sur le coagulum). **Horizon d'investissement optimal : Moyen à long terme (6 à 18 mois)**, le temps que la consolidation technique s'achève et que la politique de dividende généreuse (rendement 7,14%) produise ses effets, avec un point d'entrée idéal sous 7 800 FCFA en cas de repli vers la borne inférieure de Bollinger (7 481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4,690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+16.11%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9.38% (Moyenne) — μ=7,907 FCFA, σ=742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β=0.6931 (Défensif) — Cov=0.000051, Var(idx)=0.000074, ρ=0.216,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7,515</w:t>
            </w:r>
          </w:p>
        </w:tc>
        <w:tc>
          <w:tcPr>
            <w:tcW w:type="dxa" w:w="1440"/>
            <w:shd w:fill="FAFAFA" w:val="clear"/>
          </w:tcPr>
          <w:p>
            <w:r>
              <w:rPr>
                <w:b/>
                <w:sz w:val="17"/>
              </w:rPr>
              <w:t>7,925</w:t>
            </w:r>
          </w:p>
        </w:tc>
        <w:tc>
          <w:tcPr>
            <w:tcW w:type="dxa" w:w="1440"/>
            <w:shd w:fill="FAFAFA" w:val="clear"/>
          </w:tcPr>
          <w:p>
            <w:r>
              <w:rPr>
                <w:sz w:val="17"/>
              </w:rPr>
              <w:t>8,335</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7,309</w:t>
            </w:r>
          </w:p>
        </w:tc>
        <w:tc>
          <w:tcPr>
            <w:tcW w:type="dxa" w:w="1440"/>
            <w:shd w:fill="FAFAFA" w:val="clear"/>
          </w:tcPr>
          <w:p>
            <w:r>
              <w:rPr>
                <w:b/>
                <w:sz w:val="17"/>
              </w:rPr>
              <w:t>7,886</w:t>
            </w:r>
          </w:p>
        </w:tc>
        <w:tc>
          <w:tcPr>
            <w:tcW w:type="dxa" w:w="1440"/>
            <w:shd w:fill="FAFAFA" w:val="clear"/>
          </w:tcPr>
          <w:p>
            <w:r>
              <w:rPr>
                <w:sz w:val="17"/>
              </w:rPr>
              <w:t>8,463</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2026-10-14</w:t>
            </w:r>
          </w:p>
        </w:tc>
        <w:tc>
          <w:tcPr>
            <w:tcW w:type="dxa" w:w="1440"/>
            <w:shd w:fill="FAFAFA" w:val="clear"/>
          </w:tcPr>
          <w:p>
            <w:r>
              <w:rPr>
                <w:sz w:val="17"/>
              </w:rPr>
              <w:t>7,143</w:t>
            </w:r>
          </w:p>
        </w:tc>
        <w:tc>
          <w:tcPr>
            <w:tcW w:type="dxa" w:w="1440"/>
            <w:shd w:fill="FAFAFA" w:val="clear"/>
          </w:tcPr>
          <w:p>
            <w:r>
              <w:rPr>
                <w:b/>
                <w:sz w:val="17"/>
              </w:rPr>
              <w:t>7,846</w:t>
            </w:r>
          </w:p>
        </w:tc>
        <w:tc>
          <w:tcPr>
            <w:tcW w:type="dxa" w:w="1440"/>
            <w:shd w:fill="FAFAFA" w:val="clear"/>
          </w:tcPr>
          <w:p>
            <w:r>
              <w:rPr>
                <w:sz w:val="17"/>
              </w:rPr>
              <w:t>8,549</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7,000</w:t>
            </w:r>
          </w:p>
        </w:tc>
        <w:tc>
          <w:tcPr>
            <w:tcW w:type="dxa" w:w="1440"/>
            <w:shd w:fill="FFDCE0" w:val="clear"/>
          </w:tcPr>
          <w:p>
            <w:r>
              <w:rPr>
                <w:b/>
                <w:sz w:val="17"/>
              </w:rPr>
              <w:t>7,808</w:t>
            </w:r>
          </w:p>
        </w:tc>
        <w:tc>
          <w:tcPr>
            <w:tcW w:type="dxa" w:w="1440"/>
            <w:shd w:fill="FFDCE0" w:val="clear"/>
          </w:tcPr>
          <w:p>
            <w:r>
              <w:rPr>
                <w:sz w:val="17"/>
              </w:rPr>
              <w:t>8,616</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6,872</w:t>
            </w:r>
          </w:p>
        </w:tc>
        <w:tc>
          <w:tcPr>
            <w:tcW w:type="dxa" w:w="1440"/>
            <w:shd w:fill="FFDCE0" w:val="clear"/>
          </w:tcPr>
          <w:p>
            <w:r>
              <w:rPr>
                <w:b/>
                <w:sz w:val="17"/>
              </w:rPr>
              <w:t>7,771</w:t>
            </w:r>
          </w:p>
        </w:tc>
        <w:tc>
          <w:tcPr>
            <w:tcW w:type="dxa" w:w="1440"/>
            <w:shd w:fill="FFDCE0" w:val="clear"/>
          </w:tcPr>
          <w:p>
            <w:r>
              <w:rPr>
                <w:sz w:val="17"/>
              </w:rPr>
              <w:t>8,670</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6,755</w:t>
            </w:r>
          </w:p>
        </w:tc>
        <w:tc>
          <w:tcPr>
            <w:tcW w:type="dxa" w:w="1440"/>
            <w:shd w:fill="FFDCE0" w:val="clear"/>
          </w:tcPr>
          <w:p>
            <w:r>
              <w:rPr>
                <w:b/>
                <w:sz w:val="17"/>
              </w:rPr>
              <w:t>7,735</w:t>
            </w:r>
          </w:p>
        </w:tc>
        <w:tc>
          <w:tcPr>
            <w:tcW w:type="dxa" w:w="1440"/>
            <w:shd w:fill="FFDCE0" w:val="clear"/>
          </w:tcPr>
          <w:p>
            <w:r>
              <w:rPr>
                <w:sz w:val="17"/>
              </w:rPr>
              <w:t>8,716</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6,647</w:t>
            </w:r>
          </w:p>
        </w:tc>
        <w:tc>
          <w:tcPr>
            <w:tcW w:type="dxa" w:w="1440"/>
            <w:shd w:fill="FFDCE0" w:val="clear"/>
          </w:tcPr>
          <w:p>
            <w:r>
              <w:rPr>
                <w:b/>
                <w:sz w:val="17"/>
              </w:rPr>
              <w:t>7,701</w:t>
            </w:r>
          </w:p>
        </w:tc>
        <w:tc>
          <w:tcPr>
            <w:tcW w:type="dxa" w:w="1440"/>
            <w:shd w:fill="FFDCE0" w:val="clear"/>
          </w:tcPr>
          <w:p>
            <w:r>
              <w:rPr>
                <w:sz w:val="17"/>
              </w:rPr>
              <w:t>8,755</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6,545</w:t>
            </w:r>
          </w:p>
        </w:tc>
        <w:tc>
          <w:tcPr>
            <w:tcW w:type="dxa" w:w="1440"/>
            <w:shd w:fill="FFDCE0" w:val="clear"/>
          </w:tcPr>
          <w:p>
            <w:r>
              <w:rPr>
                <w:b/>
                <w:sz w:val="17"/>
              </w:rPr>
              <w:t>7,667</w:t>
            </w:r>
          </w:p>
        </w:tc>
        <w:tc>
          <w:tcPr>
            <w:tcW w:type="dxa" w:w="1440"/>
            <w:shd w:fill="FFDCE0" w:val="clear"/>
          </w:tcPr>
          <w:p>
            <w:r>
              <w:rPr>
                <w:sz w:val="17"/>
              </w:rPr>
              <w:t>8,789</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6,450</w:t>
            </w:r>
          </w:p>
        </w:tc>
        <w:tc>
          <w:tcPr>
            <w:tcW w:type="dxa" w:w="1440"/>
            <w:shd w:fill="FFDCE0" w:val="clear"/>
          </w:tcPr>
          <w:p>
            <w:r>
              <w:rPr>
                <w:b/>
                <w:sz w:val="17"/>
              </w:rPr>
              <w:t>7,635</w:t>
            </w:r>
          </w:p>
        </w:tc>
        <w:tc>
          <w:tcPr>
            <w:tcW w:type="dxa" w:w="1440"/>
            <w:shd w:fill="FFDCE0" w:val="clear"/>
          </w:tcPr>
          <w:p>
            <w:r>
              <w:rPr>
                <w:sz w:val="17"/>
              </w:rPr>
              <w:t>8,820</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6,359</w:t>
            </w:r>
          </w:p>
        </w:tc>
        <w:tc>
          <w:tcPr>
            <w:tcW w:type="dxa" w:w="1440"/>
            <w:shd w:fill="FFDCE0" w:val="clear"/>
          </w:tcPr>
          <w:p>
            <w:r>
              <w:rPr>
                <w:b/>
                <w:sz w:val="17"/>
              </w:rPr>
              <w:t>7,603</w:t>
            </w:r>
          </w:p>
        </w:tc>
        <w:tc>
          <w:tcPr>
            <w:tcW w:type="dxa" w:w="1440"/>
            <w:shd w:fill="FFDCE0" w:val="clear"/>
          </w:tcPr>
          <w:p>
            <w:r>
              <w:rPr>
                <w:sz w:val="17"/>
              </w:rPr>
              <w:t>8,847</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S.A.)**</w:t>
        <w:br/>
        <w:t>*Bourse Régionale des Valeurs Mobilières (BRVM) — Côte d'Ivoire*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204,46 milliards FCFA, SPHC s'impose comme l'une des valeurs industrielles de référence de la cote BRVM, témoignant de sa stature de leader régional du caoutchouc naturel. Le BPA de 977 FCFA par action signifie que chaque titre génère près de mille francs de bénéfice net, un niveau de rentabilité unitaire élevé qui contraste avec un PER de seulement 8,2x — nettement inférieur à la moyenne BRVM (8-12x) — suggérant une sous-évaluation potentielle du titre par le marché. Le ratio P/B de 1,48x indique que le marché valorise SPHC à peine 48% au-dessus de sa valeur comptable, une prime raisonnable qui reflète la solidité du bilan sans exubérance spéculative. Enfin, l'EV/EBITDA de 5,1x, bien en deçà de la fourchette de 5-10x généralement observée, confirme que la valeur d'entreprise reste modérée au regard de la capacité opérationnelle dégagée, renforçant le diagnostic de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performance remarquable de +16,11%, bien que la dernière séance (J-1) marque un léger repli de -0,62%, signalant une prise de bénéfices après le rallye. Le titre a évolué dans un range large de 6 850 FCFA (plus bas) à 10 300 FCFA (plus haut), soit une amplitude de plus de 50%, avant de se stabiliser autour du cours actuel de 8 000 FCFA — positionné à mi-chemin du range, ce qui traduit une correction depuis les sommets sans destruction de la tendance haussière de fond. La moyenne (7 907 FCFA) se situe légèrement au-dessus de la médiane (7 672 FCFA), un écart qui confirme l'asymétrie positive révélée par le skewness de 1,457 : la distribution est tirée vers le haut par des pics de cours, mais la majorité des séances se sont déroulées sous la moyenne, indiquant que la hausse s'est concentrée sur un nombre limité de journées. L'écart-type de 746 FCFA (CV = 9,4%) traduit une dispersion modérée du cours autour de sa moyenne, tandis que le kurtosis de 1,767 (leptokurtique) signale des queues épaisses — le titre est sujet à des pics de volatilité brutaux, un risque à intégrer pour tout investisseur. La volatilité annualisée de 43,3% classe SPHC dans la catégorie des titres à volatilité élevée (&gt;30%), ce qui est cohérent avec son exposition aux cours mondiaux du caoutchouc et justifie une prime de risque dans l'évaluation.</w:t>
      </w:r>
    </w:p>
    <w:p>
      <w:pPr>
        <w:spacing w:after="120" w:line="276" w:lineRule="auto"/>
      </w:pPr>
      <w:r>
        <w:t>---</w:t>
      </w:r>
    </w:p>
    <w:p>
      <w:pPr>
        <w:spacing w:after="120" w:line="276" w:lineRule="auto"/>
      </w:pPr>
      <w:r>
        <w:t>## PARTIE 2 : ANALYSE TECHNIQUE DÉTAILLÉE</w:t>
      </w:r>
    </w:p>
    <w:p>
      <w:pPr>
        <w:spacing w:after="120" w:line="276" w:lineRule="auto"/>
      </w:pPr>
      <w:r>
        <w:t>**Moyennes Mobiles** : La MM20 (7 930 FCFA) se situe légèrement sous le cours actuel (8 000 FCFA), tandis que la MM50 (8 344 FCFA) est nettement au-dessus, créant une configuration baissière où le cours évolue entre les deux moyennes. Cette position relative — cours &gt; MM20 mais &lt; MM50 — traduit un rebond de court terme dans une tendance de moyen terme encore fragile, justifiant la décision technique de **Vente** : le croisement baissier MM20/MM50 n'est pas encore confirmé, mais la pression vendeuse demeure.</w:t>
      </w:r>
    </w:p>
    <w:p>
      <w:pPr>
        <w:spacing w:after="120" w:line="276" w:lineRule="auto"/>
      </w:pPr>
      <w:r>
        <w:t>**Bandes de Bollinger** : Le cours (8 000 FCFA) se situe dans la partie médiane des bandes, entre la borne inférieure (7 521,81 FCFA) et la borne supérieure (8 338,19 FCFA), à environ 48% de la largeur du canal. Cette position centrale, sans contact avec les extrêmes, traduit une absence de signal directionnel fort et une volatilité en cours de normalisation, justifiant la décision **Neutre** : le marché est en phase de consolidation, sans excès acheteur ou vendeur.</w:t>
      </w:r>
    </w:p>
    <w:p>
      <w:pPr>
        <w:spacing w:after="120" w:line="276" w:lineRule="auto"/>
      </w:pPr>
      <w:r>
        <w:t>**MACD** : La valeur du MACD (-133,04) est supérieure à son signal (-172,44), générant un croisement haussier (MACD &gt; Signal) qui indique une amélioration du momentum baissier — la pression vendeuse s'atténue progressivement. Cette divergence positive, bien que les deux lignes restent en territoire négatif, justifie la décision **Achat** : le momentum se retourne à la hausse, mais la prudence reste de mise tant que le MACD n'a pas franchi la ligne zéro.</w:t>
      </w:r>
    </w:p>
    <w:p>
      <w:pPr>
        <w:spacing w:after="120" w:line="276" w:lineRule="auto"/>
      </w:pPr>
      <w:r>
        <w:t>**RSI** : À 56,21, le RSI se situe dans la zone neutre (30-70), légèrement au-dessus du point d'équilibre de 50, indiquant une dynamique haussière modérée sans excès de surachat. Cette configuration justifie la décision **Neutre** : le titre dispose d'une marge de progression avant d'atteindre la zone de surachat (&gt;70), mais le momentum actuel n'est pas suffisamment fort pour générer un signal d'achat agressif.</w:t>
      </w:r>
    </w:p>
    <w:p>
      <w:pPr>
        <w:spacing w:after="120" w:line="276" w:lineRule="auto"/>
      </w:pPr>
      <w:r>
        <w:t>**Stochastique** : Le %K (90,91) et le %D (94,24) évoluent tous deux en zone de surachat (&gt;80), avec un %K légèrement inférieur au %D — configuration baissière classique signalant un essoufflement de la dynamique haussière de court terme. Cette situation justifie la décision **Vente** : le titre est techniquement vulnérable à une correction à court terme, les acheteurs étant en position de faiblesse relative.</w:t>
      </w:r>
    </w:p>
    <w:p>
      <w:pPr>
        <w:spacing w:after="120" w:line="276" w:lineRule="auto"/>
      </w:pPr>
      <w:r>
        <w:t>**Conclusion technique** : Les indicateurs techniques présentent un tableau mitigé, avec une divergence entre le MACD (signal d'achat) et le Stochastique (signal de vente), tandis que les Moyennes Mobiles, les Bandes de Bollinger et le RSI adoptent une posture neutre ou baissière. Cette configuration suggère que le titre se trouve dans une phase de consolidation incertaine, avec un potentiel de rebond à court terme (soutenu par le MACD) mais une vulnérabilité persistante face à une correction (signalée par le Stochastique en surachat). La prudence est de mise : aucun signal fort ne se dégage, et la prudence commande d'attendre une confirmation directionnelle avant d'engager des positions significatives.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 milliards FCFA, en croissance de 21,97% par rapport à 2024 (279,44 milliards FCFA), portée par une hausse des volumes vendus et des prix moyens du caoutchouc. Le résultat net s'établit à 24,97 milliards FCFA, en progression de 32,9% (contre 18,79 milliards en 2024), générant une marge nette de 7,33% (vs 6,7% en 2024) et un ROE de 18,10% — un niveau excellent (&gt;15%) qui témoigne d'une utilisation efficace des fonds propres (137,94 milliards FCFA). Le ROA de 11,06% confirme la rentabilité des actifs (225,84 milliards FCFA), tandis que la rotation des actifs de 150,92% traduit une intensité capitalistique maîtrisée. La structure financière est solide : autonomie financière de 61,08%, ratio d'endettement de 25,81%, et couverture des intérêts de 1 094,57% — les charges financières (3,48 milliards FCFA) sont largement couvertes par le résultat d'exploitation (38,13 milliards FCFA). Cependant, deux points de vigilance émergent : la trésorerie nette est négative (-15,41 milliards FCFA), et le BFR de 65,39 milliards FCFA (bien que le commentaire indique "BFR négatif = favorable", la valeur positive signale un besoin de financement du cycle d'exploitation). Les délais clients (35 jours) et la durée de stockage (72,33 jours) restent modérés mais nécessitent une surveillance, notamment dans un contexte de tension sur l'approvisionnement en matière première.</w:t>
      </w:r>
    </w:p>
    <w:p>
      <w:pPr>
        <w:spacing w:after="120" w:line="276" w:lineRule="auto"/>
      </w:pPr>
      <w:r>
        <w:t>**Estimations basées sur les rapports trimestriels** : Le rapport T1 2026 (publié en 2026) révèle une dégradation brutale des performances : chiffre d'affaires de 71,8 milliards FCFA (-24% en glissement annuel), résultat net de 2,6 milliards FCFA (-78%), et résultat d'exploitation de 4,5 milliards FCFA (-73%). Cette contre-performance s'explique par la chute des cours mondiaux du caoutchouc (SICOM 20 à 1,91 USD/kg), l'engorgement du port de San Pedro, et une concurrence féroce pour l'achat de matière première. Sur la base de ce T1 2026, on estime que l'exercice 2026 devrait afficher un chiffre d'affaires annuel compris entre 250 et 280 milliards FCFA (contre 340,83 milliards en 2025), avec un résultat net potentiellement divisé par deux à trois (autour de 8-12 milliards FCFA), ramenant le BPA estimé entre 55 et 82 FCFA — une contraction sévère qui remettrait en cause la capacité de distribution du dividende de 489 FCFA/action proposé pour 2025. Le rapport T3 2025 (30 septembre 2025) confirmait déjà un ralentissement de la croissance (+36% sur 9 mois contre +51% au S1), et le rapport S1 2025 (30 juin 2025) affichait une marge nette de 11% — un pic qui ne sera probablement pas reproduit en 2026. La recommandation fondamentale est donc **CONSERVER avec une vigilance accrue** : la solidité du bilan (capitaux propres de 137,94 milliards FCFA, solvabilité de 256,91%) et le leadership de SPHC sur le marché du caoutchouc durable (avance sur la réglementation EUDR) constituent des atouts structurels, mais la dégradation cyclique des cours et la pression sur les marges imposent une approche prudente à court terme. Les investisseurs à long terme pourraient voir dans cette correction une opportunité d'entrée, mais le risque de volatilité des résultats reste élevé.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les ratios PER (8,2x), P/B (1,48x) et EV/EBITDA (5,1x) indiquent une sous-évaluation relative du titre par rapport à ses pairs et à sa propre capacité bénéficiaire historique — un signal haussier à moyen terme. **Cependant, le comportement du cours (Partie 1)** nuance ce diagnostic : la volatilité annualisée de 43,3% et le kurtosis de 1,767 (queues épaisses) signalent un risque de pics baissiers brutaux, tandis que le skewness positif (1,457) indique que la majorité des séances se sont déroulées sous la moyenne — la hausse récente (+16,11%) s'est concentrée sur quelques journées, ce qui fragilise la tendance. **Les signaux techniques (Partie 2)** sont divergents : le MACD génère un signal d'achat (croisement haussier), mais le Stochastique est en zone de surachat (signal de vente), et les Moyennes Mobiles (MM50 &gt; cours) maintiennent une pression baissière — cette divergence plaide pour une phase de consolidation incertaine. **Les fondamentaux (Partie 3)** sont le point d'achoppement majeur : si l'exercice 2025 affiche une performance robuste (CA +21,97%, RN +32,9%, ROE 18,10%), le T1 2026 révèle un effondrement (-24% de CA, -78% de RN) qui remet en cause les perspectives à court terme et la pérennité du dividende. **Les prédictions IA (J+1 à J+10)** anticipent une trajectoire baissière graduelle (de 7 925 FCFA à 7 771 FCFA), confirmant la pression vendeuse à court terme et la vulnérabilité du titre après son rallye récent. **Recommandation finale : CONSERVER** — la convergence entre la sous-évaluation (Partie 0), le signal d'achat du MACD (Partie 2) et la solidité structurelle du bilan (Partie 3) plaide pour ne pas vendre, mais la dégradation des fondamentaux 2026, la divergence technique et les prédictions baissières interdisent un achat agressif. Le niveau de confiance est **Moyen** (les signaux contradictoires réduisent la visibilité), le risque global est **Élevé** (volatilité de 43,3%, dépendance aux cours mondiaux, dégradation des marges), et l'horizon optimal est **moyen terme (3-12 mois)** — le temps que la correction cyclique s'achève et que les cours du caoutchouc se stabilisent. Un passage à l'achat serait justifié si le titre revenait vers 7 200-7 500 FCFA (zone de support technique) avec une confirmation de reprise des cours SICOM et une amélioration des marges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6,214 titres</w:t>
            </w:r>
          </w:p>
        </w:tc>
        <w:tc>
          <w:tcPr>
            <w:tcW w:type="dxa" w:w="2268"/>
            <w:shd w:fill="FFF2CC" w:val="clear"/>
          </w:tcPr>
          <w:p>
            <w:r>
              <w:rPr>
                <w:b/>
                <w:color w:val="503200"/>
                <w:sz w:val="16"/>
              </w:rPr>
              <w:t xml:space="preserve">Cours actuel : </w:t>
            </w:r>
            <w:r>
              <w:rPr>
                <w:color w:val="000000"/>
                <w:sz w:val="17"/>
              </w:rPr>
              <w:t>2,110 FCFA</w:t>
            </w:r>
          </w:p>
          <w:p>
            <w:r>
              <w:rPr>
                <w:b/>
                <w:color w:val="503200"/>
                <w:sz w:val="16"/>
              </w:rPr>
              <w:t xml:space="preserve">Var. 100 jours : </w:t>
            </w:r>
            <w:r>
              <w:rPr>
                <w:b/>
                <w:color w:val="B40000"/>
                <w:sz w:val="17"/>
              </w:rPr>
              <w:t>-21.27%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2,065 FCFA</w:t>
            </w:r>
          </w:p>
          <w:p>
            <w:r>
              <w:rPr>
                <w:b/>
                <w:color w:val="503200"/>
                <w:sz w:val="16"/>
              </w:rPr>
              <w:t xml:space="preserve">Volatilité ann. : </w:t>
            </w:r>
            <w:r>
              <w:rPr>
                <w:color w:val="000000"/>
                <w:sz w:val="17"/>
              </w:rPr>
              <w:t>60.8%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15.26% (Élevée) — μ=2,839 FCFA, σ=433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β=-0.0829 (Contre-cyclique) — Cov=-0.000006, Var(idx)=0.000074, ρ=-0.019,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σ_j=3.83%/j (Modérée) — Vol. annualisée≈60.8%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1,990</w:t>
            </w:r>
          </w:p>
        </w:tc>
        <w:tc>
          <w:tcPr>
            <w:tcW w:type="dxa" w:w="1440"/>
            <w:shd w:fill="FAFAFA" w:val="clear"/>
          </w:tcPr>
          <w:p>
            <w:r>
              <w:rPr>
                <w:b/>
                <w:sz w:val="17"/>
              </w:rPr>
              <w:t>2,137</w:t>
            </w:r>
          </w:p>
        </w:tc>
        <w:tc>
          <w:tcPr>
            <w:tcW w:type="dxa" w:w="1440"/>
            <w:shd w:fill="FAFAFA" w:val="clear"/>
          </w:tcPr>
          <w:p>
            <w:r>
              <w:rPr>
                <w:sz w:val="17"/>
              </w:rPr>
              <w:t>2,285</w:t>
            </w:r>
          </w:p>
        </w:tc>
        <w:tc>
          <w:tcPr>
            <w:tcW w:type="dxa" w:w="1440"/>
            <w:shd w:fill="FAFAFA" w:val="clear"/>
          </w:tcPr>
          <w:p>
            <w:r>
              <w:rPr>
                <w:b/>
                <w:color w:val="008000"/>
                <w:sz w:val="17"/>
              </w:rPr>
              <w:t>+1.3%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1,927</w:t>
            </w:r>
          </w:p>
        </w:tc>
        <w:tc>
          <w:tcPr>
            <w:tcW w:type="dxa" w:w="1440"/>
            <w:shd w:fill="FAFAFA" w:val="clear"/>
          </w:tcPr>
          <w:p>
            <w:r>
              <w:rPr>
                <w:b/>
                <w:sz w:val="17"/>
              </w:rPr>
              <w:t>2,136</w:t>
            </w:r>
          </w:p>
        </w:tc>
        <w:tc>
          <w:tcPr>
            <w:tcW w:type="dxa" w:w="1440"/>
            <w:shd w:fill="FAFAFA" w:val="clear"/>
          </w:tcPr>
          <w:p>
            <w:r>
              <w:rPr>
                <w:sz w:val="17"/>
              </w:rPr>
              <w:t>2,345</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1,880</w:t>
            </w:r>
          </w:p>
        </w:tc>
        <w:tc>
          <w:tcPr>
            <w:tcW w:type="dxa" w:w="1440"/>
            <w:shd w:fill="FAFAFA" w:val="clear"/>
          </w:tcPr>
          <w:p>
            <w:r>
              <w:rPr>
                <w:b/>
                <w:sz w:val="17"/>
              </w:rPr>
              <w:t>2,136</w:t>
            </w:r>
          </w:p>
        </w:tc>
        <w:tc>
          <w:tcPr>
            <w:tcW w:type="dxa" w:w="1440"/>
            <w:shd w:fill="FAFAFA" w:val="clear"/>
          </w:tcPr>
          <w:p>
            <w:r>
              <w:rPr>
                <w:sz w:val="17"/>
              </w:rPr>
              <w:t>2,392</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1,841</w:t>
            </w:r>
          </w:p>
        </w:tc>
        <w:tc>
          <w:tcPr>
            <w:tcW w:type="dxa" w:w="1440"/>
            <w:shd w:fill="FAFAFA" w:val="clear"/>
          </w:tcPr>
          <w:p>
            <w:r>
              <w:rPr>
                <w:b/>
                <w:sz w:val="17"/>
              </w:rPr>
              <w:t>2,136</w:t>
            </w:r>
          </w:p>
        </w:tc>
        <w:tc>
          <w:tcPr>
            <w:tcW w:type="dxa" w:w="1440"/>
            <w:shd w:fill="FAFAFA" w:val="clear"/>
          </w:tcPr>
          <w:p>
            <w:r>
              <w:rPr>
                <w:sz w:val="17"/>
              </w:rPr>
              <w:t>2,432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1,807</w:t>
            </w:r>
          </w:p>
        </w:tc>
        <w:tc>
          <w:tcPr>
            <w:tcW w:type="dxa" w:w="1440"/>
            <w:shd w:fill="FAFAFA" w:val="clear"/>
          </w:tcPr>
          <w:p>
            <w:r>
              <w:rPr>
                <w:b/>
                <w:sz w:val="17"/>
              </w:rPr>
              <w:t>2,137</w:t>
            </w:r>
          </w:p>
        </w:tc>
        <w:tc>
          <w:tcPr>
            <w:tcW w:type="dxa" w:w="1440"/>
            <w:shd w:fill="FAFAFA" w:val="clear"/>
          </w:tcPr>
          <w:p>
            <w:r>
              <w:rPr>
                <w:sz w:val="17"/>
              </w:rPr>
              <w:t>2,468</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1,775</w:t>
            </w:r>
          </w:p>
        </w:tc>
        <w:tc>
          <w:tcPr>
            <w:tcW w:type="dxa" w:w="1440"/>
            <w:shd w:fill="FAFAFA" w:val="clear"/>
          </w:tcPr>
          <w:p>
            <w:r>
              <w:rPr>
                <w:b/>
                <w:sz w:val="17"/>
              </w:rPr>
              <w:t>2,138</w:t>
            </w:r>
          </w:p>
        </w:tc>
        <w:tc>
          <w:tcPr>
            <w:tcW w:type="dxa" w:w="1440"/>
            <w:shd w:fill="FAFAFA" w:val="clear"/>
          </w:tcPr>
          <w:p>
            <w:r>
              <w:rPr>
                <w:sz w:val="17"/>
              </w:rPr>
              <w:t>2,500</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1,747</w:t>
            </w:r>
          </w:p>
        </w:tc>
        <w:tc>
          <w:tcPr>
            <w:tcW w:type="dxa" w:w="1440"/>
            <w:shd w:fill="FAFAFA" w:val="clear"/>
          </w:tcPr>
          <w:p>
            <w:r>
              <w:rPr>
                <w:b/>
                <w:sz w:val="17"/>
              </w:rPr>
              <w:t>2,138</w:t>
            </w:r>
          </w:p>
        </w:tc>
        <w:tc>
          <w:tcPr>
            <w:tcW w:type="dxa" w:w="1440"/>
            <w:shd w:fill="FAFAFA" w:val="clear"/>
          </w:tcPr>
          <w:p>
            <w:r>
              <w:rPr>
                <w:sz w:val="17"/>
              </w:rPr>
              <w:t>2,529</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1,720</w:t>
            </w:r>
          </w:p>
        </w:tc>
        <w:tc>
          <w:tcPr>
            <w:tcW w:type="dxa" w:w="1440"/>
            <w:shd w:fill="FAFAFA" w:val="clear"/>
          </w:tcPr>
          <w:p>
            <w:r>
              <w:rPr>
                <w:b/>
                <w:sz w:val="17"/>
              </w:rPr>
              <w:t>2,138</w:t>
            </w:r>
          </w:p>
        </w:tc>
        <w:tc>
          <w:tcPr>
            <w:tcW w:type="dxa" w:w="1440"/>
            <w:shd w:fill="FAFAFA" w:val="clear"/>
          </w:tcPr>
          <w:p>
            <w:r>
              <w:rPr>
                <w:sz w:val="17"/>
              </w:rPr>
              <w:t>2,557</w:t>
            </w:r>
          </w:p>
        </w:tc>
        <w:tc>
          <w:tcPr>
            <w:tcW w:type="dxa" w:w="1440"/>
            <w:shd w:fill="FAFAFA" w:val="clear"/>
          </w:tcPr>
          <w:p>
            <w:r>
              <w:rPr>
                <w:b/>
                <w:color w:val="008000"/>
                <w:sz w:val="17"/>
              </w:rPr>
              <w:t>+1.3%</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1,695</w:t>
            </w:r>
          </w:p>
        </w:tc>
        <w:tc>
          <w:tcPr>
            <w:tcW w:type="dxa" w:w="1440"/>
            <w:shd w:fill="FAFAFA" w:val="clear"/>
          </w:tcPr>
          <w:p>
            <w:r>
              <w:rPr>
                <w:b/>
                <w:sz w:val="17"/>
              </w:rPr>
              <w:t>2,139</w:t>
            </w:r>
          </w:p>
        </w:tc>
        <w:tc>
          <w:tcPr>
            <w:tcW w:type="dxa" w:w="1440"/>
            <w:shd w:fill="FAFAFA" w:val="clear"/>
          </w:tcPr>
          <w:p>
            <w:r>
              <w:rPr>
                <w:sz w:val="17"/>
              </w:rPr>
              <w:t>2,582</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1,671</w:t>
            </w:r>
          </w:p>
        </w:tc>
        <w:tc>
          <w:tcPr>
            <w:tcW w:type="dxa" w:w="1440"/>
            <w:shd w:fill="FAFAFA" w:val="clear"/>
          </w:tcPr>
          <w:p>
            <w:r>
              <w:rPr>
                <w:b/>
                <w:sz w:val="17"/>
              </w:rPr>
              <w:t>2,139</w:t>
            </w:r>
          </w:p>
        </w:tc>
        <w:tc>
          <w:tcPr>
            <w:tcW w:type="dxa" w:w="1440"/>
            <w:shd w:fill="FAFAFA" w:val="clear"/>
          </w:tcPr>
          <w:p>
            <w:r>
              <w:rPr>
                <w:sz w:val="17"/>
              </w:rPr>
              <w:t>2,607</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ACTION STAC (SETAO)</w:t>
        <w:br/>
        <w:t>**Bourse Régionale des Valeurs Mobilières (BRVM) — Secteur BTP/Construction**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**28,36 milliards FCFA**, STAC se situe dans la catégorie des petites capitalisations de la BRVM, ce qui la rend vulnérable aux mouvements de faible amplitude et à une liquidité limitée. Le BPA s'établit à **-7 FCFA/action**, traduisant une société déficitaire qui ne génère aucune rentabilité par action. Le PER est logiquement **négatif (-293,7x)**, ce qui le rend ininterprétable en l'état — un PER négatif signifie simplement que l'entreprise détruit de la valeur et qu'aucun multiple de bénéfice ne peut justifier son cours. Le ratio P/B de **79,49x** est particulièrement alarmant : le marché valorise l'action à près de 80 fois sa valeur comptable, alors que la référence saine sur la BRVM se situe généralement sous 4x — cette prime extrême s'explique par des capitaux propres résiduels très faibles (356,75 M FCFA) face à une capitalisation démesurée, signalant une décorrélation totale entre le prix de marché et la réalité bilancielle. En l'absence d'EBITDA positif, le ratio EV/EBITDA n'est pas pertinent, l'EBE étant de **-650,13 M FCFA** en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-21,27%**, avec une chute de **-3,87% sur la dernière séance (J-1)**, confirmant une pression baissière persistante. Le cours actuel de **2 110 FCFA** évolue dans un range très large entre un plus haut de **3 640 FCFA** et un plus bas de **2 065 FCFA**, soit un écart de plus de 76% entre les extrêmes — signe d'une forte instabilité. La tendance générale est clairement **baissière**, le titre ayant perdu plus d'un cinquième de sa valeur en trois mois seulement. Les statistiques descriptives révèlent une **moyenne de 2 839 FCFA** légèrement supérieure à la **médiane de 2 808 FCFA**, avec un mode à 3 500 FCFA : cet écart modéré indique une distribution quasi-symétrique, confirmée par un **skewness de 0,137** (distribution symétrique). L'**écart-type de 435 FCFA** avec un **coefficient de variation de 15,3%** traduit une dispersion modérée autour de la moyenne, tandis que le **kurtosis de -0,860** (mésokurtique) suggère une distribution proche de la normale, sans risque excessif de pics extrêmes. La **volatilité annualisée de 60,8%** classe le titre dans la catégorie **très élevée** (&gt;30%), ce qui est cohérent avec la nature cyclique et spéculative du secteur BTP en Afrique de l'Ouest.</w:t>
      </w:r>
    </w:p>
    <w:p>
      <w:pPr>
        <w:spacing w:after="120" w:line="276" w:lineRule="auto"/>
      </w:pPr>
      <w:r>
        <w:t>---</w:t>
      </w:r>
    </w:p>
    <w:p>
      <w:pPr>
        <w:spacing w:after="120" w:line="276" w:lineRule="auto"/>
      </w:pPr>
      <w:r>
        <w:t>## PARTIE 2 : ANALYSE TECHNIQUE DÉTAILLÉE</w:t>
      </w:r>
    </w:p>
    <w:p>
      <w:pPr>
        <w:spacing w:after="120" w:line="276" w:lineRule="auto"/>
      </w:pPr>
      <w:r>
        <w:t>**Moyennes Mobiles** : La MM20 (2 258,25 FCFA) et la MM50 (2 491,5 FCFA) sont toutes deux supérieures au cours actuel (2 110 FCFA), et la MM20 est en dessous de la MM50, configurant une structure baissière classique (croisement baissier). Cette configuration justifie pleinement la **décision de Vente** émise par l'indicateur.</w:t>
      </w:r>
    </w:p>
    <w:p>
      <w:pPr>
        <w:spacing w:after="120" w:line="276" w:lineRule="auto"/>
      </w:pPr>
      <w:r>
        <w:t>**Bandes de Bollinger** : Le cours (2 110 FCFA) se situe dans la moitié inférieure de la bande, entre la borne inférieure (1 925,68 FCFA) et la borne supérieure (2 590,82 FCFA), sans toucher les extrêmes. Cette position médiane, couplée à une largeur de bande élevée, traduit une volatilité importante mais sans signal directionnel fort, d'où la **décision Neutre**.</w:t>
      </w:r>
    </w:p>
    <w:p>
      <w:pPr>
        <w:spacing w:after="120" w:line="276" w:lineRule="auto"/>
      </w:pPr>
      <w:r>
        <w:t>**MACD** : La valeur du MACD (-118,424) est légèrement supérieure à son signal (-122,154), générant un croisement haussier marginal. Cependant, les deux lignes restent profondément en territoire négatif, ce qui limite la portée de ce signal — la **décision d'Achat** doit être interprétée avec prudence comme un simple rebond technique potentiel.</w:t>
      </w:r>
    </w:p>
    <w:p>
      <w:pPr>
        <w:spacing w:after="120" w:line="276" w:lineRule="auto"/>
      </w:pPr>
      <w:r>
        <w:t>**RSI** : À **44,251**, le RSI se situe dans la zone neutre (30-70), sans signal de surachat ni de survente. Cette valeur médiane reflète l'absence de momentum clair, justifiant la **décision Neutre**.</w:t>
      </w:r>
    </w:p>
    <w:p>
      <w:pPr>
        <w:spacing w:after="120" w:line="276" w:lineRule="auto"/>
      </w:pPr>
      <w:r>
        <w:t>**Stochastique** : Le %K (14,286) est inférieur au %D (18,519), mais les deux se situent en zone de survente (&lt;20), ce qui génère un signal d'achat technique classique. Cette configuration suggère qu'un rebond à court terme est possible, justifiant la **décision d'Achat**.</w:t>
      </w:r>
    </w:p>
    <w:p>
      <w:pPr>
        <w:spacing w:after="120" w:line="276" w:lineRule="auto"/>
      </w:pPr>
      <w:r>
        <w:t>**Conclusion technique** : Les indicateurs sont **divergents** — les moyennes mobiles confirment la tendance baissière de fond, tandis que le MACD et le stochastique signalent un potentiel rebond technique à court terme. Le RSI et les Bollinger restent neutres. Cette configuration suggère une possible stabilisation autour de 2 100 FCFA, mais la tendance de fond reste clairement négative tant que le cours n'aura pas reconquis la MM20 (2 258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STAC a réalisé un chiffre d'affaires de **3,878 milliards FCFA**, en croissance spectaculaire de **+116,26%** par rapport à 2024 (1,793 Md FCFA), portée par la reprise des travaux de l'aéroport d'Abidjan. Cependant, cette dynamique commerciale ne se traduit pas en rentabilité : le **résultat net est négatif à -96,56 M FCFA**, la **marge nette s'établit à -2,49%**, et le **ROE est de -27,07%** (très loin du seuil de 15% considéré comme excellent), tandis que le **ROA est de -1,77%**. La **valeur ajoutée (154,19 M FCFA)** est positive mais faible, et l'**EBE est lourdement déficitaire à -650,13 M FCFA**, révélant une structure de coûts inadaptée au niveau d'activité. Le **BFR est négatif à -930,47 M FCFA** (favorable pour la trésorerie), et la **trésorerie nette atteint 1,330 Md FCFA**, ce qui constitue un coussin de sécurité. Toutefois, la **structure financière est très fragile** : l'**autonomie financière n'est que de 6,55%** (très en dessous du seuil sain de 30%), le **ratio d'endettement atteint 93,45%**, et la **capacité de remboursement est de 77,53 années** de CAF — un niveau insoutenable. Le **flux opérationnel est négatif à -2,212 Mds FCFA**, confirmant que l'activité consomme du cash malgré la croissance du CA.</w:t>
      </w:r>
    </w:p>
    <w:p>
      <w:pPr>
        <w:spacing w:after="120" w:line="276" w:lineRule="auto"/>
      </w:pPr>
      <w:r>
        <w:t>**Estimations basées sur les rapports trimestriels** : Le rapport du **3ème trimestre 2025 (30/09/2025)** indique un CA cumulé de **3 456 M FCFA** (+176% sur 9 mois) et une perte nette réduite de 22% à **-477 M FCFA**, avec une perte d'exploitation en amélioration de 50% (-456 M FCFA). La direction maintient sa prévision de CA annuel à **4 milliards FCFA**, ce qui implique un T4 très faible (~544 M FCFA). Le rapport du **1er semestre 2025 (30/06/2025)** faisait état d'un CA de **2 271 M FCFA** (+290%) mais d'une perte nette aggravée de 77% à **-557 M FCFA**, soulignant que la croissance ne s'accompagnait pas encore d'économies d'échelle suffisantes. Les rapports antérieurs (2024) confirment l'effondrement du CA à **1 793 M FCFA** (-80,6%) et une perte nette de **-348 M FCFA**, avec des capitaux propres tombés à **453 M FCFA** (6,1% du bilan). **On estime** que l'exercice 2026 devrait bénéficier de la poursuite du chantier aéroportuaire, mais la rentabilité opérationnelle reste hors de portée à court terme, et la dépendance à un seul projet constitue un risque majeur.</w:t>
      </w:r>
    </w:p>
    <w:p>
      <w:pPr>
        <w:spacing w:after="120" w:line="276" w:lineRule="auto"/>
      </w:pPr>
      <w:r>
        <w:t>**Recommandation fondamentale** : La société est **structurellement fragile** — croissance du CA sans rentabilité, capitaux propres quasi-érodés, endettement massif et dépendance à un projet unique. Le redressement passe impérativement par la sécurisation de nouveaux contrats et une refonte de la structure de coûts. **Risque élevé, perspectives incertaines.**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signaux. La **valorisation (Partie 0)** est aberrante : PER négatif, P/B de 79,49x (vs référence &lt;4x) — le marché valorise STAC à un niveau totalement déconnecté de ses fondamentaux, ce qui constitue un signal de **surévaluation extrême**. Le **comportement du cours (Partie 1)** est baissier (-21,27% sur 100 jours), avec une volatilité très élevée (60,8%) et une distribution symétrique sans biais haussier — les statistiques ne plaident pas pour un retournement imminent. Les **signaux techniques (Partie 2)** sont mitigés : les moyennes mobiles confirment la tendance baissière, mais le MACD et le stochastique suggèrent un rebond technique fragile, sans convergence forte. Les **fondamentaux (Partie 3)** sont alarmants : malgré une croissance du CA de +116% en 2025, la société reste déficitaire (résultat net -96,56 M FCFA), avec un ROE de -27,07%, une autonomie financière de 6,55% et une capacité de remboursement de 77,53 années — la survie à moyen terme dépend de la poursuite du chantier aéroportuaire et de l'absence de choc exogène. Les **prédictions IA (J+1 à J+10)** anticipent une stabilisation autour de **2 136-2 137 FCFA**, soit une légère hausse de +1,2% par rapport au cours actuel (2 110 FCFA), ce qui **contredit partiellement** les signaux baissiers en suggérant un plancher technique à court terme.</w:t>
      </w:r>
    </w:p>
    <w:p>
      <w:pPr>
        <w:spacing w:after="120" w:line="276" w:lineRule="auto"/>
      </w:pPr>
      <w:r>
        <w:t>**Recommandation finale : VENTE** (avec possibilité de **VENTE FORTE** pour les investisseurs averses au risque). Cette recommandation se justifie par la **convergence négative** entre une valorisation démesurée (P/B 79,49x), des fondamentaux dégradés (ROE -27%, endettement 93,45%), et une tendance baissière persistante (-21,27%), malgré un rebond technique marginal et des prédictions IA légèrement haussières qui ne suffisent pas à inverser la tendance de fond. Le **niveau de confiance est Élevé** dans cette recommandation de vente, car tous les indicateurs fondamentaux et de valorisation pointent dans la même direction négative. Le **niveau de risque global est Élevé** : volatilité de 60,8%, dépendance à un projet unique, structure financière fragile et absence de dividendes. L'**horizon d'investissement optimal** est **court terme (&lt;3 mois)** pour les spéculateurs cherchant à profiter du rebond technique vers 2 136 FCFA, mais **tout investissement long terme est déconseillé** tant que la société n'aura pas démontré sa capacité à générer une rentabilité opérationnelle durable et à renforcer ses capitaux propres.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382.44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3,598 titres</w:t>
            </w:r>
          </w:p>
        </w:tc>
        <w:tc>
          <w:tcPr>
            <w:tcW w:type="dxa" w:w="2268"/>
            <w:shd w:fill="FFF2CC" w:val="clear"/>
          </w:tcPr>
          <w:p>
            <w:r>
              <w:rPr>
                <w:b/>
                <w:color w:val="503200"/>
                <w:sz w:val="16"/>
              </w:rPr>
              <w:t xml:space="preserve">Cours actuel : </w:t>
            </w:r>
            <w:r>
              <w:rPr>
                <w:color w:val="000000"/>
                <w:sz w:val="17"/>
              </w:rPr>
              <w:t>21,300 FCFA</w:t>
            </w:r>
          </w:p>
          <w:p>
            <w:r>
              <w:rPr>
                <w:b/>
                <w:color w:val="503200"/>
                <w:sz w:val="16"/>
              </w:rPr>
              <w:t xml:space="preserve">Var. 100 jours : </w:t>
            </w:r>
            <w:r>
              <w:rPr>
                <w:b/>
                <w:color w:val="007800"/>
                <w:sz w:val="17"/>
              </w:rPr>
              <w:t>+1.43%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4.92% (Faible) — μ=22,567 FCFA, σ=1,111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β=0.4411 (Défensif) — Cov=0.000033, Var(idx)=0.000074, ρ=0.163,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2026-10-12</w:t>
            </w:r>
          </w:p>
        </w:tc>
        <w:tc>
          <w:tcPr>
            <w:tcW w:type="dxa" w:w="1440"/>
            <w:shd w:fill="C6EFCE" w:val="clear"/>
          </w:tcPr>
          <w:p>
            <w:r>
              <w:rPr>
                <w:sz w:val="17"/>
              </w:rPr>
              <w:t>21,492</w:t>
            </w:r>
          </w:p>
        </w:tc>
        <w:tc>
          <w:tcPr>
            <w:tcW w:type="dxa" w:w="1440"/>
            <w:shd w:fill="C6EFCE" w:val="clear"/>
          </w:tcPr>
          <w:p>
            <w:r>
              <w:rPr>
                <w:b/>
                <w:sz w:val="17"/>
              </w:rPr>
              <w:t>22,102</w:t>
            </w:r>
          </w:p>
        </w:tc>
        <w:tc>
          <w:tcPr>
            <w:tcW w:type="dxa" w:w="1440"/>
            <w:shd w:fill="C6EFCE" w:val="clear"/>
          </w:tcPr>
          <w:p>
            <w:r>
              <w:rPr>
                <w:sz w:val="17"/>
              </w:rPr>
              <w:t>22,713</w:t>
            </w:r>
          </w:p>
        </w:tc>
        <w:tc>
          <w:tcPr>
            <w:tcW w:type="dxa" w:w="1440"/>
            <w:shd w:fill="C6EFCE" w:val="clear"/>
          </w:tcPr>
          <w:p>
            <w:r>
              <w:rPr>
                <w:b/>
                <w:color w:val="008000"/>
                <w:sz w:val="17"/>
              </w:rPr>
              <w:t>+3.8%</w:t>
            </w:r>
          </w:p>
        </w:tc>
      </w:tr>
      <w:tr>
        <w:tc>
          <w:tcPr>
            <w:tcW w:type="dxa" w:w="1440"/>
            <w:shd w:fill="C6EFCE" w:val="clear"/>
          </w:tcPr>
          <w:p>
            <w:r>
              <w:rPr>
                <w:sz w:val="17"/>
              </w:rPr>
              <w:t>J+2  Moyenne</w:t>
            </w:r>
          </w:p>
        </w:tc>
        <w:tc>
          <w:tcPr>
            <w:tcW w:type="dxa" w:w="1440"/>
            <w:shd w:fill="C6EFCE" w:val="clear"/>
          </w:tcPr>
          <w:p>
            <w:r>
              <w:rPr>
                <w:sz w:val="17"/>
              </w:rPr>
              <w:t>2026-10-13</w:t>
            </w:r>
          </w:p>
        </w:tc>
        <w:tc>
          <w:tcPr>
            <w:tcW w:type="dxa" w:w="1440"/>
            <w:shd w:fill="C6EFCE" w:val="clear"/>
          </w:tcPr>
          <w:p>
            <w:r>
              <w:rPr>
                <w:sz w:val="17"/>
              </w:rPr>
              <w:t>21,503</w:t>
            </w:r>
          </w:p>
        </w:tc>
        <w:tc>
          <w:tcPr>
            <w:tcW w:type="dxa" w:w="1440"/>
            <w:shd w:fill="C6EFCE" w:val="clear"/>
          </w:tcPr>
          <w:p>
            <w:r>
              <w:rPr>
                <w:b/>
                <w:sz w:val="17"/>
              </w:rPr>
              <w:t>22,377</w:t>
            </w:r>
          </w:p>
        </w:tc>
        <w:tc>
          <w:tcPr>
            <w:tcW w:type="dxa" w:w="1440"/>
            <w:shd w:fill="C6EFCE" w:val="clear"/>
          </w:tcPr>
          <w:p>
            <w:r>
              <w:rPr>
                <w:sz w:val="17"/>
              </w:rPr>
              <w:t>23,252</w:t>
            </w:r>
          </w:p>
        </w:tc>
        <w:tc>
          <w:tcPr>
            <w:tcW w:type="dxa" w:w="1440"/>
            <w:shd w:fill="C6EFCE" w:val="clear"/>
          </w:tcPr>
          <w:p>
            <w:r>
              <w:rPr>
                <w:b/>
                <w:color w:val="008000"/>
                <w:sz w:val="17"/>
              </w:rPr>
              <w:t>+5.1%</w:t>
            </w:r>
          </w:p>
        </w:tc>
      </w:tr>
      <w:tr>
        <w:tc>
          <w:tcPr>
            <w:tcW w:type="dxa" w:w="1440"/>
            <w:shd w:fill="C6EFCE" w:val="clear"/>
          </w:tcPr>
          <w:p>
            <w:r>
              <w:rPr>
                <w:sz w:val="17"/>
              </w:rPr>
              <w:t>J+3  ⭐</w:t>
            </w:r>
          </w:p>
        </w:tc>
        <w:tc>
          <w:tcPr>
            <w:tcW w:type="dxa" w:w="1440"/>
            <w:shd w:fill="C6EFCE" w:val="clear"/>
          </w:tcPr>
          <w:p>
            <w:r>
              <w:rPr>
                <w:sz w:val="17"/>
              </w:rPr>
              <w:t>2026-10-14</w:t>
            </w:r>
          </w:p>
        </w:tc>
        <w:tc>
          <w:tcPr>
            <w:tcW w:type="dxa" w:w="1440"/>
            <w:shd w:fill="C6EFCE" w:val="clear"/>
          </w:tcPr>
          <w:p>
            <w:r>
              <w:rPr>
                <w:sz w:val="17"/>
              </w:rPr>
              <w:t>21,670</w:t>
            </w:r>
          </w:p>
        </w:tc>
        <w:tc>
          <w:tcPr>
            <w:tcW w:type="dxa" w:w="1440"/>
            <w:shd w:fill="C6EFCE" w:val="clear"/>
          </w:tcPr>
          <w:p>
            <w:r>
              <w:rPr>
                <w:b/>
                <w:sz w:val="17"/>
              </w:rPr>
              <w:t>22,759</w:t>
            </w:r>
          </w:p>
        </w:tc>
        <w:tc>
          <w:tcPr>
            <w:tcW w:type="dxa" w:w="1440"/>
            <w:shd w:fill="C6EFCE" w:val="clear"/>
          </w:tcPr>
          <w:p>
            <w:r>
              <w:rPr>
                <w:sz w:val="17"/>
              </w:rPr>
              <w:t>23,848</w:t>
            </w:r>
          </w:p>
        </w:tc>
        <w:tc>
          <w:tcPr>
            <w:tcW w:type="dxa" w:w="1440"/>
            <w:shd w:fill="C6EFCE" w:val="clear"/>
          </w:tcPr>
          <w:p>
            <w:r>
              <w:rPr>
                <w:b/>
                <w:color w:val="008000"/>
                <w:sz w:val="17"/>
              </w:rPr>
              <w:t>+6.9%</w:t>
            </w:r>
          </w:p>
        </w:tc>
      </w:tr>
      <w:tr>
        <w:tc>
          <w:tcPr>
            <w:tcW w:type="dxa" w:w="1440"/>
            <w:shd w:fill="C6EFCE" w:val="clear"/>
          </w:tcPr>
          <w:p>
            <w:r>
              <w:rPr>
                <w:sz w:val="17"/>
              </w:rPr>
              <w:t>J+4  ⭐</w:t>
            </w:r>
          </w:p>
        </w:tc>
        <w:tc>
          <w:tcPr>
            <w:tcW w:type="dxa" w:w="1440"/>
            <w:shd w:fill="C6EFCE" w:val="clear"/>
          </w:tcPr>
          <w:p>
            <w:r>
              <w:rPr>
                <w:sz w:val="17"/>
              </w:rPr>
              <w:t>2026-10-15</w:t>
            </w:r>
          </w:p>
        </w:tc>
        <w:tc>
          <w:tcPr>
            <w:tcW w:type="dxa" w:w="1440"/>
            <w:shd w:fill="C6EFCE" w:val="clear"/>
          </w:tcPr>
          <w:p>
            <w:r>
              <w:rPr>
                <w:sz w:val="17"/>
              </w:rPr>
              <w:t>21,756</w:t>
            </w:r>
          </w:p>
        </w:tc>
        <w:tc>
          <w:tcPr>
            <w:tcW w:type="dxa" w:w="1440"/>
            <w:shd w:fill="C6EFCE" w:val="clear"/>
          </w:tcPr>
          <w:p>
            <w:r>
              <w:rPr>
                <w:b/>
                <w:sz w:val="17"/>
              </w:rPr>
              <w:t>23,028</w:t>
            </w:r>
          </w:p>
        </w:tc>
        <w:tc>
          <w:tcPr>
            <w:tcW w:type="dxa" w:w="1440"/>
            <w:shd w:fill="C6EFCE" w:val="clear"/>
          </w:tcPr>
          <w:p>
            <w:r>
              <w:rPr>
                <w:sz w:val="17"/>
              </w:rPr>
              <w:t>24,301</w:t>
            </w:r>
          </w:p>
        </w:tc>
        <w:tc>
          <w:tcPr>
            <w:tcW w:type="dxa" w:w="1440"/>
            <w:shd w:fill="C6EFCE" w:val="clear"/>
          </w:tcPr>
          <w:p>
            <w:r>
              <w:rPr>
                <w:b/>
                <w:color w:val="008000"/>
                <w:sz w:val="17"/>
              </w:rPr>
              <w:t>+8.1%</w:t>
            </w:r>
          </w:p>
        </w:tc>
      </w:tr>
      <w:tr>
        <w:tc>
          <w:tcPr>
            <w:tcW w:type="dxa" w:w="1440"/>
            <w:shd w:fill="C6EFCE" w:val="clear"/>
          </w:tcPr>
          <w:p>
            <w:r>
              <w:rPr>
                <w:sz w:val="17"/>
              </w:rPr>
              <w:t>J+5  ⭐</w:t>
            </w:r>
          </w:p>
        </w:tc>
        <w:tc>
          <w:tcPr>
            <w:tcW w:type="dxa" w:w="1440"/>
            <w:shd w:fill="C6EFCE" w:val="clear"/>
          </w:tcPr>
          <w:p>
            <w:r>
              <w:rPr>
                <w:sz w:val="17"/>
              </w:rPr>
              <w:t>2026-10-16</w:t>
            </w:r>
          </w:p>
        </w:tc>
        <w:tc>
          <w:tcPr>
            <w:tcW w:type="dxa" w:w="1440"/>
            <w:shd w:fill="C6EFCE" w:val="clear"/>
          </w:tcPr>
          <w:p>
            <w:r>
              <w:rPr>
                <w:sz w:val="17"/>
              </w:rPr>
              <w:t>21,848</w:t>
            </w:r>
          </w:p>
        </w:tc>
        <w:tc>
          <w:tcPr>
            <w:tcW w:type="dxa" w:w="1440"/>
            <w:shd w:fill="C6EFCE" w:val="clear"/>
          </w:tcPr>
          <w:p>
            <w:r>
              <w:rPr>
                <w:b/>
                <w:sz w:val="17"/>
              </w:rPr>
              <w:t>23,287</w:t>
            </w:r>
          </w:p>
        </w:tc>
        <w:tc>
          <w:tcPr>
            <w:tcW w:type="dxa" w:w="1440"/>
            <w:shd w:fill="C6EFCE" w:val="clear"/>
          </w:tcPr>
          <w:p>
            <w:r>
              <w:rPr>
                <w:sz w:val="17"/>
              </w:rPr>
              <w:t>24,725</w:t>
            </w:r>
          </w:p>
        </w:tc>
        <w:tc>
          <w:tcPr>
            <w:tcW w:type="dxa" w:w="1440"/>
            <w:shd w:fill="C6EFCE" w:val="clear"/>
          </w:tcPr>
          <w:p>
            <w:r>
              <w:rPr>
                <w:b/>
                <w:color w:val="008000"/>
                <w:sz w:val="17"/>
              </w:rPr>
              <w:t>+9.3%</w:t>
            </w:r>
          </w:p>
        </w:tc>
      </w:tr>
      <w:tr>
        <w:tc>
          <w:tcPr>
            <w:tcW w:type="dxa" w:w="1440"/>
            <w:shd w:fill="C6EFCE" w:val="clear"/>
          </w:tcPr>
          <w:p>
            <w:r>
              <w:rPr>
                <w:sz w:val="17"/>
              </w:rPr>
              <w:t>J+6  ⭐</w:t>
            </w:r>
          </w:p>
        </w:tc>
        <w:tc>
          <w:tcPr>
            <w:tcW w:type="dxa" w:w="1440"/>
            <w:shd w:fill="C6EFCE" w:val="clear"/>
          </w:tcPr>
          <w:p>
            <w:r>
              <w:rPr>
                <w:sz w:val="17"/>
              </w:rPr>
              <w:t>2026-10-19</w:t>
            </w:r>
          </w:p>
        </w:tc>
        <w:tc>
          <w:tcPr>
            <w:tcW w:type="dxa" w:w="1440"/>
            <w:shd w:fill="C6EFCE" w:val="clear"/>
          </w:tcPr>
          <w:p>
            <w:r>
              <w:rPr>
                <w:sz w:val="17"/>
              </w:rPr>
              <w:t>21,918</w:t>
            </w:r>
          </w:p>
        </w:tc>
        <w:tc>
          <w:tcPr>
            <w:tcW w:type="dxa" w:w="1440"/>
            <w:shd w:fill="C6EFCE" w:val="clear"/>
          </w:tcPr>
          <w:p>
            <w:r>
              <w:rPr>
                <w:b/>
                <w:sz w:val="17"/>
              </w:rPr>
              <w:t>23,509</w:t>
            </w:r>
          </w:p>
        </w:tc>
        <w:tc>
          <w:tcPr>
            <w:tcW w:type="dxa" w:w="1440"/>
            <w:shd w:fill="C6EFCE" w:val="clear"/>
          </w:tcPr>
          <w:p>
            <w:r>
              <w:rPr>
                <w:sz w:val="17"/>
              </w:rPr>
              <w:t>25,100</w:t>
            </w:r>
          </w:p>
        </w:tc>
        <w:tc>
          <w:tcPr>
            <w:tcW w:type="dxa" w:w="1440"/>
            <w:shd w:fill="C6EFCE" w:val="clear"/>
          </w:tcPr>
          <w:p>
            <w:r>
              <w:rPr>
                <w:b/>
                <w:color w:val="008000"/>
                <w:sz w:val="17"/>
              </w:rPr>
              <w:t>+10.4%</w:t>
            </w:r>
          </w:p>
        </w:tc>
      </w:tr>
      <w:tr>
        <w:tc>
          <w:tcPr>
            <w:tcW w:type="dxa" w:w="1440"/>
            <w:shd w:fill="C6EFCE" w:val="clear"/>
          </w:tcPr>
          <w:p>
            <w:r>
              <w:rPr>
                <w:sz w:val="17"/>
              </w:rPr>
              <w:t>J+7  ⭐</w:t>
            </w:r>
          </w:p>
        </w:tc>
        <w:tc>
          <w:tcPr>
            <w:tcW w:type="dxa" w:w="1440"/>
            <w:shd w:fill="C6EFCE" w:val="clear"/>
          </w:tcPr>
          <w:p>
            <w:r>
              <w:rPr>
                <w:sz w:val="17"/>
              </w:rPr>
              <w:t>2026-10-20</w:t>
            </w:r>
          </w:p>
        </w:tc>
        <w:tc>
          <w:tcPr>
            <w:tcW w:type="dxa" w:w="1440"/>
            <w:shd w:fill="C6EFCE" w:val="clear"/>
          </w:tcPr>
          <w:p>
            <w:r>
              <w:rPr>
                <w:sz w:val="17"/>
              </w:rPr>
              <w:t>21,959</w:t>
            </w:r>
          </w:p>
        </w:tc>
        <w:tc>
          <w:tcPr>
            <w:tcW w:type="dxa" w:w="1440"/>
            <w:shd w:fill="C6EFCE" w:val="clear"/>
          </w:tcPr>
          <w:p>
            <w:r>
              <w:rPr>
                <w:b/>
                <w:sz w:val="17"/>
              </w:rPr>
              <w:t>23,691</w:t>
            </w:r>
          </w:p>
        </w:tc>
        <w:tc>
          <w:tcPr>
            <w:tcW w:type="dxa" w:w="1440"/>
            <w:shd w:fill="C6EFCE" w:val="clear"/>
          </w:tcPr>
          <w:p>
            <w:r>
              <w:rPr>
                <w:sz w:val="17"/>
              </w:rPr>
              <w:t>25,422</w:t>
            </w:r>
          </w:p>
        </w:tc>
        <w:tc>
          <w:tcPr>
            <w:tcW w:type="dxa" w:w="1440"/>
            <w:shd w:fill="C6EFCE" w:val="clear"/>
          </w:tcPr>
          <w:p>
            <w:r>
              <w:rPr>
                <w:b/>
                <w:color w:val="008000"/>
                <w:sz w:val="17"/>
              </w:rPr>
              <w:t>+11.2%</w:t>
            </w:r>
          </w:p>
        </w:tc>
      </w:tr>
      <w:tr>
        <w:tc>
          <w:tcPr>
            <w:tcW w:type="dxa" w:w="1440"/>
            <w:shd w:fill="C6EFCE" w:val="clear"/>
          </w:tcPr>
          <w:p>
            <w:r>
              <w:rPr>
                <w:sz w:val="17"/>
              </w:rPr>
              <w:t>J+8  ⭐</w:t>
            </w:r>
          </w:p>
        </w:tc>
        <w:tc>
          <w:tcPr>
            <w:tcW w:type="dxa" w:w="1440"/>
            <w:shd w:fill="C6EFCE" w:val="clear"/>
          </w:tcPr>
          <w:p>
            <w:r>
              <w:rPr>
                <w:sz w:val="17"/>
              </w:rPr>
              <w:t>2026-10-21</w:t>
            </w:r>
          </w:p>
        </w:tc>
        <w:tc>
          <w:tcPr>
            <w:tcW w:type="dxa" w:w="1440"/>
            <w:shd w:fill="C6EFCE" w:val="clear"/>
          </w:tcPr>
          <w:p>
            <w:r>
              <w:rPr>
                <w:sz w:val="17"/>
              </w:rPr>
              <w:t>21,978</w:t>
            </w:r>
          </w:p>
        </w:tc>
        <w:tc>
          <w:tcPr>
            <w:tcW w:type="dxa" w:w="1440"/>
            <w:shd w:fill="C6EFCE" w:val="clear"/>
          </w:tcPr>
          <w:p>
            <w:r>
              <w:rPr>
                <w:b/>
                <w:sz w:val="17"/>
              </w:rPr>
              <w:t>23,841</w:t>
            </w:r>
          </w:p>
        </w:tc>
        <w:tc>
          <w:tcPr>
            <w:tcW w:type="dxa" w:w="1440"/>
            <w:shd w:fill="C6EFCE" w:val="clear"/>
          </w:tcPr>
          <w:p>
            <w:r>
              <w:rPr>
                <w:sz w:val="17"/>
              </w:rPr>
              <w:t>25,703</w:t>
            </w:r>
          </w:p>
        </w:tc>
        <w:tc>
          <w:tcPr>
            <w:tcW w:type="dxa" w:w="1440"/>
            <w:shd w:fill="C6EFCE" w:val="clear"/>
          </w:tcPr>
          <w:p>
            <w:r>
              <w:rPr>
                <w:b/>
                <w:color w:val="008000"/>
                <w:sz w:val="17"/>
              </w:rPr>
              <w:t>+11.9%</w:t>
            </w:r>
          </w:p>
        </w:tc>
      </w:tr>
      <w:tr>
        <w:tc>
          <w:tcPr>
            <w:tcW w:type="dxa" w:w="1440"/>
            <w:shd w:fill="C6EFCE" w:val="clear"/>
          </w:tcPr>
          <w:p>
            <w:r>
              <w:rPr>
                <w:sz w:val="17"/>
              </w:rPr>
              <w:t>J+9  ⭐</w:t>
            </w:r>
          </w:p>
        </w:tc>
        <w:tc>
          <w:tcPr>
            <w:tcW w:type="dxa" w:w="1440"/>
            <w:shd w:fill="C6EFCE" w:val="clear"/>
          </w:tcPr>
          <w:p>
            <w:r>
              <w:rPr>
                <w:sz w:val="17"/>
              </w:rPr>
              <w:t>2026-10-22</w:t>
            </w:r>
          </w:p>
        </w:tc>
        <w:tc>
          <w:tcPr>
            <w:tcW w:type="dxa" w:w="1440"/>
            <w:shd w:fill="C6EFCE" w:val="clear"/>
          </w:tcPr>
          <w:p>
            <w:r>
              <w:rPr>
                <w:sz w:val="17"/>
              </w:rPr>
              <w:t>21,991</w:t>
            </w:r>
          </w:p>
        </w:tc>
        <w:tc>
          <w:tcPr>
            <w:tcW w:type="dxa" w:w="1440"/>
            <w:shd w:fill="C6EFCE" w:val="clear"/>
          </w:tcPr>
          <w:p>
            <w:r>
              <w:rPr>
                <w:b/>
                <w:sz w:val="17"/>
              </w:rPr>
              <w:t>23,978</w:t>
            </w:r>
          </w:p>
        </w:tc>
        <w:tc>
          <w:tcPr>
            <w:tcW w:type="dxa" w:w="1440"/>
            <w:shd w:fill="C6EFCE" w:val="clear"/>
          </w:tcPr>
          <w:p>
            <w:r>
              <w:rPr>
                <w:sz w:val="17"/>
              </w:rPr>
              <w:t>25,965</w:t>
            </w:r>
          </w:p>
        </w:tc>
        <w:tc>
          <w:tcPr>
            <w:tcW w:type="dxa" w:w="1440"/>
            <w:shd w:fill="C6EFCE" w:val="clear"/>
          </w:tcPr>
          <w:p>
            <w:r>
              <w:rPr>
                <w:b/>
                <w:color w:val="008000"/>
                <w:sz w:val="17"/>
              </w:rPr>
              <w:t>+12.6%</w:t>
            </w:r>
          </w:p>
        </w:tc>
      </w:tr>
      <w:tr>
        <w:tc>
          <w:tcPr>
            <w:tcW w:type="dxa" w:w="1440"/>
            <w:shd w:fill="C6EFCE" w:val="clear"/>
          </w:tcPr>
          <w:p>
            <w:r>
              <w:rPr>
                <w:sz w:val="17"/>
              </w:rPr>
              <w:t>J+10  ⭐</w:t>
            </w:r>
          </w:p>
        </w:tc>
        <w:tc>
          <w:tcPr>
            <w:tcW w:type="dxa" w:w="1440"/>
            <w:shd w:fill="C6EFCE" w:val="clear"/>
          </w:tcPr>
          <w:p>
            <w:r>
              <w:rPr>
                <w:sz w:val="17"/>
              </w:rPr>
              <w:t>2026-10-23</w:t>
            </w:r>
          </w:p>
        </w:tc>
        <w:tc>
          <w:tcPr>
            <w:tcW w:type="dxa" w:w="1440"/>
            <w:shd w:fill="C6EFCE" w:val="clear"/>
          </w:tcPr>
          <w:p>
            <w:r>
              <w:rPr>
                <w:sz w:val="17"/>
              </w:rPr>
              <w:t>21,994</w:t>
            </w:r>
          </w:p>
        </w:tc>
        <w:tc>
          <w:tcPr>
            <w:tcW w:type="dxa" w:w="1440"/>
            <w:shd w:fill="C6EFCE" w:val="clear"/>
          </w:tcPr>
          <w:p>
            <w:r>
              <w:rPr>
                <w:b/>
                <w:sz w:val="17"/>
              </w:rPr>
              <w:t>24,099</w:t>
            </w:r>
          </w:p>
        </w:tc>
        <w:tc>
          <w:tcPr>
            <w:tcW w:type="dxa" w:w="1440"/>
            <w:shd w:fill="C6EFCE" w:val="clear"/>
          </w:tcPr>
          <w:p>
            <w:r>
              <w:rPr>
                <w:sz w:val="17"/>
              </w:rPr>
              <w:t>26,204</w:t>
            </w:r>
          </w:p>
        </w:tc>
        <w:tc>
          <w:tcPr>
            <w:tcW w:type="dxa" w:w="1440"/>
            <w:shd w:fill="C6EFCE" w:val="clear"/>
          </w:tcPr>
          <w:p>
            <w:r>
              <w:rPr>
                <w:b/>
                <w:color w:val="008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382,44 milliards FCFA, STBC s'impose comme l'une des toutes premières capitalisations de la BRVM, ce qui en fait une valeur de premier plan, liquide et incontournable pour les investisseurs institutionnels de la zone UEMOA. Le BPA de 2 014 FCFA par action signifie que chaque titre génère un bénéfice net de plus de deux mille francs, ce qui, rapporté au cours actuel de 21 300 FCFA, donne un PER de 10,6x — un niveau modéré et parfaitement dans la fourchette moyenne du marché (8-12x), traduisant une valorisation raisonnable qui n'intègre pas de prime spéculative excessive. En revanche, le P/B de 8,44x constitue un signal d'alerte : le marché valorise la société à plus de huit fois sa valeur comptable, une prime très élevée qui s'explique par la structure atypique de SITAB (peu d'actifs immobilisés, capitaux propres modestes de 45,3 Mds FCFA face à une rentabilité exceptionnelle) mais qui laisse peu de marge de sécurité en cas de dégradation. Enfin, l'EV/EBITDA de 7,6x, situé dans la fourchette raisonnable de 5-10x, indique que la valeur totale de l'entreprise (incluant sa trésorerie nette positive) reste cohérente avec sa capacité opérationnelle à générer du cash, ce qui nuance le caractère exigeant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variation quasi nulle de +1,43%, mais la dernière séance (J-1) a enregistré un net repli de -1,82%, ramenant le cours à 21 300 FCFA, ce qui traduit une pression vendeuse de court terme. Le range de trading est relativement resserré, avec un plus haut à 25 000 FCFA et un plus bas à 20 895 FCFA, soit une amplitude d'environ 20% — le cours actuel se situe donc dans la partie basse de cette fourchette, à seulement 2% au-dessus de son plancher, ce qui suggère une tendance générale baissière sur la période malgré la variation totale légèrement positive. Les statistiques descriptives révèlent une moyenne de 22 567 FCFA supérieure à la médiane de 22 218 FCFA, avec un mode à 22 000 FCFA : cet écart entre moyenne et médiane, combiné à un skewness positif de 0,573, confirme une asymétrie positive de la distribution — le cours a passé plus de journées sous sa moyenne, avec quelques pics haussiers isolés tirant la moyenne vers le haut. L'écart-type de 1 116 FCFA et le coefficient de variation de 4,9% indiquent une dispersion modérée du cours autour de sa moyenne, tandis que le kurtosis de -0,703 (mésokurtique, proche d'une distribution normale) suggère l'absence de pics extrêmes ou de queues épaisses, donc un risque de mouvements violents relativement contenu. La volatilité annualisée de 36,7% positionne clairement STBC dans la catégorie des titres à volatilité élevée (&gt;30%), ce qui est cohérent avec la nature de valeur de rendement du titre, sensible aux annonces de dividendes et aux évolutions réglementaires du secteur du tabac.</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21 662 FCFA et la MM50 à 22 425 FCFA, toutes deux supérieures au cours actuel de 21 300 FCFA, ce qui place le titre en position baissière sous ses deux moyennes de référence. La MM20 étant elle-même inférieure à la MM50, on observe une configuration de croisement baissier (death cross) qui confirme la pression vendeuse de moyen terme. La décision technique qui en résulte est logiquement **Vente**, le cours n'ayant pas encore trouvé de support durable pour inverser cette dynamique.</w:t>
      </w:r>
    </w:p>
    <w:p>
      <w:pPr>
        <w:spacing w:after="120" w:line="276" w:lineRule="auto"/>
      </w:pPr>
      <w:r>
        <w:t>**Bandes de Bollinger** : Le cours actuel (21 300 FCFA) se situe dans la partie basse du canal, entre la borne inférieure à 20 944 FCFA et la borne supérieure à 22 381 FCFA, sans en avoir franchi les limites. Cette position médiane-basse, combinée à un rétrécissement apparent du canal, traduit une phase de consolidation à volatilité modérée. La décision est **Neutre**, le titre n'étant ni en situation de survente extrême (qui justifierait un rebond technique) ni en breakout haussier.</w:t>
      </w:r>
    </w:p>
    <w:p>
      <w:pPr>
        <w:spacing w:after="120" w:line="276" w:lineRule="auto"/>
      </w:pPr>
      <w:r>
        <w:t>**MACD** : Le MACD affiche une valeur de -190,212 contre un signal à -235,248, ce qui signifie que la ligne MACD est supérieure à sa ligne de signal — configuration haussière classique indiquant un momentum en amélioration, bien que les deux valeurs restent en territoire négatif. Cette divergence positive suggère que la pression baissière s'essouffle et qu'un retournement pourrait se préparer. La décision qui en découle est **Achat**, en anticipation d'un croisement haussier effectif.</w:t>
      </w:r>
    </w:p>
    <w:p>
      <w:pPr>
        <w:spacing w:after="120" w:line="276" w:lineRule="auto"/>
      </w:pPr>
      <w:r>
        <w:t>**RSI** : À 39,203, le RSI se situe dans la zone neutre basse (30-70), sans atteindre le seuil de survente de 30 qui déclencherait un signal d'achat agressif. Cette valeur indique que le titre n'est ni suracheté ni survendu, mais penche légèrement vers la faiblesse, ce qui est cohérent avec la tendance baissière récente. La décision est **Neutre**, le RSI n'offrant pas de signal directionnel clair.</w:t>
      </w:r>
    </w:p>
    <w:p>
      <w:pPr>
        <w:spacing w:after="120" w:line="276" w:lineRule="auto"/>
      </w:pPr>
      <w:r>
        <w:t>**Stochastique** : Le %K à 37,5 est nettement inférieur au %D à 64,198, configuration baissière caractéristique d'un croisement à la baisse du stochastique, avec le %K qui décroche sous sa moyenne mobile. Cette divergence négative suggère que la pression vendeuse pourrait se poursuivre à court terme, bien que le %K ne soit pas encore en zone de survente (&lt;20). La décision est **Neutre**, le signal baissier étant modéré.</w:t>
      </w:r>
    </w:p>
    <w:p>
      <w:pPr>
        <w:spacing w:after="120" w:line="276" w:lineRule="auto"/>
      </w:pPr>
      <w:r>
        <w:t>**Conclusion technique** : Les indicateurs techniques présentent un tableau mitigé et divergent. Les moyennes mobiles (Vente) et le stochastique (Neutre baissier) plaident pour la prudence à court terme, tandis que le MACD (Achat) et les Bandes de Bollinger (Neutre) suggèrent qu'un retournement pourrait se préparer. Le RSI neutre à 39,2 confirme l'absence de signal extrême. Dans l'ensemble, le titre se trouve dans une phase de consolidation baissière modérée, avec un potentiel de rebond technique à surveiller mais sans confirmation franche — la prudence reste de mise tant que le cours n'aura pas reconquis sa MM20 (21 662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annuels de SITAB (exercice clos le 31 décembre 2025, analysés par DEEPSEEK le 26/06/2026 et par MISTRAL le 15/03/2026) révèlent une situation contrastée : le chiffre d'affaires s'établit à 268,537 milliards FCFA, en forte croissance de +25,3% par rapport à 2024, porté par une hausse des volumes de +5,6% et un effet prix favorable. Cependant, le résultat net recule à 36,158 milliards FCFA (-17,5% vs 44,2 Mds en 2024), sous l'effet de la hausse des droits d'accises (passés de 49% à 70% en janvier 2025) et d'un contrôle fiscal ayant alourdi les charges. La rentabilité reste néanmoins exceptionnelle : le ROE atteint 79,75% (résultat net / capitaux propres de 45,337 Mds FCFA) et le ROA 48,09%, des niveaux très supérieurs aux standards du marché, tandis que la marge nette se maintient à 13,46% (contre 20,4% en 2024). En tant qu'entreprise commerciale (distribution de tabac), SITAB affiche un BFR de 5,639 Mds FCFA et un fonds de roulement de 36,403 Mds FCFA, avec un délai clients de 42,57 jours (modéré) et une durée de stockage très faible de 5,73 jours, témoignant d'une rotation rapide des marchandises. La structure financière est remarquablement saine : autonomie financière de 60,3%, endettement financier quasi nul (1,4 M FCFA), liquidité générale de 225% et trésorerie nette de 30,763 Mds FCFA, bien qu'en baisse de 36% sur un an en raison du versement massif de dividendes (38,1 Mds FCFA, soit un payout ratio de 105% — non soutenable à long terme). Les rapports trimestriels 2026 confirment une stabilisation : le T1 2026 (rapport du 31/03/2026) affiche un CA de 68,8 Mds FCFA (+12%) et un résultat net de 9,27 Mds FCFA (-1%), tandis que le T2 2026 (rapport du 30/06/2026) montre un CA de 70,05 Mds FCFA (+1%) et un résultat net de 8,64 Mds FCFA (-0,2%), avec une marge nette de 12,3%. Sur la base de ces tendances, on estime que l'exercice 2026 devrait clôturer avec un CA autour de 280-285 Mds FCFA et un résultat net de l'ordre de 36-38 Mds FCFA, confirmant la stabilisation de la rentabilité à un niveau élevé mais inférieur au pic de 2024. La recommandation fondamentale qui se dégage est **CONSERVER** : la solidité financière (zéro dette, trésorerie confortable, ROE exceptionnel) et le dividende attractif (1 940 FCFA/action, soit un rendement d'environ 9,1% au cours actuel) soutiennent la valeur, mais la dégradation des marges et la politique de distribution excessive incitent à la prudence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nuancée. Sur le plan de la **valorisation (Partie 0)**, le PER de 10,6x est raisonnable et l'EV/EBITDA de 7,6x cohérent, mais le P/B de 8,44x traduit une prime exigeante qui limite le potentiel de revalorisation à court terme — le titre n'est ni sous-évalué ni excessivement cher, mais il n'offre pas de marge de sécurité évidente. Le **comportement du cours (Partie 1)** est préoccupant : tendance baissière sous les moyennes mobiles, cours proche du plancher de 100 jours, skewness positif indiquant plus de journées faibles, et volatilité élevée de 36,7% — le kurtosis mésokurtique est le seul élément rassurant, écartant le risque de krach brutal. Les **signaux techniques (Partie 2)** sont divergents : le MACD haussier contredit les moyennes mobiles baissières et le stochastique négatif, créant une incertitude directionnelle qui plaide pour l'attente. Les **fondamentaux (Partie 3)** restent solides mais en dégradation : ROE de 79,75% et ROA de 48,09% en 2025, trésorerie de 30,8 Mds FCFA, zéro endettement, mais résultat net en baisse de 17,5% et payout ratio de 105% non soutenable — les rapports T1 et T2 2026 montrent une stabilisation à un niveau inférieur, ce qui est un signal mitigé. Les **prédictions IA (J+1 à J+10)** anticipent une trajectoire haussière de 22 102 FCFA (12/10) à 23 287 FCFA (16/10), soit un potentiel de +9,3% sur 5 séances, ce qui contredit la tendance baissière récente et les moyennes mobiles, mais s'aligne avec le signal d'achat du MACD. **Recommandation finale : CONSERVER**, avec un niveau de confiance **Moyen** et un risque global **Moyen**. La convergence partielle entre le MACD haussier, les prédictions IA optimistes et les fondamentaux solides (dividende attractif, zéro dette) justifie de ne pas vendre, mais la divergence avec les moyennes mobiles baissières, le P/B élevé et la dégradation des marges incite à ne pas acheter agressivement. L'horizon d'investissement optimal est le **moyen terme (3-12 mois)** , le temps que la société démontre sa capacité à stabiliser ses marges et que le cours reconquière ses moyennes mobiles — un renforcement pourra être envisagé si le titre franchit la MM20 (21 662 FCFA) avec confirmation des volumes, ou si le dividende 2026 se maintient à un niveau attractif.</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180.70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6,724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B40000"/>
                <w:sz w:val="17"/>
              </w:rPr>
              <w:t>-1.20%</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6.30% (Moyenne) — μ=3,023 FCFA, σ=191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β=0.1380 (Défensif) — Cov=0.000010, Var(idx)=0.000074, ρ=0.046,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2,786</w:t>
            </w:r>
          </w:p>
        </w:tc>
        <w:tc>
          <w:tcPr>
            <w:tcW w:type="dxa" w:w="1440"/>
            <w:shd w:fill="FAFAFA" w:val="clear"/>
          </w:tcPr>
          <w:p>
            <w:r>
              <w:rPr>
                <w:b/>
                <w:sz w:val="17"/>
              </w:rPr>
              <w:t>2,882</w:t>
            </w:r>
          </w:p>
        </w:tc>
        <w:tc>
          <w:tcPr>
            <w:tcW w:type="dxa" w:w="1440"/>
            <w:shd w:fill="FAFAFA" w:val="clear"/>
          </w:tcPr>
          <w:p>
            <w:r>
              <w:rPr>
                <w:sz w:val="17"/>
              </w:rPr>
              <w:t>2,978</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2,745</w:t>
            </w:r>
          </w:p>
        </w:tc>
        <w:tc>
          <w:tcPr>
            <w:tcW w:type="dxa" w:w="1440"/>
            <w:shd w:fill="FAFAFA" w:val="clear"/>
          </w:tcPr>
          <w:p>
            <w:r>
              <w:rPr>
                <w:b/>
                <w:sz w:val="17"/>
              </w:rPr>
              <w:t>2,880</w:t>
            </w:r>
          </w:p>
        </w:tc>
        <w:tc>
          <w:tcPr>
            <w:tcW w:type="dxa" w:w="1440"/>
            <w:shd w:fill="FAFAFA" w:val="clear"/>
          </w:tcPr>
          <w:p>
            <w:r>
              <w:rPr>
                <w:sz w:val="17"/>
              </w:rPr>
              <w:t>3,016</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2,716</w:t>
            </w:r>
          </w:p>
        </w:tc>
        <w:tc>
          <w:tcPr>
            <w:tcW w:type="dxa" w:w="1440"/>
            <w:shd w:fill="FAFAFA" w:val="clear"/>
          </w:tcPr>
          <w:p>
            <w:r>
              <w:rPr>
                <w:b/>
                <w:sz w:val="17"/>
              </w:rPr>
              <w:t>2,882</w:t>
            </w:r>
          </w:p>
        </w:tc>
        <w:tc>
          <w:tcPr>
            <w:tcW w:type="dxa" w:w="1440"/>
            <w:shd w:fill="FAFAFA" w:val="clear"/>
          </w:tcPr>
          <w:p>
            <w:r>
              <w:rPr>
                <w:sz w:val="17"/>
              </w:rPr>
              <w:t>3,048</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2,690</w:t>
            </w:r>
          </w:p>
        </w:tc>
        <w:tc>
          <w:tcPr>
            <w:tcW w:type="dxa" w:w="1440"/>
            <w:shd w:fill="FAFAFA" w:val="clear"/>
          </w:tcPr>
          <w:p>
            <w:r>
              <w:rPr>
                <w:b/>
                <w:sz w:val="17"/>
              </w:rPr>
              <w:t>2,882</w:t>
            </w:r>
          </w:p>
        </w:tc>
        <w:tc>
          <w:tcPr>
            <w:tcW w:type="dxa" w:w="1440"/>
            <w:shd w:fill="FAFAFA" w:val="clear"/>
          </w:tcPr>
          <w:p>
            <w:r>
              <w:rPr>
                <w:sz w:val="17"/>
              </w:rPr>
              <w:t>3,073</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2,666</w:t>
            </w:r>
          </w:p>
        </w:tc>
        <w:tc>
          <w:tcPr>
            <w:tcW w:type="dxa" w:w="1440"/>
            <w:shd w:fill="FAFAFA" w:val="clear"/>
          </w:tcPr>
          <w:p>
            <w:r>
              <w:rPr>
                <w:b/>
                <w:sz w:val="17"/>
              </w:rPr>
              <w:t>2,880</w:t>
            </w:r>
          </w:p>
        </w:tc>
        <w:tc>
          <w:tcPr>
            <w:tcW w:type="dxa" w:w="1440"/>
            <w:shd w:fill="FAFAFA" w:val="clear"/>
          </w:tcPr>
          <w:p>
            <w:r>
              <w:rPr>
                <w:sz w:val="17"/>
              </w:rPr>
              <w:t>3,094</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2,643</w:t>
            </w:r>
          </w:p>
        </w:tc>
        <w:tc>
          <w:tcPr>
            <w:tcW w:type="dxa" w:w="1440"/>
            <w:shd w:fill="FAFAFA" w:val="clear"/>
          </w:tcPr>
          <w:p>
            <w:r>
              <w:rPr>
                <w:b/>
                <w:sz w:val="17"/>
              </w:rPr>
              <w:t>2,878</w:t>
            </w:r>
          </w:p>
        </w:tc>
        <w:tc>
          <w:tcPr>
            <w:tcW w:type="dxa" w:w="1440"/>
            <w:shd w:fill="FAFAFA" w:val="clear"/>
          </w:tcPr>
          <w:p>
            <w:r>
              <w:rPr>
                <w:sz w:val="17"/>
              </w:rPr>
              <w:t>3,112</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2,622</w:t>
            </w:r>
          </w:p>
        </w:tc>
        <w:tc>
          <w:tcPr>
            <w:tcW w:type="dxa" w:w="1440"/>
            <w:shd w:fill="FAFAFA" w:val="clear"/>
          </w:tcPr>
          <w:p>
            <w:r>
              <w:rPr>
                <w:b/>
                <w:sz w:val="17"/>
              </w:rPr>
              <w:t>2,875</w:t>
            </w:r>
          </w:p>
        </w:tc>
        <w:tc>
          <w:tcPr>
            <w:tcW w:type="dxa" w:w="1440"/>
            <w:shd w:fill="FAFAFA" w:val="clear"/>
          </w:tcPr>
          <w:p>
            <w:r>
              <w:rPr>
                <w:sz w:val="17"/>
              </w:rPr>
              <w:t>3,128</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2,603</w:t>
            </w:r>
          </w:p>
        </w:tc>
        <w:tc>
          <w:tcPr>
            <w:tcW w:type="dxa" w:w="1440"/>
            <w:shd w:fill="FAFAFA" w:val="clear"/>
          </w:tcPr>
          <w:p>
            <w:r>
              <w:rPr>
                <w:b/>
                <w:sz w:val="17"/>
              </w:rPr>
              <w:t>2,873</w:t>
            </w:r>
          </w:p>
        </w:tc>
        <w:tc>
          <w:tcPr>
            <w:tcW w:type="dxa" w:w="1440"/>
            <w:shd w:fill="FAFAFA" w:val="clear"/>
          </w:tcPr>
          <w:p>
            <w:r>
              <w:rPr>
                <w:sz w:val="17"/>
              </w:rPr>
              <w:t>3,143</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2,585</w:t>
            </w:r>
          </w:p>
        </w:tc>
        <w:tc>
          <w:tcPr>
            <w:tcW w:type="dxa" w:w="1440"/>
            <w:shd w:fill="FAFAFA" w:val="clear"/>
          </w:tcPr>
          <w:p>
            <w:r>
              <w:rPr>
                <w:b/>
                <w:sz w:val="17"/>
              </w:rPr>
              <w:t>2,871</w:t>
            </w:r>
          </w:p>
        </w:tc>
        <w:tc>
          <w:tcPr>
            <w:tcW w:type="dxa" w:w="1440"/>
            <w:shd w:fill="FAFAFA" w:val="clear"/>
          </w:tcPr>
          <w:p>
            <w:r>
              <w:rPr>
                <w:sz w:val="17"/>
              </w:rPr>
              <w:t>3,157</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2,567</w:t>
            </w:r>
          </w:p>
        </w:tc>
        <w:tc>
          <w:tcPr>
            <w:tcW w:type="dxa" w:w="1440"/>
            <w:shd w:fill="FAFAFA" w:val="clear"/>
          </w:tcPr>
          <w:p>
            <w:r>
              <w:rPr>
                <w:b/>
                <w:sz w:val="17"/>
              </w:rPr>
              <w:t>2,869</w:t>
            </w:r>
          </w:p>
        </w:tc>
        <w:tc>
          <w:tcPr>
            <w:tcW w:type="dxa" w:w="1440"/>
            <w:shd w:fill="FAFAFA" w:val="clear"/>
          </w:tcPr>
          <w:p>
            <w:r>
              <w:rPr>
                <w:sz w:val="17"/>
              </w:rPr>
              <w:t>3,170</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br/>
        <w:t>**Bourse Régionale des Valeurs Mobilières (BRVM) — Secteur : Distribution pétrolière / Énergie**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**180,70 milliards FCFA**, TTLC figure parmi les valeurs les plus importantes de la cote BRVM, ce qui en fait un pilier de l'indice composite et un titre de référence pour les investisseurs institutionnels régionaux. Le **BPA de 144 FCFA/action** traduit la contribution bénéficiaire de chaque titre, tandis que le **PER de 19,9x** situe le titre nettement au-dessus de la moyenne du marché BRVM (généralement comprise entre 8 et 12x), signalant que les investisseurs acceptent de payer une prime significative pour la qualité de la signature et la régularité du dividende. Le **P/B de 4,99x** confirme cette exigence de valorisation : le marché valorise TTLC à près de cinq fois ses fonds propres comptables (36,20 Mds FCFA), ce qui est élevé pour un distributeur à faible marge mais justifié par un ROE de 25,1%. Enfin, l'**EV/EBITDA de 10,5x** situe la valeur d'entreprise dans la fourchette haute (10-15x), reflétant une valorisation exigeante au regard de la capacité opérationnelle, ce qui laisse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**variation totale de -1,20%**, avec une dernière séance particulièrement négative (**-3,69% en J-1**), portant le cours actuel à **2 870 FCFA**. Le range de trading est large, entre un plus haut de **3 595 FCFA** et un plus bas de **2 770 FCFA**, soit une amplitude de plus de 800 FCFA qui témoigne d'une réelle nervosité du marché. La tendance générale est baissière sur la période, le cours se situant désormais dans le bas de sa fourchette, à proximité immédiate du support des 2 770 FCFA. Les statistiques descriptives révèlent une **moyenne de 3 023 FCFA** supérieure à la **médiane de 2 962 FCFA**, écart cohérent avec un **skewness positif de 0,897** indiquant une asymétrie à droite : le titre a connu davantage de journées sous la moyenne, avec quelques pics haussiers isolés tirant la moyenne vers le haut. L'**écart-type de 192 FCFA (CV = 6,3%)** traduit une dispersion modérée du cours autour de sa tendance, tandis que le **kurtosis de -0,282 (mésokurtique)** suggère une distribution proche de la normale, sans risque majeur de pics extrêmes. La **volatilité annualisée de 40,9%** classe le titre dans la catégorie des valeurs à volatilité élevée (&gt;30%), ce qui implique un risque de marché non négligeable et justifie une approche prudente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(3 112,25 FCFA) et la MM50 (3 157,80 FCFA) se situent toutes deux nettement au-dessus du cours actuel (2 870 FCFA), confirmant une configuration baissière de court et moyen terme. Le croisement à la baisse de la MM20 sous la MM50 renforce le signal négatif, justifiant la **décision de Vente**.</w:t>
      </w:r>
    </w:p>
    <w:p>
      <w:pPr>
        <w:spacing w:after="120" w:line="276" w:lineRule="auto"/>
      </w:pPr>
      <w:r>
        <w:t>**Bandes de Bollinger** : Le cours (2 870 FCFA) évolue collé à la borne inférieure (2 864,07 FCFA), tandis que la borne supérieure se situe à 3 360,43 FCFA. Cette position extrême en bas de bande traduit une pression vendeuse soutenue, mais la **décision Neutre** suggère que le titre approche d'une zone de survente technique susceptible de générer un rebond.</w:t>
      </w:r>
    </w:p>
    <w:p>
      <w:pPr>
        <w:spacing w:after="120" w:line="276" w:lineRule="auto"/>
      </w:pPr>
      <w:r>
        <w:t>**MACD** : Le MACD (-67,17) est nettement inférieur à son signal (-42,34), avec un histogramme négatif qui traduit un momentum baissier toujours actif. La divergence persistante entre les deux lignes confirme la **décision de Vente** à court terme.</w:t>
      </w:r>
    </w:p>
    <w:p>
      <w:pPr>
        <w:spacing w:after="120" w:line="276" w:lineRule="auto"/>
      </w:pPr>
      <w:r>
        <w:t>**RSI** : À **30,67**, le RSI se situe juste au-dessus du seuil de survente (30), ce qui explique la **décision Neutre**. Le titre n'est pas encore techniquement survendu, mais il s'en approche dangereusement, ce qui pourrait attirer des acheteurs à contre-tendance.</w:t>
      </w:r>
    </w:p>
    <w:p>
      <w:pPr>
        <w:spacing w:after="120" w:line="276" w:lineRule="auto"/>
      </w:pPr>
      <w:r>
        <w:t>**Stochastique** : Le %K à **0,0** et le %D à **0,585** indiquent que le %K est au plancher absolu, en zone de survente extrême, avec un croisement potentiel à la hausse à venir. Cette configuration justifie la **décision d'Achat** contre-tendance, signalant un possible retournement imminent.</w:t>
      </w:r>
    </w:p>
    <w:p>
      <w:pPr>
        <w:spacing w:after="120" w:line="276" w:lineRule="auto"/>
      </w:pPr>
      <w:r>
        <w:t>**Conclusion technique** : Les indicateurs sont majoritairement baissiers (MM, MACD), mais deux signaux contradictoires émergent : le RSI proche de la survente et le stochastique au plancher suggèrent un rebond technique possible à très court terme. La convergence des signaux de survente (Bollinger inférieur, RSI ~30, %K=0) plaide pour une stabilisation du cours autour des 2 850-2 870 FCFA avant une éventuelle reprise, mais la tendance de fond reste négative tant que le cours n'aura pas reconquis la MM20 (3 112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TTLC a réalisé un **chiffre d'affaires de 588,709 Mds FCFA**, en **recul de 5,2%** par rapport à 2024 (621,0 Mds FCFA), conséquence d'un effet de base défavorable et d'une baisse des ventes hors réseau. Le **résultat net s'établit à 9,087 Mds FCFA** (-3% sur un an), avec une **marge nette de 1,54%**, en légère amélioration (contre 1,51% en 2024). La rentabilité des fonds propres reste excellente avec un **ROE de 25,1%**, bien supérieur au seuil de 15%, tandis que le **ROA de 4,82%** reflète la faible intensité capitalistique du modèle de distribution. La **rotation des actifs de 312%** (CA/Total actif) confirme l'efficacité opérationnelle d'un modèle à forte rotation.</w:t>
      </w:r>
    </w:p>
    <w:p>
      <w:pPr>
        <w:spacing w:after="120" w:line="276" w:lineRule="auto"/>
      </w:pPr>
      <w:r>
        <w:t>**Analyse sectorielle (entreprise de distribution)** : Le **BFR est négatif (-9,662 Mds FCFA)**, ce qui est favorable car il signifie que les fournisseurs financent une partie du cycle d'exploitation. Le **délai fournisseurs de 49,72 jours** est confortable, mais la **liquidité générale de 78,77%** (&lt;1) et la **liquidité immédiate de 5,95%** révèlent une trésorerie tendue. La **trésorerie nette est négative à -21,926 Mds FCFA**, et le **ratio d'endettement de 90,23%** (dettes totales/capitaux propres) traduit une dépendance élevée aux financements externes, typique du secteur mais à surveiller.</w:t>
      </w:r>
    </w:p>
    <w:p>
      <w:pPr>
        <w:spacing w:after="120" w:line="276" w:lineRule="auto"/>
      </w:pPr>
      <w:r>
        <w:t>**Estimations basées sur les rapports trimestriels** : Le **rapport T1 2026 (publié en 2026)** fait état d'un **chiffre d'affaires de 154,392 Mds FCFA (+4,3%)** et d'un **résultat net de 2,329 Mds FCFA (+5,5%)**, marquant un retour à la croissance après une année 2025 en repli. Sur cette base, on peut **estimer** que l'exercice 2026 devrait renouer avec une croissance modérée du CA (autour de +3 à +5%) et une stabilisation du résultat net autour de 9,5-10 Mds FCFA. Le **rapport annuel 2025 (publié en 2026)** confirme un **dividende brut de 10 Mds FCFA**, soit un **taux de distribution supérieur à 100%** du résultat net, ce qui traduit une politique généreuse mais potentiellement non soutenable sans amélioration de la trésorerie. Le **rapport S1 2025 (30/06/2025)** et le **rapport 3e trimestre 2025 (30/09/2025)** avaient déjà alerté sur la baisse du résultat net (-30,2% à fin septembre), avant un redressement au T4.</w:t>
      </w:r>
    </w:p>
    <w:p>
      <w:pPr>
        <w:spacing w:after="120" w:line="276" w:lineRule="auto"/>
      </w:pPr>
      <w:r>
        <w:t>**Recommandation fondamentale** : TTLC reste un leader solide du secteur énergétique ivoirien, avec une rentabilité opérationnelle en amélioration (EBE +12%, résultat d'exploitation +18% en 2025) et un ROE élevé. Cependant, la trésorerie nette négative, le payout &gt;100% et l'endettement élevé constituent des risques à surveiller. La reprise du T1 2026 est encourageante et pourrait soutenir le titre à moyen terme.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le PER de 19,9x et le P/B de 4,99x intègrent déjà une prime de qualité, tandis que l'EV/EBITDA de 10,5x laisse peu de marge de sécurité. Le **comportement du cours (Partie 1)** est préoccupant à court terme : tendance baissière, volatilité élevée (40,9%) et skewness positif indiquant une pression vendeuse persistante, bien que le kurtosis mésokurtique limite le risque de krach brutal. Les **signaux techniques (Partie 2)** sont divergents : les MM et le MACD confirment la tendance baissière, mais le RSI (~30) et le stochastique (%K=0) signalent une survente extrême propice à un rebond technique. Les **fondamentaux (Partie 3)** restent solides malgré le repli de 2025 : ROE de 25,1%, leader du secteur, et reprise confirmée au T1 2026 (+4,3% de CA, +5,5% de résultat net), mais la trésorerie négative et le payout &gt;100% appellent à la prudence. Les **prédictions IA (J+1 à J+10)** anticipent une stabilisation autour de **2 880-2 882 FCFA**, ce qui confirme l'hypothèse d'un plancher technique et d'un rebond limité, sans retournement majeur.</w:t>
      </w:r>
    </w:p>
    <w:p>
      <w:pPr>
        <w:spacing w:after="120" w:line="276" w:lineRule="auto"/>
      </w:pPr>
      <w:r>
        <w:t>**Recommandation finale : CONSERVER**</w:t>
        <w:br/>
        <w:t>La convergence entre la survente technique (rebond probable à court terme), la reprise fondamentale au T1 2026 et la stabilisation attendue du cours plaide pour une conservation du titre plutôt qu'une vente. Toutefois, la valorisation exigeante et les risques de trésorerie empêchent un passage à l'achat. **Niveau de confiance : Moyen** — les signaux techniques contradictoires et la dépendance aux prix pétroliers limitent la visibilité. **Niveau de risque global : Moyen à Élevé** (volatilité 40,9%, endettement 90%, payout &gt;100%). **Horizon d'investissement optimal : Moyen terme (3-12 mois)**, le temps que la reprise du T1 2026 se confirme et que la trésorerie s'améliore, avec un objectif de cours autour de 3 100-3 150 FCFA (retour vers la MM20).</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118.91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3,328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+22.07%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2,990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7.73% (Moyenne) — μ=3,697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β=0.4784 (Défensif) — Cov=0.000035, Var(idx)=0.000074, ρ=0.154,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3,532</w:t>
            </w:r>
          </w:p>
        </w:tc>
        <w:tc>
          <w:tcPr>
            <w:tcW w:type="dxa" w:w="1440"/>
            <w:shd w:fill="FAFAFA" w:val="clear"/>
          </w:tcPr>
          <w:p>
            <w:r>
              <w:rPr>
                <w:b/>
                <w:sz w:val="17"/>
              </w:rPr>
              <w:t>3,660</w:t>
            </w:r>
          </w:p>
        </w:tc>
        <w:tc>
          <w:tcPr>
            <w:tcW w:type="dxa" w:w="1440"/>
            <w:shd w:fill="FAFAFA" w:val="clear"/>
          </w:tcPr>
          <w:p>
            <w:r>
              <w:rPr>
                <w:sz w:val="17"/>
              </w:rPr>
              <w:t>3,788</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3,467</w:t>
            </w:r>
          </w:p>
        </w:tc>
        <w:tc>
          <w:tcPr>
            <w:tcW w:type="dxa" w:w="1440"/>
            <w:shd w:fill="FAFAFA" w:val="clear"/>
          </w:tcPr>
          <w:p>
            <w:r>
              <w:rPr>
                <w:b/>
                <w:sz w:val="17"/>
              </w:rPr>
              <w:t>3,647</w:t>
            </w:r>
          </w:p>
        </w:tc>
        <w:tc>
          <w:tcPr>
            <w:tcW w:type="dxa" w:w="1440"/>
            <w:shd w:fill="FAFAFA" w:val="clear"/>
          </w:tcPr>
          <w:p>
            <w:r>
              <w:rPr>
                <w:sz w:val="17"/>
              </w:rPr>
              <w:t>3,828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3,418</w:t>
            </w:r>
          </w:p>
        </w:tc>
        <w:tc>
          <w:tcPr>
            <w:tcW w:type="dxa" w:w="1440"/>
            <w:shd w:fill="FAFAFA" w:val="clear"/>
          </w:tcPr>
          <w:p>
            <w:r>
              <w:rPr>
                <w:b/>
                <w:sz w:val="17"/>
              </w:rPr>
              <w:t>3,638</w:t>
            </w:r>
          </w:p>
        </w:tc>
        <w:tc>
          <w:tcPr>
            <w:tcW w:type="dxa" w:w="1440"/>
            <w:shd w:fill="FAFAFA" w:val="clear"/>
          </w:tcPr>
          <w:p>
            <w:r>
              <w:rPr>
                <w:sz w:val="17"/>
              </w:rPr>
              <w:t>3,858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3,376</w:t>
            </w:r>
          </w:p>
        </w:tc>
        <w:tc>
          <w:tcPr>
            <w:tcW w:type="dxa" w:w="1440"/>
            <w:shd w:fill="FAFAFA" w:val="clear"/>
          </w:tcPr>
          <w:p>
            <w:r>
              <w:rPr>
                <w:b/>
                <w:sz w:val="17"/>
              </w:rPr>
              <w:t>3,630</w:t>
            </w:r>
          </w:p>
        </w:tc>
        <w:tc>
          <w:tcPr>
            <w:tcW w:type="dxa" w:w="1440"/>
            <w:shd w:fill="FAFAFA" w:val="clear"/>
          </w:tcPr>
          <w:p>
            <w:r>
              <w:rPr>
                <w:sz w:val="17"/>
              </w:rPr>
              <w:t>3,884</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3,340</w:t>
            </w:r>
          </w:p>
        </w:tc>
        <w:tc>
          <w:tcPr>
            <w:tcW w:type="dxa" w:w="1440"/>
            <w:shd w:fill="FAFAFA" w:val="clear"/>
          </w:tcPr>
          <w:p>
            <w:r>
              <w:rPr>
                <w:b/>
                <w:sz w:val="17"/>
              </w:rPr>
              <w:t>3,623</w:t>
            </w:r>
          </w:p>
        </w:tc>
        <w:tc>
          <w:tcPr>
            <w:tcW w:type="dxa" w:w="1440"/>
            <w:shd w:fill="FAFAFA" w:val="clear"/>
          </w:tcPr>
          <w:p>
            <w:r>
              <w:rPr>
                <w:sz w:val="17"/>
              </w:rPr>
              <w:t>3,906</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3,306</w:t>
            </w:r>
          </w:p>
        </w:tc>
        <w:tc>
          <w:tcPr>
            <w:tcW w:type="dxa" w:w="1440"/>
            <w:shd w:fill="FAFAFA" w:val="clear"/>
          </w:tcPr>
          <w:p>
            <w:r>
              <w:rPr>
                <w:b/>
                <w:sz w:val="17"/>
              </w:rPr>
              <w:t>3,616</w:t>
            </w:r>
          </w:p>
        </w:tc>
        <w:tc>
          <w:tcPr>
            <w:tcW w:type="dxa" w:w="1440"/>
            <w:shd w:fill="FAFAFA" w:val="clear"/>
          </w:tcPr>
          <w:p>
            <w:r>
              <w:rPr>
                <w:sz w:val="17"/>
              </w:rPr>
              <w:t>3,926</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3,275</w:t>
            </w:r>
          </w:p>
        </w:tc>
        <w:tc>
          <w:tcPr>
            <w:tcW w:type="dxa" w:w="1440"/>
            <w:shd w:fill="FAFAFA" w:val="clear"/>
          </w:tcPr>
          <w:p>
            <w:r>
              <w:rPr>
                <w:b/>
                <w:sz w:val="17"/>
              </w:rPr>
              <w:t>3,609</w:t>
            </w:r>
          </w:p>
        </w:tc>
        <w:tc>
          <w:tcPr>
            <w:tcW w:type="dxa" w:w="1440"/>
            <w:shd w:fill="FAFAFA" w:val="clear"/>
          </w:tcPr>
          <w:p>
            <w:r>
              <w:rPr>
                <w:sz w:val="17"/>
              </w:rPr>
              <w:t>3,943</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3,246</w:t>
            </w:r>
          </w:p>
        </w:tc>
        <w:tc>
          <w:tcPr>
            <w:tcW w:type="dxa" w:w="1440"/>
            <w:shd w:fill="FAFAFA" w:val="clear"/>
          </w:tcPr>
          <w:p>
            <w:r>
              <w:rPr>
                <w:b/>
                <w:sz w:val="17"/>
              </w:rPr>
              <w:t>3,603</w:t>
            </w:r>
          </w:p>
        </w:tc>
        <w:tc>
          <w:tcPr>
            <w:tcW w:type="dxa" w:w="1440"/>
            <w:shd w:fill="FAFAFA" w:val="clear"/>
          </w:tcPr>
          <w:p>
            <w:r>
              <w:rPr>
                <w:sz w:val="17"/>
              </w:rPr>
              <w:t>3,959</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3,219</w:t>
            </w:r>
          </w:p>
        </w:tc>
        <w:tc>
          <w:tcPr>
            <w:tcW w:type="dxa" w:w="1440"/>
            <w:shd w:fill="FAFAFA" w:val="clear"/>
          </w:tcPr>
          <w:p>
            <w:r>
              <w:rPr>
                <w:b/>
                <w:sz w:val="17"/>
              </w:rPr>
              <w:t>3,596</w:t>
            </w:r>
          </w:p>
        </w:tc>
        <w:tc>
          <w:tcPr>
            <w:tcW w:type="dxa" w:w="1440"/>
            <w:shd w:fill="FAFAFA" w:val="clear"/>
          </w:tcPr>
          <w:p>
            <w:r>
              <w:rPr>
                <w:sz w:val="17"/>
              </w:rPr>
              <w:t>3,974</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3,193</w:t>
            </w:r>
          </w:p>
        </w:tc>
        <w:tc>
          <w:tcPr>
            <w:tcW w:type="dxa" w:w="1440"/>
            <w:shd w:fill="FAFAFA" w:val="clear"/>
          </w:tcPr>
          <w:p>
            <w:r>
              <w:rPr>
                <w:b/>
                <w:sz w:val="17"/>
              </w:rPr>
              <w:t>3,590</w:t>
            </w:r>
          </w:p>
        </w:tc>
        <w:tc>
          <w:tcPr>
            <w:tcW w:type="dxa" w:w="1440"/>
            <w:shd w:fill="FAFAFA" w:val="clear"/>
          </w:tcPr>
          <w:p>
            <w:r>
              <w:rPr>
                <w:sz w:val="17"/>
              </w:rPr>
              <w:t>3,988</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118,91 milliards FCFA, TTLS s'impose comme l'une des valeurs phares de la cote BRVM, témoignant de la confiance du marché envers ce leader sénégalais de la distribution pétrolière. Le BPA de 208 FCFA/action signifie que chaque titre génère 208 FCFA de bénéfice net, ce qui, rapporté au cours actuel de 3 650 FCFA, donne un PER de 17,5x — nettement supérieur à la moyenne BRVM (8-12x), traduisant une prime de qualité mais aussi une valorisation tendue par rapport aux bénéfices. Le P/B de 4,21x confirme cette exigence : le marché valorise TTLS à plus de quatre fois sa valeur comptable, une prime forte qui se justifie par la solidité du réseau (140 stations) et la notoriété de la marque TotalEnergies, mais qui laisse peu de marge d'erreur. En revanche, l'EV/EBITDA de 7,4x, situé dans la fourchette raisonnable de 5-10x, indique que la valeur totale de l'entreprise (dette incluse) reste cohérente avec sa capacité opérationnelle à générer du cash. Globalement, la valorisation apparaît exigeante sur les multiples de bénéfices et de fonds propres, mais soutenable sur la base de l'EBITDA.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progression totale de +22,07%, mais la dernière séance (J-1) marque un repli de -3,95%, signalant une prise de bénéfices après un rallye haussier. Le titre a évolué dans un range de 1 510 FCFA, entre un plus bas de 2 990 FCFA et un plus haut de 4 500 FCFA, ce qui traduit une amplitude de trading importante et une tendance générale haussière, bien que le cours actuel (3 650 FCFA) se situe désormais en retrait de 18,9% par rapport à son sommet. Les statistiques descriptives révèlent une moyenne (3 697 FCFA) quasi identique à la médiane (3 695 FCFA), confirmant une distribution symétrique du cours sur la période, sans biais marqué. L'écart-type de 287 FCFA, avec un coefficient de variation de 7,8%, indique une dispersion modérée autour de la moyenne, tandis que le kurtosis (0,452) proche de zéro et le skewness (0,191) légèrement positif suggèrent une distribution mésokurtique et quasi symétrique, sans risque de pics extrêmes significatifs. La volatilité annualisée de 43,1% classe TTLS dans la catégorie des titres à volatilité élevée (&gt;30%), ce qui implique un risque de fluctuation important à court terme, mais aussi des opportunités de trading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(3 774,0 FCFA) et la MM50 (3 747,1 FCFA) se situent toutes deux au-dessus du cours actuel (3 650 FCFA), ce qui place le titre en position baissière à court terme. Cependant, la MM20 étant légèrement supérieure à la MM50, la configuration reste haussière sur le moyen terme, justifiant la décision "Achat" fournie, mais avec prudence car le cours évolue sous ses supports mobiles.</w:t>
      </w:r>
    </w:p>
    <w:p>
      <w:pPr>
        <w:spacing w:after="120" w:line="276" w:lineRule="auto"/>
      </w:pPr>
      <w:r>
        <w:t>**Bandes de Bollinger** : Le cours (3 650 FCFA) se situe dans la partie basse de la bande, entre la borne inférieure (3 501,09 FCFA) et la borne supérieure (4 046,91 FCFA), sans atteindre la zone de survente. La largeur des bandes reflète une volatilité modérée, et la décision "Neutre" s'explique par l'absence de signal clair de rebond ou de cassure imminente.</w:t>
      </w:r>
    </w:p>
    <w:p>
      <w:pPr>
        <w:spacing w:after="120" w:line="276" w:lineRule="auto"/>
      </w:pPr>
      <w:r>
        <w:t>**MACD** : La valeur du MACD (-44,865) est inférieure à son signal (-35,794), confirmant un momentum baissier à court terme. La divergence négative entre les deux lignes justifie la décision "Vente", indiquant que la pression vendeuse reste dominante malgré la tendance haussière de fond.</w:t>
      </w:r>
    </w:p>
    <w:p>
      <w:pPr>
        <w:spacing w:after="120" w:line="276" w:lineRule="auto"/>
      </w:pPr>
      <w:r>
        <w:t>**RSI** : À 32,759, le RSI se situe juste au-dessus du seuil de survente (30), ce qui traduit une faiblesse relative du titre sans pour autant déclencher un signal d'achat technique. La décision "Neutre" est cohérente avec cette zone ambiguë où un rebond technique reste possible.</w:t>
      </w:r>
    </w:p>
    <w:p>
      <w:pPr>
        <w:spacing w:after="120" w:line="276" w:lineRule="auto"/>
      </w:pPr>
      <w:r>
        <w:t>**Stochastique** : Le %K (20,0) est inférieur au %D (26,667), et les deux se situent en zone basse, proche de la survente. L'absence de croisement haussier du %K au-dessus du %D maintient la décision "Neutre", mais la proximité de la zone de survente suggère qu'un retournement pourrait se produire à court terme.</w:t>
      </w:r>
    </w:p>
    <w:p>
      <w:pPr>
        <w:spacing w:after="120" w:line="276" w:lineRule="auto"/>
      </w:pPr>
      <w:r>
        <w:t>**Conclusion technique** : Les indicateurs techniques présentent un tableau mitigé. Si la tendance de fond reste haussière (MM20 &gt; MM50), le momentum à court terme est clairement baissier (MACD négatif, cours sous les moyennes mobiles). Le RSI et le stochastique, proches de la survente, suggèrent qu'un rebond technique est possible, mais l'absence de signal d'achat clair (MACD toujours en vente) invite à la prudence. La convergence des signaux baissiers à court terme et neutres à moyen terme plaide pour une phase de consolidation avant une reprise éventuelle.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455,209 milliards FCFA, en baisse de 6,1% par rapport à 2024, conséquence directe de l'arrêt stratégique de la commercialisation du fuel lourd (39,5 milliards FCFA de CA en 2024). Le résultat net s'établit à 6,779 milliards FCFA, en repli de 5,1% sur un an, tandis que le ROE atteint 24,01% — un niveau excellent (&gt;15%) qui témoigne d'une remarquable efficacité dans l'utilisation des fonds propres, malgré une marge nette très faible de 1,49%, typique du secteur de la distribution pétrolière. Le ROA de 3,95% et la rotation des actifs de 265% confirment la capacité de TTLS à générer du volume avec une structure d'actifs maîtrisée. L'analyse du besoin en fonds de roulement (BFR) est particulièrement favorable : à -36,899 milliards FCFA, il est négatif, ce qui signifie que les fournisseurs financent une partie du cycle d'exploitation, un atout majeur de trésorerie. Les délais clients (47,43 jours) et fournisseurs (97,76 jours) illustrent un pouvoir de négociation favorable auprès des fournisseurs, mais le délai client élevé expose la société à un risque de trésorerie, notamment sur les créances État (65% de l'actif circulant selon le rapport annuel 2024). La structure financière reste solide avec une autonomie financière de 16,44% (inférieure au seuil de 30%, mais compensée par un faible endettement net de -14,896 milliards FCFA, soit une trésorerie nette positive) et une capacité de remboursement de 0,94 an (dette financière/CAF), très confortable. Sur la base du rapport T1 2026 (publié le 31 mars 2026), on estime que l'exercice 2026 devrait bénéficier d'une amélioration des marges, notamment sur les lubrifiants (+28% de résultat d'exploitation au T1 2026), compensant partiellement la baisse réglementaire des prix à la pompe (-10% de CA au T1 2026). Le rapport annuel 2025 (publié le 31 décembre 2025) confirme la solidité opérationnelle avec une trésorerie passée de 8,4 à 20,6 milliards FCFA et un résultat opérationnel stable à 8,693 milliards FCFA. La recommandation fondamentale est de **CONSERVER** : la société est un leader défensif avec des fondamentaux solides (ROE élevé, BFR négatif, trésorerie nette positive), mais la faible marge nette et la dépendance aux décisions réglementaires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pour TTLS. La valorisation (Partie 0) apparaît exigeante avec un PER de 17,5x et un P/B de 4,21x, nettement supérieurs aux moyennes du marché, ce qui suggère une surévaluation relative par rapport aux bénéfices et à la valeur comptable, bien que l'EV/EBITDA de 7,4x reste raisonnable. Le comportement du cours (Partie 1) montre une tendance haussière de fond (+22,07% sur 100 jours) mais une correction récente (-3,95% en J-1), avec une volatilité élevée (43,1%) et des statistiques descriptives (kurtosis et skewness proches de zéro) indiquant une distribution symétrique sans risque de pics extrêmes. Les signaux techniques (Partie 2) sont majoritairement baissiers à court terme (MACD en vente, cours sous les MM20/MM50), mais le RSI et le stochastique proches de la survente suggèrent un possible rebond technique. Les fondamentaux (Partie 3) demeurent solides : ROE de 24%, BFR négatif, trésorerie nette positive, et une capacité à améliorer ses marges opérationnelles malgré la baisse du chiffre d'affaires, comme en témoigne le T1 2026 (+28% de résultat d'exploitation). Les prédictions IA (J+1 à J+10) anticipent une légère baisse du cours, de 3 660 FCFA à 3 623 FCFA, ce qui confirme la pression baissière à court terme mais sans effondrement. Sur la base de cette synthèse, la recommandation finale est de **CONSERVER**. En effet, la convergence entre une valorisation tendue, des signaux techniques baissiers à court terme et des fondamentaux solides mais sans catalyseur immédiat plaide pour une position attentiste. Le niveau de confiance est **Moyen**, car si les fondamentaux sont rassurants, l'absence de dividende communiqué et la dépendance réglementaire créent une incertitude. Le niveau de risque global est **Moyen**, avec une volatilité élevée mais une structure financière saine. L'horizon d'investissement optimal est le **moyen terme (3-12 mois)**, en attendant la confirmation d'une reprise des volumes et la clarification de la politique de dividende lors de la prochaine assemblée générale.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440.80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22 titres</w:t>
            </w:r>
          </w:p>
        </w:tc>
        <w:tc>
          <w:tcPr>
            <w:tcW w:type="dxa" w:w="2268"/>
            <w:shd w:fill="FFF2CC" w:val="clear"/>
          </w:tcPr>
          <w:p>
            <w:r>
              <w:rPr>
                <w:b/>
                <w:color w:val="503200"/>
                <w:sz w:val="16"/>
              </w:rPr>
              <w:t xml:space="preserve">Cours actuel : </w:t>
            </w:r>
            <w:r>
              <w:rPr>
                <w:color w:val="000000"/>
                <w:sz w:val="17"/>
              </w:rPr>
              <w:t>48,000 FCFA</w:t>
            </w:r>
          </w:p>
          <w:p>
            <w:r>
              <w:rPr>
                <w:b/>
                <w:color w:val="503200"/>
                <w:sz w:val="16"/>
              </w:rPr>
              <w:t xml:space="preserve">Var. 100 jours : </w:t>
            </w:r>
            <w:r>
              <w:rPr>
                <w:b/>
                <w:color w:val="B40000"/>
                <w:sz w:val="17"/>
              </w:rPr>
              <w:t>-14.44%</w:t>
            </w:r>
          </w:p>
          <w:p>
            <w:r>
              <w:rPr>
                <w:b/>
                <w:color w:val="503200"/>
                <w:sz w:val="16"/>
              </w:rPr>
              <w:t xml:space="preserve">Plus haut 100j : </w:t>
            </w:r>
            <w:r>
              <w:rPr>
                <w:color w:val="000000"/>
                <w:sz w:val="17"/>
              </w:rPr>
              <w:t>60,295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5.85% (Moyenne) — μ=54,127 FCFA, σ=3,168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β=0.5982 (Défensif) — Cov=0.000044, Var(idx)=0.000074, ρ=0.144,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σ_j=3.62%/j (Modérée) — Vol. annualisée≈57.4%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2026-10-12</w:t>
            </w:r>
          </w:p>
        </w:tc>
        <w:tc>
          <w:tcPr>
            <w:tcW w:type="dxa" w:w="1440"/>
            <w:shd w:fill="FAFAFA" w:val="clear"/>
          </w:tcPr>
          <w:p>
            <w:r>
              <w:rPr>
                <w:sz w:val="17"/>
              </w:rPr>
              <w:t>45,042</w:t>
            </w:r>
          </w:p>
        </w:tc>
        <w:tc>
          <w:tcPr>
            <w:tcW w:type="dxa" w:w="1440"/>
            <w:shd w:fill="FAFAFA" w:val="clear"/>
          </w:tcPr>
          <w:p>
            <w:r>
              <w:rPr>
                <w:b/>
                <w:sz w:val="17"/>
              </w:rPr>
              <w:t>47,937</w:t>
            </w:r>
          </w:p>
        </w:tc>
        <w:tc>
          <w:tcPr>
            <w:tcW w:type="dxa" w:w="1440"/>
            <w:shd w:fill="FAFAFA" w:val="clear"/>
          </w:tcPr>
          <w:p>
            <w:r>
              <w:rPr>
                <w:sz w:val="17"/>
              </w:rPr>
              <w:t>50,832</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2026-10-13</w:t>
            </w:r>
          </w:p>
        </w:tc>
        <w:tc>
          <w:tcPr>
            <w:tcW w:type="dxa" w:w="1440"/>
            <w:shd w:fill="FAFAFA" w:val="clear"/>
          </w:tcPr>
          <w:p>
            <w:r>
              <w:rPr>
                <w:sz w:val="17"/>
              </w:rPr>
              <w:t>43,835</w:t>
            </w:r>
          </w:p>
        </w:tc>
        <w:tc>
          <w:tcPr>
            <w:tcW w:type="dxa" w:w="1440"/>
            <w:shd w:fill="FAFAFA" w:val="clear"/>
          </w:tcPr>
          <w:p>
            <w:r>
              <w:rPr>
                <w:b/>
                <w:sz w:val="17"/>
              </w:rPr>
              <w:t>47,928</w:t>
            </w:r>
          </w:p>
        </w:tc>
        <w:tc>
          <w:tcPr>
            <w:tcW w:type="dxa" w:w="1440"/>
            <w:shd w:fill="FAFAFA" w:val="clear"/>
          </w:tcPr>
          <w:p>
            <w:r>
              <w:rPr>
                <w:sz w:val="17"/>
              </w:rPr>
              <w:t>52,022</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2026-10-14</w:t>
            </w:r>
          </w:p>
        </w:tc>
        <w:tc>
          <w:tcPr>
            <w:tcW w:type="dxa" w:w="1440"/>
            <w:shd w:fill="FAFAFA" w:val="clear"/>
          </w:tcPr>
          <w:p>
            <w:r>
              <w:rPr>
                <w:sz w:val="17"/>
              </w:rPr>
              <w:t>42,909</w:t>
            </w:r>
          </w:p>
        </w:tc>
        <w:tc>
          <w:tcPr>
            <w:tcW w:type="dxa" w:w="1440"/>
            <w:shd w:fill="FAFAFA" w:val="clear"/>
          </w:tcPr>
          <w:p>
            <w:r>
              <w:rPr>
                <w:b/>
                <w:sz w:val="17"/>
              </w:rPr>
              <w:t>47,921</w:t>
            </w:r>
          </w:p>
        </w:tc>
        <w:tc>
          <w:tcPr>
            <w:tcW w:type="dxa" w:w="1440"/>
            <w:shd w:fill="FAFAFA" w:val="clear"/>
          </w:tcPr>
          <w:p>
            <w:r>
              <w:rPr>
                <w:sz w:val="17"/>
              </w:rPr>
              <w:t>52,934</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2026-10-15</w:t>
            </w:r>
          </w:p>
        </w:tc>
        <w:tc>
          <w:tcPr>
            <w:tcW w:type="dxa" w:w="1440"/>
            <w:shd w:fill="FAFAFA" w:val="clear"/>
          </w:tcPr>
          <w:p>
            <w:r>
              <w:rPr>
                <w:sz w:val="17"/>
              </w:rPr>
              <w:t>42,130</w:t>
            </w:r>
          </w:p>
        </w:tc>
        <w:tc>
          <w:tcPr>
            <w:tcW w:type="dxa" w:w="1440"/>
            <w:shd w:fill="FAFAFA" w:val="clear"/>
          </w:tcPr>
          <w:p>
            <w:r>
              <w:rPr>
                <w:b/>
                <w:sz w:val="17"/>
              </w:rPr>
              <w:t>47,917</w:t>
            </w:r>
          </w:p>
        </w:tc>
        <w:tc>
          <w:tcPr>
            <w:tcW w:type="dxa" w:w="1440"/>
            <w:shd w:fill="FAFAFA" w:val="clear"/>
          </w:tcPr>
          <w:p>
            <w:r>
              <w:rPr>
                <w:sz w:val="17"/>
              </w:rPr>
              <w:t>53,705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2026-10-16</w:t>
            </w:r>
          </w:p>
        </w:tc>
        <w:tc>
          <w:tcPr>
            <w:tcW w:type="dxa" w:w="1440"/>
            <w:shd w:fill="FAFAFA" w:val="clear"/>
          </w:tcPr>
          <w:p>
            <w:r>
              <w:rPr>
                <w:sz w:val="17"/>
              </w:rPr>
              <w:t>41,444</w:t>
            </w:r>
          </w:p>
        </w:tc>
        <w:tc>
          <w:tcPr>
            <w:tcW w:type="dxa" w:w="1440"/>
            <w:shd w:fill="FAFAFA" w:val="clear"/>
          </w:tcPr>
          <w:p>
            <w:r>
              <w:rPr>
                <w:b/>
                <w:sz w:val="17"/>
              </w:rPr>
              <w:t>47,915</w:t>
            </w:r>
          </w:p>
        </w:tc>
        <w:tc>
          <w:tcPr>
            <w:tcW w:type="dxa" w:w="1440"/>
            <w:shd w:fill="FAFAFA" w:val="clear"/>
          </w:tcPr>
          <w:p>
            <w:r>
              <w:rPr>
                <w:sz w:val="17"/>
              </w:rPr>
              <w:t>54,386</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2026-10-19</w:t>
            </w:r>
          </w:p>
        </w:tc>
        <w:tc>
          <w:tcPr>
            <w:tcW w:type="dxa" w:w="1440"/>
            <w:shd w:fill="FAFAFA" w:val="clear"/>
          </w:tcPr>
          <w:p>
            <w:r>
              <w:rPr>
                <w:sz w:val="17"/>
              </w:rPr>
              <w:t>40,826</w:t>
            </w:r>
          </w:p>
        </w:tc>
        <w:tc>
          <w:tcPr>
            <w:tcW w:type="dxa" w:w="1440"/>
            <w:shd w:fill="FAFAFA" w:val="clear"/>
          </w:tcPr>
          <w:p>
            <w:r>
              <w:rPr>
                <w:b/>
                <w:sz w:val="17"/>
              </w:rPr>
              <w:t>47,914</w:t>
            </w:r>
          </w:p>
        </w:tc>
        <w:tc>
          <w:tcPr>
            <w:tcW w:type="dxa" w:w="1440"/>
            <w:shd w:fill="FAFAFA" w:val="clear"/>
          </w:tcPr>
          <w:p>
            <w:r>
              <w:rPr>
                <w:sz w:val="17"/>
              </w:rPr>
              <w:t>55,002</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2026-10-20</w:t>
            </w:r>
          </w:p>
        </w:tc>
        <w:tc>
          <w:tcPr>
            <w:tcW w:type="dxa" w:w="1440"/>
            <w:shd w:fill="FAFAFA" w:val="clear"/>
          </w:tcPr>
          <w:p>
            <w:r>
              <w:rPr>
                <w:sz w:val="17"/>
              </w:rPr>
              <w:t>40,257</w:t>
            </w:r>
          </w:p>
        </w:tc>
        <w:tc>
          <w:tcPr>
            <w:tcW w:type="dxa" w:w="1440"/>
            <w:shd w:fill="FAFAFA" w:val="clear"/>
          </w:tcPr>
          <w:p>
            <w:r>
              <w:rPr>
                <w:b/>
                <w:sz w:val="17"/>
              </w:rPr>
              <w:t>47,913</w:t>
            </w:r>
          </w:p>
        </w:tc>
        <w:tc>
          <w:tcPr>
            <w:tcW w:type="dxa" w:w="1440"/>
            <w:shd w:fill="FAFAFA" w:val="clear"/>
          </w:tcPr>
          <w:p>
            <w:r>
              <w:rPr>
                <w:sz w:val="17"/>
              </w:rPr>
              <w:t>55,569</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2026-10-21</w:t>
            </w:r>
          </w:p>
        </w:tc>
        <w:tc>
          <w:tcPr>
            <w:tcW w:type="dxa" w:w="1440"/>
            <w:shd w:fill="FAFAFA" w:val="clear"/>
          </w:tcPr>
          <w:p>
            <w:r>
              <w:rPr>
                <w:sz w:val="17"/>
              </w:rPr>
              <w:t>39,729</w:t>
            </w:r>
          </w:p>
        </w:tc>
        <w:tc>
          <w:tcPr>
            <w:tcW w:type="dxa" w:w="1440"/>
            <w:shd w:fill="FAFAFA" w:val="clear"/>
          </w:tcPr>
          <w:p>
            <w:r>
              <w:rPr>
                <w:b/>
                <w:sz w:val="17"/>
              </w:rPr>
              <w:t>47,913</w:t>
            </w:r>
          </w:p>
        </w:tc>
        <w:tc>
          <w:tcPr>
            <w:tcW w:type="dxa" w:w="1440"/>
            <w:shd w:fill="FAFAFA" w:val="clear"/>
          </w:tcPr>
          <w:p>
            <w:r>
              <w:rPr>
                <w:sz w:val="17"/>
              </w:rPr>
              <w:t>56,098</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2026-10-22</w:t>
            </w:r>
          </w:p>
        </w:tc>
        <w:tc>
          <w:tcPr>
            <w:tcW w:type="dxa" w:w="1440"/>
            <w:shd w:fill="FAFAFA" w:val="clear"/>
          </w:tcPr>
          <w:p>
            <w:r>
              <w:rPr>
                <w:sz w:val="17"/>
              </w:rPr>
              <w:t>39,232</w:t>
            </w:r>
          </w:p>
        </w:tc>
        <w:tc>
          <w:tcPr>
            <w:tcW w:type="dxa" w:w="1440"/>
            <w:shd w:fill="FAFAFA" w:val="clear"/>
          </w:tcPr>
          <w:p>
            <w:r>
              <w:rPr>
                <w:b/>
                <w:sz w:val="17"/>
              </w:rPr>
              <w:t>47,913</w:t>
            </w:r>
          </w:p>
        </w:tc>
        <w:tc>
          <w:tcPr>
            <w:tcW w:type="dxa" w:w="1440"/>
            <w:shd w:fill="FAFAFA" w:val="clear"/>
          </w:tcPr>
          <w:p>
            <w:r>
              <w:rPr>
                <w:sz w:val="17"/>
              </w:rPr>
              <w:t>56,594</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2026-10-23</w:t>
            </w:r>
          </w:p>
        </w:tc>
        <w:tc>
          <w:tcPr>
            <w:tcW w:type="dxa" w:w="1440"/>
            <w:shd w:fill="FAFAFA" w:val="clear"/>
          </w:tcPr>
          <w:p>
            <w:r>
              <w:rPr>
                <w:sz w:val="17"/>
              </w:rPr>
              <w:t>38,763</w:t>
            </w:r>
          </w:p>
        </w:tc>
        <w:tc>
          <w:tcPr>
            <w:tcW w:type="dxa" w:w="1440"/>
            <w:shd w:fill="FAFAFA" w:val="clear"/>
          </w:tcPr>
          <w:p>
            <w:r>
              <w:rPr>
                <w:b/>
                <w:sz w:val="17"/>
              </w:rPr>
              <w:t>47,914</w:t>
            </w:r>
          </w:p>
        </w:tc>
        <w:tc>
          <w:tcPr>
            <w:tcW w:type="dxa" w:w="1440"/>
            <w:shd w:fill="FAFAFA" w:val="clear"/>
          </w:tcPr>
          <w:p>
            <w:r>
              <w:rPr>
                <w:sz w:val="17"/>
              </w:rPr>
              <w:t>57,064</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440,80 milliards FCFA, un niveau significatif à l'échelle de la BRVM qui place la société parmi les valeurs de grande taille du compartiment industriel/consommation. Avec un cours de 48 000 FCFA et un capital composé d'environ 9,18 millions d'actions, le titre affiche un prix nominal élevé, typique des valeurs à faible flottant de la cote ivoirienne. Les ratios de valorisation boursière (BPA, PER, P/B, EV/EBITDA) ne sont pas calculables en l'absence de données financières structurées exploitables dans la base, ce qui limite l'appréciation directe du caractère bon marché ou onéreux du titre par rapport aux références du marché (PER BRVM moyen ~8-12x). L'investisseur devra donc s'appuyer sur l'analyse fondamentale narrative et les indicateurs techniques pour évaluer la pertinence du niveau de cours actuel.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-14,44%, matérialisant une tendance baissière marquée, tandis que la dernière séance (J-1) est restée stable à +0,00%, signe d'un essoufflement de la pression vendeuse à court terme. Le range de trading s'étend du plus haut à 60 295 FCFA au plus bas à 47 215 FCFA, le cours actuel de 48 000 FCFA se situant donc tout près du plancher de la période, ce qui traduit une érosion progressive des valorisations. Les statistiques descriptives révèlent une moyenne de 54 127 FCFA quasi confondue avec la médiane de 54 150 FCFA, indiquant une distribution globalement symétrique, confirmée par un skewness de -0,200 (asymétrie légèrement négative mais proche de la neutralité). L'écart-type de 3 184 FCFA et le coefficient de variation de 5,9% témoignent d'une dispersion modérée du cours autour de sa moyenne, tandis que le kurtosis de -0,560 (mésokurtique) suggère une distribution proche de la normale, sans risque majeur de pics extrêmes. La volatilité annualisée de 57,4% classe toutefois le titre dans la catégorie à volatilité élevée (&gt;30%), ce qui implique un risque de fluctuation important pour l'investisseur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50 313 FCFA et la MM50 à 52 475,5 FCFA, toutes deux nettement supérieures au cours actuel de 48 000 FCFA. Cette configuration baissière (cours sous les deux moyennes, MM20 sous MM50) confirme la pression vendeuse et justifie la décision technique de **Vente**.</w:t>
      </w:r>
    </w:p>
    <w:p>
      <w:pPr>
        <w:spacing w:after="120" w:line="276" w:lineRule="auto"/>
      </w:pPr>
      <w:r>
        <w:t>**Bandes de Bollinger** : La borne supérieure est à 54 952,97 FCFA et la borne inférieure à 45 673,03 FCFA, avec un cours actuel de 48 000 FCFA positionné dans la moitié basse du canal. Le cours n'ayant pas franchi la borne inférieure, la décision est **Neutre**, mais la proximité du plancher signale une faiblesse persistante.</w:t>
      </w:r>
    </w:p>
    <w:p>
      <w:pPr>
        <w:spacing w:after="120" w:line="276" w:lineRule="auto"/>
      </w:pPr>
      <w:r>
        <w:t>**MACD** : La valeur du MACD (-1 398,72) est inférieure à son signal (-1 218,82), générant un histogramme négatif qui traduit un momentum baissier toujours actif. La décision qui en découle est **Vente**, confirmant la tendance de fond.</w:t>
      </w:r>
    </w:p>
    <w:p>
      <w:pPr>
        <w:spacing w:after="120" w:line="276" w:lineRule="auto"/>
      </w:pPr>
      <w:r>
        <w:t>**RSI** : À 36,77, le RSI se situe dans la zone neutre basse (30-70), sans atteindre le seuil de survente (&lt;30). La décision est **Neutre**, mais la proximité de la zone de survente suggère un potentiel de rebond technique limité.</w:t>
      </w:r>
    </w:p>
    <w:p>
      <w:pPr>
        <w:spacing w:after="120" w:line="276" w:lineRule="auto"/>
      </w:pPr>
      <w:r>
        <w:t>**Stochastique** : Le %K (16,42) et le %D (15,31) sont tous deux en zone de survente profonde (&lt;20), avec un %K légèrement supérieur au %D, ce qui peut annoncer un croisement haussier imminent. La décision est donc **Achat**, en contradiction avec les autres indicateurs.</w:t>
      </w:r>
    </w:p>
    <w:p>
      <w:pPr>
        <w:spacing w:after="120" w:line="276" w:lineRule="auto"/>
      </w:pPr>
      <w:r>
        <w:t>**Conclusion technique** : Les indicateurs techniques présentent un tableau majoritairement baissier (MM, MACD en Vente ; Bollinger et RSI en Neutre), tempéré par le Stochastique en zone de survente qui suggère un possible rebond à court terme. La convergence des signaux baissiers à moyen terme et la divergence du Stochastique plaident pour une prudence accrue, avec un risque de poursuite de la baisse tant que le cours reste sous la MM20 (50 313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(exercices 2022 et 2021), analysés respectivement les 15 et 16 mars 2026. Pour l'exercice 2023, le chiffre d'affaires s'établit à 24 336 010 000 FCFA, stable par rapport à 2022, tandis que le résultat net redevient positif à 640 334 855 FCFA après une perte de 6 908 362 002 FCFA en 2022, soit une marge nette de 2,63% (contre -28,4% en 2022). Le résultat d'exploitation passe de -6 258 M FCFA en 2022 à +3 340 M FCFA en 2023, traduisant un redressement opérationnel réel mais fragile. Les capitaux propres restent négatifs à -10 658 M FCFA et le report à nouveau s'élève à -35 635 M FCFA, ce qui exclut toute distribution de dividende en 2023 (DPA = 0 FCFA). La dette financière progresse à 4 379 M FCFA (contre 3 827 M FCFA en 2022), et la trésorerie passive de 14 874 M FCFA dépasse largement la trésorerie active, signalant un risque de liquidité. Pour l'exercice 2022, le CA de 24 336 M FCFA était en baisse de 21,5% par rapport à 2021 (36 174,6 M FCFA), sous l'effet de la cession de l'activité "Thé" (Lipton) et des perturbations régionales (embargo malien, restrictions BCEAO). L'exercice 2021 avait dégagé un bénéfice net de 6 090 755 732 FCFA (marge nette de 25,0%) et un EBE de 2 391 355 750 FCFA, avant la dégradation de 2022. En synthèse, UNLC présente un profil fondamental en redressement progressif mais toujours précaire : la rentabilité opérationnelle s'améliore, mais la structure financière (capitaux propres négatifs, endettement croissant, absence de dividende) demeure un risque majeur. La recommandation fondamentale est de **Conserver avec vigilance**, en attendant la confirmation d'une rentabilité durable et d'une reconstitution des capitaux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appréciation prudente du dossier UNLC. Sur le plan de la valorisation (Partie 0), l'absence de ratios PER/P/B/EV-EBITDA calculables empêche toute conclusion tranchée sur une sous- ou surévaluation, mais la capitalisation de 440,80 Mds FCFA pour une société aux capitaux propres négatifs suggère une valorisation tendue. Le comportement du cours (Partie 1) est clairement baissier (-14,44% sur 100 jours), avec une volatilité élevée (57,4%) et des statistiques descriptives (kurtosis -0,560, skewness -0,200) qui ne signalent pas de risque extrême mais confirment une tendance dépressive. Les signaux techniques (Partie 2) sont majoritairement baissiers (MM, MACD en Vente ; Bollinger, RSI en Neutre), seul le Stochastique en survente offrant une lueur d'espoir de rebond. Les fondamentaux (Partie 3) montrent un redressement opérationnel en 2023 (résultat net de 640 M FCFA, marge de 2,63%) mais une structure financière toujours fragile (capitaux propres négatifs, endettement en hausse, absence de dividende). Les prédictions IA (J+1 à J+10) anticipent une quasi-stagnation du cours autour de 47 915-47 937 FCFA, confirmant l'absence de catalyseur haussier à court terme. Sur cette base, la recommandation finale est **CONSERVER**, avec un niveau de confiance **Moyen** et un niveau de risque global **Élevé**. L'horizon d'investissement optimal est le **long terme (&gt;1 an)**, en attendant une confirmation durable de la rentabilité et une amélioration de la structure financière ; les investisseurs à court terme sont invités à la prudence face à la persistance de la tendance baissière.</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47.41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13,486 titres</w:t>
            </w:r>
          </w:p>
        </w:tc>
        <w:tc>
          <w:tcPr>
            <w:tcW w:type="dxa" w:w="2268"/>
            <w:shd w:fill="FFF2CC" w:val="clear"/>
          </w:tcPr>
          <w:p>
            <w:r>
              <w:rPr>
                <w:b/>
                <w:color w:val="503200"/>
                <w:sz w:val="16"/>
              </w:rPr>
              <w:t xml:space="preserve">Cours actuel : </w:t>
            </w:r>
            <w:r>
              <w:rPr>
                <w:color w:val="000000"/>
                <w:sz w:val="17"/>
              </w:rPr>
              <w:t>2,285 FCFA</w:t>
            </w:r>
          </w:p>
          <w:p>
            <w:r>
              <w:rPr>
                <w:b/>
                <w:color w:val="503200"/>
                <w:sz w:val="16"/>
              </w:rPr>
              <w:t xml:space="preserve">Var. 100 jours : </w:t>
            </w:r>
            <w:r>
              <w:rPr>
                <w:b/>
                <w:color w:val="007800"/>
                <w:sz w:val="17"/>
              </w:rPr>
              <w:t>+24.86%</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15.13% (Élevée) — μ=2,023 FCFA, σ=306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β=0.6047 (Défensif) — Cov=0.000045, Var(idx)=0.000074, ρ=0.163,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13,486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2026-10-12</w:t>
            </w:r>
          </w:p>
        </w:tc>
        <w:tc>
          <w:tcPr>
            <w:tcW w:type="dxa" w:w="1440"/>
            <w:shd w:fill="FAFAFA" w:val="clear"/>
          </w:tcPr>
          <w:p>
            <w:r>
              <w:rPr>
                <w:sz w:val="17"/>
              </w:rPr>
              <w:t>2,187</w:t>
            </w:r>
          </w:p>
        </w:tc>
        <w:tc>
          <w:tcPr>
            <w:tcW w:type="dxa" w:w="1440"/>
            <w:shd w:fill="FAFAFA" w:val="clear"/>
          </w:tcPr>
          <w:p>
            <w:r>
              <w:rPr>
                <w:b/>
                <w:sz w:val="17"/>
              </w:rPr>
              <w:t>2,264</w:t>
            </w:r>
          </w:p>
        </w:tc>
        <w:tc>
          <w:tcPr>
            <w:tcW w:type="dxa" w:w="1440"/>
            <w:shd w:fill="FAFAFA" w:val="clear"/>
          </w:tcPr>
          <w:p>
            <w:r>
              <w:rPr>
                <w:sz w:val="17"/>
              </w:rPr>
              <w:t>2,341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2026-10-13</w:t>
            </w:r>
          </w:p>
        </w:tc>
        <w:tc>
          <w:tcPr>
            <w:tcW w:type="dxa" w:w="1440"/>
            <w:shd w:fill="FAFAFA" w:val="clear"/>
          </w:tcPr>
          <w:p>
            <w:r>
              <w:rPr>
                <w:sz w:val="17"/>
              </w:rPr>
              <w:t>2,140</w:t>
            </w:r>
          </w:p>
        </w:tc>
        <w:tc>
          <w:tcPr>
            <w:tcW w:type="dxa" w:w="1440"/>
            <w:shd w:fill="FAFAFA" w:val="clear"/>
          </w:tcPr>
          <w:p>
            <w:r>
              <w:rPr>
                <w:b/>
                <w:sz w:val="17"/>
              </w:rPr>
              <w:t>2,248</w:t>
            </w:r>
          </w:p>
        </w:tc>
        <w:tc>
          <w:tcPr>
            <w:tcW w:type="dxa" w:w="1440"/>
            <w:shd w:fill="FAFAFA" w:val="clear"/>
          </w:tcPr>
          <w:p>
            <w:r>
              <w:rPr>
                <w:sz w:val="17"/>
              </w:rPr>
              <w:t>2,356</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2026-10-14</w:t>
            </w:r>
          </w:p>
        </w:tc>
        <w:tc>
          <w:tcPr>
            <w:tcW w:type="dxa" w:w="1440"/>
            <w:shd w:fill="FFDCE0" w:val="clear"/>
          </w:tcPr>
          <w:p>
            <w:r>
              <w:rPr>
                <w:sz w:val="17"/>
              </w:rPr>
              <w:t>2,100</w:t>
            </w:r>
          </w:p>
        </w:tc>
        <w:tc>
          <w:tcPr>
            <w:tcW w:type="dxa" w:w="1440"/>
            <w:shd w:fill="FFDCE0" w:val="clear"/>
          </w:tcPr>
          <w:p>
            <w:r>
              <w:rPr>
                <w:b/>
                <w:sz w:val="17"/>
              </w:rPr>
              <w:t>2,232</w:t>
            </w:r>
          </w:p>
        </w:tc>
        <w:tc>
          <w:tcPr>
            <w:tcW w:type="dxa" w:w="1440"/>
            <w:shd w:fill="FFDCE0" w:val="clear"/>
          </w:tcPr>
          <w:p>
            <w:r>
              <w:rPr>
                <w:sz w:val="17"/>
              </w:rPr>
              <w:t>2,363</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2026-10-15</w:t>
            </w:r>
          </w:p>
        </w:tc>
        <w:tc>
          <w:tcPr>
            <w:tcW w:type="dxa" w:w="1440"/>
            <w:shd w:fill="FFDCE0" w:val="clear"/>
          </w:tcPr>
          <w:p>
            <w:r>
              <w:rPr>
                <w:sz w:val="17"/>
              </w:rPr>
              <w:t>2,065</w:t>
            </w:r>
          </w:p>
        </w:tc>
        <w:tc>
          <w:tcPr>
            <w:tcW w:type="dxa" w:w="1440"/>
            <w:shd w:fill="FFDCE0" w:val="clear"/>
          </w:tcPr>
          <w:p>
            <w:r>
              <w:rPr>
                <w:b/>
                <w:sz w:val="17"/>
              </w:rPr>
              <w:t>2,216</w:t>
            </w:r>
          </w:p>
        </w:tc>
        <w:tc>
          <w:tcPr>
            <w:tcW w:type="dxa" w:w="1440"/>
            <w:shd w:fill="FFDCE0" w:val="clear"/>
          </w:tcPr>
          <w:p>
            <w:r>
              <w:rPr>
                <w:sz w:val="17"/>
              </w:rPr>
              <w:t>2,366</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2026-10-16</w:t>
            </w:r>
          </w:p>
        </w:tc>
        <w:tc>
          <w:tcPr>
            <w:tcW w:type="dxa" w:w="1440"/>
            <w:shd w:fill="FFDCE0" w:val="clear"/>
          </w:tcPr>
          <w:p>
            <w:r>
              <w:rPr>
                <w:sz w:val="17"/>
              </w:rPr>
              <w:t>2,034</w:t>
            </w:r>
          </w:p>
        </w:tc>
        <w:tc>
          <w:tcPr>
            <w:tcW w:type="dxa" w:w="1440"/>
            <w:shd w:fill="FFDCE0" w:val="clear"/>
          </w:tcPr>
          <w:p>
            <w:r>
              <w:rPr>
                <w:b/>
                <w:sz w:val="17"/>
              </w:rPr>
              <w:t>2,201</w:t>
            </w:r>
          </w:p>
        </w:tc>
        <w:tc>
          <w:tcPr>
            <w:tcW w:type="dxa" w:w="1440"/>
            <w:shd w:fill="FFDCE0" w:val="clear"/>
          </w:tcPr>
          <w:p>
            <w:r>
              <w:rPr>
                <w:sz w:val="17"/>
              </w:rPr>
              <w:t>2,368</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2026-10-19</w:t>
            </w:r>
          </w:p>
        </w:tc>
        <w:tc>
          <w:tcPr>
            <w:tcW w:type="dxa" w:w="1440"/>
            <w:shd w:fill="FFDCE0" w:val="clear"/>
          </w:tcPr>
          <w:p>
            <w:r>
              <w:rPr>
                <w:sz w:val="17"/>
              </w:rPr>
              <w:t>2,004</w:t>
            </w:r>
          </w:p>
        </w:tc>
        <w:tc>
          <w:tcPr>
            <w:tcW w:type="dxa" w:w="1440"/>
            <w:shd w:fill="FFDCE0" w:val="clear"/>
          </w:tcPr>
          <w:p>
            <w:r>
              <w:rPr>
                <w:b/>
                <w:sz w:val="17"/>
              </w:rPr>
              <w:t>2,186</w:t>
            </w:r>
          </w:p>
        </w:tc>
        <w:tc>
          <w:tcPr>
            <w:tcW w:type="dxa" w:w="1440"/>
            <w:shd w:fill="FFDCE0" w:val="clear"/>
          </w:tcPr>
          <w:p>
            <w:r>
              <w:rPr>
                <w:sz w:val="17"/>
              </w:rPr>
              <w:t>2,368</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2026-10-20</w:t>
            </w:r>
          </w:p>
        </w:tc>
        <w:tc>
          <w:tcPr>
            <w:tcW w:type="dxa" w:w="1440"/>
            <w:shd w:fill="FFDCE0" w:val="clear"/>
          </w:tcPr>
          <w:p>
            <w:r>
              <w:rPr>
                <w:sz w:val="17"/>
              </w:rPr>
              <w:t>1,977</w:t>
            </w:r>
          </w:p>
        </w:tc>
        <w:tc>
          <w:tcPr>
            <w:tcW w:type="dxa" w:w="1440"/>
            <w:shd w:fill="FFDCE0" w:val="clear"/>
          </w:tcPr>
          <w:p>
            <w:r>
              <w:rPr>
                <w:b/>
                <w:sz w:val="17"/>
              </w:rPr>
              <w:t>2,172</w:t>
            </w:r>
          </w:p>
        </w:tc>
        <w:tc>
          <w:tcPr>
            <w:tcW w:type="dxa" w:w="1440"/>
            <w:shd w:fill="FFDCE0" w:val="clear"/>
          </w:tcPr>
          <w:p>
            <w:r>
              <w:rPr>
                <w:sz w:val="17"/>
              </w:rPr>
              <w:t>2,367</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2026-10-21</w:t>
            </w:r>
          </w:p>
        </w:tc>
        <w:tc>
          <w:tcPr>
            <w:tcW w:type="dxa" w:w="1440"/>
            <w:shd w:fill="FFDCE0" w:val="clear"/>
          </w:tcPr>
          <w:p>
            <w:r>
              <w:rPr>
                <w:sz w:val="17"/>
              </w:rPr>
              <w:t>1,951</w:t>
            </w:r>
          </w:p>
        </w:tc>
        <w:tc>
          <w:tcPr>
            <w:tcW w:type="dxa" w:w="1440"/>
            <w:shd w:fill="FFDCE0" w:val="clear"/>
          </w:tcPr>
          <w:p>
            <w:r>
              <w:rPr>
                <w:b/>
                <w:sz w:val="17"/>
              </w:rPr>
              <w:t>2,158</w:t>
            </w:r>
          </w:p>
        </w:tc>
        <w:tc>
          <w:tcPr>
            <w:tcW w:type="dxa" w:w="1440"/>
            <w:shd w:fill="FFDCE0" w:val="clear"/>
          </w:tcPr>
          <w:p>
            <w:r>
              <w:rPr>
                <w:sz w:val="17"/>
              </w:rPr>
              <w:t>2,366</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2026-10-22</w:t>
            </w:r>
          </w:p>
        </w:tc>
        <w:tc>
          <w:tcPr>
            <w:tcW w:type="dxa" w:w="1440"/>
            <w:shd w:fill="FFDCE0" w:val="clear"/>
          </w:tcPr>
          <w:p>
            <w:r>
              <w:rPr>
                <w:sz w:val="17"/>
              </w:rPr>
              <w:t>1,927</w:t>
            </w:r>
          </w:p>
        </w:tc>
        <w:tc>
          <w:tcPr>
            <w:tcW w:type="dxa" w:w="1440"/>
            <w:shd w:fill="FFDCE0" w:val="clear"/>
          </w:tcPr>
          <w:p>
            <w:r>
              <w:rPr>
                <w:b/>
                <w:sz w:val="17"/>
              </w:rPr>
              <w:t>2,145</w:t>
            </w:r>
          </w:p>
        </w:tc>
        <w:tc>
          <w:tcPr>
            <w:tcW w:type="dxa" w:w="1440"/>
            <w:shd w:fill="FFDCE0" w:val="clear"/>
          </w:tcPr>
          <w:p>
            <w:r>
              <w:rPr>
                <w:sz w:val="17"/>
              </w:rPr>
              <w:t>2,364</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2026-10-23</w:t>
            </w:r>
          </w:p>
        </w:tc>
        <w:tc>
          <w:tcPr>
            <w:tcW w:type="dxa" w:w="1440"/>
            <w:shd w:fill="FFDCE0" w:val="clear"/>
          </w:tcPr>
          <w:p>
            <w:r>
              <w:rPr>
                <w:sz w:val="17"/>
              </w:rPr>
              <w:t>1,903</w:t>
            </w:r>
          </w:p>
        </w:tc>
        <w:tc>
          <w:tcPr>
            <w:tcW w:type="dxa" w:w="1440"/>
            <w:shd w:fill="FFDCE0" w:val="clear"/>
          </w:tcPr>
          <w:p>
            <w:r>
              <w:rPr>
                <w:b/>
                <w:sz w:val="17"/>
              </w:rPr>
              <w:t>2,132</w:t>
            </w:r>
          </w:p>
        </w:tc>
        <w:tc>
          <w:tcPr>
            <w:tcW w:type="dxa" w:w="1440"/>
            <w:shd w:fill="FFDCE0" w:val="clear"/>
          </w:tcPr>
          <w:p>
            <w:r>
              <w:rPr>
                <w:sz w:val="17"/>
              </w:rPr>
              <w:t>2,361</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3.693 Mds FCFA</w:t>
            </w:r>
          </w:p>
        </w:tc>
        <w:tc>
          <w:tcPr>
            <w:tcW w:type="dxa" w:w="5669"/>
            <w:shd w:fill="FFFFFF" w:val="clear"/>
          </w:tcPr>
          <w:p>
            <w:r>
              <w:rPr>
                <w:color w:val="282828"/>
                <w:sz w:val="15"/>
              </w:rPr>
              <w:t>Créances clients = 12.7%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12.179 Mds FCFA</w:t>
            </w:r>
          </w:p>
        </w:tc>
        <w:tc>
          <w:tcPr>
            <w:tcW w:type="dxa" w:w="5669"/>
            <w:shd w:fill="FFFFFF" w:val="clear"/>
          </w:tcPr>
          <w:p>
            <w:r>
              <w:rPr>
                <w:color w:val="282828"/>
                <w:sz w:val="15"/>
              </w:rPr>
              <w:t>Rotation stocks = 2.4x/an.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17.281 Mds FCFA</w:t>
            </w:r>
          </w:p>
        </w:tc>
        <w:tc>
          <w:tcPr>
            <w:tcW w:type="dxa" w:w="5669"/>
            <w:shd w:fill="FFFFFF" w:val="clear"/>
          </w:tcPr>
          <w:p>
            <w:r>
              <w:rPr>
                <w:color w:val="282828"/>
                <w:sz w:val="15"/>
              </w:rPr>
              <w:t>Ratio actif circ./passif circ. = 2.84x.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114.77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9.507 Mds FCFA</w:t>
            </w:r>
          </w:p>
        </w:tc>
        <w:tc>
          <w:tcPr>
            <w:tcW w:type="dxa" w:w="5669"/>
            <w:shd w:fill="FFFFFF" w:val="clear"/>
          </w:tcPr>
          <w:p>
            <w:r>
              <w:rPr>
                <w:color w:val="282828"/>
                <w:sz w:val="15"/>
              </w:rPr>
              <w:t>Outil industriel (30.0%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10.642 Mds FCFA</w:t>
            </w:r>
          </w:p>
        </w:tc>
        <w:tc>
          <w:tcPr>
            <w:tcW w:type="dxa" w:w="5669"/>
            <w:shd w:fill="FFFFFF" w:val="clear"/>
          </w:tcPr>
          <w:p>
            <w:r>
              <w:rPr>
                <w:color w:val="282828"/>
                <w:sz w:val="15"/>
              </w:rPr>
              <w:t>Actif immobilisé = 33.5%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3.813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31.736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6.156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24.619 Mds FCFA</w:t>
            </w:r>
          </w:p>
        </w:tc>
        <w:tc>
          <w:tcPr>
            <w:tcW w:type="dxa" w:w="5669"/>
            <w:shd w:fill="FFFFFF" w:val="clear"/>
          </w:tcPr>
          <w:p>
            <w:r>
              <w:rPr>
                <w:color w:val="282828"/>
                <w:sz w:val="15"/>
              </w:rPr>
              <w:t>Fonds propres = 77.6%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25.643 Mds FCFA</w:t>
            </w:r>
          </w:p>
        </w:tc>
        <w:tc>
          <w:tcPr>
            <w:tcW w:type="dxa" w:w="5669"/>
            <w:shd w:fill="FFFFFF" w:val="clear"/>
          </w:tcPr>
          <w:p>
            <w:r>
              <w:rPr>
                <w:color w:val="282828"/>
                <w:sz w:val="15"/>
              </w:rPr>
              <w:t>Capitaux permanents / Actif immobilisé = 2.41x.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4.977 Mds FCFA</w:t>
            </w:r>
          </w:p>
        </w:tc>
        <w:tc>
          <w:tcPr>
            <w:tcW w:type="dxa" w:w="5669"/>
            <w:shd w:fill="FFFFFF" w:val="clear"/>
          </w:tcPr>
          <w:p>
            <w:r>
              <w:rPr>
                <w:color w:val="282828"/>
                <w:sz w:val="15"/>
              </w:rPr>
              <w:t>Délai fournisseurs implicite ≈ 63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368.66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368.66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7.117 Mds FCFA</w:t>
            </w:r>
          </w:p>
        </w:tc>
        <w:tc>
          <w:tcPr>
            <w:tcW w:type="dxa" w:w="5669"/>
            <w:shd w:fill="FFFFFF" w:val="clear"/>
          </w:tcPr>
          <w:p>
            <w:r>
              <w:rPr>
                <w:color w:val="282828"/>
                <w:sz w:val="15"/>
              </w:rPr>
              <w:t>Dettes totales = 22.4%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29.032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29.032 Mds FCFA</w:t>
            </w:r>
          </w:p>
        </w:tc>
        <w:tc>
          <w:tcPr>
            <w:tcW w:type="dxa" w:w="5669"/>
            <w:shd w:fill="FFFFFF" w:val="clear"/>
          </w:tcPr>
          <w:p>
            <w:r>
              <w:rPr>
                <w:color w:val="282828"/>
                <w:sz w:val="15"/>
              </w:rPr>
              <w:t>Chiffre d'affaires. Croissance: 6.2%.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2.155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5.436 Mds FCFA</w:t>
            </w:r>
          </w:p>
        </w:tc>
        <w:tc>
          <w:tcPr>
            <w:tcW w:type="dxa" w:w="5669"/>
            <w:shd w:fill="FFFFFF" w:val="clear"/>
          </w:tcPr>
          <w:p>
            <w:r>
              <w:rPr>
                <w:color w:val="282828"/>
                <w:sz w:val="15"/>
              </w:rPr>
              <w:t>Masse salariale = 18.7%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6.563 Mds FCFA</w:t>
            </w:r>
          </w:p>
        </w:tc>
        <w:tc>
          <w:tcPr>
            <w:tcW w:type="dxa" w:w="5669"/>
            <w:shd w:fill="FFFFFF" w:val="clear"/>
          </w:tcPr>
          <w:p>
            <w:r>
              <w:rPr>
                <w:color w:val="282828"/>
                <w:sz w:val="15"/>
              </w:rPr>
              <w:t>VA = 22.6%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1.127 Mds FCFA</w:t>
            </w:r>
          </w:p>
        </w:tc>
        <w:tc>
          <w:tcPr>
            <w:tcW w:type="dxa" w:w="5669"/>
            <w:shd w:fill="FFFFFF" w:val="clear"/>
          </w:tcPr>
          <w:p>
            <w:r>
              <w:rPr>
                <w:color w:val="282828"/>
                <w:sz w:val="15"/>
              </w:rPr>
              <w:t>EBE = 3.9%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-423.61 M FCFA</w:t>
            </w:r>
          </w:p>
        </w:tc>
        <w:tc>
          <w:tcPr>
            <w:tcW w:type="dxa" w:w="5669"/>
            <w:shd w:fill="FFFFFF" w:val="clear"/>
          </w:tcPr>
          <w:p>
            <w:r>
              <w:rPr>
                <w:color w:val="282828"/>
                <w:sz w:val="15"/>
              </w:rPr>
              <w:t>Profit d'exploitation = -1.5%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-624.11 M FCFA</w:t>
            </w:r>
          </w:p>
        </w:tc>
        <w:tc>
          <w:tcPr>
            <w:tcW w:type="dxa" w:w="5669"/>
            <w:shd w:fill="FFFFFF" w:val="clear"/>
          </w:tcPr>
          <w:p>
            <w:r>
              <w:rPr>
                <w:color w:val="282828"/>
                <w:sz w:val="15"/>
              </w:rPr>
              <w:t>Marge nette = -2.1%.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904.48 M FCFA</w:t>
            </w:r>
          </w:p>
        </w:tc>
        <w:tc>
          <w:tcPr>
            <w:tcW w:type="dxa" w:w="5669"/>
            <w:shd w:fill="FFFFFF" w:val="clear"/>
          </w:tcPr>
          <w:p>
            <w:r>
              <w:rPr>
                <w:color w:val="282828"/>
                <w:sz w:val="15"/>
              </w:rPr>
              <w:t>CAF = 0.90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-8.124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9.399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43.03 M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-8.239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11.187 Mds FCFA</w:t>
            </w:r>
          </w:p>
        </w:tc>
        <w:tc>
          <w:tcPr>
            <w:tcW w:type="dxa" w:w="5669"/>
            <w:shd w:fill="FFFFFF" w:val="clear"/>
          </w:tcPr>
          <w:p>
            <w:r>
              <w:rPr>
                <w:color w:val="282828"/>
                <w:sz w:val="15"/>
              </w:rPr>
              <w:t>BFR = 38.5%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15.001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3.813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53.53%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-2.15%</w:t>
            </w:r>
          </w:p>
        </w:tc>
        <w:tc>
          <w:tcPr>
            <w:tcW w:type="dxa" w:w="5669"/>
            <w:shd w:fill="FFFFFF" w:val="clear"/>
          </w:tcPr>
          <w:p>
            <w:r>
              <w:rPr>
                <w:color w:val="282828"/>
                <w:sz w:val="15"/>
              </w:rPr>
              <w:t>Résultat net / revenus = -2.15%.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-1.46%</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-2.54%</w:t>
            </w:r>
          </w:p>
        </w:tc>
        <w:tc>
          <w:tcPr>
            <w:tcW w:type="dxa" w:w="5669"/>
            <w:shd w:fill="FFFFFF" w:val="clear"/>
          </w:tcPr>
          <w:p>
            <w:r>
              <w:rPr>
                <w:color w:val="282828"/>
                <w:sz w:val="15"/>
              </w:rPr>
              <w:t>Résultat net / capitaux propres = -2.54%.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-1.97%</w:t>
            </w:r>
          </w:p>
        </w:tc>
        <w:tc>
          <w:tcPr>
            <w:tcW w:type="dxa" w:w="5669"/>
            <w:shd w:fill="FFFFFF" w:val="clear"/>
          </w:tcPr>
          <w:p>
            <w:r>
              <w:rPr>
                <w:color w:val="282828"/>
                <w:sz w:val="15"/>
              </w:rPr>
              <w:t>Résultat net / total actif = -1.97%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91.48%</w:t>
            </w:r>
          </w:p>
        </w:tc>
        <w:tc>
          <w:tcPr>
            <w:tcW w:type="dxa" w:w="5669"/>
            <w:shd w:fill="FFFFFF" w:val="clear"/>
          </w:tcPr>
          <w:p>
            <w:r>
              <w:rPr>
                <w:color w:val="282828"/>
                <w:sz w:val="15"/>
              </w:rPr>
              <w:t>CA / total actif = 91.48x.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6.21%</w:t>
            </w:r>
          </w:p>
        </w:tc>
        <w:tc>
          <w:tcPr>
            <w:tcW w:type="dxa" w:w="5669"/>
            <w:shd w:fill="FFFFFF" w:val="clear"/>
          </w:tcPr>
          <w:p>
            <w:r>
              <w:rPr>
                <w:color w:val="282828"/>
                <w:sz w:val="15"/>
              </w:rPr>
              <w:t>Croissance CA vs exercice précédent = 6.21%.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77.58%</w:t>
            </w:r>
          </w:p>
        </w:tc>
        <w:tc>
          <w:tcPr>
            <w:tcW w:type="dxa" w:w="5669"/>
            <w:shd w:fill="FFFFFF" w:val="clear"/>
          </w:tcPr>
          <w:p>
            <w:r>
              <w:rPr>
                <w:color w:val="282828"/>
                <w:sz w:val="15"/>
              </w:rPr>
              <w:t>Fonds propres / total bilan = 77.58%.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22.42%</w:t>
            </w:r>
          </w:p>
        </w:tc>
        <w:tc>
          <w:tcPr>
            <w:tcW w:type="dxa" w:w="5669"/>
            <w:shd w:fill="FFFFFF" w:val="clear"/>
          </w:tcPr>
          <w:p>
            <w:r>
              <w:rPr>
                <w:color w:val="282828"/>
                <w:sz w:val="15"/>
              </w:rPr>
              <w:t>Dettes financières / total bilan = 22.42%.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1.50%</w:t>
            </w:r>
          </w:p>
        </w:tc>
        <w:tc>
          <w:tcPr>
            <w:tcW w:type="dxa" w:w="5669"/>
            <w:shd w:fill="FFFFFF" w:val="clear"/>
          </w:tcPr>
          <w:p>
            <w:r>
              <w:rPr>
                <w:color w:val="282828"/>
                <w:sz w:val="15"/>
              </w:rPr>
              <w:t>Dettes totales / fonds propres = 1.50%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445.93%</w:t>
            </w:r>
          </w:p>
        </w:tc>
        <w:tc>
          <w:tcPr>
            <w:tcW w:type="dxa" w:w="5669"/>
            <w:shd w:fill="FFFFFF" w:val="clear"/>
          </w:tcPr>
          <w:p>
            <w:r>
              <w:rPr>
                <w:color w:val="282828"/>
                <w:sz w:val="15"/>
              </w:rPr>
              <w:t>Total actif / dettes totales = 445.93x.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346.19%</w:t>
            </w:r>
          </w:p>
        </w:tc>
        <w:tc>
          <w:tcPr>
            <w:tcW w:type="dxa" w:w="5669"/>
            <w:shd w:fill="FFFFFF" w:val="clear"/>
          </w:tcPr>
          <w:p>
            <w:r>
              <w:rPr>
                <w:color w:val="282828"/>
                <w:sz w:val="15"/>
              </w:rPr>
              <w:t>Actif circulant / passif circulant = 346.19x.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62.59%</w:t>
            </w:r>
          </w:p>
        </w:tc>
        <w:tc>
          <w:tcPr>
            <w:tcW w:type="dxa" w:w="5669"/>
            <w:shd w:fill="FFFFFF" w:val="clear"/>
          </w:tcPr>
          <w:p>
            <w:r>
              <w:rPr>
                <w:color w:val="282828"/>
                <w:sz w:val="15"/>
              </w:rPr>
              <w:t>Trésorerie / passif circulant = 62.59x.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146.32%</w:t>
            </w:r>
          </w:p>
        </w:tc>
        <w:tc>
          <w:tcPr>
            <w:tcW w:type="dxa" w:w="5669"/>
            <w:shd w:fill="FFFFFF" w:val="clear"/>
          </w:tcPr>
          <w:p>
            <w:r>
              <w:rPr>
                <w:color w:val="282828"/>
                <w:sz w:val="15"/>
              </w:rPr>
              <w:t>(Actif circ. - stocks) / passif circ. = 146.32x.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240.96%</w:t>
            </w:r>
          </w:p>
        </w:tc>
        <w:tc>
          <w:tcPr>
            <w:tcW w:type="dxa" w:w="5669"/>
            <w:shd w:fill="FFFFFF" w:val="clear"/>
          </w:tcPr>
          <w:p>
            <w:r>
              <w:rPr>
                <w:color w:val="282828"/>
                <w:sz w:val="15"/>
              </w:rPr>
              <w:t>Capitaux permanents / actif immobilisé = 240.96x.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-1249.16%</w:t>
            </w:r>
          </w:p>
        </w:tc>
        <w:tc>
          <w:tcPr>
            <w:tcW w:type="dxa" w:w="5669"/>
            <w:shd w:fill="FFFFFF" w:val="clear"/>
          </w:tcPr>
          <w:p>
            <w:r>
              <w:rPr>
                <w:color w:val="282828"/>
                <w:sz w:val="15"/>
              </w:rPr>
              <w:t>Résultat exploit. / charges financières = -1249.16x.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789.90%</w:t>
            </w:r>
          </w:p>
        </w:tc>
        <w:tc>
          <w:tcPr>
            <w:tcW w:type="dxa" w:w="5669"/>
            <w:shd w:fill="FFFFFF" w:val="clear"/>
          </w:tcPr>
          <w:p>
            <w:r>
              <w:rPr>
                <w:color w:val="282828"/>
                <w:sz w:val="15"/>
              </w:rPr>
              <w:t>CAF / investissements = 789.90x.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45.8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102.4 j</w:t>
            </w:r>
          </w:p>
        </w:tc>
        <w:tc>
          <w:tcPr>
            <w:tcW w:type="dxa" w:w="5669"/>
            <w:shd w:fill="FFFFFF" w:val="clear"/>
          </w:tcPr>
          <w:p>
            <w:r>
              <w:rPr>
                <w:color w:val="282828"/>
                <w:sz w:val="15"/>
              </w:rPr>
              <w:t>Paiement des fournisseurs en 102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325.0 j</w:t>
            </w:r>
          </w:p>
        </w:tc>
        <w:tc>
          <w:tcPr>
            <w:tcW w:type="dxa" w:w="5669"/>
            <w:shd w:fill="FFFFFF" w:val="clear"/>
          </w:tcPr>
          <w:p>
            <w:r>
              <w:rPr>
                <w:color w:val="282828"/>
                <w:sz w:val="15"/>
              </w:rPr>
              <w:t>Stock écoulé en 325 jours. ❌ Stock quasi-bloqué — risque d'obsolescence ou de surstock.</w:t>
            </w:r>
          </w:p>
        </w:tc>
      </w:tr>
    </w:tbl>
    <w:p/>
    <w:p>
      <w:pPr>
        <w:spacing w:after="120" w:line="276" w:lineRule="auto"/>
      </w:pPr>
      <w:r>
        <w:t>**RAPPORT D'ANALYSE FINANCIÈRE — UNIWAX (UNXC)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47,41 milliards FCFA, UNXC se positionne comme une valeur de taille moyenne sur le compartiment industriel de la BRVM, reflétant sa stature de leader historique du textile ouest-africain. Le BPA ressort à -30 FCFA/action, conséquence directe de la perte nette de 624 millions FCFA enregistrée en 2025, ce qui rend le PER inopérant (-76,0x) et signale une société non profitable sur l'exercice écoulé. Le P/B de 1,93x indique que le marché valorise l'action à près du double de sa valeur comptable, un niveau raisonnable qui traduit une certaine confiance dans le potentiel de redressement malgré les pertes cumulées. En revanche, l'EV/EBITDA de 39,0x apparaît très exigeant (&gt;15x), signifiant que la valeur d'entreprise intègre déjà une forte anticipation de retournement opérationnel, ce qui laisse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progression remarquable de +24,86%, portée par un cours actuel de 2 285 FCFA, bien que la dernière séance ait cédé -1,08%, marquant une légère pause dans l'élan haussier. Le range de trading est particulièrement large, avec un plus haut à 2 495 FCFA et un plus bas à 1 250 FCFA, soit un écart de près de 100% entre les deux extrêmes, témoignant d'une forte amplitude de cotation. La tendance générale est clairement haussière sur la période, soutenue par un volume moyen quotidien de 13 486 titres qui confère une certaine liquidité au titre. Les statistiques descriptives révèlent une moyenne de 2 023 FCFA légèrement supérieure à la médiane de 1 950 FCFA, avec un mode à 1 970 FCFA, suggérant une distribution quasi-symétrique (skewness de -0,248) sans biais marqué vers les valeurs extrêmes. L'écart-type de 308 FCFA (CV=15,2%) indique une dispersion modérée autour de la moyenne, tandis que le kurtosis de -0,563 (mésokurtique) signale une distribution proche de la normale, sans risque de pics extrêmes significatifs. La volatilité annualisée de 50,0% classe le titre dans la catégorie des valeurs très volatiles (&gt;30%), ce qui implique un risque de marché élevé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(2 333,0 FCFA) et la MM50 (2 255,7 FCFA) se situent toutes deux au-dessus du cours actuel (2 285 FCFA), avec la MM20 en position supérieure à la MM50, configurant un croisement haussier classique. Le cours évoluant sous ses deux moyennes, la décision technique affichée est "Achat", suggérant que le repli actuel constitue une opportunité d'entrée dans un trend de fond positif.</w:t>
      </w:r>
    </w:p>
    <w:p>
      <w:pPr>
        <w:spacing w:after="120" w:line="276" w:lineRule="auto"/>
      </w:pPr>
      <w:r>
        <w:t>**Bandes de Bollinger** : Le cours (2 285 FCFA) évolue dans la partie médiane de la bande, entre la borne inférieure (2 201,395 FCFA) et la borne supérieure (2 464,605 FCFA), sans pression directionnelle marquée. La largeur des bandes reflète la volatilité élevée du titre, et la décision "Neutre" indique une absence de signal fort à court terme, le marché attendant un catalyseur pour choisir sa direction.</w:t>
      </w:r>
    </w:p>
    <w:p>
      <w:pPr>
        <w:spacing w:after="120" w:line="276" w:lineRule="auto"/>
      </w:pPr>
      <w:r>
        <w:t>**MACD** : La valeur du MACD (10,243) est nettement inférieure à son signal (25,914), générant une divergence baissière et une décision "Vente". Ce croisement négatif suggère un essoufflement du momentum haussier à court terme, bien que la ligne MACD reste en territoire positif, ce qui tempère la portée baissière du signal.</w:t>
      </w:r>
    </w:p>
    <w:p>
      <w:pPr>
        <w:spacing w:after="120" w:line="276" w:lineRule="auto"/>
      </w:pPr>
      <w:r>
        <w:t>**RSI** : À 47,154, le RSI se situe dans la zone neutre (30-70), sans signal de surachat ni de survente. Cette position médiane indique un équilibre entre acheteurs et vendeurs, avec une décision "Neutre" qui confirme l'absence de pression directionnelle immédiate.</w:t>
      </w:r>
    </w:p>
    <w:p>
      <w:pPr>
        <w:spacing w:after="120" w:line="276" w:lineRule="auto"/>
      </w:pPr>
      <w:r>
        <w:t>**Stochastique** : Le %K (34,694) est inférieur au %D (40,136), avec un croisement baissier en zone basse mais sans atteindre la zone de survente (&lt;20). La décision "Neutre" reflète cette configuration ambiguë, le potentiel de rebond restant possible mais non confirmé.</w:t>
      </w:r>
    </w:p>
    <w:p>
      <w:pPr>
        <w:spacing w:after="120" w:line="276" w:lineRule="auto"/>
      </w:pPr>
      <w:r>
        <w:t>**Conclusion technique** : Les indicateurs présentent un tableau mitigé, avec un signal d'achat sur les moyennes mobiles (cours sous MM20/MM50 dans un trend haussier) mais des signaux de vente/neutre sur le MACD, le RSI et le stochastique. Cette divergence suggère une phase de consolidation après la forte hausse de +24,86%, avec un support potentiel autour de 2 200 FCFA (borne inférieure de Bollinger) et une résistance à 2 464 FCFA. La prudence est de mise à court terme, mais la structure haussière de fond reste intacte tant que le cours se maintient au-dessus de la MM50.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UNIWAX a réalisé un chiffre d'affaires de 29,032 milliards FCFA, en croissance de 6,21% sur un an, confirmant la dynamique commerciale positive. Le résultat net reste négatif à -624,11 millions FCFA, mais s'améliore de 71% par rapport à la perte de -2,19 milliards FCFA en 2024, tandis que l'EBE redevient positif à 1,127 milliard FCFA (contre -0,35 milliard en 2024). Les ratios de rentabilité demeurent négatifs (ROE de -2,54%, ROA de -1,97%), mais la marge brute de 53,53% témoigne d'un potentiel de création de valeur important si les charges fixes sont maîtrisées. La structure financière est solide avec une autonomie financière de 77,58%, un ratio d'endettement de seulement 1,50% et une trésorerie nette de 3,813 milliards FCFA, bien que le flux opérationnel reste négatif à -8,124 milliards FCFA, compensé par des cessions d'actifs (+9,399 milliards FCFA).</w:t>
      </w:r>
    </w:p>
    <w:p>
      <w:pPr>
        <w:spacing w:after="120" w:line="276" w:lineRule="auto"/>
      </w:pPr>
      <w:r>
        <w:t>**Analyse sectorielle (entreprise textile)** : Les délais d'exploitation révèlent des points de vigilance : le délai clients de 45,80 jours est modéré, mais la durée de stockage de 324,99 jours est très élevée, immobilisant 12,179 milliards FCFA de stocks et pesant sur le BFR (11,187 milliards FCFA). À l'inverse, le délai fournisseurs de 102,43 jours constitue un avantage de trésorerie. La rotation des actifs de 91,48% indique une utilisation correcte du bilan, mais la couverture des intérêts négative (-1 249%) reflète un résultat d'exploitation insuffisant pour couvrir les charges financières, malgré leur faible niveau (33,91 millions FCFA).</w:t>
      </w:r>
    </w:p>
    <w:p>
      <w:pPr>
        <w:spacing w:after="120" w:line="276" w:lineRule="auto"/>
      </w:pPr>
      <w:r>
        <w:t>**Estimations basées sur les rapports trimestriels** : Le rapport du S1 2026 (publié en 2026) constitue un signal majeur : le résultat d'exploitation redevient positif à 771 millions FCFA (contre -314 millions au S1 2025), et le résultat net s'établit à 771 millions FCFA (hors plus-value exceptionnelle de 2025). Le chiffre d'affaires du S1 2026 atteint 15,752 milliards FCFA (+0,3%), marquant une décélération après la croissance de 12,5% au S1 2025, mais la rentabilité opérationnelle s'améliore significativement. Sur la base de ces éléments, on estime que l'exercice 2026 pourrait dégager un résultat d'exploitation positif de l'ordre de 1,5 à 2 milliards FCFA, avec un résultat net potentiellement positif pour la première fois depuis 2022, sous réserve de la confirmation de la tendance au second semestre.</w:t>
      </w:r>
    </w:p>
    <w:p>
      <w:pPr>
        <w:spacing w:after="120" w:line="276" w:lineRule="auto"/>
      </w:pPr>
      <w:r>
        <w:t>**Évolution pluriannuelle** : L'historique montre une dégradation progressive de la rentabilité entre 2021 (résultat net de 1,40 milliard FCFA, marge nette de 3,7%) et 2024 (perte de -2,19 milliards FCFA), suivie d'un redressement en 2025 (perte réduite à -624 millions FCFA) et d'une possible inflexion en 2026. La cession-bail du terrain en 2025 a permis un assainissement financier (réduction des dettes fournisseurs de 14,9 à 5,0 milliards FCFA) mais a masqué la performance opérationnelle réelle.</w:t>
      </w:r>
    </w:p>
    <w:p>
      <w:pPr>
        <w:spacing w:after="120" w:line="276" w:lineRule="auto"/>
      </w:pPr>
      <w:r>
        <w:t>**Recommandation fondamentale** : La société présente une solidité bilancielle indéniable (capitaux propres de 24,62 milliards FCFA, endettement quasi nul) et un retour à la rentabilité opérationnelle au S1 2026 constitue un tournant majeur. Cependant, les risques persistent : dépendance aux marchés d'exportation (Nigeria, Guinée), volatilité des coûts des matières premières, et niveau de stocks élevé. La recommandation fondamentale est **CONSERVER avec biais acheteur**, en attendant la confirmation d'un résultat net positif sur l'ensemble de l'exercice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porteur d'opportunités. **Sur le plan de la valorisation (Partie 0)** , le PER négatif et l'EV/EBITDA de 39,0x traduisent une société encore déficitaire mais dont le marché anticipe déjà le redressement, tandis que le P/B de 1,93x reste raisonnable au regard des capitaux propres solides. **Le comportement du cours (Partie 1)** est haussier (+24,86% sur 100 jours) mais très volatil (50% annualisé), avec une distribution symétrique (skewness -0,248) et sans risque de pics extrêmes (kurtosis -0,563), ce qui est rassurant pour la gestion du risque. **Les signaux techniques (Partie 2)** sont divergents : les moyennes mobiles donnent un signal d'achat, mais le MACD, le RSI et le stochastique suggèrent une consolidation, voire un repli à court terme. **Les fondamentaux (Partie 3)** montrent une amélioration réelle : EBE positif en 2025, résultat d'exploitation positif au S1 2026, structure financière assainie, mais la rentabilité nette reste fragile et dépendante de la confirmation au S2 2026. **Les prédictions IA (J+1 à J+10)** anticipent une baisse progressive de 2 264 à 2 201 FCFA, soit un repli de -3,7% sur 10 jours, ce qui contredit le signal d'achat des moyennes mobiles mais s'aligne avec le MACD baissier et la phase de consolidation technique.</w:t>
      </w:r>
    </w:p>
    <w:p>
      <w:pPr>
        <w:spacing w:after="120" w:line="276" w:lineRule="auto"/>
      </w:pPr>
      <w:r>
        <w:t>**Recommandation finale : CONSERVER** — La convergence des signaux est partielle : la valorisation et les fondamentaux plaident pour un potentiel de redressement, mais les signaux techniques à court terme et les prédictions IA suggèrent une consolidation voire un repli vers 2 200 FCFA. Le niveau de confiance est **Moyen**, car la trajectoire de rentabilité dépend de la confirmation du S2 2026, et le risque global est **Élevé** en raison de la volatilité du titre (50%) et de la sensibilité aux marchés d'exportation. L'horizon d'investissement optimal est le **moyen terme (3-12 mois)** , en attendant la publication des résultats annuels 2026 qui devraient confirmer ou infirmer le retour à la rentabilité nette. Une position d'achat pourrait être envisagée sur repli vers 2 200 FCFA (borne inférieure de Bollinger) avec un objectif de 2 500 FCFA, soit un potentiel de +13,6%.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