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10/08/2026 à 05:45</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44 ACHAT  |  3 NEUTRE  |  0 VENTE  (sur 47 sociétés)</w:t>
      </w:r>
    </w:p>
    <w:p>
      <w:pPr>
        <w:spacing w:before="20" w:after="20"/>
        <w:ind w:left="360" w:right="360"/>
        <w:shd w:val="clear" w:color="auto" w:fill="EBF5FB"/>
      </w:pPr>
      <w:r>
        <w:rPr>
          <w:b/>
          <w:sz w:val="19"/>
        </w:rPr>
        <w:t xml:space="preserve">Top opportunité :  </w:t>
      </w:r>
      <w:r>
        <w:rPr>
          <w:color w:val="008000"/>
          <w:sz w:val="19"/>
        </w:rPr>
        <w:t>TTLS  (score 77/100)</w:t>
      </w:r>
    </w:p>
    <w:p>
      <w:pPr>
        <w:spacing w:before="20" w:after="20"/>
        <w:ind w:left="360" w:right="360"/>
        <w:shd w:val="clear" w:color="auto" w:fill="EBF5FB"/>
      </w:pPr>
      <w:r>
        <w:rPr>
          <w:b/>
          <w:sz w:val="19"/>
        </w:rPr>
        <w:t xml:space="preserve">Secteur surperformant :  </w:t>
      </w:r>
      <w:r>
        <w:rPr>
          <w:color w:val="008000"/>
          <w:sz w:val="19"/>
        </w:rPr>
        <w:t>SERVICES PUBLICS  (+52.7%)</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18 sociétés — vérifier avant d'investir</w:t>
      </w:r>
    </w:p>
    <w:p>
      <w:pPr>
        <w:spacing w:before="20" w:after="20"/>
        <w:ind w:left="360" w:right="360"/>
        <w:shd w:val="clear" w:color="auto" w:fill="EBF5FB"/>
      </w:pPr>
      <w:r>
        <w:rPr>
          <w:b/>
          <w:sz w:val="19"/>
        </w:rPr>
        <w:t xml:space="preserve">⚠️ Liquidité réduite :  </w:t>
      </w:r>
      <w:r>
        <w:rPr>
          <w:color w:val="C00000"/>
          <w:sz w:val="19"/>
        </w:rPr>
        <w:t>9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485.48 points </w:t>
      </w:r>
      <w:r>
        <w:rPr>
          <w:color w:val="008000"/>
        </w:rPr>
        <w:t>(+0.66%)</w:t>
      </w:r>
      <w:r>
        <w:t xml:space="preserve"> sur la séance. </w:t>
      </w:r>
      <w:r>
        <w:t>La capitalisation globale du marché atteint 18 702,115 milliards FCFA.</w:t>
      </w:r>
    </w:p>
    <w:p/>
    <w:p>
      <w:pPr>
        <w:pStyle w:val="Heading3"/>
      </w:pPr>
      <w:r>
        <w:t>📊 Évolution de l'indice BRVM Composite (100 derniers jours)</w:t>
      </w:r>
    </w:p>
    <w:p>
      <w:r>
        <w:rPr>
          <w:b/>
        </w:rPr>
        <w:t xml:space="preserve">BRVM Composite — </w:t>
      </w:r>
      <w:r>
        <w:t xml:space="preserve">Sur les 97 derniers jours de cotation (2026-03-13 au 2026-08-06), l'indice BRVM Composite a évolué de </w:t>
      </w:r>
      <w:r>
        <w:rPr>
          <w:b/>
          <w:color w:val="008000"/>
        </w:rPr>
        <w:t>+17.35%</w:t>
      </w:r>
      <w:r>
        <w:t>, passant de 413.71 pts à 485.48 pts. Le plus haut atteint est 485.89 pts et le plus bas 397.33 pts. Sur l'ensemble de la période, la moyenne de l'indice s'établit à 433.82 pts, la médiane à 426.00 pts et le mode à 403.36 pts</w:t>
      </w:r>
      <w:r>
        <w:t xml:space="preserve"> (asymétrie positive — plus de jours sous la moyenne). </w:t>
      </w:r>
      <w:r>
        <w:t xml:space="preserve">L'écart-type de 30.13 pts (CV=6.9%) traduit une faible dispersion des cotations. Le kurtosis de -1.26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+17.25%</w:t>
      </w:r>
      <w:r>
        <w:t xml:space="preserve"> sur la période, passant de 15 950,757 Mds FCFA à 18 702,115 Mds FCFA. Le pic de capitalisation observé est de 18 718,133 Mds FCFA et le plancher de 15 319,235 Mds FCFA. La moyenne de la capitalisation sur la période s'établit à 16 718,918 Mds FCFA, la médiane à 16 422,047 Mds FCFA et le mode à 15 319,235 Mds FCFA</w:t>
      </w:r>
      <w:r>
        <w:t xml:space="preserve"> (asymétrie positive). </w:t>
      </w:r>
      <w:r>
        <w:t>L'écart-type de 1 155,502 Mds FCFA (CV=6.9%) reflète une faible variabilité de la valorisation du marché. Le kurtosis de -1.26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ONTBF - ONTBF - ONATEL BURKINA FASO</w:t>
      </w:r>
      <w:r>
        <w:t xml:space="preserve"> | Prix: 2940 FCFA | </w:t>
      </w:r>
      <w:r>
        <w:rPr>
          <w:b/>
          <w:color w:val="008000"/>
        </w:rPr>
        <w:t>ACHAT FORT</w:t>
      </w:r>
      <w:r>
        <w:t xml:space="preserve"> | Confiance: Faible | Risque: Faible</w:t>
      </w:r>
    </w:p>
    <w:p>
      <w:pPr>
        <w:pStyle w:val="ListNumber"/>
      </w:pPr>
      <w:r>
        <w:rPr>
          <w:b/>
        </w:rPr>
        <w:t>SOGC - SOGC - Société des caoutchoucs de Grand-Béréby</w:t>
      </w:r>
      <w:r>
        <w:t xml:space="preserve"> | Prix: 8100 FCFA | </w:t>
      </w:r>
      <w:r>
        <w:rPr>
          <w:b/>
          <w:color w:val="008000"/>
        </w:rPr>
        <w:t>ACHAT FORT</w:t>
      </w:r>
      <w:r>
        <w:t xml:space="preserve"> | Confiance: Faible | Risque: Faible</w:t>
      </w:r>
    </w:p>
    <w:p>
      <w:pPr>
        <w:pStyle w:val="ListNumber"/>
      </w:pPr>
      <w:r>
        <w:rPr>
          <w:b/>
        </w:rPr>
        <w:t>ABJC - ABJC - SERVAIR ABIDJAN CI</w:t>
      </w:r>
      <w:r>
        <w:t xml:space="preserve"> | Prix: 3010 FCFA | </w:t>
      </w:r>
      <w:r>
        <w:rPr>
          <w:b/>
          <w:color w:val="008000"/>
        </w:rPr>
        <w:t>ACHAT</w:t>
      </w:r>
      <w:r>
        <w:t xml:space="preserve"> | Confiance: Faible | Risque: Moyen</w:t>
      </w:r>
    </w:p>
    <w:p>
      <w:pPr>
        <w:pStyle w:val="ListNumber"/>
      </w:pPr>
      <w:r>
        <w:rPr>
          <w:b/>
        </w:rPr>
        <w:t>BICB - BIIC BN - Banque internationale pour le commerce du benin</w:t>
      </w:r>
      <w:r>
        <w:t xml:space="preserve"> | Prix: 7595 FCFA | </w:t>
      </w:r>
      <w:r>
        <w:rPr>
          <w:b/>
          <w:color w:val="008000"/>
        </w:rPr>
        <w:t>ACHAT</w:t>
      </w:r>
      <w:r>
        <w:t xml:space="preserve"> | Confiance: Moyen | Risque: Faible</w:t>
      </w:r>
    </w:p>
    <w:p>
      <w:pPr>
        <w:pStyle w:val="ListNumber"/>
      </w:pPr>
      <w:r>
        <w:rPr>
          <w:b/>
        </w:rPr>
        <w:t>BNBC - BNBC - BERNABE CI</w:t>
      </w:r>
      <w:r>
        <w:t xml:space="preserve"> | Prix: 1900 FCFA | </w:t>
      </w:r>
      <w:r>
        <w:rPr>
          <w:b/>
          <w:color w:val="008000"/>
        </w:rPr>
        <w:t>ACHAT</w:t>
      </w:r>
      <w:r>
        <w:t xml:space="preserve"> | Confiance: Moyen | Risque: Moyen</w:t>
      </w:r>
    </w:p>
    <w:p>
      <w:pPr>
        <w:pStyle w:val="ListNumber"/>
      </w:pPr>
      <w:r>
        <w:rPr>
          <w:b/>
        </w:rPr>
        <w:t>BOAC - BANK OF AFRICA COTE D'IVOIRE</w:t>
      </w:r>
      <w:r>
        <w:t xml:space="preserve"> | Prix: 11600 FCFA | </w:t>
      </w:r>
      <w:r>
        <w:rPr>
          <w:b/>
          <w:color w:val="008000"/>
        </w:rPr>
        <w:t>ACHAT</w:t>
      </w:r>
      <w:r>
        <w:t xml:space="preserve"> | Confiance: Moyen | Risque: Faible</w:t>
      </w:r>
    </w:p>
    <w:p>
      <w:pPr>
        <w:pStyle w:val="ListNumber"/>
      </w:pPr>
      <w:r>
        <w:rPr>
          <w:b/>
        </w:rPr>
        <w:t>BOAM - BANK OF AFRICA MALI</w:t>
      </w:r>
      <w:r>
        <w:t xml:space="preserve"> | Prix: 5590 FCFA | </w:t>
      </w:r>
      <w:r>
        <w:rPr>
          <w:b/>
          <w:color w:val="008000"/>
        </w:rPr>
        <w:t>ACHAT</w:t>
      </w:r>
      <w:r>
        <w:t xml:space="preserve"> | Confiance: Moyen | Risque: Faible</w:t>
      </w:r>
    </w:p>
    <w:p>
      <w:pPr>
        <w:pStyle w:val="ListNumber"/>
      </w:pPr>
      <w:r>
        <w:rPr>
          <w:b/>
        </w:rPr>
        <w:t>BOAN - BANK OF AFRICA NIGER</w:t>
      </w:r>
      <w:r>
        <w:t xml:space="preserve"> | Prix: 5200 FCFA | </w:t>
      </w:r>
      <w:r>
        <w:rPr>
          <w:b/>
          <w:color w:val="008000"/>
        </w:rPr>
        <w:t>ACHAT</w:t>
      </w:r>
      <w:r>
        <w:t xml:space="preserve"> | Confiance: Moyen | Risque: Moyen</w:t>
      </w:r>
    </w:p>
    <w:p>
      <w:pPr>
        <w:pStyle w:val="ListNumber"/>
      </w:pPr>
      <w:r>
        <w:rPr>
          <w:b/>
        </w:rPr>
        <w:t>BOAS - BANK OF AFRICA SENEGAL</w:t>
      </w:r>
      <w:r>
        <w:t xml:space="preserve"> | Prix: 7710 FCFA | </w:t>
      </w:r>
      <w:r>
        <w:rPr>
          <w:b/>
          <w:color w:val="008000"/>
        </w:rPr>
        <w:t>ACHAT</w:t>
      </w:r>
      <w:r>
        <w:t xml:space="preserve"> | Confiance: Moyen | Risque: Faible</w:t>
      </w:r>
    </w:p>
    <w:p>
      <w:pPr>
        <w:pStyle w:val="ListNumber"/>
      </w:pPr>
      <w:r>
        <w:rPr>
          <w:b/>
        </w:rPr>
        <w:t>CABC - CABC - SICABLE COTE D'IVOIRE</w:t>
      </w:r>
      <w:r>
        <w:t xml:space="preserve"> | Prix: 3550 FCFA | </w:t>
      </w:r>
      <w:r>
        <w:rPr>
          <w:b/>
          <w:color w:val="008000"/>
        </w:rPr>
        <w:t>ACHAT</w:t>
      </w:r>
      <w:r>
        <w:t xml:space="preserve"> | Confiance: Faible | Risque: Faible</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BICC - BICI CI - Banque internationale pour le commerce et l'industrie de la Côte d'Ivoire</w:t>
      </w:r>
      <w:r>
        <w:t xml:space="preserve"> | Prix: 29100 FCFA | </w:t>
      </w:r>
      <w:r>
        <w:rPr>
          <w:b/>
          <w:color w:val="C00000"/>
        </w:rPr>
        <w:t>CONSERVER ⚠️</w:t>
      </w:r>
      <w:r>
        <w:t xml:space="preserve"> | Confiance: Moyen | Risque: Moyen</w:t>
      </w:r>
    </w:p>
    <w:p>
      <w:pPr>
        <w:pStyle w:val="ListNumber"/>
      </w:pPr>
      <w:r>
        <w:rPr>
          <w:b/>
        </w:rPr>
        <w:t>BOAB - BANK OF AFRICA BENIN</w:t>
      </w:r>
      <w:r>
        <w:t xml:space="preserve"> | Prix: 8710 FCFA | </w:t>
      </w:r>
      <w:r>
        <w:rPr>
          <w:b/>
          <w:color w:val="C00000"/>
        </w:rPr>
        <w:t>CONSERVER ⚠️</w:t>
      </w:r>
      <w:r>
        <w:t xml:space="preserve"> | Confiance: Moyen | Risque: Moyen</w:t>
      </w:r>
    </w:p>
    <w:p>
      <w:pPr>
        <w:pStyle w:val="ListNumber"/>
      </w:pPr>
      <w:r>
        <w:rPr>
          <w:b/>
        </w:rPr>
        <w:t>BOABF - BANK OF AFRICA BURKINA FASO</w:t>
      </w:r>
      <w:r>
        <w:t xml:space="preserve"> | Prix: 7230 FCFA | </w:t>
      </w:r>
      <w:r>
        <w:rPr>
          <w:b/>
          <w:color w:val="C00000"/>
        </w:rPr>
        <w:t>CONSERVER ⚠️</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52.74%</w:t>
      </w:r>
      <w:r>
        <w:t xml:space="preserve">  |  </w:t>
      </w:r>
      <w:r>
        <w:rPr>
          <w:b/>
        </w:rPr>
        <w:t xml:space="preserve">vs BRVM Composite: </w:t>
      </w:r>
      <w:r>
        <w:rPr>
          <w:b/>
          <w:color w:val="008000"/>
        </w:rPr>
        <w:t>+35.39%  🟢 Surperformance</w:t>
      </w:r>
      <w:r>
        <w:br/>
      </w:r>
      <w:r>
        <w:rPr>
          <w:b/>
        </w:rPr>
        <w:t xml:space="preserve">Sentiment général: </w:t>
      </w:r>
      <w:r>
        <w:t xml:space="preserve">ACHAT  |  </w:t>
      </w:r>
      <w:r>
        <w:rPr>
          <w:b/>
        </w:rPr>
        <w:t xml:space="preserve">Risque moyen: </w:t>
      </w:r>
      <w:r>
        <w:t xml:space="preserve">Moyen  |  </w:t>
      </w:r>
      <w:r>
        <w:rPr>
          <w:b/>
        </w:rPr>
        <w:t xml:space="preserve">Prix moyen: </w:t>
      </w:r>
      <w:r>
        <w:t>8460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32.77%</w:t>
      </w:r>
      <w:r>
        <w:t xml:space="preserve">  |  </w:t>
      </w:r>
      <w:r>
        <w:rPr>
          <w:b/>
        </w:rPr>
        <w:t xml:space="preserve">vs BRVM Composite: </w:t>
      </w:r>
      <w:r>
        <w:rPr>
          <w:b/>
          <w:color w:val="008000"/>
        </w:rPr>
        <w:t>+15.43%  🟢 Surperformance</w:t>
      </w:r>
      <w:r>
        <w:br/>
      </w:r>
      <w:r>
        <w:rPr>
          <w:b/>
        </w:rPr>
        <w:t xml:space="preserve">Sentiment général: </w:t>
      </w:r>
      <w:r>
        <w:t xml:space="preserve">ACHAT  |  </w:t>
      </w:r>
      <w:r>
        <w:rPr>
          <w:b/>
        </w:rPr>
        <w:t xml:space="preserve">Risque moyen: </w:t>
      </w:r>
      <w:r>
        <w:t xml:space="preserve">Faible  |  </w:t>
      </w:r>
      <w:r>
        <w:rPr>
          <w:b/>
        </w:rPr>
        <w:t xml:space="preserve">Prix moyen: </w:t>
      </w:r>
      <w:r>
        <w:t>12908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23.86%</w:t>
      </w:r>
      <w:r>
        <w:t xml:space="preserve">  |  </w:t>
      </w:r>
      <w:r>
        <w:rPr>
          <w:b/>
        </w:rPr>
        <w:t xml:space="preserve">vs BRVM Composite: </w:t>
      </w:r>
      <w:r>
        <w:rPr>
          <w:b/>
          <w:color w:val="008000"/>
        </w:rPr>
        <w:t>+6.51%  🟢 Surperformance</w:t>
      </w:r>
      <w:r>
        <w:br/>
      </w:r>
      <w:r>
        <w:rPr>
          <w:b/>
        </w:rPr>
        <w:t xml:space="preserve">Sentiment général: </w:t>
      </w:r>
      <w:r>
        <w:t xml:space="preserve">ACHAT  |  </w:t>
      </w:r>
      <w:r>
        <w:rPr>
          <w:b/>
        </w:rPr>
        <w:t xml:space="preserve">Risque moyen: </w:t>
      </w:r>
      <w:r>
        <w:t xml:space="preserve">Moyen  |  </w:t>
      </w:r>
      <w:r>
        <w:rPr>
          <w:b/>
        </w:rPr>
        <w:t xml:space="preserve">Prix moyen: </w:t>
      </w:r>
      <w:r>
        <w:t>18721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8.02%</w:t>
      </w:r>
      <w:r>
        <w:t xml:space="preserve">  |  </w:t>
      </w:r>
      <w:r>
        <w:rPr>
          <w:b/>
        </w:rPr>
        <w:t xml:space="preserve">vs BRVM Composite: </w:t>
      </w:r>
      <w:r>
        <w:rPr>
          <w:b/>
          <w:color w:val="C00000"/>
        </w:rPr>
        <w:t>-9.33%  🔴 Sous-performance</w:t>
      </w:r>
      <w:r>
        <w:br/>
      </w:r>
      <w:r>
        <w:rPr>
          <w:b/>
        </w:rPr>
        <w:t xml:space="preserve">Sentiment général: </w:t>
      </w:r>
      <w:r>
        <w:t xml:space="preserve">ACHAT  |  </w:t>
      </w:r>
      <w:r>
        <w:rPr>
          <w:b/>
        </w:rPr>
        <w:t xml:space="preserve">Risque moyen: </w:t>
      </w:r>
      <w:r>
        <w:t xml:space="preserve">Moyen  |  </w:t>
      </w:r>
      <w:r>
        <w:rPr>
          <w:b/>
        </w:rPr>
        <w:t xml:space="preserve">Prix moyen: </w:t>
      </w:r>
      <w:r>
        <w:t>6286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5.50%</w:t>
      </w:r>
      <w:r>
        <w:t xml:space="preserve">  |  </w:t>
      </w:r>
      <w:r>
        <w:rPr>
          <w:b/>
        </w:rPr>
        <w:t xml:space="preserve">vs BRVM Composite: </w:t>
      </w:r>
      <w:r>
        <w:rPr>
          <w:b/>
          <w:color w:val="C00000"/>
        </w:rPr>
        <w:t>-11.85%  🔴 Sous-performance</w:t>
      </w:r>
      <w:r>
        <w:br/>
      </w:r>
      <w:r>
        <w:rPr>
          <w:b/>
        </w:rPr>
        <w:t xml:space="preserve">Sentiment général: </w:t>
      </w:r>
      <w:r>
        <w:t xml:space="preserve">ACHAT  |  </w:t>
      </w:r>
      <w:r>
        <w:rPr>
          <w:b/>
        </w:rPr>
        <w:t xml:space="preserve">Risque moyen: </w:t>
      </w:r>
      <w:r>
        <w:t xml:space="preserve">Faible  |  </w:t>
      </w:r>
      <w:r>
        <w:rPr>
          <w:b/>
        </w:rPr>
        <w:t xml:space="preserve">Prix moyen: </w:t>
      </w:r>
      <w:r>
        <w:t>17038 FCFA</w:t>
        <w:br/>
      </w:r>
      <w:r>
        <w:rPr>
          <w:b/>
        </w:rPr>
        <w:br/>
        <w:t xml:space="preserve">Sociétés: </w:t>
      </w:r>
      <w:r>
        <w:t>ONTBF (ONTBF - ONATEL BURKINA FASO), ORAC (ORAC - ORANGE COTE D'IVOIRE), SNTS (SNTS - SONATEL SN)</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4.81%</w:t>
      </w:r>
      <w:r>
        <w:t xml:space="preserve">  |  </w:t>
      </w:r>
      <w:r>
        <w:rPr>
          <w:b/>
        </w:rPr>
        <w:t xml:space="preserve">vs BRVM Composite: </w:t>
      </w:r>
      <w:r>
        <w:rPr>
          <w:b/>
          <w:color w:val="C00000"/>
        </w:rPr>
        <w:t>-12.54%  🔴 Sous-performance</w:t>
      </w:r>
      <w:r>
        <w:br/>
      </w:r>
      <w:r>
        <w:rPr>
          <w:b/>
        </w:rPr>
        <w:t xml:space="preserve">Sentiment général: </w:t>
      </w:r>
      <w:r>
        <w:t xml:space="preserve">ACHAT  |  </w:t>
      </w:r>
      <w:r>
        <w:rPr>
          <w:b/>
        </w:rPr>
        <w:t xml:space="preserve">Risque moyen: </w:t>
      </w:r>
      <w:r>
        <w:t xml:space="preserve">Moyen  |  </w:t>
      </w:r>
      <w:r>
        <w:rPr>
          <w:b/>
        </w:rPr>
        <w:t xml:space="preserve">Prix moyen: </w:t>
      </w:r>
      <w:r>
        <w:t>2772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-6.40%</w:t>
      </w:r>
      <w:r>
        <w:t xml:space="preserve">  |  </w:t>
      </w:r>
      <w:r>
        <w:rPr>
          <w:b/>
        </w:rPr>
        <w:t xml:space="preserve">vs BRVM Composite: </w:t>
      </w:r>
      <w:r>
        <w:rPr>
          <w:b/>
          <w:color w:val="C00000"/>
        </w:rPr>
        <w:t>-23.75%  🔴 Sous-performance</w:t>
      </w:r>
      <w:r>
        <w:br/>
      </w:r>
      <w:r>
        <w:rPr>
          <w:b/>
        </w:rPr>
        <w:t xml:space="preserve">Sentiment général: </w:t>
      </w:r>
      <w:r>
        <w:t xml:space="preserve">ACHAT  |  </w:t>
      </w:r>
      <w:r>
        <w:rPr>
          <w:b/>
        </w:rPr>
        <w:t xml:space="preserve">Risque moyen: </w:t>
      </w:r>
      <w:r>
        <w:t xml:space="preserve">Faible  |  </w:t>
      </w:r>
      <w:r>
        <w:rPr>
          <w:b/>
        </w:rPr>
        <w:t xml:space="preserve">Prix moyen: </w:t>
      </w:r>
      <w:r>
        <w:t>2388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CIEC, ETIT, NEIC, PALC, SCRC, SHEC, SIBC, SIVC, STBC, TTLC, TTLS, UNXC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BICB, BNBC, BOAC, BOAM, BOAN, BOAS, LNBB, NSBC, ORAC, ORGT, PRSC, SAFC, SDSC, SICC, SNTS, STAC, UNLC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ABJC, CABC, CBIBF, CFAC, ECOC, FTSC, NTLC, ONTBF, SDCC, SEMC, SGBC, SLBC, SMBC, SOGC, SPHC</w:t>
            </w:r>
          </w:p>
        </w:tc>
        <w:tc>
          <w:tcPr>
            <w:tcW w:type="dxa" w:w="2160"/>
            <w:shd w:fill="FFC7CE" w:val="clear"/>
          </w:tcPr>
          <w:p>
            <w:pPr>
              <w:spacing w:before="40" w:after="40"/>
            </w:pPr>
            <w:r/>
            <w:r>
              <w:rPr>
                <w:b w:val="0"/>
                <w:sz w:val="16"/>
              </w:rPr>
              <w:t>BICC, BOAB, BOABF</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2479238</w:t>
            </w:r>
          </w:p>
        </w:tc>
        <w:tc>
          <w:tcPr>
            <w:tcW w:type="dxa" w:w="1728"/>
          </w:tcPr>
          <w:p>
            <w:r>
              <w:t>171778720 FCFA</w:t>
            </w:r>
          </w:p>
        </w:tc>
        <w:tc>
          <w:tcPr>
            <w:tcW w:type="dxa" w:w="1728"/>
          </w:tcPr>
          <w:p>
            <w:r>
              <w:t>103.12%</w:t>
            </w:r>
          </w:p>
        </w:tc>
        <w:tc>
          <w:tcPr>
            <w:tcW w:type="dxa" w:w="1728"/>
          </w:tcPr>
          <w:p>
            <w:r>
              <w:t>ACHAT</w:t>
            </w:r>
          </w:p>
        </w:tc>
      </w:tr>
      <w:tr>
        <w:tc>
          <w:tcPr>
            <w:tcW w:type="dxa" w:w="1728"/>
          </w:tcPr>
          <w:p>
            <w:r>
              <w:t>SDSC (SDSC - AFRICA GLOBAL LOGISTICS CI)</w:t>
            </w:r>
          </w:p>
        </w:tc>
        <w:tc>
          <w:tcPr>
            <w:tcW w:type="dxa" w:w="1728"/>
          </w:tcPr>
          <w:p>
            <w:r>
              <w:t>16559</w:t>
            </w:r>
          </w:p>
        </w:tc>
        <w:tc>
          <w:tcPr>
            <w:tcW w:type="dxa" w:w="1728"/>
          </w:tcPr>
          <w:p>
            <w:r>
              <w:t>42099180 FCFA</w:t>
            </w:r>
          </w:p>
        </w:tc>
        <w:tc>
          <w:tcPr>
            <w:tcW w:type="dxa" w:w="1728"/>
          </w:tcPr>
          <w:p>
            <w:r>
              <w:t>21.63%</w:t>
            </w:r>
          </w:p>
        </w:tc>
        <w:tc>
          <w:tcPr>
            <w:tcW w:type="dxa" w:w="1728"/>
          </w:tcPr>
          <w:p>
            <w:r>
              <w:t>ACHAT</w:t>
            </w:r>
          </w:p>
        </w:tc>
      </w:tr>
      <w:tr>
        <w:tc>
          <w:tcPr>
            <w:tcW w:type="dxa" w:w="1728"/>
          </w:tcPr>
          <w:p>
            <w:r>
              <w:t>SNTS (SNTS - SONATEL SN)</w:t>
            </w:r>
          </w:p>
        </w:tc>
        <w:tc>
          <w:tcPr>
            <w:tcW w:type="dxa" w:w="1728"/>
          </w:tcPr>
          <w:p>
            <w:r>
              <w:t>13280</w:t>
            </w:r>
          </w:p>
        </w:tc>
        <w:tc>
          <w:tcPr>
            <w:tcW w:type="dxa" w:w="1728"/>
          </w:tcPr>
          <w:p>
            <w:r>
              <w:t>413614830 FCFA</w:t>
            </w:r>
          </w:p>
        </w:tc>
        <w:tc>
          <w:tcPr>
            <w:tcW w:type="dxa" w:w="1728"/>
          </w:tcPr>
          <w:p>
            <w:r>
              <w:t>6.90%</w:t>
            </w:r>
          </w:p>
        </w:tc>
        <w:tc>
          <w:tcPr>
            <w:tcW w:type="dxa" w:w="1728"/>
          </w:tcPr>
          <w:p>
            <w:r>
              <w:t>ACHAT</w:t>
            </w:r>
          </w:p>
        </w:tc>
      </w:tr>
      <w:tr>
        <w:tc>
          <w:tcPr>
            <w:tcW w:type="dxa" w:w="1728"/>
          </w:tcPr>
          <w:p>
            <w:r>
              <w:t>UNXC (UNXC - UNIWAX COTE D'IVOIRE)</w:t>
            </w:r>
          </w:p>
        </w:tc>
        <w:tc>
          <w:tcPr>
            <w:tcW w:type="dxa" w:w="1728"/>
          </w:tcPr>
          <w:p>
            <w:r>
              <w:t>10797</w:t>
            </w:r>
          </w:p>
        </w:tc>
        <w:tc>
          <w:tcPr>
            <w:tcW w:type="dxa" w:w="1728"/>
          </w:tcPr>
          <w:p>
            <w:r>
              <w:t>20018831 FCFA</w:t>
            </w:r>
          </w:p>
        </w:tc>
        <w:tc>
          <w:tcPr>
            <w:tcW w:type="dxa" w:w="1728"/>
          </w:tcPr>
          <w:p>
            <w:r>
              <w:t>-9.52%</w:t>
            </w:r>
          </w:p>
        </w:tc>
        <w:tc>
          <w:tcPr>
            <w:tcW w:type="dxa" w:w="1728"/>
          </w:tcPr>
          <w:p>
            <w:r>
              <w:t>ACHAT</w:t>
            </w:r>
          </w:p>
        </w:tc>
      </w:tr>
      <w:tr>
        <w:tc>
          <w:tcPr>
            <w:tcW w:type="dxa" w:w="1728"/>
          </w:tcPr>
          <w:p>
            <w:r>
              <w:t>SIBC (SIBC - SOCIETE IVOIRIENNE DE BANQUE)</w:t>
            </w:r>
          </w:p>
        </w:tc>
        <w:tc>
          <w:tcPr>
            <w:tcW w:type="dxa" w:w="1728"/>
          </w:tcPr>
          <w:p>
            <w:r>
              <w:t>9647</w:t>
            </w:r>
          </w:p>
        </w:tc>
        <w:tc>
          <w:tcPr>
            <w:tcW w:type="dxa" w:w="1728"/>
          </w:tcPr>
          <w:p>
            <w:r>
              <w:t>85830898 FCFA</w:t>
            </w:r>
          </w:p>
        </w:tc>
        <w:tc>
          <w:tcPr>
            <w:tcW w:type="dxa" w:w="1728"/>
          </w:tcPr>
          <w:p>
            <w:r>
              <w:t>30.99%</w:t>
            </w:r>
          </w:p>
        </w:tc>
        <w:tc>
          <w:tcPr>
            <w:tcW w:type="dxa" w:w="1728"/>
          </w:tcPr>
          <w:p>
            <w:r>
              <w:t>ACHAT</w:t>
            </w:r>
          </w:p>
        </w:tc>
      </w:tr>
      <w:tr>
        <w:tc>
          <w:tcPr>
            <w:tcW w:type="dxa" w:w="1728"/>
          </w:tcPr>
          <w:p>
            <w:r>
              <w:t>ONTBF (ONTBF - ONATEL BURKINA FASO)</w:t>
            </w:r>
          </w:p>
        </w:tc>
        <w:tc>
          <w:tcPr>
            <w:tcW w:type="dxa" w:w="1728"/>
          </w:tcPr>
          <w:p>
            <w:r>
              <w:t>9143</w:t>
            </w:r>
          </w:p>
        </w:tc>
        <w:tc>
          <w:tcPr>
            <w:tcW w:type="dxa" w:w="1728"/>
          </w:tcPr>
          <w:p>
            <w:r>
              <w:t>25060881 FCFA</w:t>
            </w:r>
          </w:p>
        </w:tc>
        <w:tc>
          <w:tcPr>
            <w:tcW w:type="dxa" w:w="1728"/>
          </w:tcPr>
          <w:p>
            <w:r>
              <w:t>-2.65%</w:t>
            </w:r>
          </w:p>
        </w:tc>
        <w:tc>
          <w:tcPr>
            <w:tcW w:type="dxa" w:w="1728"/>
          </w:tcPr>
          <w:p>
            <w:r>
              <w:t>ACHAT FORT</w:t>
            </w:r>
          </w:p>
        </w:tc>
      </w:tr>
      <w:tr>
        <w:tc>
          <w:tcPr>
            <w:tcW w:type="dxa" w:w="1728"/>
          </w:tcPr>
          <w:p>
            <w:r>
              <w:t>BOAS (BANK OF AFRICA SENEGAL)</w:t>
            </w:r>
          </w:p>
        </w:tc>
        <w:tc>
          <w:tcPr>
            <w:tcW w:type="dxa" w:w="1728"/>
          </w:tcPr>
          <w:p>
            <w:r>
              <w:t>8796</w:t>
            </w:r>
          </w:p>
        </w:tc>
        <w:tc>
          <w:tcPr>
            <w:tcW w:type="dxa" w:w="1728"/>
          </w:tcPr>
          <w:p>
            <w:r>
              <w:t>65578910 FCFA</w:t>
            </w:r>
          </w:p>
        </w:tc>
        <w:tc>
          <w:tcPr>
            <w:tcW w:type="dxa" w:w="1728"/>
          </w:tcPr>
          <w:p>
            <w:r>
              <w:t>10.14%</w:t>
            </w:r>
          </w:p>
        </w:tc>
        <w:tc>
          <w:tcPr>
            <w:tcW w:type="dxa" w:w="1728"/>
          </w:tcPr>
          <w:p>
            <w:r>
              <w:t>ACHAT</w:t>
            </w:r>
          </w:p>
        </w:tc>
      </w:tr>
      <w:tr>
        <w:tc>
          <w:tcPr>
            <w:tcW w:type="dxa" w:w="1728"/>
          </w:tcPr>
          <w:p>
            <w:r>
              <w:t>BICB (BIIC BN - Banque internationale pour le commerce du benin)</w:t>
            </w:r>
          </w:p>
        </w:tc>
        <w:tc>
          <w:tcPr>
            <w:tcW w:type="dxa" w:w="1728"/>
          </w:tcPr>
          <w:p>
            <w:r>
              <w:t>7704</w:t>
            </w:r>
          </w:p>
        </w:tc>
        <w:tc>
          <w:tcPr>
            <w:tcW w:type="dxa" w:w="1728"/>
          </w:tcPr>
          <w:p>
            <w:r>
              <w:t>56339714 FCFA</w:t>
            </w:r>
          </w:p>
        </w:tc>
        <w:tc>
          <w:tcPr>
            <w:tcW w:type="dxa" w:w="1728"/>
          </w:tcPr>
          <w:p>
            <w:r>
              <w:t>46.06%</w:t>
            </w:r>
          </w:p>
        </w:tc>
        <w:tc>
          <w:tcPr>
            <w:tcW w:type="dxa" w:w="1728"/>
          </w:tcPr>
          <w:p>
            <w:r>
              <w:t>ACHAT</w:t>
            </w:r>
          </w:p>
        </w:tc>
      </w:tr>
      <w:tr>
        <w:tc>
          <w:tcPr>
            <w:tcW w:type="dxa" w:w="1728"/>
          </w:tcPr>
          <w:p>
            <w:r>
              <w:t>SCRC (SCRC - SUCRIVOIRE)</w:t>
            </w:r>
          </w:p>
        </w:tc>
        <w:tc>
          <w:tcPr>
            <w:tcW w:type="dxa" w:w="1728"/>
          </w:tcPr>
          <w:p>
            <w:r>
              <w:t>7565</w:t>
            </w:r>
          </w:p>
        </w:tc>
        <w:tc>
          <w:tcPr>
            <w:tcW w:type="dxa" w:w="1728"/>
          </w:tcPr>
          <w:p>
            <w:r>
              <w:t>27520900 FCFA</w:t>
            </w:r>
          </w:p>
        </w:tc>
        <w:tc>
          <w:tcPr>
            <w:tcW w:type="dxa" w:w="1728"/>
          </w:tcPr>
          <w:p>
            <w:r>
              <w:t>135.88%</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STBC (STBC - SITAB COTE D'IVOIRE)</w:t>
            </w:r>
          </w:p>
        </w:tc>
        <w:tc>
          <w:tcPr>
            <w:tcW w:type="dxa" w:w="1728"/>
          </w:tcPr>
          <w:p>
            <w:r>
              <w:t>3267</w:t>
            </w:r>
          </w:p>
        </w:tc>
        <w:tc>
          <w:tcPr>
            <w:tcW w:type="dxa" w:w="1728"/>
          </w:tcPr>
          <w:p>
            <w:r>
              <w:t>76868020 FCFA</w:t>
            </w:r>
          </w:p>
        </w:tc>
        <w:tc>
          <w:tcPr>
            <w:tcW w:type="dxa" w:w="1728"/>
          </w:tcPr>
          <w:p>
            <w:r>
              <w:t>15.65%</w:t>
            </w:r>
          </w:p>
        </w:tc>
        <w:tc>
          <w:tcPr>
            <w:tcW w:type="dxa" w:w="1728"/>
          </w:tcPr>
          <w:p>
            <w:r>
              <w:t>ACHAT</w:t>
            </w:r>
          </w:p>
        </w:tc>
      </w:tr>
      <w:tr>
        <w:tc>
          <w:tcPr>
            <w:tcW w:type="dxa" w:w="1728"/>
          </w:tcPr>
          <w:p>
            <w:r>
              <w:t>SOGC (SOGC - Société des caoutchoucs de Grand-Béréby)</w:t>
            </w:r>
          </w:p>
        </w:tc>
        <w:tc>
          <w:tcPr>
            <w:tcW w:type="dxa" w:w="1728"/>
          </w:tcPr>
          <w:p>
            <w:r>
              <w:t>3064</w:t>
            </w:r>
          </w:p>
        </w:tc>
        <w:tc>
          <w:tcPr>
            <w:tcW w:type="dxa" w:w="1728"/>
          </w:tcPr>
          <w:p>
            <w:r>
              <w:t>24990236 FCFA</w:t>
            </w:r>
          </w:p>
        </w:tc>
        <w:tc>
          <w:tcPr>
            <w:tcW w:type="dxa" w:w="1728"/>
          </w:tcPr>
          <w:p>
            <w:r>
              <w:t>-8.06%</w:t>
            </w:r>
          </w:p>
        </w:tc>
        <w:tc>
          <w:tcPr>
            <w:tcW w:type="dxa" w:w="1728"/>
          </w:tcPr>
          <w:p>
            <w:r>
              <w:t>ACHAT FORT</w:t>
            </w:r>
          </w:p>
        </w:tc>
      </w:tr>
      <w:tr>
        <w:tc>
          <w:tcPr>
            <w:tcW w:type="dxa" w:w="1728"/>
          </w:tcPr>
          <w:p>
            <w:r>
              <w:t>CABC (CABC - SICABLE COTE D'IVOIRE)</w:t>
            </w:r>
          </w:p>
        </w:tc>
        <w:tc>
          <w:tcPr>
            <w:tcW w:type="dxa" w:w="1728"/>
          </w:tcPr>
          <w:p>
            <w:r>
              <w:t>3051</w:t>
            </w:r>
          </w:p>
        </w:tc>
        <w:tc>
          <w:tcPr>
            <w:tcW w:type="dxa" w:w="1728"/>
          </w:tcPr>
          <w:p>
            <w:r>
              <w:t>11128303 FCFA</w:t>
            </w:r>
          </w:p>
        </w:tc>
        <w:tc>
          <w:tcPr>
            <w:tcW w:type="dxa" w:w="1728"/>
          </w:tcPr>
          <w:p>
            <w:r>
              <w:t>-7.79%</w:t>
            </w:r>
          </w:p>
        </w:tc>
        <w:tc>
          <w:tcPr>
            <w:tcW w:type="dxa" w:w="1728"/>
          </w:tcPr>
          <w:p>
            <w:r>
              <w:t>ACHAT</w:t>
            </w:r>
          </w:p>
        </w:tc>
      </w:tr>
      <w:tr>
        <w:tc>
          <w:tcPr>
            <w:tcW w:type="dxa" w:w="1728"/>
          </w:tcPr>
          <w:p>
            <w:r>
              <w:t>ECOC (ECOC - ECOBANK COTE D'IVOIRE)</w:t>
            </w:r>
          </w:p>
        </w:tc>
        <w:tc>
          <w:tcPr>
            <w:tcW w:type="dxa" w:w="1728"/>
          </w:tcPr>
          <w:p>
            <w:r>
              <w:t>2904</w:t>
            </w:r>
          </w:p>
        </w:tc>
        <w:tc>
          <w:tcPr>
            <w:tcW w:type="dxa" w:w="1728"/>
          </w:tcPr>
          <w:p>
            <w:r>
              <w:t>46315363 FCFA</w:t>
            </w:r>
          </w:p>
        </w:tc>
        <w:tc>
          <w:tcPr>
            <w:tcW w:type="dxa" w:w="1728"/>
          </w:tcPr>
          <w:p>
            <w:r>
              <w:t>-1.22%</w:t>
            </w:r>
          </w:p>
        </w:tc>
        <w:tc>
          <w:tcPr>
            <w:tcW w:type="dxa" w:w="1728"/>
          </w:tcPr>
          <w:p>
            <w:r>
              <w:t>ACHAT</w:t>
            </w:r>
          </w:p>
        </w:tc>
      </w:tr>
      <w:tr>
        <w:tc>
          <w:tcPr>
            <w:tcW w:type="dxa" w:w="1728"/>
          </w:tcPr>
          <w:p>
            <w:r>
              <w:t>LNBB (LNBB - LOTERIE NATIONALE DU BENIN)</w:t>
            </w:r>
          </w:p>
        </w:tc>
        <w:tc>
          <w:tcPr>
            <w:tcW w:type="dxa" w:w="1728"/>
          </w:tcPr>
          <w:p>
            <w:r>
              <w:t>2798</w:t>
            </w:r>
          </w:p>
        </w:tc>
        <w:tc>
          <w:tcPr>
            <w:tcW w:type="dxa" w:w="1728"/>
          </w:tcPr>
          <w:p>
            <w:r>
              <w:t>12112721 FCFA</w:t>
            </w:r>
          </w:p>
        </w:tc>
        <w:tc>
          <w:tcPr>
            <w:tcW w:type="dxa" w:w="1728"/>
          </w:tcPr>
          <w:p>
            <w:r>
              <w:t>10.26%</w:t>
            </w:r>
          </w:p>
        </w:tc>
        <w:tc>
          <w:tcPr>
            <w:tcW w:type="dxa" w:w="1728"/>
          </w:tcPr>
          <w:p>
            <w:r>
              <w:t>ACHAT</w:t>
            </w:r>
          </w:p>
        </w:tc>
      </w:tr>
      <w:tr>
        <w:tc>
          <w:tcPr>
            <w:tcW w:type="dxa" w:w="1728"/>
          </w:tcPr>
          <w:p>
            <w:r>
              <w:t>PALC (PALC - PALM COTE D'IVOIRE)</w:t>
            </w:r>
          </w:p>
        </w:tc>
        <w:tc>
          <w:tcPr>
            <w:tcW w:type="dxa" w:w="1728"/>
          </w:tcPr>
          <w:p>
            <w:r>
              <w:t>2593</w:t>
            </w:r>
          </w:p>
        </w:tc>
        <w:tc>
          <w:tcPr>
            <w:tcW w:type="dxa" w:w="1728"/>
          </w:tcPr>
          <w:p>
            <w:r>
              <w:t>22733612 FCFA</w:t>
            </w:r>
          </w:p>
        </w:tc>
        <w:tc>
          <w:tcPr>
            <w:tcW w:type="dxa" w:w="1728"/>
          </w:tcPr>
          <w:p>
            <w:r>
              <w:t>-4.52%</w:t>
            </w:r>
          </w:p>
        </w:tc>
        <w:tc>
          <w:tcPr>
            <w:tcW w:type="dxa" w:w="1728"/>
          </w:tcPr>
          <w:p>
            <w:r>
              <w:t>ACHAT</w:t>
            </w:r>
          </w:p>
        </w:tc>
      </w:tr>
      <w:tr>
        <w:tc>
          <w:tcPr>
            <w:tcW w:type="dxa" w:w="1728"/>
          </w:tcPr>
          <w:p>
            <w:r>
              <w:t>SMBC (SMBC - Société Multinationale de Bitumes COTE D'IVOIRE)</w:t>
            </w:r>
          </w:p>
        </w:tc>
        <w:tc>
          <w:tcPr>
            <w:tcW w:type="dxa" w:w="1728"/>
          </w:tcPr>
          <w:p>
            <w:r>
              <w:t>2138</w:t>
            </w:r>
          </w:p>
        </w:tc>
        <w:tc>
          <w:tcPr>
            <w:tcW w:type="dxa" w:w="1728"/>
          </w:tcPr>
          <w:p>
            <w:r>
              <w:t>33982669 FCFA</w:t>
            </w:r>
          </w:p>
        </w:tc>
        <w:tc>
          <w:tcPr>
            <w:tcW w:type="dxa" w:w="1728"/>
          </w:tcPr>
          <w:p>
            <w:r>
              <w:t>23.51%</w:t>
            </w:r>
          </w:p>
        </w:tc>
        <w:tc>
          <w:tcPr>
            <w:tcW w:type="dxa" w:w="1728"/>
          </w:tcPr>
          <w:p>
            <w:r>
              <w:t>ACHAT</w:t>
            </w:r>
          </w:p>
        </w:tc>
      </w:tr>
      <w:tr>
        <w:tc>
          <w:tcPr>
            <w:tcW w:type="dxa" w:w="1728"/>
          </w:tcPr>
          <w:p>
            <w:r>
              <w:t>SLBC (SLBC - SOLIBRA COTE D'IVOIRE)</w:t>
            </w:r>
          </w:p>
        </w:tc>
        <w:tc>
          <w:tcPr>
            <w:tcW w:type="dxa" w:w="1728"/>
          </w:tcPr>
          <w:p>
            <w:r>
              <w:t>1944</w:t>
            </w:r>
          </w:p>
        </w:tc>
        <w:tc>
          <w:tcPr>
            <w:tcW w:type="dxa" w:w="1728"/>
          </w:tcPr>
          <w:p>
            <w:r>
              <w:t>75648161 FCFA</w:t>
            </w:r>
          </w:p>
        </w:tc>
        <w:tc>
          <w:tcPr>
            <w:tcW w:type="dxa" w:w="1728"/>
          </w:tcPr>
          <w:p>
            <w:r>
              <w:t>-5.16%</w:t>
            </w:r>
          </w:p>
        </w:tc>
        <w:tc>
          <w:tcPr>
            <w:tcW w:type="dxa" w:w="1728"/>
          </w:tcPr>
          <w:p>
            <w:r>
              <w:t>ACHAT</w:t>
            </w:r>
          </w:p>
        </w:tc>
      </w:tr>
      <w:tr>
        <w:tc>
          <w:tcPr>
            <w:tcW w:type="dxa" w:w="1728"/>
          </w:tcPr>
          <w:p>
            <w:r>
              <w:t>BNBC (BNBC - BERNABE CI)</w:t>
            </w:r>
          </w:p>
        </w:tc>
        <w:tc>
          <w:tcPr>
            <w:tcW w:type="dxa" w:w="1728"/>
          </w:tcPr>
          <w:p>
            <w:r>
              <w:t>1860</w:t>
            </w:r>
          </w:p>
        </w:tc>
        <w:tc>
          <w:tcPr>
            <w:tcW w:type="dxa" w:w="1728"/>
          </w:tcPr>
          <w:p>
            <w:r>
              <w:t>3510834 FCFA</w:t>
            </w:r>
          </w:p>
        </w:tc>
        <w:tc>
          <w:tcPr>
            <w:tcW w:type="dxa" w:w="1728"/>
          </w:tcPr>
          <w:p>
            <w:r>
              <w:t>18.75%</w:t>
            </w:r>
          </w:p>
        </w:tc>
        <w:tc>
          <w:tcPr>
            <w:tcW w:type="dxa" w:w="1728"/>
          </w:tcPr>
          <w:p>
            <w:r>
              <w:t>ACHAT</w:t>
            </w:r>
          </w:p>
        </w:tc>
      </w:tr>
      <w:tr>
        <w:tc>
          <w:tcPr>
            <w:tcW w:type="dxa" w:w="1728"/>
          </w:tcPr>
          <w:p>
            <w:r>
              <w:t>SPHC (SPHC - Société Africaine de Plantation d'Hévéas de Côte d'Ivoire)</w:t>
            </w:r>
          </w:p>
        </w:tc>
        <w:tc>
          <w:tcPr>
            <w:tcW w:type="dxa" w:w="1728"/>
          </w:tcPr>
          <w:p>
            <w:r>
              <w:t>1822</w:t>
            </w:r>
          </w:p>
        </w:tc>
        <w:tc>
          <w:tcPr>
            <w:tcW w:type="dxa" w:w="1728"/>
          </w:tcPr>
          <w:p>
            <w:r>
              <w:t>13500728 FCFA</w:t>
            </w:r>
          </w:p>
        </w:tc>
        <w:tc>
          <w:tcPr>
            <w:tcW w:type="dxa" w:w="1728"/>
          </w:tcPr>
          <w:p>
            <w:r>
              <w:t>-8.43%</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SDCC - SDCC - Société de Distribution d'Eau de Côte d'Ivoire</w:t>
      </w:r>
    </w:p>
    <w:p>
      <w:r>
        <w:rPr>
          <w:b/>
        </w:rPr>
        <w:t xml:space="preserve">Score de divergence: </w:t>
      </w:r>
      <w:r>
        <w:t>6/8</w:t>
        <w:br/>
      </w:r>
      <w:r>
        <w:rPr>
          <w:b/>
        </w:rPr>
        <w:t xml:space="preserve">Description: </w:t>
      </w:r>
      <w:r>
        <w:t>Signaux de vente: MM, MACD, Stochastique | Recommandation finale: ACHAT</w:t>
        <w:br/>
      </w:r>
    </w:p>
    <w:p/>
    <w:p>
      <w:pPr>
        <w:pStyle w:val="Heading3"/>
      </w:pPr>
      <w:r>
        <w:t>2. ABJC - ABJC - SERVAIR ABIDJAN CI</w:t>
      </w:r>
    </w:p>
    <w:p>
      <w:r>
        <w:rPr>
          <w:b/>
        </w:rPr>
        <w:t xml:space="preserve">Score de divergence: </w:t>
      </w:r>
      <w:r>
        <w:t>5/8</w:t>
        <w:br/>
      </w:r>
      <w:r>
        <w:rPr>
          <w:b/>
        </w:rPr>
        <w:t xml:space="preserve">Description: </w:t>
      </w:r>
      <w:r>
        <w:t>Signaux de vente: MM, MACD | Recommandation finale: ACHAT</w:t>
        <w:br/>
      </w:r>
    </w:p>
    <w:p/>
    <w:p>
      <w:pPr>
        <w:pStyle w:val="Heading3"/>
      </w:pPr>
      <w:r>
        <w:t>3. ONTBF - ONTBF - ONATEL BURKINA FASO</w:t>
      </w:r>
    </w:p>
    <w:p>
      <w:r>
        <w:rPr>
          <w:b/>
        </w:rPr>
        <w:t xml:space="preserve">Score de divergence: </w:t>
      </w:r>
      <w:r>
        <w:t>5/8</w:t>
        <w:br/>
      </w:r>
      <w:r>
        <w:rPr>
          <w:b/>
        </w:rPr>
        <w:t xml:space="preserve">Description: </w:t>
      </w:r>
      <w:r>
        <w:t>Signaux d'achat: MACD | Signaux de vente: MM, RSI, Stochastique | Recommandation finale: ACHAT FORT</w:t>
        <w:br/>
      </w:r>
    </w:p>
    <w:p/>
    <w:p>
      <w:pPr>
        <w:pStyle w:val="Heading3"/>
      </w:pPr>
      <w:r>
        <w:t>4. SEMC - SEMC - EVIOSYS PACKAGING SIEM CI</w:t>
      </w:r>
    </w:p>
    <w:p>
      <w:r>
        <w:rPr>
          <w:b/>
        </w:rPr>
        <w:t xml:space="preserve">Score de divergence: </w:t>
      </w:r>
      <w:r>
        <w:t>5/8</w:t>
        <w:br/>
      </w:r>
      <w:r>
        <w:rPr>
          <w:b/>
        </w:rPr>
        <w:t xml:space="preserve">Description: </w:t>
      </w:r>
      <w:r>
        <w:t>Signaux de vente: MM, MACD | Recommandation finale: ACHAT</w:t>
        <w:br/>
      </w:r>
    </w:p>
    <w:p/>
    <w:p>
      <w:pPr>
        <w:pStyle w:val="Heading3"/>
      </w:pPr>
      <w:r>
        <w:t>5. SGBC - SGBC - SOCIETE GENERALE COTE D'IVOIRE</w:t>
      </w:r>
    </w:p>
    <w:p>
      <w:r>
        <w:rPr>
          <w:b/>
        </w:rPr>
        <w:t xml:space="preserve">Score de divergence: </w:t>
      </w:r>
      <w:r>
        <w:t>5/8</w:t>
        <w:br/>
      </w:r>
      <w:r>
        <w:rPr>
          <w:b/>
        </w:rPr>
        <w:t xml:space="preserve">Description: </w:t>
      </w:r>
      <w:r>
        <w:t>Signaux de vente: MM, MACD | Recommandation finale: ACHAT</w:t>
        <w:br/>
      </w:r>
    </w:p>
    <w:p/>
    <w:p>
      <w:pPr>
        <w:pStyle w:val="Heading3"/>
      </w:pPr>
      <w:r>
        <w:t>6. SOGC - SOGC - Société des caoutchoucs de Grand-Béréby</w:t>
      </w:r>
    </w:p>
    <w:p>
      <w:r>
        <w:rPr>
          <w:b/>
        </w:rPr>
        <w:t xml:space="preserve">Score de divergence: </w:t>
      </w:r>
      <w:r>
        <w:t>5/8</w:t>
        <w:br/>
      </w:r>
      <w:r>
        <w:rPr>
          <w:b/>
        </w:rPr>
        <w:t xml:space="preserve">Description: </w:t>
      </w:r>
      <w:r>
        <w:t>Signaux de vente: MM, MACD | Recommandation finale: ACHAT FORT</w:t>
        <w:br/>
      </w:r>
    </w:p>
    <w:p/>
    <w:p>
      <w:pPr>
        <w:pStyle w:val="Heading3"/>
      </w:pPr>
      <w:r>
        <w:t>7. CABC - CABC - SICABLE COTE D'IVOIRE</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8. CBIBF - CBIBF - CORIS BANK INTERNATIONAL BURKINA FASO</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9. CFAC - CFAC - CFAO MOTORS CI</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10. ECOC - ECOC - ECOBANK COTE D'IVOIRE</w:t>
      </w:r>
    </w:p>
    <w:p>
      <w:r>
        <w:rPr>
          <w:b/>
        </w:rPr>
        <w:t xml:space="preserve">Score de divergence: </w:t>
      </w:r>
      <w:r>
        <w:t>4/8</w:t>
        <w:br/>
      </w:r>
      <w:r>
        <w:rPr>
          <w:b/>
        </w:rPr>
        <w:t xml:space="preserve">Description: </w:t>
      </w:r>
      <w:r>
        <w:t>Signaux d'achat: MACD | Signaux de vente: MM,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24</w:t>
            </w:r>
          </w:p>
        </w:tc>
        <w:tc>
          <w:tcPr>
            <w:tcW w:type="dxa" w:w="2160"/>
          </w:tcPr>
          <w:p>
            <w:r>
              <w:t>0</w:t>
            </w:r>
          </w:p>
        </w:tc>
      </w:tr>
      <w:tr>
        <w:tc>
          <w:tcPr>
            <w:tcW w:type="dxa" w:w="2160"/>
          </w:tcPr>
          <w:p>
            <w:r>
              <w:t>Risque Moyen</w:t>
            </w:r>
          </w:p>
        </w:tc>
        <w:tc>
          <w:tcPr>
            <w:tcW w:type="dxa" w:w="2160"/>
          </w:tcPr>
          <w:p>
            <w:r>
              <w:t>0</w:t>
            </w:r>
          </w:p>
        </w:tc>
        <w:tc>
          <w:tcPr>
            <w:tcW w:type="dxa" w:w="2160"/>
          </w:tcPr>
          <w:p>
            <w:r>
              <w:t>23</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BICB (BIIC BN - Banque internationale pour le commerce du benin)</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ORAC (ORAC - ORANGE COTE D'IVOIRE)</w:t>
      </w:r>
    </w:p>
    <w:p>
      <w:pPr>
        <w:pStyle w:val="ListBullet"/>
      </w:pPr>
      <w:r>
        <w:t>• ORGT (ORGT - ORAGROUP TOGO)</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SNTS (SNTS - SONATEL SN)</w:t>
      </w:r>
    </w:p>
    <w:p>
      <w:pPr>
        <w:pStyle w:val="ListBullet"/>
      </w:pPr>
      <w:r>
        <w:t>• SOGC (SOGC - Société des caoutchoucs de Grand-Béréby)</w:t>
      </w:r>
    </w:p>
    <w:p>
      <w:pPr>
        <w:pStyle w:val="ListBullet"/>
      </w:pPr>
      <w:r>
        <w:t>• STBC (STBC - SITAB COTE D'IVOIRE)</w:t>
      </w:r>
    </w:p>
    <w:p>
      <w:pPr>
        <w:pStyle w:val="ListBullet"/>
      </w:pPr>
      <w:r>
        <w:t>• TTLC (TTLC - TOTAL ENERGIES MARKETING COTE D'IVOIRE)</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BICC (BICI CI - Banque internationale pour le commerce et l'industrie de la Côte d'Ivoire)</w:t>
      </w:r>
    </w:p>
    <w:p>
      <w:pPr>
        <w:pStyle w:val="ListBullet"/>
      </w:pPr>
      <w:r>
        <w:t>• BNBC (BNBC - BERNABE CI)</w:t>
      </w:r>
    </w:p>
    <w:p>
      <w:pPr>
        <w:pStyle w:val="ListBullet"/>
      </w:pPr>
      <w:r>
        <w:t>• BOAB (BANK OF AFRICA BENIN)</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SICC (SICC - SICOR COTE D'IVOIRE)</w:t>
      </w:r>
    </w:p>
    <w:p>
      <w:pPr>
        <w:pStyle w:val="ListBullet"/>
      </w:pPr>
      <w:r>
        <w:t>• SMBC (SMBC - Société Multinationale de Bitumes COTE D'IVOIRE)</w:t>
      </w:r>
    </w:p>
    <w:p>
      <w:pPr>
        <w:pStyle w:val="ListBullet"/>
      </w:pPr>
      <w:r>
        <w:t>• SPHC (SPHC - Société Africaine de Plantation d'Hévéas de Côte d'Ivoire)</w:t>
      </w:r>
    </w:p>
    <w:p>
      <w:pPr>
        <w:pStyle w:val="ListBullet"/>
      </w:pPr>
      <w:r>
        <w:t>• STAC (STAC - SETAO COTE D'IVOIRE)</w:t>
      </w:r>
    </w:p>
    <w:p>
      <w:pPr>
        <w:pStyle w:val="ListBullet"/>
      </w:pPr>
      <w:r>
        <w:t>• TTLS (TTLS - TOTAL ENERGIES MARKETING SENEGAL)</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pStyle w:val="ListBullet"/>
        <w:spacing w:before="20" w:after="20"/>
        <w:ind w:left="360"/>
      </w:pPr>
      <w:r>
        <w:rPr>
          <w:color w:val="C00000"/>
          <w:sz w:val="18"/>
        </w:rPr>
        <w:t>**Chute simultanée des prix du pétrole et du maïs** sur les marchés internationaux (05/08/2026), reflétant des pressions baissières sur les matières premières.</w:t>
      </w:r>
    </w:p>
    <w:p>
      <w:pPr>
        <w:pStyle w:val="ListBullet"/>
        <w:spacing w:before="20" w:after="20"/>
        <w:ind w:left="360"/>
      </w:pPr>
      <w:r>
        <w:rPr>
          <w:color w:val="C00000"/>
          <w:sz w:val="18"/>
        </w:rPr>
        <w:t>**Effondrement des prix du pétrole** entraînant une baisse de l'indice MXV des matières premières pendant trois séances consécutives (04/08/2026).</w:t>
      </w:r>
    </w:p>
    <w:p>
      <w:pPr>
        <w:pStyle w:val="ListBullet"/>
        <w:spacing w:before="20" w:after="20"/>
        <w:ind w:left="360"/>
      </w:pPr>
      <w:r>
        <w:rPr>
          <w:color w:val="008000"/>
          <w:sz w:val="18"/>
        </w:rPr>
        <w:t>**Prolongation de l'aide « grands rouleurs »** par le gouvernement français pour atténuer l'impact de la hausse des prix du carburant (08/08/2026), signe d'une inflation énergétique persistante dans les économies développées.</w:t>
      </w:r>
    </w:p>
    <w:p>
      <w:pPr>
        <w:pStyle w:val="Heading3"/>
      </w:pPr>
      <w:r>
        <w:rPr>
          <w:color w:val="500050"/>
        </w:rPr>
        <w:t>⚡ Impact estimé sur la BRVM</w:t>
      </w:r>
    </w:p>
    <w:p>
      <w:pPr>
        <w:spacing w:before="20" w:after="40"/>
        <w:ind w:left="280"/>
      </w:pPr>
      <w:r>
        <w:rPr>
          <w:i/>
          <w:sz w:val="18"/>
        </w:rPr>
        <w:t>La chute des prix du pétrole est globalement **positive** pour les secteurs consommateurs d'énergie (industriels, transport) mais **négative** pour les valeurs énergétiques comme **TTLS** et **TTLC**, dont les marges pourraient se comprimer. La baisse du maïs pourrait réduire les coûts d'intrants pour les agro-industrielles (**PALC**, **STBC**, **SCRC**), améliorant potentiellement leurs marges. L'inflation énergétique mondiale reste un facteur de prudence pour les investisseurs.</w:t>
      </w:r>
    </w:p>
    <w:p>
      <w:pPr>
        <w:pStyle w:val="Heading2"/>
      </w:pPr>
      <w:r>
        <w:rPr>
          <w:color w:val="006E32"/>
        </w:rPr>
        <w:t>🌍 Plan Africain</w:t>
      </w:r>
    </w:p>
    <w:p>
      <w:pPr>
        <w:pStyle w:val="ListBullet"/>
        <w:spacing w:before="20" w:after="20"/>
        <w:ind w:left="360"/>
      </w:pPr>
      <w:r>
        <w:rPr>
          <w:sz w:val="18"/>
        </w:rPr>
        <w:t>**L'investissement dans l'économie des soins** présenté comme un « levier de croissance stratégique » par un officiel sénégalais (28/07/2026).</w:t>
      </w:r>
    </w:p>
    <w:p>
      <w:pPr>
        <w:pStyle w:val="ListBullet"/>
        <w:spacing w:before="20" w:after="20"/>
        <w:ind w:left="360"/>
      </w:pPr>
      <w:r>
        <w:rPr>
          <w:sz w:val="18"/>
        </w:rPr>
        <w:t>**Senelec** (Sénégal) lève **108 milliards de FCFA de dette verte** à la Bourse de Luxembourg (18/07/2026), illustrant l'appétit des investisseurs internationaux pour les projets énergétiques verts africains.</w:t>
      </w:r>
    </w:p>
    <w:p>
      <w:pPr>
        <w:pStyle w:val="ListBullet"/>
        <w:spacing w:before="20" w:after="20"/>
        <w:ind w:left="360"/>
      </w:pPr>
      <w:r>
        <w:rPr>
          <w:sz w:val="18"/>
        </w:rPr>
        <w:t>**L'OMS recommande l'investissement privé dans la santé** en Mauritanie comme moteur de croissance (16/07/2026).</w:t>
      </w:r>
    </w:p>
    <w:p>
      <w:pPr>
        <w:pStyle w:val="Heading3"/>
      </w:pPr>
      <w:r>
        <w:rPr>
          <w:color w:val="500050"/>
        </w:rPr>
        <w:t>⚡ Impact estimé sur la BRVM</w:t>
      </w:r>
    </w:p>
    <w:p>
      <w:pPr>
        <w:spacing w:before="20" w:after="40"/>
        <w:ind w:left="280"/>
      </w:pPr>
      <w:r>
        <w:rPr>
          <w:i/>
          <w:sz w:val="18"/>
        </w:rPr>
        <w:t>La levée de dette verte de Senelec démontre la capacité des entités africaines à attirer des capitaux internationaux, ce qui pourrait indirectement renforcer la confiance dans les obligations émises par les sociétés de la BRVM. Les secteurs de la santé et des soins ne sont pas directement représentés à la BRVM, mais une croissance économique tirée par ces secteurs pourrait bénéficier aux valeurs financières (**BOAC**, **SIBC**, **BICB**) via une augmentation de l'activité bancaire.</w:t>
      </w:r>
    </w:p>
    <w:p>
      <w:pPr>
        <w:pStyle w:val="Heading2"/>
      </w:pPr>
      <w:r>
        <w:rPr>
          <w:color w:val="145A28"/>
        </w:rPr>
        <w:t>🌍 Plan Afrique de l'Ouest</w:t>
      </w:r>
    </w:p>
    <w:p>
      <w:pPr>
        <w:pStyle w:val="ListBullet"/>
        <w:spacing w:before="20" w:after="20"/>
        <w:ind w:left="360"/>
      </w:pPr>
      <w:r>
        <w:rPr>
          <w:sz w:val="18"/>
        </w:rPr>
        <w:t>**Le Premier ministre guinéen salue le modèle ivoirien de développement** (07/08/2026), renforçant l'attractivité de la Côte d'Ivoire comme hub économique régional.</w:t>
      </w:r>
    </w:p>
    <w:p>
      <w:pPr>
        <w:pStyle w:val="ListBullet"/>
        <w:spacing w:before="20" w:after="20"/>
        <w:ind w:left="360"/>
      </w:pPr>
      <w:r>
        <w:rPr>
          <w:sz w:val="18"/>
        </w:rPr>
        <w:t>**Projet de monnaie unique ECO** de la CEDEAO prévu pour 2027, avec des doutes sur sa faisabilité (04/08/2026).</w:t>
      </w:r>
    </w:p>
    <w:p>
      <w:pPr>
        <w:pStyle w:val="ListBullet"/>
        <w:spacing w:before="20" w:after="20"/>
        <w:ind w:left="360"/>
      </w:pPr>
      <w:r>
        <w:rPr>
          <w:sz w:val="18"/>
        </w:rPr>
        <w:t>**La Guinée renonce à intégrer la monnaie unique ECO** (05/08/2026), marquant un retrait significatif et fragilisant le projet.</w:t>
      </w:r>
    </w:p>
    <w:p>
      <w:pPr>
        <w:pStyle w:val="Heading3"/>
      </w:pPr>
      <w:r>
        <w:rPr>
          <w:color w:val="500050"/>
        </w:rPr>
        <w:t>⚡ Impact estimé sur la BRVM</w:t>
      </w:r>
    </w:p>
    <w:p>
      <w:pPr>
        <w:spacing w:before="20" w:after="40"/>
        <w:ind w:left="280"/>
      </w:pPr>
      <w:r>
        <w:rPr>
          <w:i/>
          <w:sz w:val="18"/>
        </w:rPr>
        <w:t>Le retrait de la Guinée du projet ECO crée une incertitude monétaire régionale, mais la BRVM, libellée en FCFA, reste relativement protégée. La reconnaissance du modèle ivoirien par la Guinée renforce la position de la Côte d'Ivoire, où sont basées la majorité des sociétés cotées (**SGBC**, **BICB**, **PALC**, **ETIT**), ce qui est un signal positif pour la confiance des investisseurs.</w:t>
      </w:r>
    </w:p>
    <w:p>
      <w:pPr>
        <w:pStyle w:val="Heading2"/>
      </w:pPr>
      <w:r>
        <w:rPr>
          <w:color w:val="8C4600"/>
        </w:rPr>
        <w:t>🏦 Plan UEMOA / Zone Franc</w:t>
      </w:r>
    </w:p>
    <w:p>
      <w:pPr>
        <w:pStyle w:val="ListBullet"/>
        <w:spacing w:before="20" w:after="20"/>
        <w:ind w:left="360"/>
      </w:pPr>
      <w:r>
        <w:rPr>
          <w:sz w:val="18"/>
        </w:rPr>
        <w:t>**Aucune décision BCEAO spécifique** rapportée dans les actualités fournies.</w:t>
      </w:r>
    </w:p>
    <w:p>
      <w:pPr>
        <w:pStyle w:val="ListBullet"/>
        <w:spacing w:before="20" w:after="20"/>
        <w:ind w:left="360"/>
      </w:pPr>
      <w:r>
        <w:rPr>
          <w:sz w:val="18"/>
        </w:rPr>
        <w:t>**Aucune donnée sur l'inflation zone UEMOA** disponible dans les actualités fournies.</w:t>
      </w:r>
    </w:p>
    <w:p>
      <w:pPr>
        <w:pStyle w:val="ListBullet"/>
        <w:spacing w:before="20" w:after="20"/>
        <w:ind w:left="360"/>
      </w:pPr>
      <w:r>
        <w:rPr>
          <w:sz w:val="18"/>
        </w:rPr>
        <w:t>**Aucune information sur les matières premières clés** (cacao, caoutchouc) dans les actualités fournies.</w:t>
      </w:r>
    </w:p>
    <w:p>
      <w:pPr>
        <w:pStyle w:val="Heading3"/>
      </w:pPr>
      <w:r>
        <w:rPr>
          <w:color w:val="500050"/>
        </w:rPr>
        <w:t>⚡ Impact estimé sur la BRVM</w:t>
      </w:r>
    </w:p>
    <w:p>
      <w:pPr>
        <w:spacing w:before="20" w:after="40"/>
        <w:ind w:left="280"/>
      </w:pPr>
      <w:r>
        <w:rPr>
          <w:i/>
          <w:sz w:val="18"/>
        </w:rPr>
        <w:t>Données insuffisantes pour évaluer précisément l'impact des politiques monétaires de la BCEAO et des prix des matières premières locales sur les secteurs de la BRVM. Une surveillance des prochaines communications de la BCEAO est recommandée.</w:t>
      </w:r>
    </w:p>
    <w:p>
      <w:pPr>
        <w:pStyle w:val="Heading2"/>
      </w:pPr>
      <w:r>
        <w:rPr>
          <w:color w:val="003366"/>
        </w:rPr>
        <w:t>📈 Plan BRVM</w:t>
      </w:r>
    </w:p>
    <w:p>
      <w:pPr>
        <w:pStyle w:val="ListBullet"/>
        <w:spacing w:before="20" w:after="20"/>
        <w:ind w:left="360"/>
      </w:pPr>
      <w:r>
        <w:rPr>
          <w:sz w:val="18"/>
        </w:rPr>
        <w:t>**Résultats encourageants des sociétés cotées ivoiriennes** à la BRVM (09/06/2026), selon La Tribune.</w:t>
      </w:r>
    </w:p>
    <w:p>
      <w:pPr>
        <w:pStyle w:val="ListBullet"/>
        <w:spacing w:before="20" w:after="20"/>
        <w:ind w:left="360"/>
      </w:pPr>
      <w:r>
        <w:rPr>
          <w:sz w:val="18"/>
        </w:rPr>
        <w:t>**Indice BRVM Composite** à 485.48 points, en légère progression.</w:t>
      </w:r>
    </w:p>
    <w:p>
      <w:pPr>
        <w:pStyle w:val="Heading3"/>
      </w:pPr>
      <w:r>
        <w:rPr>
          <w:color w:val="500050"/>
        </w:rPr>
        <w:t>⚡ Impact estimé sur la BRVM</w:t>
      </w:r>
    </w:p>
    <w:p>
      <w:pPr>
        <w:spacing w:before="20" w:after="40"/>
        <w:ind w:left="280"/>
      </w:pPr>
      <w:r>
        <w:rPr>
          <w:i/>
          <w:sz w:val="18"/>
        </w:rPr>
        <w:t>Les résultats encourageants des sociétés ivoiriennes soutiennent la tendance positive de l'indice. Recommandation : **acheter** sur les valeurs bancaires (**SGBC**, **BICB**, **ETIT**) et agro-industrielles (**PALC**, **SOGC**) qui bénéficient de la solidité de l'économie ivoirienne. **Surveiller** les valeurs énergétiques (**TTLS**, **TTLC**, **SHEC**) exposées à la volatilité des prix du pétrole.</w:t>
      </w:r>
    </w:p>
    <w:p>
      <w:pPr>
        <w:pStyle w:val="Heading1"/>
      </w:pPr>
      <w:r>
        <w:rPr>
          <w:color w:val="8C0000"/>
        </w:rPr>
        <w:t>🏛️ 2. ACTUALITÉS POLITIQUES &amp; GÉOPOLITIQUES</w:t>
      </w:r>
    </w:p>
    <w:p>
      <w:pPr>
        <w:pStyle w:val="Heading2"/>
      </w:pPr>
      <w:r>
        <w:rPr>
          <w:color w:val="00467F"/>
        </w:rPr>
        <w:t>🌐 Plan Mondial</w:t>
      </w:r>
    </w:p>
    <w:p>
      <w:pPr>
        <w:pStyle w:val="ListBullet"/>
        <w:spacing w:before="20" w:after="20"/>
        <w:ind w:left="360"/>
      </w:pPr>
      <w:r>
        <w:rPr>
          <w:sz w:val="18"/>
        </w:rPr>
        <w:t>**Aucun conflit majeur, élection ou sanction** rapporté dans les actualités fournies.</w:t>
      </w:r>
    </w:p>
    <w:p>
      <w:pPr>
        <w:pStyle w:val="Heading3"/>
      </w:pPr>
      <w:r>
        <w:rPr>
          <w:color w:val="500050"/>
        </w:rPr>
        <w:t>⚡ Impact estimé sur la BRVM</w:t>
      </w:r>
    </w:p>
    <w:p>
      <w:pPr>
        <w:spacing w:before="20" w:after="40"/>
        <w:ind w:left="280"/>
      </w:pPr>
      <w:r>
        <w:rPr>
          <w:i/>
          <w:sz w:val="18"/>
        </w:rPr>
        <w:t>Données insuffisantes. L'absence de chocs géopolitiques majeurs est un facteur de stabilité relative pour les flux de capitaux vers les marchés émergents, dont la BRVM.</w:t>
      </w:r>
    </w:p>
    <w:p>
      <w:pPr>
        <w:pStyle w:val="Heading2"/>
      </w:pPr>
      <w:r>
        <w:rPr>
          <w:color w:val="006E32"/>
        </w:rPr>
        <w:t>🌍 Plan Africain</w:t>
      </w:r>
    </w:p>
    <w:p>
      <w:pPr>
        <w:pStyle w:val="ListBullet"/>
        <w:spacing w:before="20" w:after="20"/>
        <w:ind w:left="360"/>
      </w:pPr>
      <w:r>
        <w:rPr>
          <w:sz w:val="18"/>
        </w:rPr>
        <w:t>**Mali : intégration de 254 anciens combattants** issus de groupes armés dans les FAMa (06/08/2026), signe d'une stabilisation sécuritaire.</w:t>
      </w:r>
    </w:p>
    <w:p>
      <w:pPr>
        <w:pStyle w:val="ListBullet"/>
        <w:spacing w:before="20" w:after="20"/>
        <w:ind w:left="360"/>
      </w:pPr>
      <w:r>
        <w:rPr>
          <w:color w:val="C00000"/>
          <w:sz w:val="18"/>
        </w:rPr>
        <w:t>**Sénégal : mise en garde contre tout report des élections présidentielles** (09/08/2026), maintenant une pression sur le calendrier politique.</w:t>
      </w:r>
    </w:p>
    <w:p>
      <w:pPr>
        <w:pStyle w:val="ListBullet"/>
        <w:spacing w:before="20" w:after="20"/>
        <w:ind w:left="360"/>
      </w:pPr>
      <w:r>
        <w:rPr>
          <w:sz w:val="18"/>
        </w:rPr>
        <w:t>**Mali : libération de Moussa Mara**, ancien Premier ministre, qui appelle à l'unité nationale (09/08/2026).</w:t>
      </w:r>
    </w:p>
    <w:p>
      <w:pPr>
        <w:pStyle w:val="Heading3"/>
      </w:pPr>
      <w:r>
        <w:rPr>
          <w:color w:val="500050"/>
        </w:rPr>
        <w:t>⚡ Impact estimé sur la BRVM</w:t>
      </w:r>
    </w:p>
    <w:p>
      <w:pPr>
        <w:spacing w:before="20" w:after="40"/>
        <w:ind w:left="280"/>
      </w:pPr>
      <w:r>
        <w:rPr>
          <w:i/>
          <w:sz w:val="18"/>
        </w:rPr>
        <w:t>La stabilisation sécuritaire au Mali est positive pour la confiance régionale. Les tensions politiques au Sénégal sont à surveiller, car une instabilité pourrait affecter les sociétés cotées ayant des activités dans ce pays (**BOAC**, **BICB**, **NTLC**). La libération de Moussa Mara est un signe d'apaisement politique au Mali.</w:t>
      </w:r>
    </w:p>
    <w:p>
      <w:pPr>
        <w:pStyle w:val="Heading2"/>
      </w:pPr>
      <w:r>
        <w:rPr>
          <w:color w:val="145A28"/>
        </w:rPr>
        <w:t>🌍 Plan Afrique de l'Ouest</w:t>
      </w:r>
    </w:p>
    <w:p>
      <w:pPr>
        <w:pStyle w:val="ListBullet"/>
        <w:spacing w:before="20" w:after="20"/>
        <w:ind w:left="360"/>
      </w:pPr>
      <w:r>
        <w:rPr>
          <w:sz w:val="18"/>
        </w:rPr>
        <w:t>**Mali : démenti de toute « rupture diplomatique » avec l'Algérie** (08/08/2026), malgré des tensions récentes.</w:t>
      </w:r>
    </w:p>
    <w:p>
      <w:pPr>
        <w:pStyle w:val="ListBullet"/>
        <w:spacing w:before="20" w:after="20"/>
        <w:ind w:left="360"/>
      </w:pPr>
      <w:r>
        <w:rPr>
          <w:sz w:val="18"/>
        </w:rPr>
        <w:t>**Sénégal : Thierno Alassane Sall accuse Pastef de duplicité sur l'ASER** (07/08/2026), une controverse politique interne.</w:t>
      </w:r>
    </w:p>
    <w:p>
      <w:pPr>
        <w:pStyle w:val="ListBullet"/>
        <w:spacing w:before="20" w:after="20"/>
        <w:ind w:left="360"/>
      </w:pPr>
      <w:r>
        <w:rPr>
          <w:sz w:val="18"/>
        </w:rPr>
        <w:t>**Sénégal : rumeur sur la durée du mandat présidentiel** (08/08/2026), démentie par les autorités.</w:t>
      </w:r>
    </w:p>
    <w:p>
      <w:pPr>
        <w:pStyle w:val="Heading3"/>
      </w:pPr>
      <w:r>
        <w:rPr>
          <w:color w:val="500050"/>
        </w:rPr>
        <w:t>⚡ Impact estimé sur la BRVM</w:t>
      </w:r>
    </w:p>
    <w:p>
      <w:pPr>
        <w:spacing w:before="20" w:after="40"/>
        <w:ind w:left="280"/>
      </w:pPr>
      <w:r>
        <w:rPr>
          <w:i/>
          <w:sz w:val="18"/>
        </w:rPr>
        <w:t>Les tensions diplomatiques Mali-Algérie et les controverses politiques sénégalaises créent un climat d'incertitude modéré. Les investisseurs pourraient adopter une attitude attentiste sur les valeurs les plus exposées à ces pays. La stabilité relative de la Côte d'Ivoire, locomotive de la BRVM, compense partiellement ces risques.</w:t>
      </w:r>
    </w:p>
    <w:p>
      <w:pPr>
        <w:pStyle w:val="Heading2"/>
      </w:pPr>
      <w:r>
        <w:rPr>
          <w:color w:val="8C4600"/>
        </w:rPr>
        <w:t>🏦 Plan UEMOA / Zone Franc</w:t>
      </w:r>
    </w:p>
    <w:p>
      <w:pPr>
        <w:pStyle w:val="ListBullet"/>
        <w:spacing w:before="20" w:after="20"/>
        <w:ind w:left="360"/>
      </w:pPr>
      <w:r>
        <w:rPr>
          <w:sz w:val="18"/>
        </w:rPr>
        <w:t>**Aucune réforme institutionnelle ou situation politique spécifique** rapportée dans les actualités fournies.</w:t>
      </w:r>
    </w:p>
    <w:p>
      <w:pPr>
        <w:pStyle w:val="Heading3"/>
      </w:pPr>
      <w:r>
        <w:rPr>
          <w:color w:val="500050"/>
        </w:rPr>
        <w:t>⚡ Impact estimé sur la BRVM</w:t>
      </w:r>
    </w:p>
    <w:p>
      <w:pPr>
        <w:spacing w:before="20" w:after="40"/>
        <w:ind w:left="280"/>
      </w:pPr>
      <w:r>
        <w:rPr>
          <w:i/>
          <w:sz w:val="18"/>
        </w:rPr>
        <w:t>Données insuffisantes. L'absence de nouvelles politiques majeures dans la zone UEMOA suggère un environnement réglementaire stable, favorable au maintien des investissements.</w:t>
      </w:r>
    </w:p>
    <w:p>
      <w:pPr>
        <w:pStyle w:val="Heading2"/>
      </w:pPr>
      <w:r>
        <w:rPr>
          <w:color w:val="003366"/>
        </w:rPr>
        <w:t>📈 Plan BRVM</w:t>
      </w:r>
    </w:p>
    <w:p>
      <w:pPr>
        <w:pStyle w:val="ListBullet"/>
        <w:spacing w:before="20" w:after="20"/>
        <w:ind w:left="360"/>
      </w:pPr>
      <w:r>
        <w:rPr>
          <w:sz w:val="18"/>
        </w:rPr>
        <w:t>**Aucune nouvelle réglementation CREPMF, nouvelle cotation ou gouvernance** rapportée dans les actualités fournies.</w:t>
      </w:r>
    </w:p>
    <w:p>
      <w:pPr>
        <w:pStyle w:val="Heading3"/>
      </w:pPr>
      <w:r>
        <w:rPr>
          <w:color w:val="500050"/>
        </w:rPr>
        <w:t>⚡ Impact estimé sur la BRVM</w:t>
      </w:r>
    </w:p>
    <w:p>
      <w:pPr>
        <w:spacing w:before="20" w:after="40"/>
        <w:ind w:left="280"/>
      </w:pPr>
      <w:r>
        <w:rPr>
          <w:i/>
          <w:sz w:val="18"/>
        </w:rPr>
        <w:t>Données insuffisantes. L'absence de décisions réglementaires notables signifie que le cadre existant prévaut, sans choc réglementaire imminent pour les sociétés cotées.</w:t>
      </w:r>
    </w:p>
    <w:p>
      <w:pPr>
        <w:pStyle w:val="Heading1"/>
      </w:pPr>
      <w:r>
        <w:rPr>
          <w:color w:val="006428"/>
        </w:rPr>
        <w:t>💹 3. ACTUALITÉS FINANCIÈRES &amp; MARCHÉS</w:t>
      </w:r>
    </w:p>
    <w:p>
      <w:pPr>
        <w:pStyle w:val="Heading2"/>
      </w:pPr>
      <w:r>
        <w:rPr>
          <w:color w:val="00467F"/>
        </w:rPr>
        <w:t>🌐 Plan Mondial</w:t>
      </w:r>
    </w:p>
    <w:p>
      <w:pPr>
        <w:pStyle w:val="ListBullet"/>
        <w:spacing w:before="20" w:after="20"/>
        <w:ind w:left="360"/>
      </w:pPr>
      <w:r>
        <w:rPr>
          <w:sz w:val="18"/>
        </w:rPr>
        <w:t>**Aucune donnée sur Wall Street, les indices, les taux ou le change** rapportée dans les actualités fournies.</w:t>
      </w:r>
    </w:p>
    <w:p>
      <w:pPr>
        <w:pStyle w:val="Heading3"/>
      </w:pPr>
      <w:r>
        <w:rPr>
          <w:color w:val="500050"/>
        </w:rPr>
        <w:t>⚡ Impact estimé sur la BRVM</w:t>
      </w:r>
    </w:p>
    <w:p>
      <w:pPr>
        <w:spacing w:before="20" w:after="40"/>
        <w:ind w:left="280"/>
      </w:pPr>
      <w:r>
        <w:rPr>
          <w:i/>
          <w:sz w:val="18"/>
        </w:rPr>
        <w:t>Données insuffisantes. L'absence d'information sur les marchés mondiaux limite l'analyse des corrélations avec la BRVM. Toutefois, la chute des prix du pétrole et du maïs suggère un environnement de matières premières baissier, ce qui peut influencer les flux vers les marchés émergents.</w:t>
      </w:r>
    </w:p>
    <w:p>
      <w:pPr>
        <w:pStyle w:val="Heading2"/>
      </w:pPr>
      <w:r>
        <w:rPr>
          <w:color w:val="006E32"/>
        </w:rPr>
        <w:t>🌍 Plan Africain</w:t>
      </w:r>
    </w:p>
    <w:p>
      <w:pPr>
        <w:pStyle w:val="ListBullet"/>
        <w:spacing w:before="20" w:after="20"/>
        <w:ind w:left="360"/>
      </w:pPr>
      <w:r>
        <w:rPr>
          <w:sz w:val="18"/>
        </w:rPr>
        <w:t>**Aucune donnée sur les marchés obligataires africains, eurobonds ou notation souveraine** rapportée dans les actualités fournies.</w:t>
      </w:r>
    </w:p>
    <w:p>
      <w:pPr>
        <w:pStyle w:val="Heading3"/>
      </w:pPr>
      <w:r>
        <w:rPr>
          <w:color w:val="500050"/>
        </w:rPr>
        <w:t>⚡ Impact estimé sur la BRVM</w:t>
      </w:r>
    </w:p>
    <w:p>
      <w:pPr>
        <w:spacing w:before="20" w:after="40"/>
        <w:ind w:left="280"/>
      </w:pPr>
      <w:r>
        <w:rPr>
          <w:i/>
          <w:sz w:val="18"/>
        </w:rPr>
        <w:t>Données insuffisantes. La levée de dette verte de Senelec à Luxembourg (108 milliards FCFA) montre que les émetteurs africains peuvent accéder aux marchés internationaux, mais cela ne concurrence pas directement la BRVM.</w:t>
      </w:r>
    </w:p>
    <w:p>
      <w:pPr>
        <w:pStyle w:val="Heading2"/>
      </w:pPr>
      <w:r>
        <w:rPr>
          <w:color w:val="145A28"/>
        </w:rPr>
        <w:t>🌍 Plan Afrique de l'Ouest</w:t>
      </w:r>
    </w:p>
    <w:p>
      <w:pPr>
        <w:pStyle w:val="ListBullet"/>
        <w:spacing w:before="20" w:after="20"/>
        <w:ind w:left="360"/>
      </w:pPr>
      <w:r>
        <w:rPr>
          <w:sz w:val="18"/>
        </w:rPr>
        <w:t>**Aucune donnée sur les bourses régionales concurrentes ou flux de capitaux sous-régionaux** rapportée dans les actualités fournies.</w:t>
      </w:r>
    </w:p>
    <w:p>
      <w:pPr>
        <w:pStyle w:val="Heading3"/>
      </w:pPr>
      <w:r>
        <w:rPr>
          <w:color w:val="500050"/>
        </w:rPr>
        <w:t>⚡ Impact estimé sur la BRVM</w:t>
      </w:r>
    </w:p>
    <w:p>
      <w:pPr>
        <w:spacing w:before="20" w:after="40"/>
        <w:ind w:left="280"/>
      </w:pPr>
      <w:r>
        <w:rPr>
          <w:i/>
          <w:sz w:val="18"/>
        </w:rPr>
        <w:t>Données insuffisantes. La BRVM reste la principale place financière de la sous-région, et l'absence de nouvelles concurrentes renforce sa position dominante.</w:t>
      </w:r>
    </w:p>
    <w:p>
      <w:pPr>
        <w:pStyle w:val="Heading2"/>
      </w:pPr>
      <w:r>
        <w:rPr>
          <w:color w:val="8C4600"/>
        </w:rPr>
        <w:t>🏦 Plan UEMOA / Zone Franc</w:t>
      </w:r>
    </w:p>
    <w:p>
      <w:pPr>
        <w:pStyle w:val="ListBullet"/>
        <w:spacing w:before="20" w:after="20"/>
        <w:ind w:left="360"/>
      </w:pPr>
      <w:r>
        <w:rPr>
          <w:sz w:val="18"/>
        </w:rPr>
        <w:t>**Aucune donnée sur le marché des titres publics UEMOA, taux interbancaire ou liquidité** rapportée dans les actualités fournies.</w:t>
      </w:r>
    </w:p>
    <w:p>
      <w:pPr>
        <w:pStyle w:val="Heading3"/>
      </w:pPr>
      <w:r>
        <w:rPr>
          <w:color w:val="500050"/>
        </w:rPr>
        <w:t>⚡ Impact estimé sur la BRVM</w:t>
      </w:r>
    </w:p>
    <w:p>
      <w:pPr>
        <w:spacing w:before="20" w:after="40"/>
        <w:ind w:left="280"/>
      </w:pPr>
      <w:r>
        <w:rPr>
          <w:i/>
          <w:sz w:val="18"/>
        </w:rPr>
        <w:t>Données insuffisantes. L'absence d'information sur les taux et la liquidité ne permet pas d'évaluer l'arbitrage entre titres publics et actions BRVM.</w:t>
      </w:r>
    </w:p>
    <w:p>
      <w:pPr>
        <w:pStyle w:val="Heading2"/>
      </w:pPr>
      <w:r>
        <w:rPr>
          <w:color w:val="003366"/>
        </w:rPr>
        <w:t>📈 Plan BRVM</w:t>
      </w:r>
    </w:p>
    <w:p>
      <w:pPr>
        <w:pStyle w:val="ListBullet"/>
        <w:spacing w:before="20" w:after="20"/>
        <w:ind w:left="360"/>
      </w:pPr>
      <w:r>
        <w:rPr>
          <w:sz w:val="18"/>
        </w:rPr>
        <w:t>**Indice BRVM Composite** à 485.48 points, stable.</w:t>
      </w:r>
    </w:p>
    <w:p>
      <w:pPr>
        <w:pStyle w:val="ListBullet"/>
        <w:spacing w:before="20" w:after="20"/>
        <w:ind w:left="360"/>
      </w:pPr>
      <w:r>
        <w:rPr>
          <w:sz w:val="18"/>
        </w:rPr>
        <w:t>**Résultats encourageants des sociétés cotées ivoiriennes** (09/06/2026).</w:t>
      </w:r>
    </w:p>
    <w:p>
      <w:pPr>
        <w:pStyle w:val="Heading3"/>
      </w:pPr>
      <w:r>
        <w:rPr>
          <w:color w:val="500050"/>
        </w:rPr>
        <w:t>⚡ Impact estimé sur la BRVM</w:t>
      </w:r>
    </w:p>
    <w:p>
      <w:pPr>
        <w:spacing w:before="20" w:after="40"/>
        <w:ind w:left="280"/>
      </w:pPr>
      <w:r>
        <w:rPr>
          <w:i/>
          <w:sz w:val="18"/>
        </w:rPr>
        <w:t>La stabilité de l'indice et les bons résultats des sociétés ivoiriennes suggèrent un marché soutenu. **Opportunités d'achat** sur **SGBC**, **BICB**, **PALC**, **ETIT** et **SOGC** qui bénéficient de la solidité économique ivoirienne. **Titres sous pression** : **TTLS** et **TTLC** (énergie) exposés à la baisse des prix du pétrole. **Surveiller** **NTLC** et **SIVC** pour leur exposition aux marchés régionaux.</w:t>
      </w:r>
    </w:p>
    <w:p>
      <w:pPr>
        <w:pStyle w:val="Heading1"/>
      </w:pPr>
      <w:r>
        <w:rPr>
          <w:color w:val="003366"/>
        </w:rPr>
        <w:t>🎯 SYNTHÈSE &amp; RECOMMANDATION FINALE</w:t>
      </w:r>
    </w:p>
    <w:p>
      <w:pPr>
        <w:spacing w:before="120"/>
      </w:pPr>
      <w:r>
        <w:rPr>
          <w:b/>
          <w:color w:val="008000"/>
          <w:sz w:val="22"/>
        </w:rPr>
        <w:t>**Niveau d'alerte global pour un investisseur BRVM : VERT**</w:t>
      </w:r>
    </w:p>
    <w:p>
      <w:pPr>
        <w:spacing w:before="20" w:after="40"/>
        <w:ind w:left="0"/>
      </w:pPr>
      <w:r>
        <w:rPr>
          <w:sz w:val="18"/>
        </w:rPr>
        <w:t>L'environnement macro-économique est globalement stable, avec une chute des prix du pétrole et du maïs qui profite aux secteurs consommateurs d'énergie et aux agro-industrielles. La reconnaissance du modèle ivoirien et les résultats encourageants des sociétés cotées soutiennent la confiance des investisseurs. Les tensions politiques au Sénégal et au Mali sont contenues et ne menacent pas la stabilité régionale. **Recommandation** : maintenir une position investie sur les valeurs bancaires et agro-industrielles de qualité (**SGBC**, **BICB**, **PALC**, **ETIT**), tout en surveillant les valeurs énergétiques (**TTLS**, **TTLC**) exposées à la volatilité des matières premières.</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2026-08-08</w:t>
            </w:r>
          </w:p>
        </w:tc>
        <w:tc>
          <w:tcPr>
            <w:tcW w:type="dxa" w:w="1728"/>
          </w:tcPr>
          <w:p>
            <w:r>
              <w:rPr>
                <w:sz w:val="14"/>
              </w:rPr>
              <w:t xml:space="preserve">Prix du carburant : le gouvernement prolonge l'aide « grands rouleurs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pétrole or matiè</w:t>
            </w:r>
          </w:p>
        </w:tc>
      </w:tr>
      <w:tr>
        <w:tc>
          <w:tcPr>
            <w:tcW w:type="dxa" w:w="1728"/>
          </w:tcPr>
          <w:p>
            <w:r>
              <w:rPr>
                <w:sz w:val="14"/>
              </w:rPr>
              <w:t>2026-08-05</w:t>
            </w:r>
          </w:p>
        </w:tc>
        <w:tc>
          <w:tcPr>
            <w:tcW w:type="dxa" w:w="1728"/>
          </w:tcPr>
          <w:p>
            <w:r>
              <w:rPr>
                <w:sz w:val="14"/>
              </w:rPr>
              <w:t>Les prix du pétrole et du maïs s'effondrent simultanément. - Vietnam.v</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2026-08-04</w:t>
            </w:r>
          </w:p>
        </w:tc>
        <w:tc>
          <w:tcPr>
            <w:tcW w:type="dxa" w:w="1728"/>
          </w:tcPr>
          <w:p>
            <w:r>
              <w:rPr>
                <w:sz w:val="14"/>
              </w:rPr>
              <w:t>La chute des prix du pétrole a entraîné une baisse de l'indice MXV pen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2026-08-04</w:t>
            </w:r>
          </w:p>
        </w:tc>
        <w:tc>
          <w:tcPr>
            <w:tcW w:type="dxa" w:w="1728"/>
          </w:tcPr>
          <w:p>
            <w:r>
              <w:rPr>
                <w:sz w:val="14"/>
              </w:rPr>
              <w:t>Les taux chutent en Europe, la BCE peut temporiser après le cessez-le-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2026-07-31</w:t>
            </w:r>
          </w:p>
        </w:tc>
        <w:tc>
          <w:tcPr>
            <w:tcW w:type="dxa" w:w="1728"/>
          </w:tcPr>
          <w:p>
            <w:r>
              <w:rPr>
                <w:sz w:val="14"/>
              </w:rPr>
              <w:t>La pression à la vente est revenue sur le marché des matières première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2026-07-31</w:t>
            </w:r>
          </w:p>
        </w:tc>
        <w:tc>
          <w:tcPr>
            <w:tcW w:type="dxa" w:w="1728"/>
          </w:tcPr>
          <w:p>
            <w:r>
              <w:rPr>
                <w:sz w:val="14"/>
              </w:rPr>
              <w:t>La semaine à venir à Wall Street-Le marché boursier américain, en plei</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2026-07-18</w:t>
            </w:r>
          </w:p>
        </w:tc>
        <w:tc>
          <w:tcPr>
            <w:tcW w:type="dxa" w:w="1728"/>
          </w:tcPr>
          <w:p>
            <w:r>
              <w:rPr>
                <w:sz w:val="14"/>
              </w:rPr>
              <w:t>Sénégal | Senelec frappe un grand coup : 108 milliards de FCFA de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2026-07-14</w:t>
            </w:r>
          </w:p>
        </w:tc>
        <w:tc>
          <w:tcPr>
            <w:tcW w:type="dxa" w:w="1728"/>
          </w:tcPr>
          <w:p>
            <w:r>
              <w:rPr>
                <w:sz w:val="14"/>
              </w:rPr>
              <w:t xml:space="preserve">Sénégal : Senelec cote ses premières obligations durables à la Bourse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2026-07-11</w:t>
            </w:r>
          </w:p>
        </w:tc>
        <w:tc>
          <w:tcPr>
            <w:tcW w:type="dxa" w:w="1728"/>
          </w:tcPr>
          <w:p>
            <w:r>
              <w:rPr>
                <w:sz w:val="14"/>
              </w:rPr>
              <w:t>La RDC lance la Kinshasa Stock Exchange, sa première Bourse - Africtel</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2026-08-07</w:t>
            </w:r>
          </w:p>
        </w:tc>
        <w:tc>
          <w:tcPr>
            <w:tcW w:type="dxa" w:w="1728"/>
          </w:tcPr>
          <w:p>
            <w:r>
              <w:rPr>
                <w:sz w:val="14"/>
              </w:rPr>
              <w:t xml:space="preserve">Le Premier ministre guinéen salue le modèle ivoirien de développement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L'ECO, la monnaie unique de la CEDEAO en 2027 : un nouveau départ ou u</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La Guinée renonce à intégrer la monnaie unique Eco - lebrief.ma</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2026-08-06</w:t>
            </w:r>
          </w:p>
        </w:tc>
        <w:tc>
          <w:tcPr>
            <w:tcW w:type="dxa" w:w="1728"/>
          </w:tcPr>
          <w:p>
            <w:r>
              <w:rPr>
                <w:sz w:val="14"/>
              </w:rPr>
              <w:t xml:space="preserve">Décryptage - Kalilou SYLLA, Commissaire aux Affaires économiques et à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Afrique de l’Ouest: la BIDC prévoit une croissance de 4,7% en 2026 pui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CEDEAO : La Guinée renonce au projet de monnaie unique - Sahel Intelli</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2026-08-06</w:t>
            </w:r>
          </w:p>
        </w:tc>
        <w:tc>
          <w:tcPr>
            <w:tcW w:type="dxa" w:w="1728"/>
          </w:tcPr>
          <w:p>
            <w:r>
              <w:rPr>
                <w:sz w:val="14"/>
              </w:rPr>
              <w:t>Mali : Les FAMa accueillent 254 anciens combattants issus de groupes a</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2026-08-09</w:t>
            </w:r>
          </w:p>
        </w:tc>
        <w:tc>
          <w:tcPr>
            <w:tcW w:type="dxa" w:w="1728"/>
          </w:tcPr>
          <w:p>
            <w:r>
              <w:rPr>
                <w:sz w:val="14"/>
              </w:rPr>
              <w:t>Sénégal : El Malick Ndiaye met en garde contre tout report des électio</w:t>
            </w:r>
          </w:p>
        </w:tc>
        <w:tc>
          <w:tcPr>
            <w:tcW w:type="dxa" w:w="1728"/>
          </w:tcPr>
          <w:p>
            <w:r>
              <w:rPr>
                <w:sz w:val="14"/>
              </w:rPr>
              <w:t>Neutre</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2026-08-09</w:t>
            </w:r>
          </w:p>
        </w:tc>
        <w:tc>
          <w:tcPr>
            <w:tcW w:type="dxa" w:w="1728"/>
          </w:tcPr>
          <w:p>
            <w:r>
              <w:rPr>
                <w:sz w:val="14"/>
              </w:rPr>
              <w:t>Mali : Moussa Mara appelle à l’unité après sa libération - Africa24 TV</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2026-08-08</w:t>
            </w:r>
          </w:p>
        </w:tc>
        <w:tc>
          <w:tcPr>
            <w:tcW w:type="dxa" w:w="1728"/>
          </w:tcPr>
          <w:p>
            <w:r>
              <w:rPr>
                <w:sz w:val="14"/>
              </w:rPr>
              <w:t>Mali : Abdoulaye Maïga nie toute « rupture diplomatique » avec Alger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2026-08-08</w:t>
            </w:r>
          </w:p>
        </w:tc>
        <w:tc>
          <w:tcPr>
            <w:tcW w:type="dxa" w:w="1728"/>
          </w:tcPr>
          <w:p>
            <w:r>
              <w:rPr>
                <w:sz w:val="14"/>
              </w:rPr>
              <w:t>Durée du mandat présidentiel au Sénégal : d’où vient la rumeur ? - Jeu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2026-08-07</w:t>
            </w:r>
          </w:p>
        </w:tc>
        <w:tc>
          <w:tcPr>
            <w:tcW w:type="dxa" w:w="1728"/>
          </w:tcPr>
          <w:p>
            <w:r>
              <w:rPr>
                <w:sz w:val="14"/>
              </w:rPr>
              <w:t xml:space="preserve">Sénégal : Thierno Alassane Sall accuse Pastef de duplicité sur l’ASER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2026-08-06</w:t>
            </w:r>
          </w:p>
        </w:tc>
        <w:tc>
          <w:tcPr>
            <w:tcW w:type="dxa" w:w="1728"/>
          </w:tcPr>
          <w:p>
            <w:r>
              <w:rPr>
                <w:sz w:val="14"/>
              </w:rPr>
              <w:t>Mali : Les FAMa accueillent 254 anciens combattants issus de groupes a</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2026-08-09</w:t>
            </w:r>
          </w:p>
        </w:tc>
        <w:tc>
          <w:tcPr>
            <w:tcW w:type="dxa" w:w="1728"/>
          </w:tcPr>
          <w:p>
            <w:r>
              <w:rPr>
                <w:sz w:val="14"/>
              </w:rPr>
              <w:t>Sénégal : El Malick Ndiaye met en garde contre tout report des électio</w:t>
            </w:r>
          </w:p>
        </w:tc>
        <w:tc>
          <w:tcPr>
            <w:tcW w:type="dxa" w:w="1728"/>
          </w:tcPr>
          <w:p>
            <w:r>
              <w:rPr>
                <w:sz w:val="14"/>
              </w:rPr>
              <w:t>Neutre</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2026-08-09</w:t>
            </w:r>
          </w:p>
        </w:tc>
        <w:tc>
          <w:tcPr>
            <w:tcW w:type="dxa" w:w="1728"/>
          </w:tcPr>
          <w:p>
            <w:r>
              <w:rPr>
                <w:sz w:val="14"/>
              </w:rPr>
              <w:t>Mali : Moussa Mara appelle à l’unité après sa libération - Africa24 TV</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2026-08-08</w:t>
            </w:r>
          </w:p>
        </w:tc>
        <w:tc>
          <w:tcPr>
            <w:tcW w:type="dxa" w:w="1728"/>
          </w:tcPr>
          <w:p>
            <w:r>
              <w:rPr>
                <w:sz w:val="14"/>
              </w:rPr>
              <w:t xml:space="preserve">Prix du carburant : le gouvernement prolonge l'aide « grands rouleurs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pétrole or matiè</w:t>
            </w:r>
          </w:p>
        </w:tc>
      </w:tr>
      <w:tr>
        <w:tc>
          <w:tcPr>
            <w:tcW w:type="dxa" w:w="1728"/>
          </w:tcPr>
          <w:p>
            <w:r>
              <w:rPr>
                <w:sz w:val="14"/>
              </w:rPr>
              <w:t>2026-08-08</w:t>
            </w:r>
          </w:p>
        </w:tc>
        <w:tc>
          <w:tcPr>
            <w:tcW w:type="dxa" w:w="1728"/>
          </w:tcPr>
          <w:p>
            <w:r>
              <w:rPr>
                <w:sz w:val="14"/>
              </w:rPr>
              <w:t>Durée du mandat présidentiel au Sénégal : d’où vient la rumeur ? - Jeu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2026-08-06</w:t>
            </w:r>
          </w:p>
        </w:tc>
        <w:tc>
          <w:tcPr>
            <w:tcW w:type="dxa" w:w="1728"/>
          </w:tcPr>
          <w:p>
            <w:r>
              <w:rPr>
                <w:sz w:val="14"/>
              </w:rPr>
              <w:t>Mali : Les FAMa accueillent 254 anciens combattants issus de groupes a</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2026-08-09</w:t>
            </w:r>
          </w:p>
        </w:tc>
        <w:tc>
          <w:tcPr>
            <w:tcW w:type="dxa" w:w="1728"/>
          </w:tcPr>
          <w:p>
            <w:r>
              <w:rPr>
                <w:sz w:val="14"/>
              </w:rPr>
              <w:t>Sénégal : El Malick Ndiaye met en garde contre tout report des électio</w:t>
            </w:r>
          </w:p>
        </w:tc>
        <w:tc>
          <w:tcPr>
            <w:tcW w:type="dxa" w:w="1728"/>
          </w:tcPr>
          <w:p>
            <w:r>
              <w:rPr>
                <w:sz w:val="14"/>
              </w:rPr>
              <w:t>Neutre</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2026-08-09</w:t>
            </w:r>
          </w:p>
        </w:tc>
        <w:tc>
          <w:tcPr>
            <w:tcW w:type="dxa" w:w="1728"/>
          </w:tcPr>
          <w:p>
            <w:r>
              <w:rPr>
                <w:sz w:val="14"/>
              </w:rPr>
              <w:t>Mali : Moussa Mara appelle à l’unité après sa libération - Africa24 TV</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2026-08-08</w:t>
            </w:r>
          </w:p>
        </w:tc>
        <w:tc>
          <w:tcPr>
            <w:tcW w:type="dxa" w:w="1728"/>
          </w:tcPr>
          <w:p>
            <w:r>
              <w:rPr>
                <w:sz w:val="14"/>
              </w:rPr>
              <w:t xml:space="preserve">Prix du carburant : le gouvernement prolonge l'aide « grands rouleurs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pétrole or matiè</w:t>
            </w:r>
          </w:p>
        </w:tc>
      </w:tr>
      <w:tr>
        <w:tc>
          <w:tcPr>
            <w:tcW w:type="dxa" w:w="1728"/>
          </w:tcPr>
          <w:p>
            <w:r>
              <w:rPr>
                <w:sz w:val="14"/>
              </w:rPr>
              <w:t>2026-08-08</w:t>
            </w:r>
          </w:p>
        </w:tc>
        <w:tc>
          <w:tcPr>
            <w:tcW w:type="dxa" w:w="1728"/>
          </w:tcPr>
          <w:p>
            <w:r>
              <w:rPr>
                <w:sz w:val="14"/>
              </w:rPr>
              <w:t>Durée du mandat présidentiel au Sénégal : d’où vient la rumeur ? - Jeu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2026-08-06</w:t>
            </w:r>
          </w:p>
        </w:tc>
        <w:tc>
          <w:tcPr>
            <w:tcW w:type="dxa" w:w="1728"/>
          </w:tcPr>
          <w:p>
            <w:r>
              <w:rPr>
                <w:sz w:val="14"/>
              </w:rPr>
              <w:t>Mali : Les FAMa accueillent 254 anciens combattants issus de groupes a</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2026-08-09</w:t>
            </w:r>
          </w:p>
        </w:tc>
        <w:tc>
          <w:tcPr>
            <w:tcW w:type="dxa" w:w="1728"/>
          </w:tcPr>
          <w:p>
            <w:r>
              <w:rPr>
                <w:sz w:val="14"/>
              </w:rPr>
              <w:t>Sénégal : El Malick Ndiaye met en garde contre tout report des électio</w:t>
            </w:r>
          </w:p>
        </w:tc>
        <w:tc>
          <w:tcPr>
            <w:tcW w:type="dxa" w:w="1728"/>
          </w:tcPr>
          <w:p>
            <w:r>
              <w:rPr>
                <w:sz w:val="14"/>
              </w:rPr>
              <w:t>Neutre</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2026-08-09</w:t>
            </w:r>
          </w:p>
        </w:tc>
        <w:tc>
          <w:tcPr>
            <w:tcW w:type="dxa" w:w="1728"/>
          </w:tcPr>
          <w:p>
            <w:r>
              <w:rPr>
                <w:sz w:val="14"/>
              </w:rPr>
              <w:t>Mali : Moussa Mara appelle à l’unité après sa libération - Africa24 TV</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2026-08-08</w:t>
            </w:r>
          </w:p>
        </w:tc>
        <w:tc>
          <w:tcPr>
            <w:tcW w:type="dxa" w:w="1728"/>
          </w:tcPr>
          <w:p>
            <w:r>
              <w:rPr>
                <w:sz w:val="14"/>
              </w:rPr>
              <w:t xml:space="preserve">Prix du carburant : le gouvernement prolonge l'aide « grands rouleurs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pétrole or matiè</w:t>
            </w:r>
          </w:p>
        </w:tc>
      </w:tr>
      <w:tr>
        <w:tc>
          <w:tcPr>
            <w:tcW w:type="dxa" w:w="1728"/>
          </w:tcPr>
          <w:p>
            <w:r>
              <w:rPr>
                <w:sz w:val="14"/>
              </w:rPr>
              <w:t>2026-08-08</w:t>
            </w:r>
          </w:p>
        </w:tc>
        <w:tc>
          <w:tcPr>
            <w:tcW w:type="dxa" w:w="1728"/>
          </w:tcPr>
          <w:p>
            <w:r>
              <w:rPr>
                <w:sz w:val="14"/>
              </w:rPr>
              <w:t>Durée du mandat présidentiel au Sénégal : d’où vient la rumeur ? - Jeu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2026-08-06</w:t>
            </w:r>
          </w:p>
        </w:tc>
        <w:tc>
          <w:tcPr>
            <w:tcW w:type="dxa" w:w="1728"/>
          </w:tcPr>
          <w:p>
            <w:r>
              <w:rPr>
                <w:sz w:val="14"/>
              </w:rPr>
              <w:t>Mali : Les FAMa accueillent 254 anciens combattants issus de groupes a</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2026-08-09</w:t>
            </w:r>
          </w:p>
        </w:tc>
        <w:tc>
          <w:tcPr>
            <w:tcW w:type="dxa" w:w="1728"/>
          </w:tcPr>
          <w:p>
            <w:r>
              <w:rPr>
                <w:sz w:val="14"/>
              </w:rPr>
              <w:t>Sénégal : El Malick Ndiaye met en garde contre tout report des électio</w:t>
            </w:r>
          </w:p>
        </w:tc>
        <w:tc>
          <w:tcPr>
            <w:tcW w:type="dxa" w:w="1728"/>
          </w:tcPr>
          <w:p>
            <w:r>
              <w:rPr>
                <w:sz w:val="14"/>
              </w:rPr>
              <w:t>Neutre</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2026-08-09</w:t>
            </w:r>
          </w:p>
        </w:tc>
        <w:tc>
          <w:tcPr>
            <w:tcW w:type="dxa" w:w="1728"/>
          </w:tcPr>
          <w:p>
            <w:r>
              <w:rPr>
                <w:sz w:val="14"/>
              </w:rPr>
              <w:t>Mali : Moussa Mara appelle à l’unité après sa libération - Africa24 TV</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2026-08-08</w:t>
            </w:r>
          </w:p>
        </w:tc>
        <w:tc>
          <w:tcPr>
            <w:tcW w:type="dxa" w:w="1728"/>
          </w:tcPr>
          <w:p>
            <w:r>
              <w:rPr>
                <w:sz w:val="14"/>
              </w:rPr>
              <w:t xml:space="preserve">Prix du carburant : le gouvernement prolonge l'aide « grands rouleurs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pétrole or matiè</w:t>
            </w:r>
          </w:p>
        </w:tc>
      </w:tr>
      <w:tr>
        <w:tc>
          <w:tcPr>
            <w:tcW w:type="dxa" w:w="1728"/>
          </w:tcPr>
          <w:p>
            <w:r>
              <w:rPr>
                <w:sz w:val="14"/>
              </w:rPr>
              <w:t>2026-08-08</w:t>
            </w:r>
          </w:p>
        </w:tc>
        <w:tc>
          <w:tcPr>
            <w:tcW w:type="dxa" w:w="1728"/>
          </w:tcPr>
          <w:p>
            <w:r>
              <w:rPr>
                <w:sz w:val="14"/>
              </w:rPr>
              <w:t>Mali : Abdoulaye Maïga nie toute « rupture diplomatique » avec Alger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2026-08-06</w:t>
            </w:r>
          </w:p>
        </w:tc>
        <w:tc>
          <w:tcPr>
            <w:tcW w:type="dxa" w:w="1728"/>
          </w:tcPr>
          <w:p>
            <w:r>
              <w:rPr>
                <w:sz w:val="14"/>
              </w:rPr>
              <w:t>Mali : Les FAMa accueillent 254 anciens combattants issus de groupes a</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2026-08-09</w:t>
            </w:r>
          </w:p>
        </w:tc>
        <w:tc>
          <w:tcPr>
            <w:tcW w:type="dxa" w:w="1728"/>
          </w:tcPr>
          <w:p>
            <w:r>
              <w:rPr>
                <w:sz w:val="14"/>
              </w:rPr>
              <w:t>Sénégal : El Malick Ndiaye met en garde contre tout report des électio</w:t>
            </w:r>
          </w:p>
        </w:tc>
        <w:tc>
          <w:tcPr>
            <w:tcW w:type="dxa" w:w="1728"/>
          </w:tcPr>
          <w:p>
            <w:r>
              <w:rPr>
                <w:sz w:val="14"/>
              </w:rPr>
              <w:t>Neutre</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2026-08-09</w:t>
            </w:r>
          </w:p>
        </w:tc>
        <w:tc>
          <w:tcPr>
            <w:tcW w:type="dxa" w:w="1728"/>
          </w:tcPr>
          <w:p>
            <w:r>
              <w:rPr>
                <w:sz w:val="14"/>
              </w:rPr>
              <w:t>Mali : Moussa Mara appelle à l’unité après sa libération - Africa24 TV</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2026-08-08</w:t>
            </w:r>
          </w:p>
        </w:tc>
        <w:tc>
          <w:tcPr>
            <w:tcW w:type="dxa" w:w="1728"/>
          </w:tcPr>
          <w:p>
            <w:r>
              <w:rPr>
                <w:sz w:val="14"/>
              </w:rPr>
              <w:t xml:space="preserve">Prix du carburant : le gouvernement prolonge l'aide « grands rouleurs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pétrole or matiè</w:t>
            </w:r>
          </w:p>
        </w:tc>
      </w:tr>
      <w:tr>
        <w:tc>
          <w:tcPr>
            <w:tcW w:type="dxa" w:w="1728"/>
          </w:tcPr>
          <w:p>
            <w:r>
              <w:rPr>
                <w:sz w:val="14"/>
              </w:rPr>
              <w:t>2026-08-08</w:t>
            </w:r>
          </w:p>
        </w:tc>
        <w:tc>
          <w:tcPr>
            <w:tcW w:type="dxa" w:w="1728"/>
          </w:tcPr>
          <w:p>
            <w:r>
              <w:rPr>
                <w:sz w:val="14"/>
              </w:rPr>
              <w:t>Durée du mandat présidentiel au Sénégal : d’où vient la rumeur ? - Jeu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2026-08-08</w:t>
            </w:r>
          </w:p>
        </w:tc>
        <w:tc>
          <w:tcPr>
            <w:tcW w:type="dxa" w:w="1728"/>
          </w:tcPr>
          <w:p>
            <w:r>
              <w:rPr>
                <w:sz w:val="14"/>
              </w:rPr>
              <w:t xml:space="preserve">Prix du carburant : le gouvernement prolonge l'aide « grands rouleurs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pétrole or matiè</w:t>
            </w:r>
          </w:p>
        </w:tc>
      </w:tr>
      <w:tr>
        <w:tc>
          <w:tcPr>
            <w:tcW w:type="dxa" w:w="1728"/>
          </w:tcPr>
          <w:p>
            <w:r>
              <w:rPr>
                <w:sz w:val="14"/>
              </w:rPr>
              <w:t>2026-08-08</w:t>
            </w:r>
          </w:p>
        </w:tc>
        <w:tc>
          <w:tcPr>
            <w:tcW w:type="dxa" w:w="1728"/>
          </w:tcPr>
          <w:p>
            <w:r>
              <w:rPr>
                <w:sz w:val="14"/>
              </w:rPr>
              <w:t>Mali : Abdoulaye Maïga nie toute « rupture diplomatique » avec Alger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2026-08-08</w:t>
            </w:r>
          </w:p>
        </w:tc>
        <w:tc>
          <w:tcPr>
            <w:tcW w:type="dxa" w:w="1728"/>
          </w:tcPr>
          <w:p>
            <w:r>
              <w:rPr>
                <w:sz w:val="14"/>
              </w:rPr>
              <w:t>Durée du mandat présidentiel au Sénégal : d’où vient la rumeur ? - Jeu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2026-08-07</w:t>
            </w:r>
          </w:p>
        </w:tc>
        <w:tc>
          <w:tcPr>
            <w:tcW w:type="dxa" w:w="1728"/>
          </w:tcPr>
          <w:p>
            <w:r>
              <w:rPr>
                <w:sz w:val="14"/>
              </w:rPr>
              <w:t xml:space="preserve">Sénégal : Thierno Alassane Sall accuse Pastef de duplicité sur l’ASER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2026-08-07</w:t>
            </w:r>
          </w:p>
        </w:tc>
        <w:tc>
          <w:tcPr>
            <w:tcW w:type="dxa" w:w="1728"/>
          </w:tcPr>
          <w:p>
            <w:r>
              <w:rPr>
                <w:sz w:val="14"/>
              </w:rPr>
              <w:t xml:space="preserve">Sénégal: trois influenceurs condamnés à de la prison pour "offense au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2026-08-09</w:t>
            </w:r>
          </w:p>
        </w:tc>
        <w:tc>
          <w:tcPr>
            <w:tcW w:type="dxa" w:w="1728"/>
          </w:tcPr>
          <w:p>
            <w:r>
              <w:rPr>
                <w:sz w:val="14"/>
              </w:rPr>
              <w:t>Mali : Moussa Mara appelle à l’unité après sa libération - Africa24 TV</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2026-08-08</w:t>
            </w:r>
          </w:p>
        </w:tc>
        <w:tc>
          <w:tcPr>
            <w:tcW w:type="dxa" w:w="1728"/>
          </w:tcPr>
          <w:p>
            <w:r>
              <w:rPr>
                <w:sz w:val="14"/>
              </w:rPr>
              <w:t>Mali : Abdoulaye Maïga nie toute « rupture diplomatique » avec Alger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2026-08-08</w:t>
            </w:r>
          </w:p>
        </w:tc>
        <w:tc>
          <w:tcPr>
            <w:tcW w:type="dxa" w:w="1728"/>
          </w:tcPr>
          <w:p>
            <w:r>
              <w:rPr>
                <w:sz w:val="14"/>
              </w:rPr>
              <w:t>Durée du mandat présidentiel au Sénégal : d’où vient la rumeur ? - Jeu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2026-08-07</w:t>
            </w:r>
          </w:p>
        </w:tc>
        <w:tc>
          <w:tcPr>
            <w:tcW w:type="dxa" w:w="1728"/>
          </w:tcPr>
          <w:p>
            <w:r>
              <w:rPr>
                <w:sz w:val="14"/>
              </w:rPr>
              <w:t xml:space="preserve">Le Premier ministre guinéen salue le modèle ivoirien de développement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L'ECO, la monnaie unique de la CEDEAO en 2027 : un nouveau départ ou u</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2026-08-08</w:t>
            </w:r>
          </w:p>
        </w:tc>
        <w:tc>
          <w:tcPr>
            <w:tcW w:type="dxa" w:w="1728"/>
          </w:tcPr>
          <w:p>
            <w:r>
              <w:rPr>
                <w:sz w:val="14"/>
              </w:rPr>
              <w:t>Mali : Abdoulaye Maïga nie toute « rupture diplomatique » avec Alger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2026-08-08</w:t>
            </w:r>
          </w:p>
        </w:tc>
        <w:tc>
          <w:tcPr>
            <w:tcW w:type="dxa" w:w="1728"/>
          </w:tcPr>
          <w:p>
            <w:r>
              <w:rPr>
                <w:sz w:val="14"/>
              </w:rPr>
              <w:t>Durée du mandat présidentiel au Sénégal : d’où vient la rumeur ? - Jeu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2026-08-07</w:t>
            </w:r>
          </w:p>
        </w:tc>
        <w:tc>
          <w:tcPr>
            <w:tcW w:type="dxa" w:w="1728"/>
          </w:tcPr>
          <w:p>
            <w:r>
              <w:rPr>
                <w:sz w:val="14"/>
              </w:rPr>
              <w:t xml:space="preserve">Le Premier ministre guinéen salue le modèle ivoirien de développement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L'ECO, la monnaie unique de la CEDEAO en 2027 : un nouveau départ ou u</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2026-08-07</w:t>
            </w:r>
          </w:p>
        </w:tc>
        <w:tc>
          <w:tcPr>
            <w:tcW w:type="dxa" w:w="1728"/>
          </w:tcPr>
          <w:p>
            <w:r>
              <w:rPr>
                <w:sz w:val="14"/>
              </w:rPr>
              <w:t xml:space="preserve">Sénégal : Thierno Alassane Sall accuse Pastef de duplicité sur l’ASER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2026-08-06</w:t>
            </w:r>
          </w:p>
        </w:tc>
        <w:tc>
          <w:tcPr>
            <w:tcW w:type="dxa" w:w="1728"/>
          </w:tcPr>
          <w:p>
            <w:r>
              <w:rPr>
                <w:sz w:val="14"/>
              </w:rPr>
              <w:t>Mali : Les FAMa accueillent 254 anciens combattants issus de groupes a</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2026-08-09</w:t>
            </w:r>
          </w:p>
        </w:tc>
        <w:tc>
          <w:tcPr>
            <w:tcW w:type="dxa" w:w="1728"/>
          </w:tcPr>
          <w:p>
            <w:r>
              <w:rPr>
                <w:sz w:val="14"/>
              </w:rPr>
              <w:t>Sénégal : El Malick Ndiaye met en garde contre tout report des électio</w:t>
            </w:r>
          </w:p>
        </w:tc>
        <w:tc>
          <w:tcPr>
            <w:tcW w:type="dxa" w:w="1728"/>
          </w:tcPr>
          <w:p>
            <w:r>
              <w:rPr>
                <w:sz w:val="14"/>
              </w:rPr>
              <w:t>Neutre</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2026-08-09</w:t>
            </w:r>
          </w:p>
        </w:tc>
        <w:tc>
          <w:tcPr>
            <w:tcW w:type="dxa" w:w="1728"/>
          </w:tcPr>
          <w:p>
            <w:r>
              <w:rPr>
                <w:sz w:val="14"/>
              </w:rPr>
              <w:t>Mali : Moussa Mara appelle à l’unité après sa libération - Africa24 TV</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2026-08-08</w:t>
            </w:r>
          </w:p>
        </w:tc>
        <w:tc>
          <w:tcPr>
            <w:tcW w:type="dxa" w:w="1728"/>
          </w:tcPr>
          <w:p>
            <w:r>
              <w:rPr>
                <w:sz w:val="14"/>
              </w:rPr>
              <w:t>Mali : Abdoulaye Maïga nie toute « rupture diplomatique » avec Alger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2026-08-08</w:t>
            </w:r>
          </w:p>
        </w:tc>
        <w:tc>
          <w:tcPr>
            <w:tcW w:type="dxa" w:w="1728"/>
          </w:tcPr>
          <w:p>
            <w:r>
              <w:rPr>
                <w:sz w:val="14"/>
              </w:rPr>
              <w:t>Durée du mandat présidentiel au Sénégal : d’où vient la rumeur ? - Jeu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2026-08-08</w:t>
            </w:r>
          </w:p>
        </w:tc>
        <w:tc>
          <w:tcPr>
            <w:tcW w:type="dxa" w:w="1728"/>
          </w:tcPr>
          <w:p>
            <w:r>
              <w:rPr>
                <w:sz w:val="14"/>
              </w:rPr>
              <w:t>Mali : Abdoulaye Maïga nie toute « rupture diplomatique » avec Alger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2026-08-08</w:t>
            </w:r>
          </w:p>
        </w:tc>
        <w:tc>
          <w:tcPr>
            <w:tcW w:type="dxa" w:w="1728"/>
          </w:tcPr>
          <w:p>
            <w:r>
              <w:rPr>
                <w:sz w:val="14"/>
              </w:rPr>
              <w:t>Durée du mandat présidentiel au Sénégal : d’où vient la rumeur ? - Jeu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2026-08-07</w:t>
            </w:r>
          </w:p>
        </w:tc>
        <w:tc>
          <w:tcPr>
            <w:tcW w:type="dxa" w:w="1728"/>
          </w:tcPr>
          <w:p>
            <w:r>
              <w:rPr>
                <w:sz w:val="14"/>
              </w:rPr>
              <w:t xml:space="preserve">Sénégal : Thierno Alassane Sall accuse Pastef de duplicité sur l’ASER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2026-08-07</w:t>
            </w:r>
          </w:p>
        </w:tc>
        <w:tc>
          <w:tcPr>
            <w:tcW w:type="dxa" w:w="1728"/>
          </w:tcPr>
          <w:p>
            <w:r>
              <w:rPr>
                <w:sz w:val="14"/>
              </w:rPr>
              <w:t xml:space="preserve">Sénégal: trois influenceurs condamnés à de la prison pour "offense au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2026-08-04</w:t>
            </w:r>
          </w:p>
        </w:tc>
        <w:tc>
          <w:tcPr>
            <w:tcW w:type="dxa" w:w="1728"/>
          </w:tcPr>
          <w:p>
            <w:r>
              <w:rPr>
                <w:sz w:val="14"/>
              </w:rPr>
              <w:t xml:space="preserve">BRVM : Safca Côte d'Ivoire (SAFC) bondit de +45,71% et Bank of Africa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EPT</w:t>
            </w:r>
          </w:p>
        </w:tc>
        <w:tc>
          <w:tcPr>
            <w:tcW w:type="dxa" w:w="1728"/>
          </w:tcPr>
          <w:p>
            <w:r>
              <w:rPr>
                <w:sz w:val="15"/>
              </w:rPr>
              <w:t>20260423   avis ndeg109 brvmdg   resultats de prem</w:t>
            </w:r>
          </w:p>
        </w:tc>
        <w:tc>
          <w:tcPr>
            <w:tcW w:type="dxa" w:w="1728"/>
          </w:tcPr>
          <w:p>
            <w:r>
              <w:rPr>
                <w:b/>
                <w:color w:val="008000"/>
                <w:sz w:val="15"/>
              </w:rPr>
              <w:t>🟢 +</w:t>
            </w:r>
          </w:p>
        </w:tc>
        <w:tc>
          <w:tcPr>
            <w:tcW w:type="dxa" w:w="1728"/>
          </w:tcPr>
          <w:p>
            <w:r>
              <w:rPr>
                <w:sz w:val="15"/>
              </w:rPr>
              <w:t>La BRVM annonce les résultats de première cotation de trois emprunts obligataires FCTC EPT avec des taux de 7,50%, 8,00%</w:t>
            </w:r>
          </w:p>
        </w:tc>
      </w:tr>
      <w:tr>
        <w:tc>
          <w:tcPr>
            <w:tcW w:type="dxa" w:w="8640"/>
            <w:gridSpan w:val="5"/>
          </w:tcPr>
          <w:p>
            <w:r>
              <w:rPr>
                <w:color w:val="505050"/>
                <w:sz w:val="14"/>
              </w:rPr>
              <w:t xml:space="preserve">  → Première cotation de trois emprunts obligataires FCTC EPT avec des taux de 7,50%, 8,00% et 8,50% | Prix de cotation fixé à 10 000 FCFA par obligation avec 500 titres échangés | Capitalisation boursière totale de 60 milliards de FCFA pour les trois émissions</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(14 alerte(s))</w:t>
      </w:r>
    </w:p>
    <w:p>
      <w:pPr>
        <w:spacing w:before="40" w:after="40"/>
        <w:ind w:left="360"/>
      </w:pPr>
      <w:r>
        <w:rPr>
          <w:color w:val="646464"/>
          <w:sz w:val="17"/>
        </w:rPr>
        <w:t xml:space="preserve">[09/08/2026] ⚪  </w:t>
      </w:r>
      <w:r>
        <w:rPr>
          <w:b/>
          <w:color w:val="505050"/>
          <w:sz w:val="18"/>
        </w:rPr>
        <w:t>Mali : Moussa Mara appelle à l’unité après sa libération - Africa24 TV</w:t>
      </w:r>
      <w:r>
        <w:rPr>
          <w:color w:val="787878"/>
          <w:sz w:val="15"/>
        </w:rPr>
        <w:t xml:space="preserve">  [politique]</w:t>
      </w:r>
      <w:r>
        <w:rPr>
          <w:color w:val="B47800"/>
          <w:sz w:val="16"/>
        </w:rPr>
        <w:t xml:space="preserve">  ★ 50/10</w:t>
      </w:r>
    </w:p>
    <w:p>
      <w:pPr>
        <w:spacing w:before="0" w:after="20"/>
        <w:ind w:left="600"/>
      </w:pPr>
      <w:r>
        <w:rPr>
          <w:color w:val="323232"/>
          <w:sz w:val="17"/>
        </w:rPr>
        <w:t>L'ancien Premier ministre malien Moussa Mara a été libéré et appelle à l'unité nationale. Cet événement politique intervient dans un contexte de tensions au Mali, mais n'a pas de lien direct avec les marchés financiers de l'UEMOA. La stabilité politique au Mali est un facteur à surveiller pour la confiance des investisseurs dans la région.</w:t>
      </w:r>
    </w:p>
    <w:p>
      <w:pPr>
        <w:spacing w:before="0" w:after="40"/>
        <w:ind w:left="600"/>
      </w:pPr>
      <w:r>
        <w:rPr>
          <w:color w:val="00643C"/>
          <w:sz w:val="16"/>
        </w:rPr>
        <w:t>Points clés : Libération de Moussa Mara, figure politique malienne.  •  Appel à l'unité nationale après sa libération.  •  Contexte politique malien reste fragile, mais sans impact direct sur les entreprises cotées à la BRVM.</w:t>
      </w:r>
    </w:p>
    <w:p>
      <w:pPr>
        <w:spacing w:before="0" w:after="60"/>
        <w:ind w:left="600"/>
      </w:pPr>
      <w:r>
        <w:rPr>
          <w:color w:val="0064B4"/>
          <w:sz w:val="15"/>
        </w:rPr>
        <w:t>Source : https://news.google.com/rss/articles/CBMigwFBVV95cUxNLTYxMFYtS0RzQk9SUFVWRVJya3h</w:t>
      </w:r>
    </w:p>
    <w:p>
      <w:pPr>
        <w:spacing w:before="40" w:after="40"/>
        <w:ind w:left="360"/>
      </w:pPr>
      <w:r>
        <w:rPr>
          <w:color w:val="646464"/>
          <w:sz w:val="17"/>
        </w:rPr>
        <w:t xml:space="preserve">[09/08/2026] ⚪  </w:t>
      </w:r>
      <w:r>
        <w:rPr>
          <w:b/>
          <w:color w:val="505050"/>
          <w:sz w:val="18"/>
        </w:rPr>
        <w:t>Sénégal : El Malick Ndiaye met en garde contre tout report des élections - Africtelegraph</w:t>
      </w:r>
      <w:r>
        <w:rPr>
          <w:color w:val="787878"/>
          <w:sz w:val="15"/>
        </w:rPr>
        <w:t xml:space="preserve">  [politique]</w:t>
      </w:r>
      <w:r>
        <w:rPr>
          <w:color w:val="B47800"/>
          <w:sz w:val="16"/>
        </w:rPr>
        <w:t xml:space="preserve">  ★ 50/10</w:t>
      </w:r>
    </w:p>
    <w:p>
      <w:pPr>
        <w:spacing w:before="0" w:after="20"/>
        <w:ind w:left="600"/>
      </w:pPr>
      <w:r>
        <w:rPr>
          <w:color w:val="323232"/>
          <w:sz w:val="17"/>
        </w:rPr>
        <w:t>Le ministre sénégalais El Malick Ndiaye a mis en garde contre tout report des élections présidentielles, soulignant l'importance de respecter le calendrier électoral pour la stabilité politique du pays. Cette déclaration intervient dans un contexte de tensions politiques, mais réaffirme la volonté des autorités de maintenir le processus démocratiqu</w:t>
      </w:r>
    </w:p>
    <w:p>
      <w:pPr>
        <w:spacing w:before="0" w:after="40"/>
        <w:ind w:left="600"/>
      </w:pPr>
      <w:r>
        <w:rPr>
          <w:color w:val="00643C"/>
          <w:sz w:val="16"/>
        </w:rPr>
        <w:t>Points clés : Mise en garde contre tout report des élections au Sénégal  •  Importance de la stabilité politique pour la zone UEMOA  •  Réaffirmation du calendrier électoral par les autorités</w:t>
      </w:r>
    </w:p>
    <w:p>
      <w:pPr>
        <w:spacing w:before="0" w:after="60"/>
        <w:ind w:left="600"/>
      </w:pPr>
      <w:r>
        <w:rPr>
          <w:color w:val="0064B4"/>
          <w:sz w:val="15"/>
        </w:rPr>
        <w:t>Source : https://news.google.com/rss/articles/CBMipgFBVV95cUxOMGpINFc1TDNXcXk2QmJ5SEhDQ0Y</w:t>
      </w:r>
    </w:p>
    <w:p>
      <w:pPr>
        <w:spacing w:before="40" w:after="40"/>
        <w:ind w:left="360"/>
      </w:pPr>
      <w:r>
        <w:rPr>
          <w:color w:val="646464"/>
          <w:sz w:val="17"/>
        </w:rPr>
        <w:t xml:space="preserve">[08/08/2026] ⚪  </w:t>
      </w:r>
      <w:r>
        <w:rPr>
          <w:b/>
          <w:color w:val="505050"/>
          <w:sz w:val="18"/>
        </w:rPr>
        <w:t>Mali : Abdoulaye Maïga nie toute « rupture diplomatique » avec Alger - Le Matin d'Algérie</w:t>
      </w:r>
      <w:r>
        <w:rPr>
          <w:color w:val="787878"/>
          <w:sz w:val="15"/>
        </w:rPr>
        <w:t xml:space="preserve">  [politique]</w:t>
      </w:r>
      <w:r>
        <w:rPr>
          <w:color w:val="B47800"/>
          <w:sz w:val="16"/>
        </w:rPr>
        <w:t xml:space="preserve">  ★ 50/10</w:t>
      </w:r>
    </w:p>
    <w:p>
      <w:pPr>
        <w:spacing w:before="0" w:after="20"/>
        <w:ind w:left="600"/>
      </w:pPr>
      <w:r>
        <w:rPr>
          <w:color w:val="323232"/>
          <w:sz w:val="17"/>
        </w:rPr>
        <w:t>Le Premier ministre malien Abdoulaye Maïga a démenti toute rupture diplomatique avec l'Algérie, malgré les tensions récentes. Il a affirmé que les relations entre les deux pays restent normales et que les canaux de communication demeurent ouverts. Cette déclaration vise à apaiser les inquiétudes régionales après des échanges tendus. La situation re</w:t>
      </w:r>
    </w:p>
    <w:p>
      <w:pPr>
        <w:spacing w:before="0" w:after="40"/>
        <w:ind w:left="600"/>
      </w:pPr>
      <w:r>
        <w:rPr>
          <w:color w:val="00643C"/>
          <w:sz w:val="16"/>
        </w:rPr>
        <w:t>Points clés : Démenti officiel de toute rupture diplomatique entre le Mali et l'Algérie.  •  Maintien des canaux de communication et des relations bilatérales.</w:t>
      </w:r>
    </w:p>
    <w:p>
      <w:pPr>
        <w:spacing w:before="0" w:after="60"/>
        <w:ind w:left="600"/>
      </w:pPr>
      <w:r>
        <w:rPr>
          <w:color w:val="0064B4"/>
          <w:sz w:val="15"/>
        </w:rPr>
        <w:t>Source : https://news.google.com/rss/articles/CBMilgFBVV95cUxOM1ZYNWhEeE43eXcyb2V5Slp1d01</w:t>
      </w:r>
    </w:p>
    <w:p>
      <w:pPr>
        <w:spacing w:before="40" w:after="40"/>
        <w:ind w:left="360"/>
      </w:pPr>
      <w:r>
        <w:rPr>
          <w:color w:val="646464"/>
          <w:sz w:val="17"/>
        </w:rPr>
        <w:t xml:space="preserve">[08/08/2026] ⚪  </w:t>
      </w:r>
      <w:r>
        <w:rPr>
          <w:b/>
          <w:color w:val="505050"/>
          <w:sz w:val="18"/>
        </w:rPr>
        <w:t>Durée du mandat présidentiel au Sénégal : d’où vient la rumeur ? - Jeune Afrique</w:t>
      </w:r>
      <w:r>
        <w:rPr>
          <w:color w:val="787878"/>
          <w:sz w:val="15"/>
        </w:rPr>
        <w:t xml:space="preserve">  [politique]</w:t>
      </w:r>
      <w:r>
        <w:rPr>
          <w:color w:val="B47800"/>
          <w:sz w:val="16"/>
        </w:rPr>
        <w:t xml:space="preserve">  ★ 50/10</w:t>
      </w:r>
    </w:p>
    <w:p>
      <w:pPr>
        <w:spacing w:before="0" w:after="20"/>
        <w:ind w:left="600"/>
      </w:pPr>
      <w:r>
        <w:rPr>
          <w:color w:val="323232"/>
          <w:sz w:val="17"/>
        </w:rPr>
        <w:t xml:space="preserve">L'article de Jeune Afrique examine l'origine de la rumeur concernant une éventuelle modification de la durée du mandat présidentiel au Sénégal. Il analyse les spéculations politiques et les réactions qu'elles suscitent, sans confirmer de changement officiel. Le texte met en lumière les incertitudes et les débats autour de cette question, qui reste </w:t>
      </w:r>
    </w:p>
    <w:p>
      <w:pPr>
        <w:spacing w:before="0" w:after="40"/>
        <w:ind w:left="600"/>
      </w:pPr>
      <w:r>
        <w:rPr>
          <w:color w:val="00643C"/>
          <w:sz w:val="16"/>
        </w:rPr>
        <w:t>Points clés : La rumeur sur la durée du mandat présidentiel au Sénégal est analysée, mais aucune décision officielle n'est confirmée.  •  L'article souligne l'impact potentiel de cette rumeur sur la stabilité politique dans la zone UEMOA.</w:t>
      </w:r>
    </w:p>
    <w:p>
      <w:pPr>
        <w:spacing w:before="0" w:after="60"/>
        <w:ind w:left="600"/>
      </w:pPr>
      <w:r>
        <w:rPr>
          <w:color w:val="0064B4"/>
          <w:sz w:val="15"/>
        </w:rPr>
        <w:t>Source : https://news.google.com/rss/articles/CBMiqwFBVV95cUxOQ0p6VzVPbmZGTGhlU2drMHB2Yk1</w:t>
      </w:r>
    </w:p>
    <w:p>
      <w:pPr>
        <w:spacing w:before="40" w:after="40"/>
        <w:ind w:left="360"/>
      </w:pPr>
      <w:r>
        <w:rPr>
          <w:color w:val="646464"/>
          <w:sz w:val="17"/>
        </w:rPr>
        <w:t xml:space="preserve">[07/08/2026] 🔴  </w:t>
      </w:r>
      <w:r>
        <w:rPr>
          <w:b/>
          <w:color w:val="C00000"/>
          <w:sz w:val="18"/>
        </w:rPr>
        <w:t>Sénégal: trois influenceurs condamnés à de la prison pour "offense au chef de l'État" - tv5monde</w:t>
      </w:r>
      <w:r>
        <w:rPr>
          <w:color w:val="787878"/>
          <w:sz w:val="15"/>
        </w:rPr>
        <w:t xml:space="preserve">  [politique]</w:t>
      </w:r>
      <w:r>
        <w:rPr>
          <w:color w:val="B47800"/>
          <w:sz w:val="16"/>
        </w:rPr>
        <w:t xml:space="preserve">  ★ 50/10</w:t>
      </w:r>
    </w:p>
    <w:p>
      <w:pPr>
        <w:spacing w:before="0" w:after="20"/>
        <w:ind w:left="600"/>
      </w:pPr>
      <w:r>
        <w:rPr>
          <w:color w:val="323232"/>
          <w:sz w:val="17"/>
        </w:rPr>
        <w:t>Trois influenceurs sénégalais ont été condamnés à des peines de prison pour offense au chef de l'État, une décision qui soulève des questions sur la liberté d'expression dans le pays. Cette actualité politique, bien que située au Sénégal, s'inscrit dans un contexte régional de l'UEMOA où la stabilité politique est un facteur clé pour les investisse</w:t>
      </w:r>
    </w:p>
    <w:p>
      <w:pPr>
        <w:spacing w:before="0" w:after="40"/>
        <w:ind w:left="600"/>
      </w:pPr>
      <w:r>
        <w:rPr>
          <w:color w:val="00643C"/>
          <w:sz w:val="16"/>
        </w:rPr>
        <w:t>Points clés : Condamnation de trois influenceurs pour offense au chef de l'État au Sénégal.  •  Soulève des préoccupations sur la liberté d'expression et la stabilité politique dans l'UEMOA.  •  Impact potentiel sur la perception des risques politiques pour les investisseurs régionaux.  •  Aucun effet direct attendu sur les entreprises cotées à la BRVM.</w:t>
      </w:r>
    </w:p>
    <w:p>
      <w:pPr>
        <w:spacing w:before="0" w:after="60"/>
        <w:ind w:left="600"/>
      </w:pPr>
      <w:r>
        <w:rPr>
          <w:color w:val="0064B4"/>
          <w:sz w:val="15"/>
        </w:rPr>
        <w:t>Source : https://news.google.com/rss/articles/CBMixwFBVV95cUxPaFBoZS1lZHdYNjFEc2RRZXZtNmV</w:t>
      </w:r>
    </w:p>
    <w:p>
      <w:pPr>
        <w:spacing w:before="120" w:after="40"/>
      </w:pPr>
      <w:r>
        <w:rPr>
          <w:b/>
          <w:color w:val="00467F"/>
          <w:sz w:val="20"/>
        </w:rPr>
        <w:t>🔑 matieres_premieres  (1 alerte(s))</w:t>
      </w:r>
    </w:p>
    <w:p>
      <w:pPr>
        <w:spacing w:before="40" w:after="40"/>
        <w:ind w:left="360"/>
      </w:pPr>
      <w:r>
        <w:rPr>
          <w:color w:val="646464"/>
          <w:sz w:val="17"/>
        </w:rPr>
        <w:t xml:space="preserve">[08/08/2026] 🟢  </w:t>
      </w:r>
      <w:r>
        <w:rPr>
          <w:b/>
          <w:color w:val="008000"/>
          <w:sz w:val="18"/>
        </w:rPr>
        <w:t>Prix du carburant : le gouvernement prolonge l'aide « grands rouleurs » - Les Echos</w:t>
      </w:r>
      <w:r>
        <w:rPr>
          <w:color w:val="787878"/>
          <w:sz w:val="15"/>
        </w:rPr>
        <w:t xml:space="preserve">  [matieres_premieres]</w:t>
      </w:r>
      <w:r>
        <w:rPr>
          <w:color w:val="B47800"/>
          <w:sz w:val="16"/>
        </w:rPr>
        <w:t xml:space="preserve">  ★ 50/10</w:t>
      </w:r>
    </w:p>
    <w:p>
      <w:pPr>
        <w:spacing w:before="0" w:after="20"/>
        <w:ind w:left="600"/>
      </w:pPr>
      <w:r>
        <w:rPr>
          <w:color w:val="323232"/>
          <w:sz w:val="17"/>
        </w:rPr>
        <w:t>Le gouvernement a décidé de prolonger l'aide destinée aux 'grands rouleurs', une mesure visant à atténuer l'impact de la hausse des prix du carburant sur les transporteurs et les professionnels de la route. Cette prolongation intervient dans un contexte de tensions sur les prix des matières premières, notamment le pétrole. La mesure devrait souteni</w:t>
      </w:r>
    </w:p>
    <w:p>
      <w:pPr>
        <w:spacing w:before="0" w:after="40"/>
        <w:ind w:left="600"/>
      </w:pPr>
      <w:r>
        <w:rPr>
          <w:color w:val="00643C"/>
          <w:sz w:val="16"/>
        </w:rPr>
        <w:t>Points clés : Prolongation de l'aide gouvernementale pour les 'grands rouleurs' (transporteurs et professionnels de la route).  •  Mesure visant à atténuer l'impact de la hausse des prix du carburant sur les coûts de transport et l'inflation.</w:t>
      </w:r>
    </w:p>
    <w:p>
      <w:pPr>
        <w:spacing w:before="0" w:after="60"/>
        <w:ind w:left="600"/>
      </w:pPr>
      <w:r>
        <w:rPr>
          <w:color w:val="0064B4"/>
          <w:sz w:val="15"/>
        </w:rPr>
        <w:t>Source : https://news.google.com/rss/articles/CBMiuwFBVV95cUxOeFIxY2VBZHl4V21NbEZyenJHR0R</w:t>
      </w:r>
    </w:p>
    <w:p>
      <w:pPr>
        <w:spacing w:before="120" w:after="40"/>
      </w:pPr>
      <w:r>
        <w:rPr>
          <w:b/>
          <w:color w:val="00467F"/>
          <w:sz w:val="20"/>
        </w:rPr>
        <w:t>🔑 économique  (4 alerte(s))</w:t>
      </w:r>
    </w:p>
    <w:p>
      <w:pPr>
        <w:spacing w:before="40" w:after="40"/>
        <w:ind w:left="360"/>
      </w:pPr>
      <w:r>
        <w:rPr>
          <w:color w:val="646464"/>
          <w:sz w:val="17"/>
        </w:rPr>
        <w:t xml:space="preserve">[07/08/2026] 🟢  </w:t>
      </w:r>
      <w:r>
        <w:rPr>
          <w:b/>
          <w:color w:val="008000"/>
          <w:sz w:val="18"/>
        </w:rPr>
        <w:t>Le Premier ministre guinéen salue le modèle ivoirien de développement - Africtelegraph</w:t>
      </w:r>
      <w:r>
        <w:rPr>
          <w:color w:val="787878"/>
          <w:sz w:val="15"/>
        </w:rPr>
        <w:t xml:space="preserve">  [économique]</w:t>
      </w:r>
      <w:r>
        <w:rPr>
          <w:color w:val="B47800"/>
          <w:sz w:val="16"/>
        </w:rPr>
        <w:t xml:space="preserve">  ★ 50/10</w:t>
      </w:r>
    </w:p>
    <w:p>
      <w:pPr>
        <w:spacing w:before="0" w:after="20"/>
        <w:ind w:left="600"/>
      </w:pPr>
      <w:r>
        <w:rPr>
          <w:color w:val="323232"/>
          <w:sz w:val="17"/>
        </w:rPr>
        <w:t>Le Premier ministre guinéen a exprimé son admiration pour le modèle de développement ivoirien, saluant ses performances économiques et sa stratégie de croissance. Il a souligné l'importance de s'inspirer de cette réussite pour renforcer la coopération régionale et stimuler le développement de la Guinée. Cette reconnaissance met en lumière la positi</w:t>
      </w:r>
    </w:p>
    <w:p>
      <w:pPr>
        <w:spacing w:before="0" w:after="40"/>
        <w:ind w:left="600"/>
      </w:pPr>
      <w:r>
        <w:rPr>
          <w:color w:val="00643C"/>
          <w:sz w:val="16"/>
        </w:rPr>
        <w:t>Points clés : Le Premier ministre guinéen salue le modèle ivoirien de développement.  •  La Côte d'Ivoire est présentée comme un exemple de réussite économique en Afrique de l'Ouest.  •  Cette déclaration pourrait renforcer les liens économiques et politiques entre la Guinée et la Côte d'Ivoire.</w:t>
      </w:r>
    </w:p>
    <w:p>
      <w:pPr>
        <w:spacing w:before="0" w:after="60"/>
        <w:ind w:left="600"/>
      </w:pPr>
      <w:r>
        <w:rPr>
          <w:color w:val="0064B4"/>
          <w:sz w:val="15"/>
        </w:rPr>
        <w:t>Source : https://news.google.com/rss/articles/CBMipAFBVV95cUxOSVdHSGdIMTd4ZlFFWUMwVHBIX0E</w:t>
      </w:r>
    </w:p>
    <w:p>
      <w:pPr>
        <w:spacing w:before="40" w:after="40"/>
        <w:ind w:left="360"/>
      </w:pPr>
      <w:r>
        <w:rPr>
          <w:color w:val="646464"/>
          <w:sz w:val="17"/>
        </w:rPr>
        <w:t xml:space="preserve">[06/08/2026] 🟢  </w:t>
      </w:r>
      <w:r>
        <w:rPr>
          <w:b/>
          <w:color w:val="008000"/>
          <w:sz w:val="18"/>
        </w:rPr>
        <w:t xml:space="preserve">Décryptage - Kalilou SYLLA, Commissaire aux Affaires économiques et à l'Agriculture de la CEDEAO - Côte d'Ivoire : « La </w:t>
      </w:r>
      <w:r>
        <w:rPr>
          <w:color w:val="787878"/>
          <w:sz w:val="15"/>
        </w:rPr>
        <w:t xml:space="preserve">  [économique]</w:t>
      </w:r>
      <w:r>
        <w:rPr>
          <w:color w:val="B47800"/>
          <w:sz w:val="16"/>
        </w:rPr>
        <w:t xml:space="preserve">  ★ 50/10</w:t>
      </w:r>
    </w:p>
    <w:p>
      <w:pPr>
        <w:spacing w:before="0" w:after="20"/>
        <w:ind w:left="600"/>
      </w:pPr>
      <w:r>
        <w:rPr>
          <w:color w:val="323232"/>
          <w:sz w:val="17"/>
        </w:rPr>
        <w:t>Le Commissaire aux Affaires économiques et à l'Agriculture de la CEDEAO, Kalilou Sylla, souligne que la souveraineté alimentaire en Afrique de l'Ouest ne peut être réalisée sans un écosystème fiable qui fédère tous les acteurs de la filière agricole. Il insiste sur la nécessité de renforcer les chaînes de valeur, d'améliorer l'accès aux financement</w:t>
      </w:r>
    </w:p>
    <w:p>
      <w:pPr>
        <w:spacing w:before="0" w:after="40"/>
        <w:ind w:left="600"/>
      </w:pPr>
      <w:r>
        <w:rPr>
          <w:color w:val="00643C"/>
          <w:sz w:val="16"/>
        </w:rPr>
        <w:t>Points clés : La souveraineté alimentaire nécessite un écosystème fiable et inclusif.  •  La CEDEAO mise sur la coordination régionale et le financement agricole.</w:t>
      </w:r>
    </w:p>
    <w:p>
      <w:pPr>
        <w:spacing w:before="0" w:after="60"/>
        <w:ind w:left="600"/>
      </w:pPr>
      <w:r>
        <w:rPr>
          <w:color w:val="0064B4"/>
          <w:sz w:val="15"/>
        </w:rPr>
        <w:t>Source : https://news.google.com/rss/articles/CBMirAJBVV95cUxOWDBPWVJjS0U3WnN1akl2NGVjd3V</w:t>
      </w:r>
    </w:p>
    <w:p>
      <w:pPr>
        <w:spacing w:before="40" w:after="40"/>
        <w:ind w:left="360"/>
      </w:pPr>
      <w:r>
        <w:rPr>
          <w:color w:val="646464"/>
          <w:sz w:val="17"/>
        </w:rPr>
        <w:t xml:space="preserve">[05/08/2026] ⚪  </w:t>
      </w:r>
      <w:r>
        <w:rPr>
          <w:b/>
          <w:color w:val="505050"/>
          <w:sz w:val="18"/>
        </w:rPr>
        <w:t>La Guinée renonce à intégrer la monnaie unique Eco - lebrief.ma</w:t>
      </w:r>
      <w:r>
        <w:rPr>
          <w:color w:val="787878"/>
          <w:sz w:val="15"/>
        </w:rPr>
        <w:t xml:space="preserve">  [économique]</w:t>
      </w:r>
      <w:r>
        <w:rPr>
          <w:color w:val="B47800"/>
          <w:sz w:val="16"/>
        </w:rPr>
        <w:t xml:space="preserve">  ★ 50/10</w:t>
      </w:r>
    </w:p>
    <w:p>
      <w:pPr>
        <w:spacing w:before="0" w:after="20"/>
        <w:ind w:left="600"/>
      </w:pPr>
      <w:r>
        <w:rPr>
          <w:color w:val="323232"/>
          <w:sz w:val="17"/>
        </w:rPr>
        <w:t>La Guinée a annoncé qu'elle renonce à intégrer la monnaie unique Eco, projet de monnaie commune de la CEDEAO. Cette décision marque un retrait significatif de ce pays dans le processus d'intégration monétaire régionale. Elle pourrait refléter des préoccupations sur la convergence économique et la souveraineté monétaire. Cette nouvelle intervient da</w:t>
      </w:r>
    </w:p>
    <w:p>
      <w:pPr>
        <w:spacing w:before="0" w:after="40"/>
        <w:ind w:left="600"/>
      </w:pPr>
      <w:r>
        <w:rPr>
          <w:color w:val="00643C"/>
          <w:sz w:val="16"/>
        </w:rPr>
        <w:t>Points clés : La Guinée renonce officiellement à adopter la monnaie unique Eco.  •  Cette décision affecte le projet d'intégration monétaire de la CEDEAO.  •  Les raisons évoquées incluent probablement des critères de convergence non remplis et des enjeux de souveraineté.</w:t>
      </w:r>
    </w:p>
    <w:p>
      <w:pPr>
        <w:spacing w:before="0" w:after="60"/>
        <w:ind w:left="600"/>
      </w:pPr>
      <w:r>
        <w:rPr>
          <w:color w:val="0064B4"/>
          <w:sz w:val="15"/>
        </w:rPr>
        <w:t>Source : https://news.google.com/rss/articles/CBMipAFBVV95cUxPR1hWNHFhakVrT1l0M21tVEtpcFU</w:t>
      </w:r>
    </w:p>
    <w:p>
      <w:pPr>
        <w:spacing w:before="40" w:after="40"/>
        <w:ind w:left="360"/>
      </w:pPr>
      <w:r>
        <w:rPr>
          <w:color w:val="646464"/>
          <w:sz w:val="17"/>
        </w:rPr>
        <w:t xml:space="preserve">[05/08/2026] 🔴  </w:t>
      </w:r>
      <w:r>
        <w:rPr>
          <w:b/>
          <w:color w:val="C00000"/>
          <w:sz w:val="18"/>
        </w:rPr>
        <w:t>CEDEAO : La Guinée renonce au projet de monnaie unique - Sahel Intelligence</w:t>
      </w:r>
      <w:r>
        <w:rPr>
          <w:color w:val="787878"/>
          <w:sz w:val="15"/>
        </w:rPr>
        <w:t xml:space="preserve">  [économique]</w:t>
      </w:r>
      <w:r>
        <w:rPr>
          <w:color w:val="B47800"/>
          <w:sz w:val="16"/>
        </w:rPr>
        <w:t xml:space="preserve">  ★ 50/10</w:t>
      </w:r>
    </w:p>
    <w:p>
      <w:pPr>
        <w:spacing w:before="0" w:after="20"/>
        <w:ind w:left="600"/>
      </w:pPr>
      <w:r>
        <w:rPr>
          <w:color w:val="323232"/>
          <w:sz w:val="17"/>
        </w:rPr>
        <w:t>La Guinée a officiellement renoncé au projet de monnaie unique de la CEDEAO, une décision qui reflète les divergences persistantes entre les États membres sur l'intégration monétaire régionale. Ce retrait pourrait affaiblir la dynamique d'harmonisation économique au sein de la zone, mais il réduit également les incertitudes liées à une transition m</w:t>
      </w:r>
    </w:p>
    <w:p>
      <w:pPr>
        <w:spacing w:before="0" w:after="40"/>
        <w:ind w:left="600"/>
      </w:pPr>
      <w:r>
        <w:rPr>
          <w:color w:val="00643C"/>
          <w:sz w:val="16"/>
        </w:rPr>
        <w:t>Points clés : La Guinée se retire du projet de monnaie unique de la CEDEAO.  •  Ce retrait souligne les difficultés de convergence économique et politique dans la région.  •  La décision pourrait avoir des répercussions sur les échanges commerciaux et les investissements en Afrique de l'Ouest.</w:t>
      </w:r>
    </w:p>
    <w:p>
      <w:pPr>
        <w:spacing w:before="0" w:after="60"/>
        <w:ind w:left="600"/>
      </w:pPr>
      <w:r>
        <w:rPr>
          <w:color w:val="0064B4"/>
          <w:sz w:val="15"/>
        </w:rPr>
        <w:t>Source : https://news.google.com/rss/articles/CBMimgFBVV95cUxOVHNhSEdncmcwR1ZDeHRHZkR4dWQ</w:t>
      </w:r>
    </w:p>
    <w:p>
      <w:pPr>
        <w:spacing w:before="120" w:after="40"/>
      </w:pPr>
      <w:r>
        <w:rPr>
          <w:b/>
          <w:color w:val="00467F"/>
          <w:sz w:val="20"/>
        </w:rPr>
        <w:t>🔑 marche_financier  (1 alerte(s))</w:t>
      </w:r>
    </w:p>
    <w:p>
      <w:pPr>
        <w:spacing w:before="40" w:after="40"/>
        <w:ind w:left="360"/>
      </w:pPr>
      <w:r>
        <w:rPr>
          <w:color w:val="646464"/>
          <w:sz w:val="17"/>
        </w:rPr>
        <w:t xml:space="preserve">[06/08/2026] 🟢  </w:t>
      </w:r>
      <w:r>
        <w:rPr>
          <w:b/>
          <w:color w:val="008000"/>
          <w:sz w:val="18"/>
        </w:rPr>
        <w:t>Le Marché de la BRVM en Effervescence : 4 Actions Clés Affichent des Gains Notables - Dabafinance</w:t>
      </w:r>
      <w:r>
        <w:rPr>
          <w:color w:val="787878"/>
          <w:sz w:val="15"/>
        </w:rPr>
        <w:t xml:space="preserve">  [marche_financier]</w:t>
      </w:r>
      <w:r>
        <w:rPr>
          <w:color w:val="B47800"/>
          <w:sz w:val="16"/>
        </w:rPr>
        <w:t xml:space="preserve">  ★ 50/10</w:t>
      </w:r>
    </w:p>
    <w:p>
      <w:pPr>
        <w:spacing w:before="0" w:after="20"/>
        <w:ind w:left="600"/>
      </w:pPr>
      <w:r>
        <w:rPr>
          <w:color w:val="323232"/>
          <w:sz w:val="17"/>
        </w:rPr>
        <w:t>Le marché de la BRVM connaît une dynamique positive, avec quatre actions clés enregistrant des gains notables. Cette effervescence témoigne d'un intérêt accru des investisseurs pour la bourse régionale. Les performances de ces titres contribuent à la vitalité du marché financier de l'UEMOA. Cette tendance pourrait se poursuivre si les conditions éc</w:t>
      </w:r>
    </w:p>
    <w:p>
      <w:pPr>
        <w:spacing w:before="0" w:after="40"/>
        <w:ind w:left="600"/>
      </w:pPr>
      <w:r>
        <w:rPr>
          <w:color w:val="00643C"/>
          <w:sz w:val="16"/>
        </w:rPr>
        <w:t>Points clés : Quatre actions clés de la BRVM affichent des gains notables.  •  Le marché est en effervescence, indiquant une activité soutenue.</w:t>
      </w:r>
    </w:p>
    <w:p>
      <w:pPr>
        <w:spacing w:before="0" w:after="60"/>
        <w:ind w:left="600"/>
      </w:pPr>
      <w:r>
        <w:rPr>
          <w:color w:val="0064B4"/>
          <w:sz w:val="15"/>
        </w:rPr>
        <w:t>Source : https://news.google.com/rss/articles/CBMilAFBVV95cUxNODNwelhhdklCcU1sbGtpVnd5UlB</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TTLS</w:t>
            </w:r>
          </w:p>
        </w:tc>
        <w:tc>
          <w:tcPr>
            <w:tcW w:type="dxa" w:w="1080"/>
            <w:shd w:fill="C6EFCE" w:val="clear"/>
          </w:tcPr>
          <w:p>
            <w:r>
              <w:rPr>
                <w:sz w:val="16"/>
              </w:rPr>
              <w:t>ENERGIE</w:t>
            </w:r>
          </w:p>
        </w:tc>
        <w:tc>
          <w:tcPr>
            <w:tcW w:type="dxa" w:w="1080"/>
            <w:shd w:fill="C6EFCE" w:val="clear"/>
          </w:tcPr>
          <w:p>
            <w:r>
              <w:rPr>
                <w:sz w:val="16"/>
              </w:rPr>
              <w:t>3,500</w:t>
            </w:r>
          </w:p>
        </w:tc>
        <w:tc>
          <w:tcPr>
            <w:tcW w:type="dxa" w:w="1080"/>
            <w:shd w:fill="C6EFCE" w:val="clear"/>
          </w:tcPr>
          <w:p>
            <w:r>
              <w:rPr>
                <w:b/>
                <w:sz w:val="16"/>
              </w:rPr>
              <w:t>77/100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11,600</w:t>
            </w:r>
          </w:p>
        </w:tc>
        <w:tc>
          <w:tcPr>
            <w:tcW w:type="dxa" w:w="1080"/>
            <w:shd w:fill="C6EFCE" w:val="clear"/>
          </w:tcPr>
          <w:p>
            <w:r>
              <w:rPr>
                <w:b/>
                <w:sz w:val="16"/>
              </w:rPr>
              <w:t>76/100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2,115</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1,900</w:t>
            </w:r>
          </w:p>
        </w:tc>
        <w:tc>
          <w:tcPr>
            <w:tcW w:type="dxa" w:w="1080"/>
            <w:shd w:fill="C6EFCE" w:val="clear"/>
          </w:tcPr>
          <w:p>
            <w:r>
              <w:rPr>
                <w:b/>
                <w:sz w:val="16"/>
              </w:rPr>
              <w:t>75/100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3,550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9,300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STBC</w:t>
            </w:r>
          </w:p>
        </w:tc>
        <w:tc>
          <w:tcPr>
            <w:tcW w:type="dxa" w:w="1080"/>
            <w:shd w:fill="C6EFCE" w:val="clear"/>
          </w:tcPr>
          <w:p>
            <w:r>
              <w:rPr>
                <w:sz w:val="16"/>
              </w:rPr>
              <w:t>CONSOMMATION DE BA</w:t>
            </w:r>
          </w:p>
        </w:tc>
        <w:tc>
          <w:tcPr>
            <w:tcW w:type="dxa" w:w="1080"/>
            <w:shd w:fill="C6EFCE" w:val="clear"/>
          </w:tcPr>
          <w:p>
            <w:r>
              <w:rPr>
                <w:sz w:val="16"/>
              </w:rPr>
              <w:t>24,980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2,805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7,595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ETIT</w:t>
            </w:r>
          </w:p>
        </w:tc>
        <w:tc>
          <w:tcPr>
            <w:tcW w:type="dxa" w:w="1080"/>
            <w:shd w:fill="C6EFCE" w:val="clear"/>
          </w:tcPr>
          <w:p>
            <w:r>
              <w:rPr>
                <w:sz w:val="16"/>
              </w:rPr>
              <w:t>SERVICES FINANCIER</w:t>
            </w:r>
          </w:p>
        </w:tc>
        <w:tc>
          <w:tcPr>
            <w:tcW w:type="dxa" w:w="1080"/>
            <w:shd w:fill="C6EFCE" w:val="clear"/>
          </w:tcPr>
          <w:p>
            <w:r>
              <w:rPr>
                <w:sz w:val="16"/>
              </w:rPr>
              <w:t>65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17,175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ORGT</w:t>
            </w:r>
          </w:p>
        </w:tc>
        <w:tc>
          <w:tcPr>
            <w:tcW w:type="dxa" w:w="1080"/>
            <w:shd w:fill="C6EFCE" w:val="clear"/>
          </w:tcPr>
          <w:p>
            <w:r>
              <w:rPr>
                <w:sz w:val="16"/>
              </w:rPr>
              <w:t>SERVICES FINANCIER</w:t>
            </w:r>
          </w:p>
        </w:tc>
        <w:tc>
          <w:tcPr>
            <w:tcW w:type="dxa" w:w="1080"/>
            <w:shd w:fill="C6EFCE" w:val="clear"/>
          </w:tcPr>
          <w:p>
            <w:r>
              <w:rPr>
                <w:sz w:val="16"/>
              </w:rPr>
              <w:t>3,125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8,980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2,290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2,125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5,020</w:t>
            </w:r>
          </w:p>
        </w:tc>
        <w:tc>
          <w:tcPr>
            <w:tcW w:type="dxa" w:w="1080"/>
            <w:shd w:fill="C6EFCE" w:val="clear"/>
          </w:tcPr>
          <w:p>
            <w:r>
              <w:rPr>
                <w:b/>
                <w:sz w:val="16"/>
              </w:rPr>
              <w:t>71/100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2,940</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18</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2,675</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5,250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5,200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16,200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5,590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BOAS</w:t>
            </w:r>
          </w:p>
        </w:tc>
        <w:tc>
          <w:tcPr>
            <w:tcW w:type="dxa" w:w="1080"/>
            <w:shd w:fill="EBF5FB" w:val="clear"/>
          </w:tcPr>
          <w:p>
            <w:r>
              <w:rPr>
                <w:sz w:val="16"/>
              </w:rPr>
              <w:t>SERVICES FINANCIER</w:t>
            </w:r>
          </w:p>
        </w:tc>
        <w:tc>
          <w:tcPr>
            <w:tcW w:type="dxa" w:w="1080"/>
            <w:shd w:fill="EBF5FB" w:val="clear"/>
          </w:tcPr>
          <w:p>
            <w:r>
              <w:rPr>
                <w:sz w:val="16"/>
              </w:rPr>
              <w:t>7,710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4,300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16,595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2,530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SNTS</w:t>
            </w:r>
          </w:p>
        </w:tc>
        <w:tc>
          <w:tcPr>
            <w:tcW w:type="dxa" w:w="1080"/>
            <w:shd w:fill="EBF5FB" w:val="clear"/>
          </w:tcPr>
          <w:p>
            <w:r>
              <w:rPr>
                <w:sz w:val="16"/>
              </w:rPr>
              <w:t>TELECOMMUNICATIONS</w:t>
            </w:r>
          </w:p>
        </w:tc>
        <w:tc>
          <w:tcPr>
            <w:tcW w:type="dxa" w:w="1080"/>
            <w:shd w:fill="EBF5FB" w:val="clear"/>
          </w:tcPr>
          <w:p>
            <w:r>
              <w:rPr>
                <w:sz w:val="16"/>
              </w:rPr>
              <w:t>31,000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1,900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3,550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1,700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2,000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4,480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16,550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7,600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28,305</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23,550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8,100</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38</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7,085</w:t>
            </w:r>
          </w:p>
        </w:tc>
        <w:tc>
          <w:tcPr>
            <w:tcW w:type="dxa" w:w="1080"/>
            <w:shd w:fill="EBF5FB" w:val="clear"/>
          </w:tcPr>
          <w:p>
            <w:r>
              <w:rPr>
                <w:b/>
                <w:sz w:val="16"/>
              </w:rPr>
              <w:t>63/100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37,000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ABJC</w:t>
            </w:r>
          </w:p>
        </w:tc>
        <w:tc>
          <w:tcPr>
            <w:tcW w:type="dxa" w:w="1080"/>
            <w:shd w:fill="EBF5FB" w:val="clear"/>
          </w:tcPr>
          <w:p>
            <w:r>
              <w:rPr>
                <w:sz w:val="16"/>
              </w:rPr>
              <w:t>CONSOMMATION DISCR</w:t>
            </w:r>
          </w:p>
        </w:tc>
        <w:tc>
          <w:tcPr>
            <w:tcW w:type="dxa" w:w="1080"/>
            <w:shd w:fill="EBF5FB" w:val="clear"/>
          </w:tcPr>
          <w:p>
            <w:r>
              <w:rPr>
                <w:sz w:val="16"/>
              </w:rPr>
              <w:t>3,010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11,900</w:t>
            </w:r>
          </w:p>
        </w:tc>
        <w:tc>
          <w:tcPr>
            <w:tcW w:type="dxa" w:w="1080"/>
            <w:shd w:fill="EBF5FB" w:val="clear"/>
          </w:tcPr>
          <w:p>
            <w:r>
              <w:rPr>
                <w:b/>
                <w:sz w:val="16"/>
              </w:rPr>
              <w:t>59/100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1,445</w:t>
            </w:r>
          </w:p>
        </w:tc>
        <w:tc>
          <w:tcPr>
            <w:tcW w:type="dxa" w:w="1080"/>
            <w:shd w:fill="EBF5FB" w:val="clear"/>
          </w:tcPr>
          <w:p>
            <w:r>
              <w:rPr>
                <w:b/>
                <w:sz w:val="16"/>
              </w:rPr>
              <w:t>56/100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38,000</w:t>
            </w:r>
          </w:p>
        </w:tc>
        <w:tc>
          <w:tcPr>
            <w:tcW w:type="dxa" w:w="1080"/>
            <w:shd w:fill="EBF5FB" w:val="clear"/>
          </w:tcPr>
          <w:p>
            <w:r>
              <w:rPr>
                <w:b/>
                <w:sz w:val="16"/>
              </w:rPr>
              <w:t>56/100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7,230</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NEUTRE</w:t>
            </w:r>
          </w:p>
        </w:tc>
        <w:tc>
          <w:tcPr>
            <w:tcW w:type="dxa" w:w="1080"/>
            <w:shd w:fill="EBF5FB" w:val="clear"/>
          </w:tcPr>
          <w:p>
            <w:r>
              <w:rPr>
                <w:sz w:val="16"/>
              </w:rPr>
              <w:t>CONSERVER ⚠️</w:t>
            </w:r>
          </w:p>
        </w:tc>
      </w:tr>
      <w:tr>
        <w:tc>
          <w:tcPr>
            <w:tcW w:type="dxa" w:w="1080"/>
            <w:shd w:fill="FEFEFE" w:val="clear"/>
          </w:tcPr>
          <w:p>
            <w:r>
              <w:rPr>
                <w:sz w:val="16"/>
              </w:rPr>
              <w:t>45</w:t>
            </w:r>
          </w:p>
        </w:tc>
        <w:tc>
          <w:tcPr>
            <w:tcW w:type="dxa" w:w="1080"/>
            <w:shd w:fill="FEFEFE" w:val="clear"/>
          </w:tcPr>
          <w:p>
            <w:r>
              <w:rPr>
                <w:sz w:val="16"/>
              </w:rPr>
              <w:t>BOAB</w:t>
            </w:r>
          </w:p>
        </w:tc>
        <w:tc>
          <w:tcPr>
            <w:tcW w:type="dxa" w:w="1080"/>
            <w:shd w:fill="FEFEFE" w:val="clear"/>
          </w:tcPr>
          <w:p>
            <w:r>
              <w:rPr>
                <w:sz w:val="16"/>
              </w:rPr>
              <w:t>SERVICES FINANCIER</w:t>
            </w:r>
          </w:p>
        </w:tc>
        <w:tc>
          <w:tcPr>
            <w:tcW w:type="dxa" w:w="1080"/>
            <w:shd w:fill="FEFEFE" w:val="clear"/>
          </w:tcPr>
          <w:p>
            <w:r>
              <w:rPr>
                <w:sz w:val="16"/>
              </w:rPr>
              <w:t>8,710</w:t>
            </w:r>
          </w:p>
        </w:tc>
        <w:tc>
          <w:tcPr>
            <w:tcW w:type="dxa" w:w="1080"/>
            <w:shd w:fill="FEFEFE" w:val="clear"/>
          </w:tcPr>
          <w:p>
            <w:r>
              <w:rPr>
                <w:b/>
                <w:sz w:val="16"/>
              </w:rPr>
              <w:t>54/100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 ⚠️</w:t>
            </w:r>
          </w:p>
        </w:tc>
      </w:tr>
      <w:tr>
        <w:tc>
          <w:tcPr>
            <w:tcW w:type="dxa" w:w="1080"/>
            <w:shd w:fill="FEFEFE" w:val="clear"/>
          </w:tcPr>
          <w:p>
            <w:r>
              <w:rPr>
                <w:sz w:val="16"/>
              </w:rPr>
              <w:t>46</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54,595</w:t>
            </w:r>
          </w:p>
        </w:tc>
        <w:tc>
          <w:tcPr>
            <w:tcW w:type="dxa" w:w="1080"/>
            <w:shd w:fill="FEFEFE" w:val="clear"/>
          </w:tcPr>
          <w:p>
            <w:r>
              <w:rPr>
                <w:b/>
                <w:sz w:val="16"/>
              </w:rPr>
              <w:t>53/100  (Moyen)</w:t>
            </w:r>
          </w:p>
        </w:tc>
        <w:tc>
          <w:tcPr>
            <w:tcW w:type="dxa" w:w="1080"/>
            <w:shd w:fill="FEFEFE" w:val="clear"/>
          </w:tcPr>
          <w:p>
            <w:r>
              <w:rPr>
                <w:sz w:val="16"/>
              </w:rPr>
              <w:t>NEUTRE</w:t>
            </w:r>
          </w:p>
        </w:tc>
        <w:tc>
          <w:tcPr>
            <w:tcW w:type="dxa" w:w="1080"/>
            <w:shd w:fill="FEFEFE" w:val="clear"/>
          </w:tcPr>
          <w:p>
            <w:r>
              <w:rPr>
                <w:sz w:val="16"/>
              </w:rPr>
              <w:t>ACHAT</w:t>
            </w:r>
          </w:p>
        </w:tc>
        <w:tc>
          <w:tcPr>
            <w:tcW w:type="dxa" w:w="1080"/>
            <w:shd w:fill="FEFEFE" w:val="clear"/>
          </w:tcPr>
          <w:p>
            <w:r>
              <w:rPr>
                <w:color w:val="008000"/>
                <w:sz w:val="16"/>
              </w:rPr>
              <w:t>ACHAT</w:t>
            </w:r>
          </w:p>
        </w:tc>
      </w:tr>
      <w:tr>
        <w:tc>
          <w:tcPr>
            <w:tcW w:type="dxa" w:w="1080"/>
            <w:shd w:fill="FEFEFE" w:val="clear"/>
          </w:tcPr>
          <w:p>
            <w:r>
              <w:rPr>
                <w:sz w:val="16"/>
              </w:rPr>
              <w:t>47</w:t>
            </w:r>
          </w:p>
        </w:tc>
        <w:tc>
          <w:tcPr>
            <w:tcW w:type="dxa" w:w="1080"/>
            <w:shd w:fill="FEFEFE" w:val="clear"/>
          </w:tcPr>
          <w:p>
            <w:r>
              <w:rPr>
                <w:sz w:val="16"/>
              </w:rPr>
              <w:t>BICC</w:t>
            </w:r>
          </w:p>
        </w:tc>
        <w:tc>
          <w:tcPr>
            <w:tcW w:type="dxa" w:w="1080"/>
            <w:shd w:fill="FEFEFE" w:val="clear"/>
          </w:tcPr>
          <w:p>
            <w:r>
              <w:rPr>
                <w:sz w:val="16"/>
              </w:rPr>
              <w:t>SERVICES FINANCIER</w:t>
            </w:r>
          </w:p>
        </w:tc>
        <w:tc>
          <w:tcPr>
            <w:tcW w:type="dxa" w:w="1080"/>
            <w:shd w:fill="FEFEFE" w:val="clear"/>
          </w:tcPr>
          <w:p>
            <w:r>
              <w:rPr>
                <w:sz w:val="16"/>
              </w:rPr>
              <w:t>29,100</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 ⚠️</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BOAC</w:t>
            </w:r>
          </w:p>
        </w:tc>
        <w:tc>
          <w:tcPr>
            <w:tcW w:type="dxa" w:w="1728"/>
            <w:shd w:fill="DEEAF1" w:val="clear"/>
          </w:tcPr>
          <w:p>
            <w:r>
              <w:rPr>
                <w:sz w:val="17"/>
              </w:rPr>
              <w:t>BANK OF AFRICA COTE D'IVOIRE</w:t>
            </w:r>
          </w:p>
        </w:tc>
        <w:tc>
          <w:tcPr>
            <w:tcW w:type="dxa" w:w="1728"/>
            <w:shd w:fill="DEEAF1" w:val="clear"/>
          </w:tcPr>
          <w:p>
            <w:r>
              <w:rPr>
                <w:sz w:val="17"/>
              </w:rPr>
              <w:t>11,600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1,900</w:t>
            </w:r>
          </w:p>
        </w:tc>
        <w:tc>
          <w:tcPr>
            <w:tcW w:type="dxa" w:w="1728"/>
            <w:shd w:fill="DEEAF1" w:val="clear"/>
          </w:tcPr>
          <w:p>
            <w:r>
              <w:rPr>
                <w:sz w:val="17"/>
              </w:rPr>
              <w:t>75/100</w:t>
            </w:r>
          </w:p>
        </w:tc>
        <w:tc>
          <w:tcPr>
            <w:tcW w:type="dxa" w:w="1728"/>
            <w:shd w:fill="DEEAF1" w:val="clear"/>
          </w:tcPr>
          <w:p>
            <w:r>
              <w:rPr>
                <w:sz w:val="17"/>
              </w:rPr>
              <w:t>10.6%</w:t>
            </w:r>
          </w:p>
        </w:tc>
      </w:tr>
      <w:tr>
        <w:tc>
          <w:tcPr>
            <w:tcW w:type="dxa" w:w="1728"/>
            <w:shd w:fill="DEEAF1" w:val="clear"/>
          </w:tcPr>
          <w:p>
            <w:r>
              <w:rPr>
                <w:sz w:val="17"/>
              </w:rPr>
              <w:t>SIBC</w:t>
            </w:r>
          </w:p>
        </w:tc>
        <w:tc>
          <w:tcPr>
            <w:tcW w:type="dxa" w:w="1728"/>
            <w:shd w:fill="DEEAF1" w:val="clear"/>
          </w:tcPr>
          <w:p>
            <w:r>
              <w:rPr>
                <w:sz w:val="17"/>
              </w:rPr>
              <w:t>SIBC - SOCIETE IVOIRIENNE DE</w:t>
            </w:r>
          </w:p>
        </w:tc>
        <w:tc>
          <w:tcPr>
            <w:tcW w:type="dxa" w:w="1728"/>
            <w:shd w:fill="DEEAF1" w:val="clear"/>
          </w:tcPr>
          <w:p>
            <w:r>
              <w:rPr>
                <w:sz w:val="17"/>
              </w:rPr>
              <w:t>9,300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STBC</w:t>
            </w:r>
          </w:p>
        </w:tc>
        <w:tc>
          <w:tcPr>
            <w:tcW w:type="dxa" w:w="1728"/>
            <w:shd w:fill="DEEAF1" w:val="clear"/>
          </w:tcPr>
          <w:p>
            <w:r>
              <w:rPr>
                <w:sz w:val="17"/>
              </w:rPr>
              <w:t>STBC - SITAB COTE D'IVOIRE</w:t>
            </w:r>
          </w:p>
        </w:tc>
        <w:tc>
          <w:tcPr>
            <w:tcW w:type="dxa" w:w="1728"/>
            <w:shd w:fill="DEEAF1" w:val="clear"/>
          </w:tcPr>
          <w:p>
            <w:r>
              <w:rPr>
                <w:sz w:val="17"/>
              </w:rPr>
              <w:t>24,980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TTLC</w:t>
            </w:r>
          </w:p>
        </w:tc>
        <w:tc>
          <w:tcPr>
            <w:tcW w:type="dxa" w:w="1728"/>
            <w:shd w:fill="DEEAF1" w:val="clear"/>
          </w:tcPr>
          <w:p>
            <w:r>
              <w:rPr>
                <w:sz w:val="17"/>
              </w:rPr>
              <w:t>TTLC - TOTAL ENERGIES MARKET</w:t>
            </w:r>
          </w:p>
        </w:tc>
        <w:tc>
          <w:tcPr>
            <w:tcW w:type="dxa" w:w="1728"/>
            <w:shd w:fill="DEEAF1" w:val="clear"/>
          </w:tcPr>
          <w:p>
            <w:r>
              <w:rPr>
                <w:sz w:val="17"/>
              </w:rPr>
              <w:t>2,805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BICB</w:t>
            </w:r>
          </w:p>
        </w:tc>
        <w:tc>
          <w:tcPr>
            <w:tcW w:type="dxa" w:w="1728"/>
            <w:shd w:fill="DEEAF1" w:val="clear"/>
          </w:tcPr>
          <w:p>
            <w:r>
              <w:rPr>
                <w:sz w:val="17"/>
              </w:rPr>
              <w:t>BIIC BN - Banque internation</w:t>
            </w:r>
          </w:p>
        </w:tc>
        <w:tc>
          <w:tcPr>
            <w:tcW w:type="dxa" w:w="1728"/>
            <w:shd w:fill="DEEAF1" w:val="clear"/>
          </w:tcPr>
          <w:p>
            <w:r>
              <w:rPr>
                <w:sz w:val="17"/>
              </w:rPr>
              <w:t>7,595</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ORAC</w:t>
            </w:r>
          </w:p>
        </w:tc>
        <w:tc>
          <w:tcPr>
            <w:tcW w:type="dxa" w:w="1728"/>
            <w:shd w:fill="DEEAF1" w:val="clear"/>
          </w:tcPr>
          <w:p>
            <w:r>
              <w:rPr>
                <w:sz w:val="17"/>
              </w:rPr>
              <w:t>ORAC - ORANGE COTE D'IVOIRE</w:t>
            </w:r>
          </w:p>
        </w:tc>
        <w:tc>
          <w:tcPr>
            <w:tcW w:type="dxa" w:w="1728"/>
            <w:shd w:fill="DEEAF1" w:val="clear"/>
          </w:tcPr>
          <w:p>
            <w:r>
              <w:rPr>
                <w:sz w:val="17"/>
              </w:rPr>
              <w:t>17,175</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ORGT</w:t>
            </w:r>
          </w:p>
        </w:tc>
        <w:tc>
          <w:tcPr>
            <w:tcW w:type="dxa" w:w="1728"/>
            <w:shd w:fill="DEEAF1" w:val="clear"/>
          </w:tcPr>
          <w:p>
            <w:r>
              <w:rPr>
                <w:sz w:val="17"/>
              </w:rPr>
              <w:t>ORGT - ORAGROUP TOGO</w:t>
            </w:r>
          </w:p>
        </w:tc>
        <w:tc>
          <w:tcPr>
            <w:tcW w:type="dxa" w:w="1728"/>
            <w:shd w:fill="DEEAF1" w:val="clear"/>
          </w:tcPr>
          <w:p>
            <w:r>
              <w:rPr>
                <w:sz w:val="17"/>
              </w:rPr>
              <w:t>3,125</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TTLS</w:t>
            </w:r>
          </w:p>
        </w:tc>
        <w:tc>
          <w:tcPr>
            <w:tcW w:type="dxa" w:w="1728"/>
            <w:shd w:fill="E2EFDA" w:val="clear"/>
          </w:tcPr>
          <w:p>
            <w:r>
              <w:rPr>
                <w:sz w:val="17"/>
              </w:rPr>
              <w:t>TTLS - TOTAL ENERGIES MARKET</w:t>
            </w:r>
          </w:p>
        </w:tc>
        <w:tc>
          <w:tcPr>
            <w:tcW w:type="dxa" w:w="1728"/>
            <w:shd w:fill="E2EFDA" w:val="clear"/>
          </w:tcPr>
          <w:p>
            <w:r>
              <w:rPr>
                <w:sz w:val="17"/>
              </w:rPr>
              <w:t>3,500</w:t>
            </w:r>
          </w:p>
        </w:tc>
        <w:tc>
          <w:tcPr>
            <w:tcW w:type="dxa" w:w="1728"/>
            <w:shd w:fill="E2EFDA" w:val="clear"/>
          </w:tcPr>
          <w:p>
            <w:r>
              <w:rPr>
                <w:sz w:val="17"/>
              </w:rPr>
              <w:t>77/100</w:t>
            </w:r>
          </w:p>
        </w:tc>
        <w:tc>
          <w:tcPr>
            <w:tcW w:type="dxa" w:w="1728"/>
            <w:shd w:fill="E2EFDA" w:val="clear"/>
          </w:tcPr>
          <w:p>
            <w:r>
              <w:rPr>
                <w:sz w:val="17"/>
              </w:rPr>
              <w:t>11.2%</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11,600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NEIC</w:t>
            </w:r>
          </w:p>
        </w:tc>
        <w:tc>
          <w:tcPr>
            <w:tcW w:type="dxa" w:w="1728"/>
            <w:shd w:fill="E2EFDA" w:val="clear"/>
          </w:tcPr>
          <w:p>
            <w:r>
              <w:rPr>
                <w:sz w:val="17"/>
              </w:rPr>
              <w:t>NEIC - NEI-CEDA CI</w:t>
            </w:r>
          </w:p>
        </w:tc>
        <w:tc>
          <w:tcPr>
            <w:tcW w:type="dxa" w:w="1728"/>
            <w:shd w:fill="E2EFDA" w:val="clear"/>
          </w:tcPr>
          <w:p>
            <w:r>
              <w:rPr>
                <w:sz w:val="17"/>
              </w:rPr>
              <w:t>2,115</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1,900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3,550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SIBC</w:t>
            </w:r>
          </w:p>
        </w:tc>
        <w:tc>
          <w:tcPr>
            <w:tcW w:type="dxa" w:w="1728"/>
            <w:shd w:fill="E2EFDA" w:val="clear"/>
          </w:tcPr>
          <w:p>
            <w:r>
              <w:rPr>
                <w:sz w:val="17"/>
              </w:rPr>
              <w:t>SIBC - SOCIETE IVOIRIENNE DE</w:t>
            </w:r>
          </w:p>
        </w:tc>
        <w:tc>
          <w:tcPr>
            <w:tcW w:type="dxa" w:w="1728"/>
            <w:shd w:fill="E2EFDA" w:val="clear"/>
          </w:tcPr>
          <w:p>
            <w:r>
              <w:rPr>
                <w:sz w:val="17"/>
              </w:rPr>
              <w:t>9,300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STBC</w:t>
            </w:r>
          </w:p>
        </w:tc>
        <w:tc>
          <w:tcPr>
            <w:tcW w:type="dxa" w:w="1728"/>
            <w:shd w:fill="E2EFDA" w:val="clear"/>
          </w:tcPr>
          <w:p>
            <w:r>
              <w:rPr>
                <w:sz w:val="17"/>
              </w:rPr>
              <w:t>STBC - SITAB COTE D'IVOIRE</w:t>
            </w:r>
          </w:p>
        </w:tc>
        <w:tc>
          <w:tcPr>
            <w:tcW w:type="dxa" w:w="1728"/>
            <w:shd w:fill="E2EFDA" w:val="clear"/>
          </w:tcPr>
          <w:p>
            <w:r>
              <w:rPr>
                <w:sz w:val="17"/>
              </w:rPr>
              <w:t>24,980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TTLC</w:t>
            </w:r>
          </w:p>
        </w:tc>
        <w:tc>
          <w:tcPr>
            <w:tcW w:type="dxa" w:w="1728"/>
            <w:shd w:fill="E2EFDA" w:val="clear"/>
          </w:tcPr>
          <w:p>
            <w:r>
              <w:rPr>
                <w:sz w:val="17"/>
              </w:rPr>
              <w:t>TTLC - TOTAL ENERGIES MARKET</w:t>
            </w:r>
          </w:p>
        </w:tc>
        <w:tc>
          <w:tcPr>
            <w:tcW w:type="dxa" w:w="1728"/>
            <w:shd w:fill="E2EFDA" w:val="clear"/>
          </w:tcPr>
          <w:p>
            <w:r>
              <w:rPr>
                <w:sz w:val="17"/>
              </w:rPr>
              <w:t>2,805</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TTLS</w:t>
            </w:r>
          </w:p>
        </w:tc>
        <w:tc>
          <w:tcPr>
            <w:tcW w:type="dxa" w:w="1728"/>
            <w:shd w:fill="FCE4D6" w:val="clear"/>
          </w:tcPr>
          <w:p>
            <w:r>
              <w:rPr>
                <w:sz w:val="17"/>
              </w:rPr>
              <w:t>TTLS - TOTAL ENERGIES MARKET</w:t>
            </w:r>
          </w:p>
        </w:tc>
        <w:tc>
          <w:tcPr>
            <w:tcW w:type="dxa" w:w="1728"/>
            <w:shd w:fill="FCE4D6" w:val="clear"/>
          </w:tcPr>
          <w:p>
            <w:r>
              <w:rPr>
                <w:sz w:val="17"/>
              </w:rPr>
              <w:t>3,500</w:t>
            </w:r>
          </w:p>
        </w:tc>
        <w:tc>
          <w:tcPr>
            <w:tcW w:type="dxa" w:w="1728"/>
            <w:shd w:fill="FCE4D6" w:val="clear"/>
          </w:tcPr>
          <w:p>
            <w:r>
              <w:rPr>
                <w:sz w:val="17"/>
              </w:rPr>
              <w:t>77/100</w:t>
            </w:r>
          </w:p>
        </w:tc>
        <w:tc>
          <w:tcPr>
            <w:tcW w:type="dxa" w:w="1728"/>
            <w:shd w:fill="FCE4D6" w:val="clear"/>
          </w:tcPr>
          <w:p>
            <w:r>
              <w:rPr>
                <w:sz w:val="17"/>
              </w:rPr>
              <w:t>11.9%</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11,600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NEIC</w:t>
            </w:r>
          </w:p>
        </w:tc>
        <w:tc>
          <w:tcPr>
            <w:tcW w:type="dxa" w:w="1728"/>
            <w:shd w:fill="FCE4D6" w:val="clear"/>
          </w:tcPr>
          <w:p>
            <w:r>
              <w:rPr>
                <w:sz w:val="17"/>
              </w:rPr>
              <w:t>NEIC - NEI-CEDA CI</w:t>
            </w:r>
          </w:p>
        </w:tc>
        <w:tc>
          <w:tcPr>
            <w:tcW w:type="dxa" w:w="1728"/>
            <w:shd w:fill="FCE4D6" w:val="clear"/>
          </w:tcPr>
          <w:p>
            <w:r>
              <w:rPr>
                <w:sz w:val="17"/>
              </w:rPr>
              <w:t>2,115</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1,900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3,550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SIBC</w:t>
            </w:r>
          </w:p>
        </w:tc>
        <w:tc>
          <w:tcPr>
            <w:tcW w:type="dxa" w:w="1728"/>
            <w:shd w:fill="FCE4D6" w:val="clear"/>
          </w:tcPr>
          <w:p>
            <w:r>
              <w:rPr>
                <w:sz w:val="17"/>
              </w:rPr>
              <w:t>SIBC - SOCIETE IVOIRIENNE DE</w:t>
            </w:r>
          </w:p>
        </w:tc>
        <w:tc>
          <w:tcPr>
            <w:tcW w:type="dxa" w:w="1728"/>
            <w:shd w:fill="FCE4D6" w:val="clear"/>
          </w:tcPr>
          <w:p>
            <w:r>
              <w:rPr>
                <w:sz w:val="17"/>
              </w:rPr>
              <w:t>9,300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STBC</w:t>
            </w:r>
          </w:p>
        </w:tc>
        <w:tc>
          <w:tcPr>
            <w:tcW w:type="dxa" w:w="1728"/>
            <w:shd w:fill="FCE4D6" w:val="clear"/>
          </w:tcPr>
          <w:p>
            <w:r>
              <w:rPr>
                <w:sz w:val="17"/>
              </w:rPr>
              <w:t>STBC - SITAB COTE D'IVOIRE</w:t>
            </w:r>
          </w:p>
        </w:tc>
        <w:tc>
          <w:tcPr>
            <w:tcW w:type="dxa" w:w="1728"/>
            <w:shd w:fill="FCE4D6" w:val="clear"/>
          </w:tcPr>
          <w:p>
            <w:r>
              <w:rPr>
                <w:sz w:val="17"/>
              </w:rPr>
              <w:t>24,980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TTLC</w:t>
            </w:r>
          </w:p>
        </w:tc>
        <w:tc>
          <w:tcPr>
            <w:tcW w:type="dxa" w:w="1728"/>
            <w:shd w:fill="FCE4D6" w:val="clear"/>
          </w:tcPr>
          <w:p>
            <w:r>
              <w:rPr>
                <w:sz w:val="17"/>
              </w:rPr>
              <w:t>TTLC - TOTAL ENERGIES MARKET</w:t>
            </w:r>
          </w:p>
        </w:tc>
        <w:tc>
          <w:tcPr>
            <w:tcW w:type="dxa" w:w="1728"/>
            <w:shd w:fill="FCE4D6" w:val="clear"/>
          </w:tcPr>
          <w:p>
            <w:r>
              <w:rPr>
                <w:sz w:val="17"/>
              </w:rPr>
              <w:t>2,805</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NTLC — NTLC - NESTLE COTE D'IVOIRE</w:t>
      </w:r>
    </w:p>
    <w:p>
      <w:pPr>
        <w:pStyle w:val="ListBullet"/>
        <w:spacing w:before="20"/>
        <w:ind w:left="400"/>
      </w:pPr>
      <w:r>
        <w:rPr>
          <w:sz w:val="18"/>
        </w:rPr>
        <w:t>🔴 RSI surachat (82.7 &gt; 70) — risque de correction</w:t>
      </w:r>
    </w:p>
    <w:p>
      <w:pPr>
        <w:pStyle w:val="ListBullet"/>
        <w:spacing w:before="20"/>
        <w:ind w:left="400"/>
      </w:pPr>
      <w:r>
        <w:rPr>
          <w:sz w:val="18"/>
        </w:rPr>
        <w:t>⚠️ Cours à 0.9% du plus haut 100j (16,750 FCFA)</w:t>
      </w:r>
    </w:p>
    <w:p>
      <w:pPr>
        <w:pStyle w:val="ListBullet"/>
        <w:spacing w:before="20"/>
        <w:ind w:left="400"/>
      </w:pPr>
      <w:r>
        <w:rPr>
          <w:sz w:val="18"/>
        </w:rPr>
        <w:t>🟠 Divergence tech(VENTE) / fond(ACHAT) — recommandation ajustée à ACHAT</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Cours à 1.3% du plus haut 100j (29,490 FCFA)</w:t>
      </w:r>
    </w:p>
    <w:p>
      <w:pPr>
        <w:pStyle w:val="ListBullet"/>
        <w:spacing w:before="20"/>
        <w:ind w:left="400"/>
      </w:pPr>
      <w:r>
        <w:rPr>
          <w:sz w:val="18"/>
        </w:rPr>
        <w:t>🟠 Divergence tech(VENTE) / fond(NEUTRE) — recommandation ajustée à CONSERVER ⚠️</w:t>
      </w:r>
    </w:p>
    <w:p>
      <w:pPr>
        <w:spacing w:before="120"/>
      </w:pPr>
      <w:r>
        <w:rPr>
          <w:b/>
          <w:color w:val="0050A0"/>
          <w:sz w:val="20"/>
        </w:rPr>
        <w:t>BOABF — BANK OF AFRICA BURKINA FASO</w:t>
      </w:r>
    </w:p>
    <w:p>
      <w:pPr>
        <w:pStyle w:val="ListBullet"/>
        <w:spacing w:before="20"/>
        <w:ind w:left="400"/>
      </w:pPr>
      <w:r>
        <w:rPr>
          <w:sz w:val="18"/>
        </w:rPr>
        <w:t>⚠️ Cours à 0.3% du plus haut 100j (7,255 FCFA)</w:t>
      </w:r>
    </w:p>
    <w:p>
      <w:pPr>
        <w:pStyle w:val="ListBullet"/>
        <w:spacing w:before="20"/>
        <w:ind w:left="400"/>
      </w:pPr>
      <w:r>
        <w:rPr>
          <w:sz w:val="18"/>
        </w:rPr>
        <w:t>🟠 Divergence tech(VENTE) / fond(NEUTRE) — recommandation ajustée à CONSERVER ⚠️</w:t>
      </w:r>
    </w:p>
    <w:p>
      <w:pPr>
        <w:spacing w:before="120"/>
      </w:pPr>
      <w:r>
        <w:rPr>
          <w:b/>
          <w:color w:val="0050A0"/>
          <w:sz w:val="20"/>
        </w:rPr>
        <w:t>BOAC — BANK OF AFRICA COTE D'IVOIRE</w:t>
      </w:r>
    </w:p>
    <w:p>
      <w:pPr>
        <w:pStyle w:val="ListBullet"/>
        <w:spacing w:before="20"/>
        <w:ind w:left="400"/>
      </w:pPr>
      <w:r>
        <w:rPr>
          <w:sz w:val="18"/>
        </w:rPr>
        <w:t>🔴 RSI surachat (84.8 &gt; 70) — risque de correction</w:t>
      </w:r>
    </w:p>
    <w:p>
      <w:pPr>
        <w:pStyle w:val="ListBullet"/>
        <w:spacing w:before="20"/>
        <w:ind w:left="400"/>
      </w:pPr>
      <w:r>
        <w:rPr>
          <w:sz w:val="18"/>
        </w:rPr>
        <w:t>⚠️ Cours à 0.0% du plus haut 100j (11,600 FCFA)</w:t>
      </w:r>
    </w:p>
    <w:p>
      <w:pPr>
        <w:spacing w:before="120"/>
      </w:pPr>
      <w:r>
        <w:rPr>
          <w:b/>
          <w:color w:val="0050A0"/>
          <w:sz w:val="20"/>
        </w:rPr>
        <w:t>ONTBF — ONTBF - ONATEL BURKINA FASO</w:t>
      </w:r>
    </w:p>
    <w:p>
      <w:pPr>
        <w:pStyle w:val="ListBullet"/>
        <w:spacing w:before="20"/>
        <w:ind w:left="400"/>
      </w:pPr>
      <w:r>
        <w:rPr>
          <w:sz w:val="18"/>
        </w:rPr>
        <w:t>🔴 RSI surachat (73.0 &gt; 70) — risque de correction</w:t>
      </w:r>
    </w:p>
    <w:p>
      <w:pPr>
        <w:pStyle w:val="ListBullet"/>
        <w:spacing w:before="20"/>
        <w:ind w:left="400"/>
      </w:pPr>
      <w:r>
        <w:rPr>
          <w:sz w:val="18"/>
        </w:rPr>
        <w:t>🟠 Divergence tech(VENTE) / fond(ACHAT) — recommandation ajustée à ACHAT FORT</w:t>
      </w:r>
    </w:p>
    <w:p>
      <w:pPr>
        <w:spacing w:before="120"/>
      </w:pPr>
      <w:r>
        <w:rPr>
          <w:b/>
          <w:color w:val="0050A0"/>
          <w:sz w:val="20"/>
        </w:rPr>
        <w:t>ORAC — ORAC - ORANGE COTE D'IVOIRE</w:t>
      </w:r>
    </w:p>
    <w:p>
      <w:pPr>
        <w:pStyle w:val="ListBullet"/>
        <w:spacing w:before="20"/>
        <w:ind w:left="400"/>
      </w:pPr>
      <w:r>
        <w:rPr>
          <w:sz w:val="18"/>
        </w:rPr>
        <w:t>🔴 RSI surachat (88.0 &gt; 70) — risque de correction</w:t>
      </w:r>
    </w:p>
    <w:p>
      <w:pPr>
        <w:pStyle w:val="ListBullet"/>
        <w:spacing w:before="20"/>
        <w:ind w:left="400"/>
      </w:pPr>
      <w:r>
        <w:rPr>
          <w:sz w:val="18"/>
        </w:rPr>
        <w:t>⚠️ Cours à 0.0% du plus haut 100j (17,175 FCFA)</w:t>
      </w:r>
    </w:p>
    <w:p>
      <w:pPr>
        <w:spacing w:before="120"/>
      </w:pPr>
      <w:r>
        <w:rPr>
          <w:b/>
          <w:color w:val="0050A0"/>
          <w:sz w:val="20"/>
        </w:rPr>
        <w:t>SDCC — SDCC - Société de Distribution d'Eau de Côte d'Ivoire</w:t>
      </w:r>
    </w:p>
    <w:p>
      <w:pPr>
        <w:pStyle w:val="ListBullet"/>
        <w:spacing w:before="20"/>
        <w:ind w:left="400"/>
      </w:pPr>
      <w:r>
        <w:rPr>
          <w:sz w:val="18"/>
        </w:rPr>
        <w:t>⚠️ Cours à 2.4% du plus haut 100j (12,195 FCFA)</w:t>
      </w:r>
    </w:p>
    <w:p>
      <w:pPr>
        <w:pStyle w:val="ListBullet"/>
        <w:spacing w:before="20"/>
        <w:ind w:left="400"/>
      </w:pPr>
      <w:r>
        <w:rPr>
          <w:sz w:val="18"/>
        </w:rPr>
        <w:t>🟠 Divergence tech(VENTE) / fond(ACHAT) — recommandation ajustée à ACHAT</w:t>
      </w:r>
    </w:p>
    <w:p>
      <w:pPr>
        <w:spacing w:before="120"/>
      </w:pPr>
      <w:r>
        <w:rPr>
          <w:b/>
          <w:color w:val="0050A0"/>
          <w:sz w:val="20"/>
        </w:rPr>
        <w:t>SICC — SICC - SICOR COTE D'IVOIRE</w:t>
      </w:r>
    </w:p>
    <w:p>
      <w:pPr>
        <w:pStyle w:val="ListBullet"/>
        <w:spacing w:before="20"/>
        <w:ind w:left="400"/>
      </w:pPr>
      <w:r>
        <w:rPr>
          <w:sz w:val="18"/>
        </w:rPr>
        <w:t>🔴 RSI surachat (78.5 &gt; 70) — risque de correction</w:t>
      </w:r>
    </w:p>
    <w:p>
      <w:pPr>
        <w:pStyle w:val="ListBullet"/>
        <w:spacing w:before="20"/>
        <w:ind w:left="400"/>
      </w:pPr>
      <w:r>
        <w:rPr>
          <w:sz w:val="18"/>
        </w:rPr>
        <w:t>⚠️ Cours à 0.1% du plus haut 100j (7,095 FCFA)</w:t>
      </w:r>
    </w:p>
    <w:p>
      <w:pPr>
        <w:spacing w:before="120"/>
      </w:pPr>
      <w:r>
        <w:rPr>
          <w:b/>
          <w:color w:val="0050A0"/>
          <w:sz w:val="20"/>
        </w:rPr>
        <w:t>ABJC — ABJC - SERVAIR ABIDJAN CI</w:t>
      </w:r>
    </w:p>
    <w:p>
      <w:pPr>
        <w:pStyle w:val="ListBullet"/>
        <w:spacing w:before="20"/>
        <w:ind w:left="400"/>
      </w:pPr>
      <w:r>
        <w:rPr>
          <w:sz w:val="18"/>
        </w:rPr>
        <w:t>🟠 Divergence tech(VENTE) / fond(ACHAT) — recommandation ajustée à ACHAT</w:t>
      </w:r>
    </w:p>
    <w:p>
      <w:pPr>
        <w:spacing w:before="120"/>
      </w:pPr>
      <w:r>
        <w:rPr>
          <w:b/>
          <w:color w:val="0050A0"/>
          <w:sz w:val="20"/>
        </w:rPr>
        <w:t>BICB — BIIC BN - Banque internationale pour le commerce du benin</w:t>
      </w:r>
    </w:p>
    <w:p>
      <w:pPr>
        <w:pStyle w:val="ListBullet"/>
        <w:spacing w:before="20"/>
        <w:ind w:left="400"/>
      </w:pPr>
      <w:r>
        <w:rPr>
          <w:sz w:val="18"/>
        </w:rPr>
        <w:t>🔴 RSI surachat (75.7 &gt; 70) — risque de correction</w:t>
      </w:r>
    </w:p>
    <w:p>
      <w:pPr>
        <w:spacing w:before="120"/>
      </w:pPr>
      <w:r>
        <w:rPr>
          <w:b/>
          <w:color w:val="0050A0"/>
          <w:sz w:val="20"/>
        </w:rPr>
        <w:t>BOAB — BANK OF AFRICA BENIN</w:t>
      </w:r>
    </w:p>
    <w:p>
      <w:pPr>
        <w:pStyle w:val="ListBullet"/>
        <w:spacing w:before="20"/>
        <w:ind w:left="400"/>
      </w:pPr>
      <w:r>
        <w:rPr>
          <w:sz w:val="18"/>
        </w:rPr>
        <w:t>🟠 Divergence tech(VENTE) / fond(NEUTRE) — recommandation ajustée à CONSERVER ⚠️</w:t>
      </w:r>
    </w:p>
    <w:p>
      <w:pPr>
        <w:spacing w:before="120"/>
      </w:pPr>
      <w:r>
        <w:rPr>
          <w:b/>
          <w:color w:val="0050A0"/>
          <w:sz w:val="20"/>
        </w:rPr>
        <w:t>CABC — CABC - SICABLE COTE D'IVOIRE</w:t>
      </w:r>
    </w:p>
    <w:p>
      <w:pPr>
        <w:pStyle w:val="ListBullet"/>
        <w:spacing w:before="20"/>
        <w:ind w:left="400"/>
      </w:pPr>
      <w:r>
        <w:rPr>
          <w:sz w:val="18"/>
        </w:rPr>
        <w:t>🟠 Divergence tech(VENTE) / fond(ACHAT) — recommandation ajustée à ACHAT</w:t>
      </w:r>
    </w:p>
    <w:p>
      <w:pPr>
        <w:spacing w:before="120"/>
      </w:pPr>
      <w:r>
        <w:rPr>
          <w:b/>
          <w:color w:val="0050A0"/>
          <w:sz w:val="20"/>
        </w:rPr>
        <w:t>CBIBF — CBIBF - CORIS BANK INTERNATIONAL BURKINA FASO</w:t>
      </w:r>
    </w:p>
    <w:p>
      <w:pPr>
        <w:pStyle w:val="ListBullet"/>
        <w:spacing w:before="20"/>
        <w:ind w:left="400"/>
      </w:pPr>
      <w:r>
        <w:rPr>
          <w:sz w:val="18"/>
        </w:rPr>
        <w:t>🟠 Divergence tech(VENTE) / fond(ACHAT) — recommandation ajustée à ACHAT</w:t>
      </w:r>
    </w:p>
    <w:p>
      <w:pPr>
        <w:spacing w:before="120"/>
      </w:pPr>
      <w:r>
        <w:rPr>
          <w:b/>
          <w:color w:val="0050A0"/>
          <w:sz w:val="20"/>
        </w:rPr>
        <w:t>CFAC — CFAC - CFAO MOTORS CI</w:t>
      </w:r>
    </w:p>
    <w:p>
      <w:pPr>
        <w:pStyle w:val="ListBullet"/>
        <w:spacing w:before="20"/>
        <w:ind w:left="400"/>
      </w:pPr>
      <w:r>
        <w:rPr>
          <w:sz w:val="18"/>
        </w:rPr>
        <w:t>🟠 Divergence tech(VENTE) / fond(ACHAT) — recommandation ajustée à ACHAT</w:t>
      </w:r>
    </w:p>
    <w:p>
      <w:pPr>
        <w:spacing w:before="120"/>
      </w:pPr>
      <w:r>
        <w:rPr>
          <w:b/>
          <w:color w:val="0050A0"/>
          <w:sz w:val="20"/>
        </w:rPr>
        <w:t>ECOC — ECOC - ECOBANK COTE D'IVOIRE</w:t>
      </w:r>
    </w:p>
    <w:p>
      <w:pPr>
        <w:pStyle w:val="ListBullet"/>
        <w:spacing w:before="20"/>
        <w:ind w:left="400"/>
      </w:pPr>
      <w:r>
        <w:rPr>
          <w:sz w:val="18"/>
        </w:rPr>
        <w:t>🟠 Divergence tech(VENTE) / fond(ACHAT) — recommandation ajustée à ACHAT</w:t>
      </w:r>
    </w:p>
    <w:p>
      <w:pPr>
        <w:spacing w:before="120"/>
      </w:pPr>
      <w:r>
        <w:rPr>
          <w:b/>
          <w:color w:val="0050A0"/>
          <w:sz w:val="20"/>
        </w:rPr>
        <w:t>FTSC — FTSC - FILTISAC COTE D'IVOIRE</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survente (28.6 &lt; 30) — opportunité potentielle</w:t>
      </w:r>
    </w:p>
    <w:p>
      <w:pPr>
        <w:spacing w:before="120"/>
      </w:pPr>
      <w:r>
        <w:rPr>
          <w:b/>
          <w:color w:val="0050A0"/>
          <w:sz w:val="20"/>
        </w:rPr>
        <w:t>NSBC — NSBC - NSIA BANQUE COTE D'IVOIRE</w:t>
      </w:r>
    </w:p>
    <w:p>
      <w:pPr>
        <w:pStyle w:val="ListBullet"/>
        <w:spacing w:before="20"/>
        <w:ind w:left="400"/>
      </w:pPr>
      <w:r>
        <w:rPr>
          <w:sz w:val="18"/>
        </w:rPr>
        <w:t>⚠️ Cours à 2.0% du plus haut 100j (24,020 FCFA)</w:t>
      </w:r>
    </w:p>
    <w:p>
      <w:pPr>
        <w:spacing w:before="120"/>
      </w:pPr>
      <w:r>
        <w:rPr>
          <w:b/>
          <w:color w:val="0050A0"/>
          <w:sz w:val="20"/>
        </w:rPr>
        <w:t>ORGT — ORGT - ORAGROUP TOGO</w:t>
      </w:r>
    </w:p>
    <w:p>
      <w:pPr>
        <w:pStyle w:val="ListBullet"/>
        <w:spacing w:before="20"/>
        <w:ind w:left="400"/>
      </w:pPr>
      <w:r>
        <w:rPr>
          <w:sz w:val="18"/>
        </w:rPr>
        <w:t>🔴 RSI surachat (87.4 &gt; 70) — risque de correction</w:t>
      </w:r>
    </w:p>
    <w:p>
      <w:pPr>
        <w:spacing w:before="120"/>
      </w:pPr>
      <w:r>
        <w:rPr>
          <w:b/>
          <w:color w:val="0050A0"/>
          <w:sz w:val="20"/>
        </w:rPr>
        <w:t>SAFC — SAFCA CI</w:t>
      </w:r>
    </w:p>
    <w:p>
      <w:pPr>
        <w:pStyle w:val="ListBullet"/>
        <w:spacing w:before="20"/>
        <w:ind w:left="400"/>
      </w:pPr>
      <w:r>
        <w:rPr>
          <w:sz w:val="18"/>
        </w:rPr>
        <w:t>🔴 RSI surachat (72.4 &gt; 70) — risque de correction</w:t>
      </w:r>
    </w:p>
    <w:p>
      <w:pPr>
        <w:spacing w:before="120"/>
      </w:pPr>
      <w:r>
        <w:rPr>
          <w:b/>
          <w:color w:val="0050A0"/>
          <w:sz w:val="20"/>
        </w:rPr>
        <w:t>SEMC — SEMC - EVIOSYS PACKAGING SIEM CI</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Divergence tech(VENTE) / fond(ACHAT) — recommandation ajustée à ACHAT</w:t>
      </w:r>
    </w:p>
    <w:p>
      <w:pPr>
        <w:spacing w:before="120"/>
      </w:pPr>
      <w:r>
        <w:rPr>
          <w:b/>
          <w:color w:val="0050A0"/>
          <w:sz w:val="20"/>
        </w:rPr>
        <w:t>SHEC — SHEC - VIVO ENERGY COTE D'IVOIRE</w:t>
      </w:r>
    </w:p>
    <w:p>
      <w:pPr>
        <w:pStyle w:val="ListBullet"/>
        <w:spacing w:before="20"/>
        <w:ind w:left="400"/>
      </w:pPr>
      <w:r>
        <w:rPr>
          <w:sz w:val="18"/>
        </w:rPr>
        <w:t>⚠️ Cours à 1.5% du plus haut 100j (2,325 FCFA)</w:t>
      </w:r>
    </w:p>
    <w:p>
      <w:pPr>
        <w:spacing w:before="120"/>
      </w:pPr>
      <w:r>
        <w:rPr>
          <w:b/>
          <w:color w:val="0050A0"/>
          <w:sz w:val="20"/>
        </w:rPr>
        <w:t>SIBC — SIBC - SOCIETE IVOIRIENNE DE BANQUE</w:t>
      </w:r>
    </w:p>
    <w:p>
      <w:pPr>
        <w:pStyle w:val="ListBullet"/>
        <w:spacing w:before="20"/>
        <w:ind w:left="400"/>
      </w:pPr>
      <w:r>
        <w:rPr>
          <w:sz w:val="18"/>
        </w:rPr>
        <w:t>⚠️ Cours à 0.0% du plus haut 100j (9,300 FCFA)</w:t>
      </w:r>
    </w:p>
    <w:p>
      <w:pPr>
        <w:spacing w:before="120"/>
      </w:pPr>
      <w:r>
        <w:rPr>
          <w:b/>
          <w:color w:val="0050A0"/>
          <w:sz w:val="20"/>
        </w:rPr>
        <w:t>SIVC — SIVC - ERIUM CI (Ex AIR LIQUIDECI)</w:t>
      </w:r>
    </w:p>
    <w:p>
      <w:pPr>
        <w:pStyle w:val="ListBullet"/>
        <w:spacing w:before="20"/>
        <w:ind w:left="400"/>
      </w:pPr>
      <w:r>
        <w:rPr>
          <w:sz w:val="18"/>
        </w:rPr>
        <w:t>🟢 RSI survente (26.9 &lt; 30) — opportunité potentielle</w:t>
      </w:r>
    </w:p>
    <w:p>
      <w:pPr>
        <w:spacing w:before="120"/>
      </w:pPr>
      <w:r>
        <w:rPr>
          <w:b/>
          <w:color w:val="0050A0"/>
          <w:sz w:val="20"/>
        </w:rPr>
        <w:t>SLBC — SLBC - SOLIBRA COTE D'IVOIRE</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 FORT</w:t>
      </w:r>
    </w:p>
    <w:p>
      <w:pPr>
        <w:spacing w:before="120"/>
      </w:pPr>
      <w:r>
        <w:rPr>
          <w:b/>
          <w:color w:val="0050A0"/>
          <w:sz w:val="20"/>
        </w:rPr>
        <w:t>SPHC — SPHC - Société Africaine de Plantation d'Hévéas de Côte d'Ivoire</w:t>
      </w:r>
    </w:p>
    <w:p>
      <w:pPr>
        <w:pStyle w:val="ListBullet"/>
        <w:spacing w:before="20"/>
        <w:ind w:left="400"/>
      </w:pPr>
      <w:r>
        <w:rPr>
          <w:sz w:val="18"/>
        </w:rPr>
        <w:t>🟠 Divergence tech(VENTE) / fond(ACHAT) — recommandation ajustée à ACHAT</w:t>
      </w:r>
    </w:p>
    <w:p>
      <w:pPr>
        <w:spacing w:before="120"/>
      </w:pPr>
      <w:r>
        <w:rPr>
          <w:b/>
          <w:color w:val="0050A0"/>
          <w:sz w:val="20"/>
        </w:rPr>
        <w:t>STAC — STAC - SETAO COTE D'IVOIRE</w:t>
      </w:r>
    </w:p>
    <w:p>
      <w:pPr>
        <w:pStyle w:val="ListBullet"/>
        <w:spacing w:before="20"/>
        <w:ind w:left="400"/>
      </w:pPr>
      <w:r>
        <w:rPr>
          <w:sz w:val="18"/>
        </w:rPr>
        <w:t>🟢 RSI survente (27.8 &lt; 30) — opportunité potentielle</w:t>
      </w:r>
    </w:p>
    <w:p>
      <w:pPr>
        <w:spacing w:before="120"/>
      </w:pPr>
      <w:r>
        <w:rPr>
          <w:b/>
          <w:color w:val="0050A0"/>
          <w:sz w:val="20"/>
        </w:rPr>
        <w:t>STBC — STBC - SITAB COTE D'IVOIRE</w:t>
      </w:r>
    </w:p>
    <w:p>
      <w:pPr>
        <w:pStyle w:val="ListBullet"/>
        <w:spacing w:before="20"/>
        <w:ind w:left="400"/>
      </w:pPr>
      <w:r>
        <w:rPr>
          <w:sz w:val="18"/>
        </w:rPr>
        <w:t>⚠️ Cours à 0.1% du plus haut 100j (25,000 FCFA)</w:t>
      </w:r>
    </w:p>
    <w:p>
      <w:pPr>
        <w:spacing w:before="120"/>
      </w:pPr>
      <w:r>
        <w:rPr>
          <w:b/>
          <w:color w:val="0050A0"/>
          <w:sz w:val="20"/>
        </w:rPr>
        <w:t>TTLS — TTLS - TOTAL ENERGIES MARKETING SENEGAL</w:t>
      </w:r>
    </w:p>
    <w:p>
      <w:pPr>
        <w:pStyle w:val="ListBullet"/>
        <w:spacing w:before="20"/>
        <w:ind w:left="400"/>
      </w:pPr>
      <w:r>
        <w:rPr>
          <w:sz w:val="18"/>
        </w:rPr>
        <w:t>🟢 RSI survente (25.6 &lt; 30) — opportunité potentielle</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24 société(s) (51%)</w:t>
            </w:r>
          </w:p>
        </w:tc>
        <w:tc>
          <w:tcPr>
            <w:tcW w:type="dxa" w:w="1644"/>
            <w:shd w:fill="FFEB9C" w:val="clear"/>
          </w:tcPr>
          <w:p>
            <w:r>
              <w:rPr>
                <w:b/>
                <w:color w:val="825A00"/>
                <w:sz w:val="19"/>
              </w:rPr>
              <w:t>23 société(s) (49%)</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21.2/100</w:t>
            </w:r>
          </w:p>
        </w:tc>
        <w:tc>
          <w:tcPr>
            <w:tcW w:type="dxa" w:w="1644"/>
            <w:shd w:fill="DEEAF1" w:val="clear"/>
          </w:tcPr>
          <w:p>
            <w:r>
              <w:rPr>
                <w:b/>
                <w:color w:val="000000"/>
                <w:sz w:val="19"/>
              </w:rPr>
              <w:t>19.3/100</w:t>
            </w:r>
          </w:p>
        </w:tc>
      </w:tr>
    </w:tbl>
    <w:p/>
    <w:p>
      <w:r>
        <w:rPr>
          <w:i/>
          <w:color w:val="006400"/>
          <w:sz w:val="18"/>
        </w:rPr>
        <w:t>✅ Le marché BRVM présente globalement un profil de risque FAIBLE (score moyen 21.2/100).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38.6/100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UNLC</w:t>
            </w:r>
          </w:p>
        </w:tc>
        <w:tc>
          <w:tcPr>
            <w:tcW w:type="dxa" w:w="2268"/>
            <w:shd w:fill="FFFFFF" w:val="clear"/>
          </w:tcPr>
          <w:p>
            <w:r>
              <w:rPr>
                <w:sz w:val="16"/>
              </w:rPr>
              <w:t>UNLC - UNILEVER COTE D'IVOIR…</w:t>
            </w:r>
          </w:p>
        </w:tc>
        <w:tc>
          <w:tcPr>
            <w:tcW w:type="dxa" w:w="1701"/>
            <w:shd w:fill="FFFFFF" w:val="clear"/>
          </w:tcPr>
          <w:p>
            <w:r>
              <w:rPr>
                <w:sz w:val="16"/>
              </w:rPr>
              <w:t>CONSOMMATION DE BA</w:t>
            </w:r>
          </w:p>
        </w:tc>
        <w:tc>
          <w:tcPr>
            <w:tcW w:type="dxa" w:w="1020"/>
            <w:shd w:fill="FFEB9C" w:val="clear"/>
          </w:tcPr>
          <w:p>
            <w:r>
              <w:rPr>
                <w:b/>
                <w:color w:val="B40000"/>
                <w:sz w:val="16"/>
              </w:rPr>
              <w:t>32.8/100</w:t>
            </w:r>
          </w:p>
        </w:tc>
        <w:tc>
          <w:tcPr>
            <w:tcW w:type="dxa" w:w="1134"/>
            <w:shd w:fill="FFEB9C" w:val="clear"/>
          </w:tcPr>
          <w:p>
            <w:r>
              <w:rPr>
                <w:sz w:val="16"/>
              </w:rPr>
              <w:t>Moyen</w:t>
            </w:r>
          </w:p>
        </w:tc>
        <w:tc>
          <w:tcPr>
            <w:tcW w:type="dxa" w:w="2381"/>
            <w:shd w:fill="FFFFFF" w:val="clear"/>
          </w:tcPr>
          <w:p>
            <w:r>
              <w:rPr>
                <w:sz w:val="16"/>
              </w:rPr>
              <w:t>💧 Liquidité très faible</w:t>
            </w:r>
          </w:p>
        </w:tc>
      </w:tr>
      <w:tr>
        <w:tc>
          <w:tcPr>
            <w:tcW w:type="dxa" w:w="567"/>
            <w:shd w:fill="FFFFFF" w:val="clear"/>
          </w:tcPr>
          <w:p>
            <w:r>
              <w:rPr>
                <w:b/>
                <w:sz w:val="16"/>
              </w:rPr>
              <w:t>#4</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31.9/100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SICC (38.6/100 — Moyen) : </w:t>
      </w:r>
      <w:r>
        <w:rPr>
          <w:sz w:val="17"/>
        </w:rPr>
        <w:t>Volatilité=Élevée | Bêta=Contre-cyclique | Liquidité=Très faible | Divergence signaux=taux divergence=40% (Très divergent ❌) | Stabilité=Modérée</w:t>
      </w:r>
    </w:p>
    <w:p>
      <w:pPr>
        <w:pStyle w:val="ListBullet"/>
      </w:pPr>
      <w:r>
        <w:rPr>
          <w:b/>
          <w:color w:val="B40000"/>
          <w:sz w:val="18"/>
        </w:rPr>
        <w:t xml:space="preserve">#2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#3 UNLC (32.8/100 — Moyen) : </w:t>
      </w:r>
      <w:r>
        <w:rPr>
          <w:sz w:val="17"/>
        </w:rPr>
        <w:t>Volatilité=Moyenne | Bêta=Très agressif | Liquidité=Très faible | Divergence signaux=taux divergence=20% (Mixte ⚠️) | Stabilité=Modérée</w:t>
      </w:r>
    </w:p>
    <w:p>
      <w:pPr>
        <w:pStyle w:val="ListBullet"/>
      </w:pPr>
      <w:r>
        <w:rPr>
          <w:b/>
          <w:color w:val="B40000"/>
          <w:sz w:val="18"/>
        </w:rPr>
        <w:t xml:space="preserve">#4 SAFC (31.9/100 — Moyen) : </w:t>
      </w:r>
      <w:r>
        <w:rPr>
          <w:sz w:val="17"/>
        </w:rPr>
        <w:t>Volatilité=Élevée | Bêta=Défensif | Liquidité=Bonne | Divergence signaux=taux divergence=40% (Très divergent ❌) | Stabilité=Instable</w:t>
      </w:r>
    </w:p>
    <w:p>
      <w:pPr>
        <w:pStyle w:val="ListBullet"/>
      </w:pPr>
      <w:r>
        <w:rPr>
          <w:b/>
          <w:color w:val="B40000"/>
          <w:sz w:val="18"/>
        </w:rPr>
        <w:t xml:space="preserve">#5 NSBC (31.3/100 — Moyen) : </w:t>
      </w:r>
      <w:r>
        <w:rPr>
          <w:sz w:val="17"/>
        </w:rPr>
        <w:t>Volatilité=Élevée | Bêta=Agressif | Liquidité=Bonne | Divergence signaux=taux divergence=20% (Mixte ⚠️) | Stabilité=Stable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TTLC</w:t>
            </w:r>
          </w:p>
        </w:tc>
        <w:tc>
          <w:tcPr>
            <w:tcW w:type="dxa" w:w="2268"/>
            <w:shd w:fill="FFFFFF" w:val="clear"/>
          </w:tcPr>
          <w:p>
            <w:r>
              <w:rPr>
                <w:sz w:val="16"/>
              </w:rPr>
              <w:t>TTLC - TOTAL ENERGIES MARKET…</w:t>
            </w:r>
          </w:p>
        </w:tc>
        <w:tc>
          <w:tcPr>
            <w:tcW w:type="dxa" w:w="1701"/>
            <w:shd w:fill="FFFFFF" w:val="clear"/>
          </w:tcPr>
          <w:p>
            <w:r>
              <w:rPr>
                <w:sz w:val="16"/>
              </w:rPr>
              <w:t>ENERGIE</w:t>
            </w:r>
          </w:p>
        </w:tc>
        <w:tc>
          <w:tcPr>
            <w:tcW w:type="dxa" w:w="1020"/>
            <w:shd w:fill="C6EFCE" w:val="clear"/>
          </w:tcPr>
          <w:p>
            <w:r>
              <w:rPr>
                <w:b/>
                <w:color w:val="007800"/>
                <w:sz w:val="16"/>
              </w:rPr>
              <w:t>14.3/100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14.3/100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15.5/100</w:t>
            </w:r>
          </w:p>
        </w:tc>
        <w:tc>
          <w:tcPr>
            <w:tcW w:type="dxa" w:w="1134"/>
            <w:shd w:fill="C6EFCE" w:val="clear"/>
          </w:tcPr>
          <w:p>
            <w:r>
              <w:rPr>
                <w:sz w:val="16"/>
              </w:rPr>
              <w:t>Faible</w:t>
            </w:r>
          </w:p>
        </w:tc>
        <w:tc>
          <w:tcPr>
            <w:tcW w:type="dxa" w:w="2381"/>
            <w:shd w:fill="FFFFFF" w:val="clear"/>
          </w:tcPr>
          <w:p>
            <w:r>
              <w:rPr>
                <w:sz w:val="16"/>
              </w:rPr>
              <w:t>📐 Bêta défensif</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38.6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Très faible</w:t>
            </w:r>
          </w:p>
        </w:tc>
        <w:tc>
          <w:tcPr>
            <w:tcW w:type="dxa" w:w="1757"/>
            <w:shd w:fill="FFFFFF" w:val="clear"/>
          </w:tcPr>
          <w:p>
            <w:r>
              <w:rPr>
                <w:sz w:val="15"/>
              </w:rPr>
              <w:t>Très divergent ❌ / Modérée</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32.8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31.9</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Instable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28.8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24.5</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FFEB9C" w:val="clear"/>
          </w:tcPr>
          <w:p>
            <w:r>
              <w:rPr>
                <w:b/>
                <w:color w:val="825A00"/>
                <w:sz w:val="15"/>
              </w:rPr>
              <w:t>23.8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20.0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C6EFCE" w:val="clear"/>
          </w:tcPr>
          <w:p>
            <w:r>
              <w:rPr>
                <w:b/>
                <w:color w:val="006400"/>
                <w:sz w:val="15"/>
              </w:rPr>
              <w:t>18.1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18.0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17.5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17.1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17.0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C6EFCE" w:val="clear"/>
          </w:tcPr>
          <w:p>
            <w:r>
              <w:rPr>
                <w:b/>
                <w:color w:val="006400"/>
                <w:sz w:val="15"/>
              </w:rPr>
              <w:t>16.3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-10.30%  |  Médiane : -6.86%</w:t>
            </w:r>
          </w:p>
        </w:tc>
      </w:tr>
      <w:tr>
        <w:tc>
          <w:tcPr>
            <w:tcW w:type="dxa" w:w="2835"/>
            <w:shd w:fill="DEEAF1" w:val="clear"/>
          </w:tcPr>
          <w:p>
            <w:r>
              <w:rPr>
                <w:b/>
                <w:sz w:val="18"/>
              </w:rPr>
              <w:t>Répartition</w:t>
            </w:r>
          </w:p>
        </w:tc>
        <w:tc>
          <w:tcPr>
            <w:tcW w:type="dxa" w:w="7370"/>
          </w:tcPr>
          <w:p>
            <w:r>
              <w:rPr>
                <w:b/>
                <w:sz w:val="18"/>
              </w:rPr>
              <w:t>📈 7 sociétés en hausse (&gt;+1%)   📉 37 en baisse (&lt;-1%)   ➡️ 3 neutres</w:t>
            </w:r>
          </w:p>
        </w:tc>
      </w:tr>
      <w:tr>
        <w:tc>
          <w:tcPr>
            <w:tcW w:type="dxa" w:w="2835"/>
            <w:shd w:fill="DEEAF1" w:val="clear"/>
          </w:tcPr>
          <w:p>
            <w:r>
              <w:rPr>
                <w:b/>
                <w:sz w:val="18"/>
              </w:rPr>
              <w:t>Confiance globale</w:t>
            </w:r>
          </w:p>
        </w:tc>
        <w:tc>
          <w:tcPr>
            <w:tcW w:type="dxa" w:w="7370"/>
          </w:tcPr>
          <w:p>
            <w:r>
              <w:rPr>
                <w:b/>
                <w:sz w:val="18"/>
              </w:rPr>
              <w:t>Élevée : 0 sociétés (0%)   Moyenne : 13   Faible : 34 (72%)   → Confiance dominante : Faible</w:t>
            </w:r>
          </w:p>
        </w:tc>
      </w:tr>
    </w:tbl>
    <w:p/>
    <w:p>
      <w:r>
        <w:rPr>
          <w:i/>
          <w:color w:val="282828"/>
          <w:sz w:val="18"/>
        </w:rPr>
        <w:t>📝 Analyse : Les modèles anticipent une correction généralisée. 37 sociétés sur 47 sont orientées à la baisse avec une variation moyenne de -10.30%.</w:t>
      </w:r>
    </w:p>
    <w:p>
      <w:r>
        <w:rPr>
          <w:i/>
          <w:color w:val="282828"/>
          <w:sz w:val="18"/>
        </w:rPr>
        <w:t>🎯 Fiabilité : ⚠️ La confiance est globalement FAIBLE (72%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3,550 FCFA</w:t>
            </w:r>
          </w:p>
        </w:tc>
        <w:tc>
          <w:tcPr>
            <w:tcW w:type="dxa" w:w="1417"/>
            <w:shd w:fill="FFFFFF" w:val="clear"/>
          </w:tcPr>
          <w:p>
            <w:r>
              <w:rPr>
                <w:sz w:val="16"/>
              </w:rPr>
              <w:t>6,375 FCFA</w:t>
            </w:r>
          </w:p>
        </w:tc>
        <w:tc>
          <w:tcPr>
            <w:tcW w:type="dxa" w:w="1134"/>
            <w:shd w:fill="C6EFCE" w:val="clear"/>
          </w:tcPr>
          <w:p>
            <w:r>
              <w:rPr>
                <w:b/>
                <w:color w:val="007800"/>
                <w:sz w:val="16"/>
              </w:rPr>
              <w:t>+79.57%</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23,550 FCFA</w:t>
            </w:r>
          </w:p>
        </w:tc>
        <w:tc>
          <w:tcPr>
            <w:tcW w:type="dxa" w:w="1417"/>
            <w:shd w:fill="FFFFFF" w:val="clear"/>
          </w:tcPr>
          <w:p>
            <w:r>
              <w:rPr>
                <w:sz w:val="16"/>
              </w:rPr>
              <w:t>27,739 FCFA</w:t>
            </w:r>
          </w:p>
        </w:tc>
        <w:tc>
          <w:tcPr>
            <w:tcW w:type="dxa" w:w="1134"/>
            <w:shd w:fill="C6EFCE" w:val="clear"/>
          </w:tcPr>
          <w:p>
            <w:r>
              <w:rPr>
                <w:b/>
                <w:color w:val="007800"/>
                <w:sz w:val="16"/>
              </w:rPr>
              <w:t>+17.79%</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54,595 FCFA</w:t>
            </w:r>
          </w:p>
        </w:tc>
        <w:tc>
          <w:tcPr>
            <w:tcW w:type="dxa" w:w="1417"/>
            <w:shd w:fill="FFFFFF" w:val="clear"/>
          </w:tcPr>
          <w:p>
            <w:r>
              <w:rPr>
                <w:sz w:val="16"/>
              </w:rPr>
              <w:t>61,236 FCFA</w:t>
            </w:r>
          </w:p>
        </w:tc>
        <w:tc>
          <w:tcPr>
            <w:tcW w:type="dxa" w:w="1134"/>
            <w:shd w:fill="C6EFCE" w:val="clear"/>
          </w:tcPr>
          <w:p>
            <w:r>
              <w:rPr>
                <w:b/>
                <w:color w:val="007800"/>
                <w:sz w:val="16"/>
              </w:rPr>
              <w:t>+12.16%</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24,980 FCFA</w:t>
            </w:r>
          </w:p>
        </w:tc>
        <w:tc>
          <w:tcPr>
            <w:tcW w:type="dxa" w:w="1417"/>
            <w:shd w:fill="FFFFFF" w:val="clear"/>
          </w:tcPr>
          <w:p>
            <w:r>
              <w:rPr>
                <w:sz w:val="16"/>
              </w:rPr>
              <w:t>27,275 FCFA</w:t>
            </w:r>
          </w:p>
        </w:tc>
        <w:tc>
          <w:tcPr>
            <w:tcW w:type="dxa" w:w="1134"/>
            <w:shd w:fill="C6EFCE" w:val="clear"/>
          </w:tcPr>
          <w:p>
            <w:r>
              <w:rPr>
                <w:b/>
                <w:color w:val="007800"/>
                <w:sz w:val="16"/>
              </w:rPr>
              <w:t>+9.19%</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2,000 FCFA</w:t>
            </w:r>
          </w:p>
        </w:tc>
        <w:tc>
          <w:tcPr>
            <w:tcW w:type="dxa" w:w="1417"/>
            <w:shd w:fill="FFFFFF" w:val="clear"/>
          </w:tcPr>
          <w:p>
            <w:r>
              <w:rPr>
                <w:sz w:val="16"/>
              </w:rPr>
              <w:t>2,085 FCFA</w:t>
            </w:r>
          </w:p>
        </w:tc>
        <w:tc>
          <w:tcPr>
            <w:tcW w:type="dxa" w:w="1134"/>
            <w:shd w:fill="C6EFCE" w:val="clear"/>
          </w:tcPr>
          <w:p>
            <w:r>
              <w:rPr>
                <w:b/>
                <w:color w:val="007800"/>
                <w:sz w:val="16"/>
              </w:rPr>
              <w:t>+4.25%</w:t>
            </w:r>
          </w:p>
        </w:tc>
        <w:tc>
          <w:tcPr>
            <w:tcW w:type="dxa" w:w="1020"/>
            <w:shd w:fill="FFEB9C" w:val="clear"/>
          </w:tcPr>
          <w:p>
            <w:r>
              <w:rPr>
                <w:sz w:val="16"/>
              </w:rPr>
              <w:t>Moyenne</w:t>
            </w:r>
          </w:p>
        </w:tc>
      </w:tr>
    </w:tbl>
    <w:p/>
    <w:p>
      <w:pPr>
        <w:pStyle w:val="ListBullet"/>
      </w:pPr>
      <w:r>
        <w:rPr>
          <w:b/>
          <w:color w:val="006400"/>
          <w:sz w:val="18"/>
        </w:rPr>
        <w:t xml:space="preserve">#1 CABC </w:t>
      </w:r>
      <w:r>
        <w:rPr>
          <w:sz w:val="17"/>
        </w:rPr>
        <w:t>(CABC - SICABLE COTE D'IVOIRE) — hausse très forte (+79.6%) — signal potentiellement excessif, à croiser avec l'analyse technique. Trajectoire : 📈 Hausse continue. Cours actuel : 3,550 FCFA → prédit J+10 : 6,375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(+17.8%) — potentiel de revalorisation notable. Trajectoire : 📈 Hausse continue. Cours actuel : 23,550 FCFA → prédit J+10 : 27,739 FCFA. ⚠️ Confiance limitée — volatilité élevée ou données insuffisantes. Résultat indicatif uniquement.</w:t>
      </w:r>
    </w:p>
    <w:p>
      <w:pPr>
        <w:pStyle w:val="ListBullet"/>
      </w:pPr>
      <w:r>
        <w:rPr>
          <w:b/>
          <w:color w:val="006400"/>
          <w:sz w:val="18"/>
        </w:rPr>
        <w:t xml:space="preserve">#3 UNLC </w:t>
      </w:r>
      <w:r>
        <w:rPr>
          <w:sz w:val="17"/>
        </w:rPr>
        <w:t>(UNLC - UNILEVER COTE D'IVOIRE) — hausse significative (+12.2%) — potentiel de revalorisation notable. Trajectoire : 📈 Hausse continue. Cours actuel : 54,595 FCFA → prédit J+10 : 61,236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modérée (+9.2%) — signal raisonnable et crédible. Trajectoire : 📈 Hausse continue. Cours actuel : 24,980 FCFA → prédit J+10 : 27,275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(+4.2%) — progression graduelle attendue. Trajectoire : 📈 Hausse continue. Cours actuel : 2,000 FCFA → prédit J+10 : 2,085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5,250 FCFA</w:t>
            </w:r>
          </w:p>
        </w:tc>
        <w:tc>
          <w:tcPr>
            <w:tcW w:type="dxa" w:w="1417"/>
            <w:shd w:fill="FFFFFF" w:val="clear"/>
          </w:tcPr>
          <w:p>
            <w:r>
              <w:rPr>
                <w:sz w:val="16"/>
              </w:rPr>
              <w:t>2,408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3,550 FCFA</w:t>
            </w:r>
          </w:p>
        </w:tc>
        <w:tc>
          <w:tcPr>
            <w:tcW w:type="dxa" w:w="1417"/>
            <w:shd w:fill="FFFFFF" w:val="clear"/>
          </w:tcPr>
          <w:p>
            <w:r>
              <w:rPr>
                <w:sz w:val="16"/>
              </w:rPr>
              <w:t>1,628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65 FCFA</w:t>
            </w:r>
          </w:p>
        </w:tc>
        <w:tc>
          <w:tcPr>
            <w:tcW w:type="dxa" w:w="1417"/>
            <w:shd w:fill="FFFFFF" w:val="clear"/>
          </w:tcPr>
          <w:p>
            <w:r>
              <w:rPr>
                <w:sz w:val="16"/>
              </w:rPr>
              <w:t>30 FCFA</w:t>
            </w:r>
          </w:p>
        </w:tc>
        <w:tc>
          <w:tcPr>
            <w:tcW w:type="dxa" w:w="1134"/>
            <w:shd w:fill="FFC7CE" w:val="clear"/>
          </w:tcPr>
          <w:p>
            <w:r>
              <w:rPr>
                <w:b/>
                <w:color w:val="B40000"/>
                <w:sz w:val="16"/>
              </w:rPr>
              <w:t>-53.97%</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STAC — STAC - SETAO COTE D'IVOIRE</w:t>
            </w:r>
          </w:p>
        </w:tc>
        <w:tc>
          <w:tcPr>
            <w:tcW w:type="dxa" w:w="1701"/>
            <w:shd w:fill="FFFFFF" w:val="clear"/>
          </w:tcPr>
          <w:p>
            <w:r>
              <w:rPr>
                <w:sz w:val="16"/>
              </w:rPr>
              <w:t>INDUSTRIELS</w:t>
            </w:r>
          </w:p>
        </w:tc>
        <w:tc>
          <w:tcPr>
            <w:tcW w:type="dxa" w:w="1417"/>
            <w:shd w:fill="FFFFFF" w:val="clear"/>
          </w:tcPr>
          <w:p>
            <w:r>
              <w:rPr>
                <w:sz w:val="16"/>
              </w:rPr>
              <w:t>2,675 FCFA</w:t>
            </w:r>
          </w:p>
        </w:tc>
        <w:tc>
          <w:tcPr>
            <w:tcW w:type="dxa" w:w="1417"/>
            <w:shd w:fill="FFFFFF" w:val="clear"/>
          </w:tcPr>
          <w:p>
            <w:r>
              <w:rPr>
                <w:sz w:val="16"/>
              </w:rPr>
              <w:t>1,597 FCFA</w:t>
            </w:r>
          </w:p>
        </w:tc>
        <w:tc>
          <w:tcPr>
            <w:tcW w:type="dxa" w:w="1134"/>
            <w:shd w:fill="FFC7CE" w:val="clear"/>
          </w:tcPr>
          <w:p>
            <w:r>
              <w:rPr>
                <w:b/>
                <w:color w:val="B40000"/>
                <w:sz w:val="16"/>
              </w:rPr>
              <w:t>-40.29%</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28,305 FCFA</w:t>
            </w:r>
          </w:p>
        </w:tc>
        <w:tc>
          <w:tcPr>
            <w:tcW w:type="dxa" w:w="1417"/>
            <w:shd w:fill="FFFFFF" w:val="clear"/>
          </w:tcPr>
          <w:p>
            <w:r>
              <w:rPr>
                <w:sz w:val="16"/>
              </w:rPr>
              <w:t>17,336 FCFA</w:t>
            </w:r>
          </w:p>
        </w:tc>
        <w:tc>
          <w:tcPr>
            <w:tcW w:type="dxa" w:w="1134"/>
            <w:shd w:fill="FFC7CE" w:val="clear"/>
          </w:tcPr>
          <w:p>
            <w:r>
              <w:rPr>
                <w:b/>
                <w:color w:val="B40000"/>
                <w:sz w:val="16"/>
              </w:rPr>
              <w:t>-38.75%</w:t>
            </w:r>
          </w:p>
        </w:tc>
        <w:tc>
          <w:tcPr>
            <w:tcW w:type="dxa" w:w="1020"/>
            <w:shd w:fill="FFC7CE" w:val="clear"/>
          </w:tcPr>
          <w:p>
            <w:r>
              <w:rPr>
                <w:sz w:val="16"/>
              </w:rPr>
              <w:t>Faible</w:t>
            </w:r>
          </w:p>
        </w:tc>
      </w:tr>
    </w:tbl>
    <w:p/>
    <w:p>
      <w:pPr>
        <w:pStyle w:val="ListBullet"/>
      </w:pPr>
      <w:r>
        <w:rPr>
          <w:b/>
          <w:color w:val="B40000"/>
          <w:sz w:val="18"/>
        </w:rPr>
        <w:t xml:space="preserve">#1 SAFC </w:t>
      </w:r>
      <w:r>
        <w:rPr>
          <w:sz w:val="17"/>
        </w:rPr>
        <w:t>(SAFCA CI) — baisse très forte (-54.1%) — amplitude potentiellement surestimée par le modèle. Trajectoire : 📉 Baisse continue. Cours actuel : 5,250 FCFA → prédit J+10 : 2,408 FCFA. ⚠️ Confiance limitée — volatilité élevée. Ne pas agir sur ce seul signal.</w:t>
      </w:r>
    </w:p>
    <w:p>
      <w:pPr>
        <w:pStyle w:val="ListBullet"/>
      </w:pPr>
      <w:r>
        <w:rPr>
          <w:b/>
          <w:color w:val="B40000"/>
          <w:sz w:val="18"/>
        </w:rPr>
        <w:t xml:space="preserve">#2 SCRC </w:t>
      </w:r>
      <w:r>
        <w:rPr>
          <w:sz w:val="17"/>
        </w:rPr>
        <w:t>(SCRC - SUCRIVOIRE) — baisse très forte (-54.1%) — amplitude potentiellement surestimée par le modèle. Trajectoire : 📉 Baisse continue. Cours actuel : 3,550 FCFA → prédit J+10 : 1,628 FCFA. ⚠️ Confiance limitée — volatilité élevée. Ne pas agir sur ce seul signal.</w:t>
      </w:r>
    </w:p>
    <w:p>
      <w:pPr>
        <w:pStyle w:val="ListBullet"/>
      </w:pPr>
      <w:r>
        <w:rPr>
          <w:b/>
          <w:color w:val="B40000"/>
          <w:sz w:val="18"/>
        </w:rPr>
        <w:t xml:space="preserve">#3 ETIT </w:t>
      </w:r>
      <w:r>
        <w:rPr>
          <w:sz w:val="17"/>
        </w:rPr>
        <w:t>(ETIT - Ecobank Transnational Incorporate) — baisse très forte (-54.0%) — amplitude potentiellement surestimée par le modèle. Trajectoire : 📉 Baisse continue. Cours actuel : 65 FCFA → prédit J+10 : 30 FCFA. ⚠️ Confiance limitée — volatilité élevée. Ne pas agir sur ce seul signal.</w:t>
      </w:r>
    </w:p>
    <w:p>
      <w:pPr>
        <w:pStyle w:val="ListBullet"/>
      </w:pPr>
      <w:r>
        <w:rPr>
          <w:b/>
          <w:color w:val="B40000"/>
          <w:sz w:val="18"/>
        </w:rPr>
        <w:t xml:space="preserve">#4 STAC </w:t>
      </w:r>
      <w:r>
        <w:rPr>
          <w:sz w:val="17"/>
        </w:rPr>
        <w:t>(STAC - SETAO COTE D'IVOIRE) — baisse très forte (-40.3%) — amplitude potentiellement surestimée par le modèle. Trajectoire : 📉 Baisse continue. Cours actuel : 2,675 FCFA → prédit J+10 : 1,597 FCFA. ⚠️ Confiance limitée — volatilité élevée. Ne pas agir sur ce seul signal.</w:t>
      </w:r>
    </w:p>
    <w:p>
      <w:pPr>
        <w:pStyle w:val="ListBullet"/>
      </w:pPr>
      <w:r>
        <w:rPr>
          <w:b/>
          <w:color w:val="B40000"/>
          <w:sz w:val="18"/>
        </w:rPr>
        <w:t xml:space="preserve">#5 CBIBF </w:t>
      </w:r>
      <w:r>
        <w:rPr>
          <w:sz w:val="17"/>
        </w:rPr>
        <w:t>(CBIBF - CORIS BANK INTERNATIONAL BURKINA) — baisse très forte (-38.8%) — amplitude potentiellement surestimée par le modèle. Trajectoire : 📉 Baisse continue. Cours actuel : 28,305 FCFA → prédit J+10 : 17,336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3,550</w:t>
            </w:r>
          </w:p>
        </w:tc>
        <w:tc>
          <w:tcPr>
            <w:tcW w:type="dxa" w:w="1417"/>
            <w:shd w:fill="FFFFFF" w:val="clear"/>
          </w:tcPr>
          <w:p>
            <w:r>
              <w:rPr>
                <w:sz w:val="16"/>
              </w:rPr>
              <w:t>6,375</w:t>
            </w:r>
          </w:p>
        </w:tc>
        <w:tc>
          <w:tcPr>
            <w:tcW w:type="dxa" w:w="1134"/>
            <w:shd w:fill="C6EFCE" w:val="clear"/>
          </w:tcPr>
          <w:p>
            <w:r>
              <w:rPr>
                <w:b/>
                <w:color w:val="007800"/>
                <w:sz w:val="16"/>
              </w:rPr>
              <w:t>+79.57%</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23,550</w:t>
            </w:r>
          </w:p>
        </w:tc>
        <w:tc>
          <w:tcPr>
            <w:tcW w:type="dxa" w:w="1417"/>
            <w:shd w:fill="FFFFFF" w:val="clear"/>
          </w:tcPr>
          <w:p>
            <w:r>
              <w:rPr>
                <w:sz w:val="16"/>
              </w:rPr>
              <w:t>27,739</w:t>
            </w:r>
          </w:p>
        </w:tc>
        <w:tc>
          <w:tcPr>
            <w:tcW w:type="dxa" w:w="1134"/>
            <w:shd w:fill="C6EFCE" w:val="clear"/>
          </w:tcPr>
          <w:p>
            <w:r>
              <w:rPr>
                <w:b/>
                <w:color w:val="007800"/>
                <w:sz w:val="16"/>
              </w:rPr>
              <w:t>+17.79%</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54,595</w:t>
            </w:r>
          </w:p>
        </w:tc>
        <w:tc>
          <w:tcPr>
            <w:tcW w:type="dxa" w:w="1417"/>
            <w:shd w:fill="FFFFFF" w:val="clear"/>
          </w:tcPr>
          <w:p>
            <w:r>
              <w:rPr>
                <w:sz w:val="16"/>
              </w:rPr>
              <w:t>61,236</w:t>
            </w:r>
          </w:p>
        </w:tc>
        <w:tc>
          <w:tcPr>
            <w:tcW w:type="dxa" w:w="1134"/>
            <w:shd w:fill="C6EFCE" w:val="clear"/>
          </w:tcPr>
          <w:p>
            <w:r>
              <w:rPr>
                <w:b/>
                <w:color w:val="007800"/>
                <w:sz w:val="16"/>
              </w:rPr>
              <w:t>+12.16%</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24,980</w:t>
            </w:r>
          </w:p>
        </w:tc>
        <w:tc>
          <w:tcPr>
            <w:tcW w:type="dxa" w:w="1417"/>
            <w:shd w:fill="FFFFFF" w:val="clear"/>
          </w:tcPr>
          <w:p>
            <w:r>
              <w:rPr>
                <w:sz w:val="16"/>
              </w:rPr>
              <w:t>27,275</w:t>
            </w:r>
          </w:p>
        </w:tc>
        <w:tc>
          <w:tcPr>
            <w:tcW w:type="dxa" w:w="1134"/>
            <w:shd w:fill="C6EFCE" w:val="clear"/>
          </w:tcPr>
          <w:p>
            <w:r>
              <w:rPr>
                <w:b/>
                <w:color w:val="007800"/>
                <w:sz w:val="16"/>
              </w:rPr>
              <w:t>+9.19%</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2,000</w:t>
            </w:r>
          </w:p>
        </w:tc>
        <w:tc>
          <w:tcPr>
            <w:tcW w:type="dxa" w:w="1417"/>
            <w:shd w:fill="FFFFFF" w:val="clear"/>
          </w:tcPr>
          <w:p>
            <w:r>
              <w:rPr>
                <w:sz w:val="16"/>
              </w:rPr>
              <w:t>2,085</w:t>
            </w:r>
          </w:p>
        </w:tc>
        <w:tc>
          <w:tcPr>
            <w:tcW w:type="dxa" w:w="1134"/>
            <w:shd w:fill="C6EFCE" w:val="clear"/>
          </w:tcPr>
          <w:p>
            <w:r>
              <w:rPr>
                <w:b/>
                <w:color w:val="007800"/>
                <w:sz w:val="16"/>
              </w:rPr>
              <w:t>+4.25%</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8,980</w:t>
            </w:r>
          </w:p>
        </w:tc>
        <w:tc>
          <w:tcPr>
            <w:tcW w:type="dxa" w:w="1417"/>
            <w:shd w:fill="FFFFFF" w:val="clear"/>
          </w:tcPr>
          <w:p>
            <w:r>
              <w:rPr>
                <w:sz w:val="16"/>
              </w:rPr>
              <w:t>9,264</w:t>
            </w:r>
          </w:p>
        </w:tc>
        <w:tc>
          <w:tcPr>
            <w:tcW w:type="dxa" w:w="1134"/>
            <w:shd w:fill="C6EFCE" w:val="clear"/>
          </w:tcPr>
          <w:p>
            <w:r>
              <w:rPr>
                <w:b/>
                <w:color w:val="007800"/>
                <w:sz w:val="16"/>
              </w:rPr>
              <w:t>+3.17%</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8,100</w:t>
            </w:r>
          </w:p>
        </w:tc>
        <w:tc>
          <w:tcPr>
            <w:tcW w:type="dxa" w:w="1417"/>
            <w:shd w:fill="FFFFFF" w:val="clear"/>
          </w:tcPr>
          <w:p>
            <w:r>
              <w:rPr>
                <w:sz w:val="16"/>
              </w:rPr>
              <w:t>8,229</w:t>
            </w:r>
          </w:p>
        </w:tc>
        <w:tc>
          <w:tcPr>
            <w:tcW w:type="dxa" w:w="1134"/>
            <w:shd w:fill="C6EFCE" w:val="clear"/>
          </w:tcPr>
          <w:p>
            <w:r>
              <w:rPr>
                <w:b/>
                <w:color w:val="007800"/>
                <w:sz w:val="16"/>
              </w:rPr>
              <w:t>+1.59%</w:t>
            </w:r>
          </w:p>
        </w:tc>
        <w:tc>
          <w:tcPr>
            <w:tcW w:type="dxa" w:w="1134"/>
            <w:shd w:fill="FFEB9C" w:val="clear"/>
          </w:tcPr>
          <w:p>
            <w:r>
              <w:rPr>
                <w:sz w:val="16"/>
              </w:rPr>
              <w:t>Moyenne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1,900</w:t>
            </w:r>
          </w:p>
        </w:tc>
        <w:tc>
          <w:tcPr>
            <w:tcW w:type="dxa" w:w="1417"/>
            <w:shd w:fill="FFFFFF" w:val="clear"/>
          </w:tcPr>
          <w:p>
            <w:r>
              <w:rPr>
                <w:sz w:val="16"/>
              </w:rPr>
              <w:t>1,904</w:t>
            </w:r>
          </w:p>
        </w:tc>
        <w:tc>
          <w:tcPr>
            <w:tcW w:type="dxa" w:w="1134"/>
            <w:shd w:fill="FFEB9C" w:val="clear"/>
          </w:tcPr>
          <w:p>
            <w:r>
              <w:rPr>
                <w:b/>
                <w:color w:val="646400"/>
                <w:sz w:val="16"/>
              </w:rPr>
              <w:t>+0.23%</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2,805</w:t>
            </w:r>
          </w:p>
        </w:tc>
        <w:tc>
          <w:tcPr>
            <w:tcW w:type="dxa" w:w="1417"/>
            <w:shd w:fill="FFFFFF" w:val="clear"/>
          </w:tcPr>
          <w:p>
            <w:r>
              <w:rPr>
                <w:sz w:val="16"/>
              </w:rPr>
              <w:t>2,790</w:t>
            </w:r>
          </w:p>
        </w:tc>
        <w:tc>
          <w:tcPr>
            <w:tcW w:type="dxa" w:w="1134"/>
            <w:shd w:fill="FFEB9C" w:val="clear"/>
          </w:tcPr>
          <w:p>
            <w:r>
              <w:rPr>
                <w:b/>
                <w:color w:val="646400"/>
                <w:sz w:val="16"/>
              </w:rPr>
              <w:t>-0.52%</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37,000</w:t>
            </w:r>
          </w:p>
        </w:tc>
        <w:tc>
          <w:tcPr>
            <w:tcW w:type="dxa" w:w="1417"/>
            <w:shd w:fill="FFFFFF" w:val="clear"/>
          </w:tcPr>
          <w:p>
            <w:r>
              <w:rPr>
                <w:sz w:val="16"/>
              </w:rPr>
              <w:t>36,725</w:t>
            </w:r>
          </w:p>
        </w:tc>
        <w:tc>
          <w:tcPr>
            <w:tcW w:type="dxa" w:w="1134"/>
            <w:shd w:fill="FFEB9C" w:val="clear"/>
          </w:tcPr>
          <w:p>
            <w:r>
              <w:rPr>
                <w:b/>
                <w:color w:val="646400"/>
                <w:sz w:val="16"/>
              </w:rPr>
              <w:t>-0.74%</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16,200</w:t>
            </w:r>
          </w:p>
        </w:tc>
        <w:tc>
          <w:tcPr>
            <w:tcW w:type="dxa" w:w="1417"/>
            <w:shd w:fill="FFFFFF" w:val="clear"/>
          </w:tcPr>
          <w:p>
            <w:r>
              <w:rPr>
                <w:sz w:val="16"/>
              </w:rPr>
              <w:t>16,000</w:t>
            </w:r>
          </w:p>
        </w:tc>
        <w:tc>
          <w:tcPr>
            <w:tcW w:type="dxa" w:w="1134"/>
            <w:shd w:fill="FFC7CE" w:val="clear"/>
          </w:tcPr>
          <w:p>
            <w:r>
              <w:rPr>
                <w:b/>
                <w:color w:val="B40000"/>
                <w:sz w:val="16"/>
              </w:rPr>
              <w:t>-1.24%</w:t>
            </w:r>
          </w:p>
        </w:tc>
        <w:tc>
          <w:tcPr>
            <w:tcW w:type="dxa" w:w="1134"/>
            <w:shd w:fill="FFEB9C" w:val="clear"/>
          </w:tcPr>
          <w:p>
            <w:r>
              <w:rPr>
                <w:sz w:val="16"/>
              </w:rPr>
              <w:t>Moyenne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3,125</w:t>
            </w:r>
          </w:p>
        </w:tc>
        <w:tc>
          <w:tcPr>
            <w:tcW w:type="dxa" w:w="1417"/>
            <w:shd w:fill="FFFFFF" w:val="clear"/>
          </w:tcPr>
          <w:p>
            <w:r>
              <w:rPr>
                <w:sz w:val="16"/>
              </w:rPr>
              <w:t>3,079</w:t>
            </w:r>
          </w:p>
        </w:tc>
        <w:tc>
          <w:tcPr>
            <w:tcW w:type="dxa" w:w="1134"/>
            <w:shd w:fill="FFC7CE" w:val="clear"/>
          </w:tcPr>
          <w:p>
            <w:r>
              <w:rPr>
                <w:b/>
                <w:color w:val="B40000"/>
                <w:sz w:val="16"/>
              </w:rPr>
              <w:t>-1.47%</w:t>
            </w:r>
          </w:p>
        </w:tc>
        <w:tc>
          <w:tcPr>
            <w:tcW w:type="dxa" w:w="1134"/>
            <w:shd w:fill="FFEB9C" w:val="clear"/>
          </w:tcPr>
          <w:p>
            <w:r>
              <w:rPr>
                <w:sz w:val="16"/>
              </w:rPr>
              <w:t>Moyenne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31,000</w:t>
            </w:r>
          </w:p>
        </w:tc>
        <w:tc>
          <w:tcPr>
            <w:tcW w:type="dxa" w:w="1417"/>
            <w:shd w:fill="FFFFFF" w:val="clear"/>
          </w:tcPr>
          <w:p>
            <w:r>
              <w:rPr>
                <w:sz w:val="16"/>
              </w:rPr>
              <w:t>30,523</w:t>
            </w:r>
          </w:p>
        </w:tc>
        <w:tc>
          <w:tcPr>
            <w:tcW w:type="dxa" w:w="1134"/>
            <w:shd w:fill="FFC7CE" w:val="clear"/>
          </w:tcPr>
          <w:p>
            <w:r>
              <w:rPr>
                <w:b/>
                <w:color w:val="B40000"/>
                <w:sz w:val="16"/>
              </w:rPr>
              <w:t>-1.54%</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2,940</w:t>
            </w:r>
          </w:p>
        </w:tc>
        <w:tc>
          <w:tcPr>
            <w:tcW w:type="dxa" w:w="1417"/>
            <w:shd w:fill="FFFFFF" w:val="clear"/>
          </w:tcPr>
          <w:p>
            <w:r>
              <w:rPr>
                <w:sz w:val="16"/>
              </w:rPr>
              <w:t>2,887</w:t>
            </w:r>
          </w:p>
        </w:tc>
        <w:tc>
          <w:tcPr>
            <w:tcW w:type="dxa" w:w="1134"/>
            <w:shd w:fill="FFC7CE" w:val="clear"/>
          </w:tcPr>
          <w:p>
            <w:r>
              <w:rPr>
                <w:b/>
                <w:color w:val="B40000"/>
                <w:sz w:val="16"/>
              </w:rPr>
              <w:t>-1.81%</w:t>
            </w:r>
          </w:p>
        </w:tc>
        <w:tc>
          <w:tcPr>
            <w:tcW w:type="dxa" w:w="1134"/>
            <w:shd w:fill="FFEB9C" w:val="clear"/>
          </w:tcPr>
          <w:p>
            <w:r>
              <w:rPr>
                <w:sz w:val="16"/>
              </w:rPr>
              <w:t>Moyenne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7,600</w:t>
            </w:r>
          </w:p>
        </w:tc>
        <w:tc>
          <w:tcPr>
            <w:tcW w:type="dxa" w:w="1417"/>
            <w:shd w:fill="FFFFFF" w:val="clear"/>
          </w:tcPr>
          <w:p>
            <w:r>
              <w:rPr>
                <w:sz w:val="16"/>
              </w:rPr>
              <w:t>7,442</w:t>
            </w:r>
          </w:p>
        </w:tc>
        <w:tc>
          <w:tcPr>
            <w:tcW w:type="dxa" w:w="1134"/>
            <w:shd w:fill="FFC7CE" w:val="clear"/>
          </w:tcPr>
          <w:p>
            <w:r>
              <w:rPr>
                <w:b/>
                <w:color w:val="B40000"/>
                <w:sz w:val="16"/>
              </w:rPr>
              <w:t>-2.07%</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17,175</w:t>
            </w:r>
          </w:p>
        </w:tc>
        <w:tc>
          <w:tcPr>
            <w:tcW w:type="dxa" w:w="1417"/>
            <w:shd w:fill="FFFFFF" w:val="clear"/>
          </w:tcPr>
          <w:p>
            <w:r>
              <w:rPr>
                <w:sz w:val="16"/>
              </w:rPr>
              <w:t>16,743</w:t>
            </w:r>
          </w:p>
        </w:tc>
        <w:tc>
          <w:tcPr>
            <w:tcW w:type="dxa" w:w="1134"/>
            <w:shd w:fill="FFC7CE" w:val="clear"/>
          </w:tcPr>
          <w:p>
            <w:r>
              <w:rPr>
                <w:b/>
                <w:color w:val="B40000"/>
                <w:sz w:val="16"/>
              </w:rPr>
              <w:t>-2.51%</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38,000</w:t>
            </w:r>
          </w:p>
        </w:tc>
        <w:tc>
          <w:tcPr>
            <w:tcW w:type="dxa" w:w="1417"/>
            <w:shd w:fill="FFFFFF" w:val="clear"/>
          </w:tcPr>
          <w:p>
            <w:r>
              <w:rPr>
                <w:sz w:val="16"/>
              </w:rPr>
              <w:t>37,036</w:t>
            </w:r>
          </w:p>
        </w:tc>
        <w:tc>
          <w:tcPr>
            <w:tcW w:type="dxa" w:w="1134"/>
            <w:shd w:fill="FFC7CE" w:val="clear"/>
          </w:tcPr>
          <w:p>
            <w:r>
              <w:rPr>
                <w:b/>
                <w:color w:val="B40000"/>
                <w:sz w:val="16"/>
              </w:rPr>
              <w:t>-2.54%</w:t>
            </w:r>
          </w:p>
        </w:tc>
        <w:tc>
          <w:tcPr>
            <w:tcW w:type="dxa" w:w="1134"/>
            <w:shd w:fill="FFEB9C" w:val="clear"/>
          </w:tcPr>
          <w:p>
            <w:r>
              <w:rPr>
                <w:sz w:val="16"/>
              </w:rPr>
              <w:t>Moyenne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5,200</w:t>
            </w:r>
          </w:p>
        </w:tc>
        <w:tc>
          <w:tcPr>
            <w:tcW w:type="dxa" w:w="1417"/>
            <w:shd w:fill="FFFFFF" w:val="clear"/>
          </w:tcPr>
          <w:p>
            <w:r>
              <w:rPr>
                <w:sz w:val="16"/>
              </w:rPr>
              <w:t>5,051</w:t>
            </w:r>
          </w:p>
        </w:tc>
        <w:tc>
          <w:tcPr>
            <w:tcW w:type="dxa" w:w="1134"/>
            <w:shd w:fill="FFC7CE" w:val="clear"/>
          </w:tcPr>
          <w:p>
            <w:r>
              <w:rPr>
                <w:b/>
                <w:color w:val="B40000"/>
                <w:sz w:val="16"/>
              </w:rPr>
              <w:t>-2.87%</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16,595</w:t>
            </w:r>
          </w:p>
        </w:tc>
        <w:tc>
          <w:tcPr>
            <w:tcW w:type="dxa" w:w="1417"/>
            <w:shd w:fill="FFFFFF" w:val="clear"/>
          </w:tcPr>
          <w:p>
            <w:r>
              <w:rPr>
                <w:sz w:val="16"/>
              </w:rPr>
              <w:t>16,034</w:t>
            </w:r>
          </w:p>
        </w:tc>
        <w:tc>
          <w:tcPr>
            <w:tcW w:type="dxa" w:w="1134"/>
            <w:shd w:fill="FFC7CE" w:val="clear"/>
          </w:tcPr>
          <w:p>
            <w:r>
              <w:rPr>
                <w:b/>
                <w:color w:val="B40000"/>
                <w:sz w:val="16"/>
              </w:rPr>
              <w:t>-3.38%</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16,550</w:t>
            </w:r>
          </w:p>
        </w:tc>
        <w:tc>
          <w:tcPr>
            <w:tcW w:type="dxa" w:w="1417"/>
            <w:shd w:fill="FFFFFF" w:val="clear"/>
          </w:tcPr>
          <w:p>
            <w:r>
              <w:rPr>
                <w:sz w:val="16"/>
              </w:rPr>
              <w:t>15,721</w:t>
            </w:r>
          </w:p>
        </w:tc>
        <w:tc>
          <w:tcPr>
            <w:tcW w:type="dxa" w:w="1134"/>
            <w:shd w:fill="FFC7CE" w:val="clear"/>
          </w:tcPr>
          <w:p>
            <w:r>
              <w:rPr>
                <w:b/>
                <w:color w:val="B40000"/>
                <w:sz w:val="16"/>
              </w:rPr>
              <w:t>-5.01%</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4,480</w:t>
            </w:r>
          </w:p>
        </w:tc>
        <w:tc>
          <w:tcPr>
            <w:tcW w:type="dxa" w:w="1417"/>
            <w:shd w:fill="FFFFFF" w:val="clear"/>
          </w:tcPr>
          <w:p>
            <w:r>
              <w:rPr>
                <w:sz w:val="16"/>
              </w:rPr>
              <w:t>4,253</w:t>
            </w:r>
          </w:p>
        </w:tc>
        <w:tc>
          <w:tcPr>
            <w:tcW w:type="dxa" w:w="1134"/>
            <w:shd w:fill="FFC7CE" w:val="clear"/>
          </w:tcPr>
          <w:p>
            <w:r>
              <w:rPr>
                <w:b/>
                <w:color w:val="B40000"/>
                <w:sz w:val="16"/>
              </w:rPr>
              <w:t>-5.07%</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1,900</w:t>
            </w:r>
          </w:p>
        </w:tc>
        <w:tc>
          <w:tcPr>
            <w:tcW w:type="dxa" w:w="1417"/>
            <w:shd w:fill="FFFFFF" w:val="clear"/>
          </w:tcPr>
          <w:p>
            <w:r>
              <w:rPr>
                <w:sz w:val="16"/>
              </w:rPr>
              <w:t>1,798</w:t>
            </w:r>
          </w:p>
        </w:tc>
        <w:tc>
          <w:tcPr>
            <w:tcW w:type="dxa" w:w="1134"/>
            <w:shd w:fill="FFC7CE" w:val="clear"/>
          </w:tcPr>
          <w:p>
            <w:r>
              <w:rPr>
                <w:b/>
                <w:color w:val="B40000"/>
                <w:sz w:val="16"/>
              </w:rPr>
              <w:t>-5.38%</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2,530</w:t>
            </w:r>
          </w:p>
        </w:tc>
        <w:tc>
          <w:tcPr>
            <w:tcW w:type="dxa" w:w="1417"/>
            <w:shd w:fill="FFFFFF" w:val="clear"/>
          </w:tcPr>
          <w:p>
            <w:r>
              <w:rPr>
                <w:sz w:val="16"/>
              </w:rPr>
              <w:t>2,385</w:t>
            </w:r>
          </w:p>
        </w:tc>
        <w:tc>
          <w:tcPr>
            <w:tcW w:type="dxa" w:w="1134"/>
            <w:shd w:fill="FFC7CE" w:val="clear"/>
          </w:tcPr>
          <w:p>
            <w:r>
              <w:rPr>
                <w:b/>
                <w:color w:val="B40000"/>
                <w:sz w:val="16"/>
              </w:rPr>
              <w:t>-5.72%</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4,300</w:t>
            </w:r>
          </w:p>
        </w:tc>
        <w:tc>
          <w:tcPr>
            <w:tcW w:type="dxa" w:w="1417"/>
            <w:shd w:fill="FFFFFF" w:val="clear"/>
          </w:tcPr>
          <w:p>
            <w:r>
              <w:rPr>
                <w:sz w:val="16"/>
              </w:rPr>
              <w:t>4,005</w:t>
            </w:r>
          </w:p>
        </w:tc>
        <w:tc>
          <w:tcPr>
            <w:tcW w:type="dxa" w:w="1134"/>
            <w:shd w:fill="FFC7CE" w:val="clear"/>
          </w:tcPr>
          <w:p>
            <w:r>
              <w:rPr>
                <w:b/>
                <w:color w:val="B40000"/>
                <w:sz w:val="16"/>
              </w:rPr>
              <w:t>-6.86%</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1,445</w:t>
            </w:r>
          </w:p>
        </w:tc>
        <w:tc>
          <w:tcPr>
            <w:tcW w:type="dxa" w:w="1417"/>
            <w:shd w:fill="FFFFFF" w:val="clear"/>
          </w:tcPr>
          <w:p>
            <w:r>
              <w:rPr>
                <w:sz w:val="16"/>
              </w:rPr>
              <w:t>1,310</w:t>
            </w:r>
          </w:p>
        </w:tc>
        <w:tc>
          <w:tcPr>
            <w:tcW w:type="dxa" w:w="1134"/>
            <w:shd w:fill="FFC7CE" w:val="clear"/>
          </w:tcPr>
          <w:p>
            <w:r>
              <w:rPr>
                <w:b/>
                <w:color w:val="B40000"/>
                <w:sz w:val="16"/>
              </w:rPr>
              <w:t>-9.36%</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3,500</w:t>
            </w:r>
          </w:p>
        </w:tc>
        <w:tc>
          <w:tcPr>
            <w:tcW w:type="dxa" w:w="1417"/>
            <w:shd w:fill="FFFFFF" w:val="clear"/>
          </w:tcPr>
          <w:p>
            <w:r>
              <w:rPr>
                <w:sz w:val="16"/>
              </w:rPr>
              <w:t>3,157</w:t>
            </w:r>
          </w:p>
        </w:tc>
        <w:tc>
          <w:tcPr>
            <w:tcW w:type="dxa" w:w="1134"/>
            <w:shd w:fill="FFC7CE" w:val="clear"/>
          </w:tcPr>
          <w:p>
            <w:r>
              <w:rPr>
                <w:b/>
                <w:color w:val="B40000"/>
                <w:sz w:val="16"/>
              </w:rPr>
              <w:t>-9.80%</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29,100</w:t>
            </w:r>
          </w:p>
        </w:tc>
        <w:tc>
          <w:tcPr>
            <w:tcW w:type="dxa" w:w="1417"/>
            <w:shd w:fill="FFFFFF" w:val="clear"/>
          </w:tcPr>
          <w:p>
            <w:r>
              <w:rPr>
                <w:sz w:val="16"/>
              </w:rPr>
              <w:t>26,196</w:t>
            </w:r>
          </w:p>
        </w:tc>
        <w:tc>
          <w:tcPr>
            <w:tcW w:type="dxa" w:w="1134"/>
            <w:shd w:fill="FFC7CE" w:val="clear"/>
          </w:tcPr>
          <w:p>
            <w:r>
              <w:rPr>
                <w:b/>
                <w:color w:val="B40000"/>
                <w:sz w:val="16"/>
              </w:rPr>
              <w:t>-9.98%</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7,230</w:t>
            </w:r>
          </w:p>
        </w:tc>
        <w:tc>
          <w:tcPr>
            <w:tcW w:type="dxa" w:w="1417"/>
            <w:shd w:fill="FFFFFF" w:val="clear"/>
          </w:tcPr>
          <w:p>
            <w:r>
              <w:rPr>
                <w:sz w:val="16"/>
              </w:rPr>
              <w:t>6,499</w:t>
            </w:r>
          </w:p>
        </w:tc>
        <w:tc>
          <w:tcPr>
            <w:tcW w:type="dxa" w:w="1134"/>
            <w:shd w:fill="FFC7CE" w:val="clear"/>
          </w:tcPr>
          <w:p>
            <w:r>
              <w:rPr>
                <w:b/>
                <w:color w:val="B40000"/>
                <w:sz w:val="16"/>
              </w:rPr>
              <w:t>-10.11%</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5,590</w:t>
            </w:r>
          </w:p>
        </w:tc>
        <w:tc>
          <w:tcPr>
            <w:tcW w:type="dxa" w:w="1417"/>
            <w:shd w:fill="FFFFFF" w:val="clear"/>
          </w:tcPr>
          <w:p>
            <w:r>
              <w:rPr>
                <w:sz w:val="16"/>
              </w:rPr>
              <w:t>5,012</w:t>
            </w:r>
          </w:p>
        </w:tc>
        <w:tc>
          <w:tcPr>
            <w:tcW w:type="dxa" w:w="1134"/>
            <w:shd w:fill="FFC7CE" w:val="clear"/>
          </w:tcPr>
          <w:p>
            <w:r>
              <w:rPr>
                <w:b/>
                <w:color w:val="B40000"/>
                <w:sz w:val="16"/>
              </w:rPr>
              <w:t>-10.34%</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11,900</w:t>
            </w:r>
          </w:p>
        </w:tc>
        <w:tc>
          <w:tcPr>
            <w:tcW w:type="dxa" w:w="1417"/>
            <w:shd w:fill="FFFFFF" w:val="clear"/>
          </w:tcPr>
          <w:p>
            <w:r>
              <w:rPr>
                <w:sz w:val="16"/>
              </w:rPr>
              <w:t>10,664</w:t>
            </w:r>
          </w:p>
        </w:tc>
        <w:tc>
          <w:tcPr>
            <w:tcW w:type="dxa" w:w="1134"/>
            <w:shd w:fill="FFC7CE" w:val="clear"/>
          </w:tcPr>
          <w:p>
            <w:r>
              <w:rPr>
                <w:b/>
                <w:color w:val="B40000"/>
                <w:sz w:val="16"/>
              </w:rPr>
              <w:t>-10.39%</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3,010</w:t>
            </w:r>
          </w:p>
        </w:tc>
        <w:tc>
          <w:tcPr>
            <w:tcW w:type="dxa" w:w="1417"/>
            <w:shd w:fill="FFFFFF" w:val="clear"/>
          </w:tcPr>
          <w:p>
            <w:r>
              <w:rPr>
                <w:sz w:val="16"/>
              </w:rPr>
              <w:t>2,672</w:t>
            </w:r>
          </w:p>
        </w:tc>
        <w:tc>
          <w:tcPr>
            <w:tcW w:type="dxa" w:w="1134"/>
            <w:shd w:fill="FFC7CE" w:val="clear"/>
          </w:tcPr>
          <w:p>
            <w:r>
              <w:rPr>
                <w:b/>
                <w:color w:val="B40000"/>
                <w:sz w:val="16"/>
              </w:rPr>
              <w:t>-11.23%</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8,710</w:t>
            </w:r>
          </w:p>
        </w:tc>
        <w:tc>
          <w:tcPr>
            <w:tcW w:type="dxa" w:w="1417"/>
            <w:shd w:fill="FFFFFF" w:val="clear"/>
          </w:tcPr>
          <w:p>
            <w:r>
              <w:rPr>
                <w:sz w:val="16"/>
              </w:rPr>
              <w:t>7,705</w:t>
            </w:r>
          </w:p>
        </w:tc>
        <w:tc>
          <w:tcPr>
            <w:tcW w:type="dxa" w:w="1134"/>
            <w:shd w:fill="FFC7CE" w:val="clear"/>
          </w:tcPr>
          <w:p>
            <w:r>
              <w:rPr>
                <w:b/>
                <w:color w:val="B40000"/>
                <w:sz w:val="16"/>
              </w:rPr>
              <w:t>-11.54%</w:t>
            </w:r>
          </w:p>
        </w:tc>
        <w:tc>
          <w:tcPr>
            <w:tcW w:type="dxa" w:w="1134"/>
            <w:shd w:fill="FFEB9C" w:val="clear"/>
          </w:tcPr>
          <w:p>
            <w:r>
              <w:rPr>
                <w:sz w:val="16"/>
              </w:rPr>
              <w:t>Moyenne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7,085</w:t>
            </w:r>
          </w:p>
        </w:tc>
        <w:tc>
          <w:tcPr>
            <w:tcW w:type="dxa" w:w="1417"/>
            <w:shd w:fill="FFFFFF" w:val="clear"/>
          </w:tcPr>
          <w:p>
            <w:r>
              <w:rPr>
                <w:sz w:val="16"/>
              </w:rPr>
              <w:t>6,215</w:t>
            </w:r>
          </w:p>
        </w:tc>
        <w:tc>
          <w:tcPr>
            <w:tcW w:type="dxa" w:w="1134"/>
            <w:shd w:fill="FFC7CE" w:val="clear"/>
          </w:tcPr>
          <w:p>
            <w:r>
              <w:rPr>
                <w:b/>
                <w:color w:val="B40000"/>
                <w:sz w:val="16"/>
              </w:rPr>
              <w:t>-12.29%</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7,710</w:t>
            </w:r>
          </w:p>
        </w:tc>
        <w:tc>
          <w:tcPr>
            <w:tcW w:type="dxa" w:w="1417"/>
            <w:shd w:fill="FFFFFF" w:val="clear"/>
          </w:tcPr>
          <w:p>
            <w:r>
              <w:rPr>
                <w:sz w:val="16"/>
              </w:rPr>
              <w:t>6,710</w:t>
            </w:r>
          </w:p>
        </w:tc>
        <w:tc>
          <w:tcPr>
            <w:tcW w:type="dxa" w:w="1134"/>
            <w:shd w:fill="FFC7CE" w:val="clear"/>
          </w:tcPr>
          <w:p>
            <w:r>
              <w:rPr>
                <w:b/>
                <w:color w:val="B40000"/>
                <w:sz w:val="16"/>
              </w:rPr>
              <w:t>-12.97%</w:t>
            </w:r>
          </w:p>
        </w:tc>
        <w:tc>
          <w:tcPr>
            <w:tcW w:type="dxa" w:w="1134"/>
            <w:shd w:fill="FFEB9C" w:val="clear"/>
          </w:tcPr>
          <w:p>
            <w:r>
              <w:rPr>
                <w:sz w:val="16"/>
              </w:rPr>
              <w:t>Moyenne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1,700</w:t>
            </w:r>
          </w:p>
        </w:tc>
        <w:tc>
          <w:tcPr>
            <w:tcW w:type="dxa" w:w="1417"/>
            <w:shd w:fill="FFFFFF" w:val="clear"/>
          </w:tcPr>
          <w:p>
            <w:r>
              <w:rPr>
                <w:sz w:val="16"/>
              </w:rPr>
              <w:t>1,450</w:t>
            </w:r>
          </w:p>
        </w:tc>
        <w:tc>
          <w:tcPr>
            <w:tcW w:type="dxa" w:w="1134"/>
            <w:shd w:fill="FFC7CE" w:val="clear"/>
          </w:tcPr>
          <w:p>
            <w:r>
              <w:rPr>
                <w:b/>
                <w:color w:val="B40000"/>
                <w:sz w:val="16"/>
              </w:rPr>
              <w:t>-14.68%</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2,125</w:t>
            </w:r>
          </w:p>
        </w:tc>
        <w:tc>
          <w:tcPr>
            <w:tcW w:type="dxa" w:w="1417"/>
            <w:shd w:fill="FFFFFF" w:val="clear"/>
          </w:tcPr>
          <w:p>
            <w:r>
              <w:rPr>
                <w:sz w:val="16"/>
              </w:rPr>
              <w:t>1,666</w:t>
            </w:r>
          </w:p>
        </w:tc>
        <w:tc>
          <w:tcPr>
            <w:tcW w:type="dxa" w:w="1134"/>
            <w:shd w:fill="FFC7CE" w:val="clear"/>
          </w:tcPr>
          <w:p>
            <w:r>
              <w:rPr>
                <w:b/>
                <w:color w:val="B40000"/>
                <w:sz w:val="16"/>
              </w:rPr>
              <w:t>-21.62%</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9,300</w:t>
            </w:r>
          </w:p>
        </w:tc>
        <w:tc>
          <w:tcPr>
            <w:tcW w:type="dxa" w:w="1417"/>
            <w:shd w:fill="FFFFFF" w:val="clear"/>
          </w:tcPr>
          <w:p>
            <w:r>
              <w:rPr>
                <w:sz w:val="16"/>
              </w:rPr>
              <w:t>7,226</w:t>
            </w:r>
          </w:p>
        </w:tc>
        <w:tc>
          <w:tcPr>
            <w:tcW w:type="dxa" w:w="1134"/>
            <w:shd w:fill="FFC7CE" w:val="clear"/>
          </w:tcPr>
          <w:p>
            <w:r>
              <w:rPr>
                <w:b/>
                <w:color w:val="B40000"/>
                <w:sz w:val="16"/>
              </w:rPr>
              <w:t>-22.30%</w:t>
            </w:r>
          </w:p>
        </w:tc>
        <w:tc>
          <w:tcPr>
            <w:tcW w:type="dxa" w:w="1134"/>
            <w:shd w:fill="FFEB9C" w:val="clear"/>
          </w:tcPr>
          <w:p>
            <w:r>
              <w:rPr>
                <w:sz w:val="16"/>
              </w:rPr>
              <w:t>Moyenne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11,600</w:t>
            </w:r>
          </w:p>
        </w:tc>
        <w:tc>
          <w:tcPr>
            <w:tcW w:type="dxa" w:w="1417"/>
            <w:shd w:fill="FFFFFF" w:val="clear"/>
          </w:tcPr>
          <w:p>
            <w:r>
              <w:rPr>
                <w:sz w:val="16"/>
              </w:rPr>
              <w:t>8,583</w:t>
            </w:r>
          </w:p>
        </w:tc>
        <w:tc>
          <w:tcPr>
            <w:tcW w:type="dxa" w:w="1134"/>
            <w:shd w:fill="FFC7CE" w:val="clear"/>
          </w:tcPr>
          <w:p>
            <w:r>
              <w:rPr>
                <w:b/>
                <w:color w:val="B40000"/>
                <w:sz w:val="16"/>
              </w:rPr>
              <w:t>-26.01%</w:t>
            </w:r>
          </w:p>
        </w:tc>
        <w:tc>
          <w:tcPr>
            <w:tcW w:type="dxa" w:w="1134"/>
            <w:shd w:fill="FFEB9C" w:val="clear"/>
          </w:tcPr>
          <w:p>
            <w:r>
              <w:rPr>
                <w:sz w:val="16"/>
              </w:rPr>
              <w:t>Moyenne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2,290</w:t>
            </w:r>
          </w:p>
        </w:tc>
        <w:tc>
          <w:tcPr>
            <w:tcW w:type="dxa" w:w="1417"/>
            <w:shd w:fill="FFFFFF" w:val="clear"/>
          </w:tcPr>
          <w:p>
            <w:r>
              <w:rPr>
                <w:sz w:val="16"/>
              </w:rPr>
              <w:t>1,656</w:t>
            </w:r>
          </w:p>
        </w:tc>
        <w:tc>
          <w:tcPr>
            <w:tcW w:type="dxa" w:w="1134"/>
            <w:shd w:fill="FFC7CE" w:val="clear"/>
          </w:tcPr>
          <w:p>
            <w:r>
              <w:rPr>
                <w:b/>
                <w:color w:val="B40000"/>
                <w:sz w:val="16"/>
              </w:rPr>
              <w:t>-27.69%</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7,595</w:t>
            </w:r>
          </w:p>
        </w:tc>
        <w:tc>
          <w:tcPr>
            <w:tcW w:type="dxa" w:w="1417"/>
            <w:shd w:fill="FFFFFF" w:val="clear"/>
          </w:tcPr>
          <w:p>
            <w:r>
              <w:rPr>
                <w:sz w:val="16"/>
              </w:rPr>
              <w:t>5,410</w:t>
            </w:r>
          </w:p>
        </w:tc>
        <w:tc>
          <w:tcPr>
            <w:tcW w:type="dxa" w:w="1134"/>
            <w:shd w:fill="FFC7CE" w:val="clear"/>
          </w:tcPr>
          <w:p>
            <w:r>
              <w:rPr>
                <w:b/>
                <w:color w:val="B40000"/>
                <w:sz w:val="16"/>
              </w:rPr>
              <w:t>-28.77%</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2,115</w:t>
            </w:r>
          </w:p>
        </w:tc>
        <w:tc>
          <w:tcPr>
            <w:tcW w:type="dxa" w:w="1417"/>
            <w:shd w:fill="FFFFFF" w:val="clear"/>
          </w:tcPr>
          <w:p>
            <w:r>
              <w:rPr>
                <w:sz w:val="16"/>
              </w:rPr>
              <w:t>1,350</w:t>
            </w:r>
          </w:p>
        </w:tc>
        <w:tc>
          <w:tcPr>
            <w:tcW w:type="dxa" w:w="1134"/>
            <w:shd w:fill="FFC7CE" w:val="clear"/>
          </w:tcPr>
          <w:p>
            <w:r>
              <w:rPr>
                <w:b/>
                <w:color w:val="B40000"/>
                <w:sz w:val="16"/>
              </w:rPr>
              <w:t>-36.18%</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5,020</w:t>
            </w:r>
          </w:p>
        </w:tc>
        <w:tc>
          <w:tcPr>
            <w:tcW w:type="dxa" w:w="1417"/>
            <w:shd w:fill="FFFFFF" w:val="clear"/>
          </w:tcPr>
          <w:p>
            <w:r>
              <w:rPr>
                <w:sz w:val="16"/>
              </w:rPr>
              <w:t>3,166</w:t>
            </w:r>
          </w:p>
        </w:tc>
        <w:tc>
          <w:tcPr>
            <w:tcW w:type="dxa" w:w="1134"/>
            <w:shd w:fill="FFC7CE" w:val="clear"/>
          </w:tcPr>
          <w:p>
            <w:r>
              <w:rPr>
                <w:b/>
                <w:color w:val="B40000"/>
                <w:sz w:val="16"/>
              </w:rPr>
              <w:t>-36.94%</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28,305</w:t>
            </w:r>
          </w:p>
        </w:tc>
        <w:tc>
          <w:tcPr>
            <w:tcW w:type="dxa" w:w="1417"/>
            <w:shd w:fill="FFFFFF" w:val="clear"/>
          </w:tcPr>
          <w:p>
            <w:r>
              <w:rPr>
                <w:sz w:val="16"/>
              </w:rPr>
              <w:t>17,336</w:t>
            </w:r>
          </w:p>
        </w:tc>
        <w:tc>
          <w:tcPr>
            <w:tcW w:type="dxa" w:w="1134"/>
            <w:shd w:fill="FFC7CE" w:val="clear"/>
          </w:tcPr>
          <w:p>
            <w:r>
              <w:rPr>
                <w:b/>
                <w:color w:val="B40000"/>
                <w:sz w:val="16"/>
              </w:rPr>
              <w:t>-38.75%</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2,675</w:t>
            </w:r>
          </w:p>
        </w:tc>
        <w:tc>
          <w:tcPr>
            <w:tcW w:type="dxa" w:w="1417"/>
            <w:shd w:fill="FFFFFF" w:val="clear"/>
          </w:tcPr>
          <w:p>
            <w:r>
              <w:rPr>
                <w:sz w:val="16"/>
              </w:rPr>
              <w:t>1,597</w:t>
            </w:r>
          </w:p>
        </w:tc>
        <w:tc>
          <w:tcPr>
            <w:tcW w:type="dxa" w:w="1134"/>
            <w:shd w:fill="FFC7CE" w:val="clear"/>
          </w:tcPr>
          <w:p>
            <w:r>
              <w:rPr>
                <w:b/>
                <w:color w:val="B40000"/>
                <w:sz w:val="16"/>
              </w:rPr>
              <w:t>-40.29%</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65</w:t>
            </w:r>
          </w:p>
        </w:tc>
        <w:tc>
          <w:tcPr>
            <w:tcW w:type="dxa" w:w="1417"/>
            <w:shd w:fill="FFFFFF" w:val="clear"/>
          </w:tcPr>
          <w:p>
            <w:r>
              <w:rPr>
                <w:sz w:val="16"/>
              </w:rPr>
              <w:t>30</w:t>
            </w:r>
          </w:p>
        </w:tc>
        <w:tc>
          <w:tcPr>
            <w:tcW w:type="dxa" w:w="1134"/>
            <w:shd w:fill="FFC7CE" w:val="clear"/>
          </w:tcPr>
          <w:p>
            <w:r>
              <w:rPr>
                <w:b/>
                <w:color w:val="B40000"/>
                <w:sz w:val="16"/>
              </w:rPr>
              <w:t>-53.97%</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3,550</w:t>
            </w:r>
          </w:p>
        </w:tc>
        <w:tc>
          <w:tcPr>
            <w:tcW w:type="dxa" w:w="1417"/>
            <w:shd w:fill="FFFFFF" w:val="clear"/>
          </w:tcPr>
          <w:p>
            <w:r>
              <w:rPr>
                <w:sz w:val="16"/>
              </w:rPr>
              <w:t>1,628</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5,250</w:t>
            </w:r>
          </w:p>
        </w:tc>
        <w:tc>
          <w:tcPr>
            <w:tcW w:type="dxa" w:w="1417"/>
            <w:shd w:fill="FFFFFF" w:val="clear"/>
          </w:tcPr>
          <w:p>
            <w:r>
              <w:rPr>
                <w:sz w:val="16"/>
              </w:rPr>
              <w:t>2,408</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32.85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3,334 titres</w:t>
            </w:r>
          </w:p>
        </w:tc>
        <w:tc>
          <w:tcPr>
            <w:tcW w:type="dxa" w:w="2268"/>
            <w:shd w:fill="FFF2CC" w:val="clear"/>
          </w:tcPr>
          <w:p>
            <w:r>
              <w:rPr>
                <w:b/>
                <w:color w:val="503200"/>
                <w:sz w:val="16"/>
              </w:rPr>
              <w:t xml:space="preserve">Cours actuel : </w:t>
            </w:r>
            <w:r>
              <w:rPr>
                <w:color w:val="000000"/>
                <w:sz w:val="17"/>
              </w:rPr>
              <w:t>3,010 FCFA</w:t>
            </w:r>
          </w:p>
          <w:p>
            <w:r>
              <w:rPr>
                <w:b/>
                <w:color w:val="503200"/>
                <w:sz w:val="16"/>
              </w:rPr>
              <w:t xml:space="preserve">Var. 100 jours : </w:t>
            </w:r>
            <w:r>
              <w:rPr>
                <w:b/>
                <w:color w:val="B40000"/>
                <w:sz w:val="17"/>
              </w:rPr>
              <w:t>-11.47%</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54.3%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20.0/100 → Moyen</w:t>
      </w:r>
    </w:p>
    <w:p>
      <w:pPr>
        <w:spacing w:before="40" w:after="80"/>
      </w:pPr>
      <w:r>
        <w:rPr>
          <w:rFonts w:ascii="Courier New" w:hAnsi="Courier New"/>
          <w:color w:val="825A00"/>
          <w:sz w:val="18"/>
        </w:rPr>
        <w:t>████░░░░░░░░░░░░░░░░  20.0/100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7.45% (Moyenne) — μ=3,226 FCFA, σ=240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β=-0.7358 (Contre-cyclique) — Cov=-0.000027, Var(idx)=0.000036, ρ=-0.127,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3,334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σ_j=3.42%/j (Modérée) — Vol. annualisée≈54.3%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2,778</w:t>
            </w:r>
          </w:p>
        </w:tc>
        <w:tc>
          <w:tcPr>
            <w:tcW w:type="dxa" w:w="1440"/>
            <w:shd w:fill="FFDCE0" w:val="clear"/>
          </w:tcPr>
          <w:p>
            <w:r>
              <w:rPr>
                <w:b/>
                <w:sz w:val="17"/>
              </w:rPr>
              <w:t>2,910</w:t>
            </w:r>
          </w:p>
        </w:tc>
        <w:tc>
          <w:tcPr>
            <w:tcW w:type="dxa" w:w="1440"/>
            <w:shd w:fill="FFDCE0" w:val="clear"/>
          </w:tcPr>
          <w:p>
            <w:r>
              <w:rPr>
                <w:sz w:val="17"/>
              </w:rPr>
              <w:t>3,042</w:t>
            </w:r>
          </w:p>
        </w:tc>
        <w:tc>
          <w:tcPr>
            <w:tcW w:type="dxa" w:w="1440"/>
            <w:shd w:fill="FFDCE0" w:val="clear"/>
          </w:tcPr>
          <w:p>
            <w:r>
              <w:rPr>
                <w:b/>
                <w:color w:val="C00000"/>
                <w:sz w:val="17"/>
              </w:rPr>
              <w:t>-3.3%</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2,710</w:t>
            </w:r>
          </w:p>
        </w:tc>
        <w:tc>
          <w:tcPr>
            <w:tcW w:type="dxa" w:w="1440"/>
            <w:shd w:fill="FFDCE0" w:val="clear"/>
          </w:tcPr>
          <w:p>
            <w:r>
              <w:rPr>
                <w:b/>
                <w:sz w:val="17"/>
              </w:rPr>
              <w:t>2,895</w:t>
            </w:r>
          </w:p>
        </w:tc>
        <w:tc>
          <w:tcPr>
            <w:tcW w:type="dxa" w:w="1440"/>
            <w:shd w:fill="FFDCE0" w:val="clear"/>
          </w:tcPr>
          <w:p>
            <w:r>
              <w:rPr>
                <w:sz w:val="17"/>
              </w:rPr>
              <w:t>3,080</w:t>
            </w:r>
          </w:p>
        </w:tc>
        <w:tc>
          <w:tcPr>
            <w:tcW w:type="dxa" w:w="1440"/>
            <w:shd w:fill="FFDCE0" w:val="clear"/>
          </w:tcPr>
          <w:p>
            <w:r>
              <w:rPr>
                <w:b/>
                <w:color w:val="C00000"/>
                <w:sz w:val="17"/>
              </w:rPr>
              <w:t>-3.8%</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2,636</w:t>
            </w:r>
          </w:p>
        </w:tc>
        <w:tc>
          <w:tcPr>
            <w:tcW w:type="dxa" w:w="1440"/>
            <w:shd w:fill="FFDCE0" w:val="clear"/>
          </w:tcPr>
          <w:p>
            <w:r>
              <w:rPr>
                <w:b/>
                <w:sz w:val="17"/>
              </w:rPr>
              <w:t>2,860</w:t>
            </w:r>
          </w:p>
        </w:tc>
        <w:tc>
          <w:tcPr>
            <w:tcW w:type="dxa" w:w="1440"/>
            <w:shd w:fill="FFDCE0" w:val="clear"/>
          </w:tcPr>
          <w:p>
            <w:r>
              <w:rPr>
                <w:sz w:val="17"/>
              </w:rPr>
              <w:t>3,085</w:t>
            </w:r>
          </w:p>
        </w:tc>
        <w:tc>
          <w:tcPr>
            <w:tcW w:type="dxa" w:w="1440"/>
            <w:shd w:fill="FFDCE0" w:val="clear"/>
          </w:tcPr>
          <w:p>
            <w:r>
              <w:rPr>
                <w:b/>
                <w:color w:val="C00000"/>
                <w:sz w:val="17"/>
              </w:rPr>
              <w:t>-5.0%</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2,572</w:t>
            </w:r>
          </w:p>
        </w:tc>
        <w:tc>
          <w:tcPr>
            <w:tcW w:type="dxa" w:w="1440"/>
            <w:shd w:fill="FFDCE0" w:val="clear"/>
          </w:tcPr>
          <w:p>
            <w:r>
              <w:rPr>
                <w:b/>
                <w:sz w:val="17"/>
              </w:rPr>
              <w:t>2,828</w:t>
            </w:r>
          </w:p>
        </w:tc>
        <w:tc>
          <w:tcPr>
            <w:tcW w:type="dxa" w:w="1440"/>
            <w:shd w:fill="FFDCE0" w:val="clear"/>
          </w:tcPr>
          <w:p>
            <w:r>
              <w:rPr>
                <w:sz w:val="17"/>
              </w:rPr>
              <w:t>3,084</w:t>
            </w:r>
          </w:p>
        </w:tc>
        <w:tc>
          <w:tcPr>
            <w:tcW w:type="dxa" w:w="1440"/>
            <w:shd w:fill="FFDCE0" w:val="clear"/>
          </w:tcPr>
          <w:p>
            <w:r>
              <w:rPr>
                <w:b/>
                <w:color w:val="C00000"/>
                <w:sz w:val="17"/>
              </w:rPr>
              <w:t>-6.1%</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2,515</w:t>
            </w:r>
          </w:p>
        </w:tc>
        <w:tc>
          <w:tcPr>
            <w:tcW w:type="dxa" w:w="1440"/>
            <w:shd w:fill="FFDCE0" w:val="clear"/>
          </w:tcPr>
          <w:p>
            <w:r>
              <w:rPr>
                <w:b/>
                <w:sz w:val="17"/>
              </w:rPr>
              <w:t>2,798</w:t>
            </w:r>
          </w:p>
        </w:tc>
        <w:tc>
          <w:tcPr>
            <w:tcW w:type="dxa" w:w="1440"/>
            <w:shd w:fill="FFDCE0" w:val="clear"/>
          </w:tcPr>
          <w:p>
            <w:r>
              <w:rPr>
                <w:sz w:val="17"/>
              </w:rPr>
              <w:t>3,082</w:t>
            </w:r>
          </w:p>
        </w:tc>
        <w:tc>
          <w:tcPr>
            <w:tcW w:type="dxa" w:w="1440"/>
            <w:shd w:fill="FFDCE0" w:val="clear"/>
          </w:tcPr>
          <w:p>
            <w:r>
              <w:rPr>
                <w:b/>
                <w:color w:val="C00000"/>
                <w:sz w:val="17"/>
              </w:rPr>
              <w:t>-7.0%</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2,463</w:t>
            </w:r>
          </w:p>
        </w:tc>
        <w:tc>
          <w:tcPr>
            <w:tcW w:type="dxa" w:w="1440"/>
            <w:shd w:fill="FFDCE0" w:val="clear"/>
          </w:tcPr>
          <w:p>
            <w:r>
              <w:rPr>
                <w:b/>
                <w:sz w:val="17"/>
              </w:rPr>
              <w:t>2,771</w:t>
            </w:r>
          </w:p>
        </w:tc>
        <w:tc>
          <w:tcPr>
            <w:tcW w:type="dxa" w:w="1440"/>
            <w:shd w:fill="FFDCE0" w:val="clear"/>
          </w:tcPr>
          <w:p>
            <w:r>
              <w:rPr>
                <w:sz w:val="17"/>
              </w:rPr>
              <w:t>3,078</w:t>
            </w:r>
          </w:p>
        </w:tc>
        <w:tc>
          <w:tcPr>
            <w:tcW w:type="dxa" w:w="1440"/>
            <w:shd w:fill="FFDCE0" w:val="clear"/>
          </w:tcPr>
          <w:p>
            <w:r>
              <w:rPr>
                <w:b/>
                <w:color w:val="C00000"/>
                <w:sz w:val="17"/>
              </w:rPr>
              <w:t>-7.9%</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2,416</w:t>
            </w:r>
          </w:p>
        </w:tc>
        <w:tc>
          <w:tcPr>
            <w:tcW w:type="dxa" w:w="1440"/>
            <w:shd w:fill="FFDCE0" w:val="clear"/>
          </w:tcPr>
          <w:p>
            <w:r>
              <w:rPr>
                <w:b/>
                <w:sz w:val="17"/>
              </w:rPr>
              <w:t>2,745</w:t>
            </w:r>
          </w:p>
        </w:tc>
        <w:tc>
          <w:tcPr>
            <w:tcW w:type="dxa" w:w="1440"/>
            <w:shd w:fill="FFDCE0" w:val="clear"/>
          </w:tcPr>
          <w:p>
            <w:r>
              <w:rPr>
                <w:sz w:val="17"/>
              </w:rPr>
              <w:t>3,074</w:t>
            </w:r>
          </w:p>
        </w:tc>
        <w:tc>
          <w:tcPr>
            <w:tcW w:type="dxa" w:w="1440"/>
            <w:shd w:fill="FFDCE0" w:val="clear"/>
          </w:tcPr>
          <w:p>
            <w:r>
              <w:rPr>
                <w:b/>
                <w:color w:val="C00000"/>
                <w:sz w:val="17"/>
              </w:rPr>
              <w:t>-8.8%</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2,371</w:t>
            </w:r>
          </w:p>
        </w:tc>
        <w:tc>
          <w:tcPr>
            <w:tcW w:type="dxa" w:w="1440"/>
            <w:shd w:fill="FFDCE0" w:val="clear"/>
          </w:tcPr>
          <w:p>
            <w:r>
              <w:rPr>
                <w:b/>
                <w:sz w:val="17"/>
              </w:rPr>
              <w:t>2,720</w:t>
            </w:r>
          </w:p>
        </w:tc>
        <w:tc>
          <w:tcPr>
            <w:tcW w:type="dxa" w:w="1440"/>
            <w:shd w:fill="FFDCE0" w:val="clear"/>
          </w:tcPr>
          <w:p>
            <w:r>
              <w:rPr>
                <w:sz w:val="17"/>
              </w:rPr>
              <w:t>3,068</w:t>
            </w:r>
          </w:p>
        </w:tc>
        <w:tc>
          <w:tcPr>
            <w:tcW w:type="dxa" w:w="1440"/>
            <w:shd w:fill="FFDCE0" w:val="clear"/>
          </w:tcPr>
          <w:p>
            <w:r>
              <w:rPr>
                <w:b/>
                <w:color w:val="C00000"/>
                <w:sz w:val="17"/>
              </w:rPr>
              <w:t>-9.7%</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2,329</w:t>
            </w:r>
          </w:p>
        </w:tc>
        <w:tc>
          <w:tcPr>
            <w:tcW w:type="dxa" w:w="1440"/>
            <w:shd w:fill="FFDCE0" w:val="clear"/>
          </w:tcPr>
          <w:p>
            <w:r>
              <w:rPr>
                <w:b/>
                <w:sz w:val="17"/>
              </w:rPr>
              <w:t>2,695</w:t>
            </w:r>
          </w:p>
        </w:tc>
        <w:tc>
          <w:tcPr>
            <w:tcW w:type="dxa" w:w="1440"/>
            <w:shd w:fill="FFDCE0" w:val="clear"/>
          </w:tcPr>
          <w:p>
            <w:r>
              <w:rPr>
                <w:sz w:val="17"/>
              </w:rPr>
              <w:t>3,062</w:t>
            </w:r>
          </w:p>
        </w:tc>
        <w:tc>
          <w:tcPr>
            <w:tcW w:type="dxa" w:w="1440"/>
            <w:shd w:fill="FFDCE0" w:val="clear"/>
          </w:tcPr>
          <w:p>
            <w:r>
              <w:rPr>
                <w:b/>
                <w:color w:val="C00000"/>
                <w:sz w:val="17"/>
              </w:rPr>
              <w:t>-10.5%</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2,289</w:t>
            </w:r>
          </w:p>
        </w:tc>
        <w:tc>
          <w:tcPr>
            <w:tcW w:type="dxa" w:w="1440"/>
            <w:shd w:fill="FFDCE0" w:val="clear"/>
          </w:tcPr>
          <w:p>
            <w:r>
              <w:rPr>
                <w:b/>
                <w:sz w:val="17"/>
              </w:rPr>
              <w:t>2,672</w:t>
            </w:r>
          </w:p>
        </w:tc>
        <w:tc>
          <w:tcPr>
            <w:tcW w:type="dxa" w:w="1440"/>
            <w:shd w:fill="FFDCE0" w:val="clear"/>
          </w:tcPr>
          <w:p>
            <w:r>
              <w:rPr>
                <w:sz w:val="17"/>
              </w:rPr>
              <w:t>3,055</w:t>
            </w:r>
          </w:p>
        </w:tc>
        <w:tc>
          <w:tcPr>
            <w:tcW w:type="dxa" w:w="1440"/>
            <w:shd w:fill="FFDCE0" w:val="clear"/>
          </w:tcPr>
          <w:p>
            <w:r>
              <w:rPr>
                <w:b/>
                <w:color w:val="C00000"/>
                <w:sz w:val="17"/>
              </w:rPr>
              <w:t>-11.2%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ABJC (SERVAIR ABIDJAN)**</w:t>
        <w:br/>
        <w:t>**Date de l'analyse : 08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d'ABJC s'établit à 32,85 milliards FCFA, un niveau significatif pour une valeur de la cote BRVM, reflétant une reconnaissance institutionnelle. Avec un BPA de 124 FCFA, le titre se négocie à un PER de 24,3x, soit un niveau nettement supérieur à la moyenne historique de la BRVM (8-12x). Cette prime de valorisation suggère que les investisseurs intègrent des attentes de croissance élevées, mais expose le titre à un risque de correction en cas de déception. Le P/B de 6,37x confirme cette exigeance, le marché valorisant plus de six fois les capitaux propres comptables, ce qui est caractéristique d'une valeur de croissance ou d'une surévaluation relative. Enfin, un EV/EBITDA de 12,2x, bien que dans la fourchette haute (10-15x), indique que la valeur d'entreprise reste soutenable par rapport à la capacité opérationnelle, mais sans marge de sécurité significative.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ABJC a enregistré une baisse de 11,47%, passant de ses plus hauts à un cours actuel de 3 010 FCFA, malgré un rebond notable de +7,50% lors de la dernière séance. Le titre a évolué dans une fourchette de 980 FCFA, entre un plus bas de 2 800 FCFA et un plus haut de 3 780 FCFA, illustrant une volatilité intraday marquée. La moyenne (3 226 FCFA) et la médiane (3 215 FCFA) sont très proches, et le skewness de 0,194 indique une distribution quasi symétrique, avec un kurtosis de -0,824 (mésokurtique) suggérant l'absence de mouvements extrêmes récurrents. L'écart-type de 241 FCFA (CV=7,5%) démontre une dispersion modérée autour de la moyenne. Cependant, la volatilité annualisée de 54,3% est extrêmement élevée (nettement au-dessus du seuil de 30%), signalant un risque de marché considérable et des fluctuations de prix potentiellement brutales, ce qui exige une grande prudence pour les investisseurs non aguerris.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(3 010 FCFA) est inférieur à la MM20 (3 047,5 FCFA) et nettement sous la MM50 (3 163,7 FCFA). Cette configuration baissière, où les moyennes agissent comme des résistances dynamiques, confirme la tendance négative de moyen terme et justifie la décision de "Vente". Le rebond récent ne suffit pas à inverser la structure.</w:t>
      </w:r>
    </w:p>
    <w:p>
      <w:pPr>
        <w:spacing w:after="120" w:line="276" w:lineRule="auto"/>
      </w:pPr>
      <w:r>
        <w:t>**Bandes de Bollinger :** Le prix se situe dans la partie médiane-basse des bandes, entre la borne inférieure (2 847,5 FCFA) et la borne supérieure (3 247,4 FCFA). La largeur des bandes reflète la volatilité élevée. La décision "Neutre" est cohérente, car le cours n'est pas en situation de surachat ni de survente extrême, mais un test de la borne inférieure reste possible en cas de poursuite de la baisse.</w:t>
      </w:r>
    </w:p>
    <w:p>
      <w:pPr>
        <w:spacing w:after="120" w:line="276" w:lineRule="auto"/>
      </w:pPr>
      <w:r>
        <w:t>**MACD :** Le MACD (-56,4) est négatif et inférieur à sa ligne de signal (-44,4), indiquant un momentum baissier persistant. La divergence négative entre les deux lignes suggère que la pression vendeuse reste dominante, justifiant la décision de "Vente". Un croisement haussier n'est pas encore en vue.</w:t>
      </w:r>
    </w:p>
    <w:p>
      <w:pPr>
        <w:spacing w:after="120" w:line="276" w:lineRule="auto"/>
      </w:pPr>
      <w:r>
        <w:t>**RSI :** Le RSI à 51,1 est en zone neutre (30-70), indiquant un équilibre relatif entre acheteurs et vendeurs après le récent rebond. Cette valeur ne signale ni surachat ni survente, laissant la porte ouverte à une poursuite du mouvement dans un sens ou dans l'autre. La décision "Neutre" est donc appropriée.</w:t>
      </w:r>
    </w:p>
    <w:p>
      <w:pPr>
        <w:spacing w:after="120" w:line="276" w:lineRule="auto"/>
      </w:pPr>
      <w:r>
        <w:t>**Stochastique :** Le %K (55,3) est au-dessus du %D (25,7), ce qui constitue un croisement haussier à court terme. Cependant, le %K reste en zone neutre, et la faiblesse du %D indique que la dynamique haussière est encore fragile. La décision "Neutre" reflète cette incertitude, le signal n'étant pas assez fort pour être considéré comme un achat.</w:t>
      </w:r>
    </w:p>
    <w:p>
      <w:pPr>
        <w:spacing w:after="120" w:line="276" w:lineRule="auto"/>
      </w:pPr>
      <w:r>
        <w:t>**Conclusion technique :** Les indicateurs de tendance (MM, MACD) sont baissiers, tandis que les oscillateurs (RSI, Stochastique) sont neutres avec un léger biais haussier à très court terme. Cette divergence suggère un marché en phase de consolidation après une baisse, mais sans signal de retournement majeur. La tendance de fond reste négative, et tout rebond devra surmonter les résistances des moyennes mobiles pour être crédible.</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2025 (base brvm_donnees_financieres) décrivent une entreprise non bancaire en bonne santé financière. Le chiffre d'affaires annuel s'établit à 13,298 milliards FCFA, en croissance de 6,67%, pour un résultat net de 1,351 milliard FCFA. La rentabilité est excellente avec un ROE de 26,18% et un ROA de 14,64%, traduisant une utilisation très efficace des capitaux propres et des actifs. La structure financière est saine : l'autonomie financière est de 55,9%, la trésorerie nette est positive à 4,035 milliards FCFA, et le BFR est maîtrisé à 257 millions FCFA. Les délais de paiement clients (70 jours) et fournisseurs (92 jours) sont corrects pour le secteur. Cependant, les rapports narratifs de 2025 (T1, T3, et annuel) révèlent des disparités. Le rapport du T1 2025 (daté de mars 2025) montrait un recul du résultat net de -6,8% dû à un litige avec la BCEAO. Le rapport du T3 2025 (daté de septembre 2025) indiquait un net redressement avec un résultat net en hausse de +17,1%. Le rapport annuel 2025 (daté de décembre 2025) confirme une croissance du CA mais une baisse du résultat net de -12,1% à 1,331 milliard FCFA, impacté par une hausse de l'impôt (+46,7%). Enfin, le rapport du T1 2026 (daté de mars 2026) est alarmant : le résultat net chute de -35,6% à 222 millions FCFA, en raison d'ajustements de redevances aéroportuaires. Sur la base de ce T1 2026, on estime que l'exercice 2026 pourrait voir une contraction significative de la rentabilité, potentiellement autour de 900 millions FCFA de résultat net si la tendance se maintient, marquant une dégradation nette par rapport à 2025.</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 profil de risque élevé pour ABJC. La valorisation (Partie 0) est exigeante (PER 24,3x, P/B 6,37x), ne laissant que peu de marge en cas de ralentissement. Le comportement du cours (Partie 1) est préoccupant avec une tendance baissière de -11,47% sur 100 jours et une volatilité annualisée extrême de 54,3%. Les signaux techniques (Partie 2) sont majoritairement vendeurs (MM, MACD), avec des oscillateurs neutres, indiquant une absence de catalyseur haussier. Les fondamentaux (Partie 3), bien que solides en 2025 (ROE &gt;26%), montrent une dégradation nette au T1 2026 (-35,6% du résultat net), suggérant une année 2026 difficile. Enfin, les prédictions IA (J+1 à J+10) confirment cette vision baissière avec une trajectoire en baisse continue vers 2 798 FCFA. La convergence de ces signaux (valorisation élevée, tendance technique baissière, fondamentaux en détérioration, et prédictions négatives) conduit à une recommandation de **VENTE**. Le niveau de confiance est **Élevé** et le risque global est **Élevé**. L'horizon d'investissement optimal pour un éventuel retour serait de moyen à long terme (&gt;12 mois), en attendant une stabilisation des résultats et une résolution des tensions sur les redevances.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438.69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8,474 titres</w:t>
            </w:r>
          </w:p>
        </w:tc>
        <w:tc>
          <w:tcPr>
            <w:tcW w:type="dxa" w:w="2268"/>
            <w:shd w:fill="FFF2CC" w:val="clear"/>
          </w:tcPr>
          <w:p>
            <w:r>
              <w:rPr>
                <w:b/>
                <w:color w:val="503200"/>
                <w:sz w:val="16"/>
              </w:rPr>
              <w:t xml:space="preserve">Cours actuel : </w:t>
            </w:r>
            <w:r>
              <w:rPr>
                <w:color w:val="000000"/>
                <w:sz w:val="17"/>
              </w:rPr>
              <w:t>7,595 FCFA</w:t>
            </w:r>
          </w:p>
          <w:p>
            <w:r>
              <w:rPr>
                <w:b/>
                <w:color w:val="503200"/>
                <w:sz w:val="16"/>
              </w:rPr>
              <w:t xml:space="preserve">Var. 100 jours : </w:t>
            </w:r>
            <w:r>
              <w:rPr>
                <w:b/>
                <w:color w:val="007800"/>
                <w:sz w:val="17"/>
              </w:rPr>
              <w:t>+46.06%</w:t>
            </w:r>
          </w:p>
          <w:p>
            <w:r>
              <w:rPr>
                <w:b/>
                <w:color w:val="503200"/>
                <w:sz w:val="16"/>
              </w:rPr>
              <w:t xml:space="preserve">Plus haut 100j : </w:t>
            </w:r>
            <w:r>
              <w:rPr>
                <w:color w:val="000000"/>
                <w:sz w:val="17"/>
              </w:rPr>
              <w:t>7,850 FCFA</w:t>
            </w:r>
          </w:p>
          <w:p>
            <w:r>
              <w:rPr>
                <w:b/>
                <w:color w:val="503200"/>
                <w:sz w:val="16"/>
              </w:rPr>
              <w:t xml:space="preserve">Plus bas 100j : </w:t>
            </w:r>
            <w:r>
              <w:rPr>
                <w:color w:val="000000"/>
                <w:sz w:val="17"/>
              </w:rPr>
              <w:t>5,000 FCFA</w:t>
            </w:r>
          </w:p>
          <w:p>
            <w:r>
              <w:rPr>
                <w:b/>
                <w:color w:val="503200"/>
                <w:sz w:val="16"/>
              </w:rPr>
              <w:t xml:space="preserve">Volatilité ann. : </w:t>
            </w:r>
            <w:r>
              <w:rPr>
                <w:color w:val="000000"/>
                <w:sz w:val="17"/>
              </w:rPr>
              <w:t>28.8%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13.66% (Moyenne) — μ=5,731 FCFA, σ=783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β=0.4868 (Défensif) — Cov=0.000018, Var(idx)=0.000036, ρ=0.159,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8,474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σ_j=1.82%/j (Stable) — Vol. annualisée≈28.8%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6,736</w:t>
            </w:r>
          </w:p>
        </w:tc>
        <w:tc>
          <w:tcPr>
            <w:tcW w:type="dxa" w:w="1440"/>
            <w:shd w:fill="FFDCE0" w:val="clear"/>
          </w:tcPr>
          <w:p>
            <w:r>
              <w:rPr>
                <w:b/>
                <w:sz w:val="17"/>
              </w:rPr>
              <w:t>7,025</w:t>
            </w:r>
          </w:p>
        </w:tc>
        <w:tc>
          <w:tcPr>
            <w:tcW w:type="dxa" w:w="1440"/>
            <w:shd w:fill="FFDCE0" w:val="clear"/>
          </w:tcPr>
          <w:p>
            <w:r>
              <w:rPr>
                <w:sz w:val="17"/>
              </w:rPr>
              <w:t>7,314</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6,120</w:t>
            </w:r>
          </w:p>
        </w:tc>
        <w:tc>
          <w:tcPr>
            <w:tcW w:type="dxa" w:w="1440"/>
            <w:shd w:fill="FFDCE0" w:val="clear"/>
          </w:tcPr>
          <w:p>
            <w:r>
              <w:rPr>
                <w:b/>
                <w:sz w:val="17"/>
              </w:rPr>
              <w:t>6,498</w:t>
            </w:r>
          </w:p>
        </w:tc>
        <w:tc>
          <w:tcPr>
            <w:tcW w:type="dxa" w:w="1440"/>
            <w:shd w:fill="FFDCE0" w:val="clear"/>
          </w:tcPr>
          <w:p>
            <w:r>
              <w:rPr>
                <w:sz w:val="17"/>
              </w:rPr>
              <w:t>6,877</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5,701</w:t>
            </w:r>
          </w:p>
        </w:tc>
        <w:tc>
          <w:tcPr>
            <w:tcW w:type="dxa" w:w="1440"/>
            <w:shd w:fill="FFDCE0" w:val="clear"/>
          </w:tcPr>
          <w:p>
            <w:r>
              <w:rPr>
                <w:b/>
                <w:sz w:val="17"/>
              </w:rPr>
              <w:t>6,138</w:t>
            </w:r>
          </w:p>
        </w:tc>
        <w:tc>
          <w:tcPr>
            <w:tcW w:type="dxa" w:w="1440"/>
            <w:shd w:fill="FFDCE0" w:val="clear"/>
          </w:tcPr>
          <w:p>
            <w:r>
              <w:rPr>
                <w:sz w:val="17"/>
              </w:rPr>
              <w:t>6,575</w:t>
            </w:r>
          </w:p>
        </w:tc>
        <w:tc>
          <w:tcPr>
            <w:tcW w:type="dxa" w:w="1440"/>
            <w:shd w:fill="FFDCE0" w:val="clear"/>
          </w:tcPr>
          <w:p>
            <w:r>
              <w:rPr>
                <w:b/>
                <w:color w:val="C00000"/>
                <w:sz w:val="17"/>
              </w:rPr>
              <w:t>-19.2%</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5,497</w:t>
            </w:r>
          </w:p>
        </w:tc>
        <w:tc>
          <w:tcPr>
            <w:tcW w:type="dxa" w:w="1440"/>
            <w:shd w:fill="FFDCE0" w:val="clear"/>
          </w:tcPr>
          <w:p>
            <w:r>
              <w:rPr>
                <w:b/>
                <w:sz w:val="17"/>
              </w:rPr>
              <w:t>5,990</w:t>
            </w:r>
          </w:p>
        </w:tc>
        <w:tc>
          <w:tcPr>
            <w:tcW w:type="dxa" w:w="1440"/>
            <w:shd w:fill="FFDCE0" w:val="clear"/>
          </w:tcPr>
          <w:p>
            <w:r>
              <w:rPr>
                <w:sz w:val="17"/>
              </w:rPr>
              <w:t>6,483</w:t>
            </w:r>
          </w:p>
        </w:tc>
        <w:tc>
          <w:tcPr>
            <w:tcW w:type="dxa" w:w="1440"/>
            <w:shd w:fill="FFDCE0" w:val="clear"/>
          </w:tcPr>
          <w:p>
            <w:r>
              <w:rPr>
                <w:b/>
                <w:color w:val="C00000"/>
                <w:sz w:val="17"/>
              </w:rPr>
              <w:t>-21.1%</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5,319</w:t>
            </w:r>
          </w:p>
        </w:tc>
        <w:tc>
          <w:tcPr>
            <w:tcW w:type="dxa" w:w="1440"/>
            <w:shd w:fill="FFDCE0" w:val="clear"/>
          </w:tcPr>
          <w:p>
            <w:r>
              <w:rPr>
                <w:b/>
                <w:sz w:val="17"/>
              </w:rPr>
              <w:t>5,858</w:t>
            </w:r>
          </w:p>
        </w:tc>
        <w:tc>
          <w:tcPr>
            <w:tcW w:type="dxa" w:w="1440"/>
            <w:shd w:fill="FFDCE0" w:val="clear"/>
          </w:tcPr>
          <w:p>
            <w:r>
              <w:rPr>
                <w:sz w:val="17"/>
              </w:rPr>
              <w:t>6,396</w:t>
            </w:r>
          </w:p>
        </w:tc>
        <w:tc>
          <w:tcPr>
            <w:tcW w:type="dxa" w:w="1440"/>
            <w:shd w:fill="FFDCE0" w:val="clear"/>
          </w:tcPr>
          <w:p>
            <w:r>
              <w:rPr>
                <w:b/>
                <w:color w:val="C00000"/>
                <w:sz w:val="17"/>
              </w:rPr>
              <w:t>-22.9%</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5,163</w:t>
            </w:r>
          </w:p>
        </w:tc>
        <w:tc>
          <w:tcPr>
            <w:tcW w:type="dxa" w:w="1440"/>
            <w:shd w:fill="FFDCE0" w:val="clear"/>
          </w:tcPr>
          <w:p>
            <w:r>
              <w:rPr>
                <w:b/>
                <w:sz w:val="17"/>
              </w:rPr>
              <w:t>5,741</w:t>
            </w:r>
          </w:p>
        </w:tc>
        <w:tc>
          <w:tcPr>
            <w:tcW w:type="dxa" w:w="1440"/>
            <w:shd w:fill="FFDCE0" w:val="clear"/>
          </w:tcPr>
          <w:p>
            <w:r>
              <w:rPr>
                <w:sz w:val="17"/>
              </w:rPr>
              <w:t>6,320</w:t>
            </w:r>
          </w:p>
        </w:tc>
        <w:tc>
          <w:tcPr>
            <w:tcW w:type="dxa" w:w="1440"/>
            <w:shd w:fill="FFDCE0" w:val="clear"/>
          </w:tcPr>
          <w:p>
            <w:r>
              <w:rPr>
                <w:b/>
                <w:color w:val="C00000"/>
                <w:sz w:val="17"/>
              </w:rPr>
              <w:t>-24.4%</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5,026</w:t>
            </w:r>
          </w:p>
        </w:tc>
        <w:tc>
          <w:tcPr>
            <w:tcW w:type="dxa" w:w="1440"/>
            <w:shd w:fill="FFDCE0" w:val="clear"/>
          </w:tcPr>
          <w:p>
            <w:r>
              <w:rPr>
                <w:b/>
                <w:sz w:val="17"/>
              </w:rPr>
              <w:t>5,640</w:t>
            </w:r>
          </w:p>
        </w:tc>
        <w:tc>
          <w:tcPr>
            <w:tcW w:type="dxa" w:w="1440"/>
            <w:shd w:fill="FFDCE0" w:val="clear"/>
          </w:tcPr>
          <w:p>
            <w:r>
              <w:rPr>
                <w:sz w:val="17"/>
              </w:rPr>
              <w:t>6,254</w:t>
            </w:r>
          </w:p>
        </w:tc>
        <w:tc>
          <w:tcPr>
            <w:tcW w:type="dxa" w:w="1440"/>
            <w:shd w:fill="FFDCE0" w:val="clear"/>
          </w:tcPr>
          <w:p>
            <w:r>
              <w:rPr>
                <w:b/>
                <w:color w:val="C00000"/>
                <w:sz w:val="17"/>
              </w:rPr>
              <w:t>-25.7%</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4,906</w:t>
            </w:r>
          </w:p>
        </w:tc>
        <w:tc>
          <w:tcPr>
            <w:tcW w:type="dxa" w:w="1440"/>
            <w:shd w:fill="FFDCE0" w:val="clear"/>
          </w:tcPr>
          <w:p>
            <w:r>
              <w:rPr>
                <w:b/>
                <w:sz w:val="17"/>
              </w:rPr>
              <w:t>5,552</w:t>
            </w:r>
          </w:p>
        </w:tc>
        <w:tc>
          <w:tcPr>
            <w:tcW w:type="dxa" w:w="1440"/>
            <w:shd w:fill="FFDCE0" w:val="clear"/>
          </w:tcPr>
          <w:p>
            <w:r>
              <w:rPr>
                <w:sz w:val="17"/>
              </w:rPr>
              <w:t>6,198</w:t>
            </w:r>
          </w:p>
        </w:tc>
        <w:tc>
          <w:tcPr>
            <w:tcW w:type="dxa" w:w="1440"/>
            <w:shd w:fill="FFDCE0" w:val="clear"/>
          </w:tcPr>
          <w:p>
            <w:r>
              <w:rPr>
                <w:b/>
                <w:color w:val="C00000"/>
                <w:sz w:val="17"/>
              </w:rPr>
              <w:t>-26.9%</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4,800</w:t>
            </w:r>
          </w:p>
        </w:tc>
        <w:tc>
          <w:tcPr>
            <w:tcW w:type="dxa" w:w="1440"/>
            <w:shd w:fill="FFDCE0" w:val="clear"/>
          </w:tcPr>
          <w:p>
            <w:r>
              <w:rPr>
                <w:b/>
                <w:sz w:val="17"/>
              </w:rPr>
              <w:t>5,476</w:t>
            </w:r>
          </w:p>
        </w:tc>
        <w:tc>
          <w:tcPr>
            <w:tcW w:type="dxa" w:w="1440"/>
            <w:shd w:fill="FFDCE0" w:val="clear"/>
          </w:tcPr>
          <w:p>
            <w:r>
              <w:rPr>
                <w:sz w:val="17"/>
              </w:rPr>
              <w:t>6,152</w:t>
            </w:r>
          </w:p>
        </w:tc>
        <w:tc>
          <w:tcPr>
            <w:tcW w:type="dxa" w:w="1440"/>
            <w:shd w:fill="FFDCE0" w:val="clear"/>
          </w:tcPr>
          <w:p>
            <w:r>
              <w:rPr>
                <w:b/>
                <w:color w:val="C00000"/>
                <w:sz w:val="17"/>
              </w:rPr>
              <w:t>-27.9%</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4,706</w:t>
            </w:r>
          </w:p>
        </w:tc>
        <w:tc>
          <w:tcPr>
            <w:tcW w:type="dxa" w:w="1440"/>
            <w:shd w:fill="FFDCE0" w:val="clear"/>
          </w:tcPr>
          <w:p>
            <w:r>
              <w:rPr>
                <w:b/>
                <w:sz w:val="17"/>
              </w:rPr>
              <w:t>5,410</w:t>
            </w:r>
          </w:p>
        </w:tc>
        <w:tc>
          <w:tcPr>
            <w:tcW w:type="dxa" w:w="1440"/>
            <w:shd w:fill="FFDCE0" w:val="clear"/>
          </w:tcPr>
          <w:p>
            <w:r>
              <w:rPr>
                <w:sz w:val="17"/>
              </w:rPr>
              <w:t>6,114</w:t>
            </w:r>
          </w:p>
        </w:tc>
        <w:tc>
          <w:tcPr>
            <w:tcW w:type="dxa" w:w="1440"/>
            <w:shd w:fill="FFDCE0" w:val="clear"/>
          </w:tcPr>
          <w:p>
            <w:r>
              <w:rPr>
                <w:b/>
                <w:color w:val="C00000"/>
                <w:sz w:val="17"/>
              </w:rPr>
              <w:t>-28.8%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(BIIC BÉNIN)**</w:t>
        <w:br/>
        <w:t>**Date de l'analyse : 07 août 2026**</w:t>
        <w:br/>
        <w:t>**Cours de référence : 7 595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BICB s'établit à 438,69 milliards FCFA, un niveau qui la positionne parmi les poids lourds de la BRVM, reflétant la confiance des investisseurs dans ce leader bancaire béninois. Avec un BPA de 627 FCFA, chaque action génère un bénéfice substantiel, justifiant un PER de 12,1x. Ce ratio, bien que légèrement supérieur à la moyenne historique de la BRVM (8-12x), reste modéré et indique que les investisseurs paient un prix raisonnable pour les bénéfices actuels. Le P/B de 3,25x montre que le marché valorise l'action à plus de trois fois sa valeur comptable, intégrant une prime de croissance et une rentabilité des fonds propres exceptionnelle. En revanche, l'EV/EBITDA de 22,8x est très exigeant, signalant que la valeur totale de l'entreprise (dette incluse) est élevée par rapport à sa capacité opérationnelle, un point de vigilance pour les investisseurs à long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BICB a enregistré une performance spectaculaire de +46,06%, avec une dernière séance en hausse de +1,27% à 7 595 FCFA. Le titre a évolué dans une fourchette de 5 000 FCFA (plus bas) à 7 850 FCFA (plus haut), démontrant une dynamique haussière soutenue. La moyenne du cours sur la période (5 731 FCFA) est nettement supérieure à la médiane (5 308 FCFA), et le mode (5 200 FCFA) est encore plus bas, ce qui révèle une distribution asymétrique positive (skewness de 1,369) : le titre a passé la majorité du temps à des niveaux inférieurs à sa moyenne, avant de connaître une accélération récente. L'écart-type de 787 FCFA (CV de 13,7%) indique une dispersion modérée, tandis que le kurtosis de 0,761 (mésokurtique) suggère une distribution proche de la normale, sans risque extrême de pics. La volatilité annualisée de 28,8% classe le titre dans la catégorie "élevée" (&gt;30% étant très élevé), ce qui implique des fluctuations notables et un risque de marché significatif.</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(7 595 FCFA) se situe nettement au-dessus de la MM20 (7 072,5 FCFA) et de la MM50 (6 286,2 FCFA), confirmant une tendance haussière de court et moyen terme. La configuration des MM, avec la MM20 au-dessus de la MM50, valide la dynamique positive et justifie la décision d'**Achat**.</w:t>
      </w:r>
    </w:p>
    <w:p>
      <w:pPr>
        <w:spacing w:after="120" w:line="276" w:lineRule="auto"/>
      </w:pPr>
      <w:r>
        <w:t>**Bandes de Bollinger** : Le prix évolue dans la partie supérieure des bandes (borne supérieure à 8 240,9 FCFA, borne inférieure à 5 904,1 FCFA), sans toutefois toucher la borne supérieure. Cette position indique une volatilité élevée mais un momentum toujours positif, sans signal de surachat extrême. La décision est **Neutre**, car le titre pourrait continuer sa progression ou subir un repli technique.</w:t>
      </w:r>
    </w:p>
    <w:p>
      <w:pPr>
        <w:spacing w:after="120" w:line="276" w:lineRule="auto"/>
      </w:pPr>
      <w:r>
        <w:t>**MACD** : La valeur du MACD (420,71) est supérieure à son signal (412,73), avec un écart positif qui se creuse. Cette configuration signale un momentum haussier robuste, confirmant la tendance de fond. La décision est **Achat**.</w:t>
      </w:r>
    </w:p>
    <w:p>
      <w:pPr>
        <w:spacing w:after="120" w:line="276" w:lineRule="auto"/>
      </w:pPr>
      <w:r>
        <w:t>**RSI** : Le RSI s'établit à 75,746, un niveau nettement au-dessus du seuil de surachat (70). Cette valeur indique que le titre est survendu à la hausse et qu'un repli technique est probable à court terme. La décision est **Vente**, en raison du risque de correction.</w:t>
      </w:r>
    </w:p>
    <w:p>
      <w:pPr>
        <w:spacing w:after="120" w:line="276" w:lineRule="auto"/>
      </w:pPr>
      <w:r>
        <w:t>**Stochastique** : Le %K (81,786) et le %D (82,961) sont tous deux en zone de surachat (&gt;80), avec un %D légèrement supérieur au %K, suggérant un possible retournement baissier imminent. La décision est **Vente**.</w:t>
      </w:r>
    </w:p>
    <w:p>
      <w:pPr>
        <w:spacing w:after="120" w:line="276" w:lineRule="auto"/>
      </w:pPr>
      <w:r>
        <w:t>**Conclusion technique** : Les indicateurs de tendance (MM, MACD) sont positifs et confirment la dynamique haussière, mais les oscillateurs (RSI, Stochastique) signalent un surachat prononcé. Cette divergence suggère qu'un repli technique est probable à court terme avant une éventuelle poursuite de la tendance. La prudence est donc de mise pour les nouveaux achats à ces niveaux.</w:t>
      </w:r>
    </w:p>
    <w:p>
      <w:pPr>
        <w:spacing w:after="120" w:line="276" w:lineRule="auto"/>
      </w:pPr>
      <w:r>
        <w:t>---</w:t>
      </w:r>
    </w:p>
    <w:p>
      <w:pPr>
        <w:spacing w:after="120" w:line="276" w:lineRule="auto"/>
      </w:pPr>
      <w:r>
        <w:t>### PARTIE 3 : ANALYSE FONDAMENTALE (SECTION CRITIQUE)</w:t>
      </w:r>
    </w:p>
    <w:p>
      <w:pPr>
        <w:spacing w:after="120" w:line="276" w:lineRule="auto"/>
      </w:pPr>
      <w:r>
        <w:t>En 2025, la BICB (BIIC Bénin) affiche des états financiers annuels solides, avec un Produit Net Bancaire (PNB) de 52,805 milliards FCFA, en hausse de 16,5% par rapport à 2024 (45,207 milliards FCFA). Le résultat net progresse de 24,7% pour atteindre 36,237 milliards FCFA, portant le ROE à un niveau exceptionnel de 26,8% et le ROA à 2,0%. Le coefficient d'exploitation de 31,1% témoigne d'une excellente maîtrise des charges, bien en deçà du seuil de 60% considéré comme efficace pour une banque. Cependant, le coût du risque de 9,61% reste élevé, reflétant une politique de provisionnement prudente face à une expansion rapide des crédits (+37,3% à 1 151,5 milliards FCFA). Le ratio crédits nets/dépôts de 97,5% indique une transformation bilancielle tendue, un point de vigilance pour la liquidité. Les rapports trimestriels 2025 montrent une croissance soutenue du PNB (+26% au T3), mais un résultat net en recul (-9%) en raison du renforcement des provisions. En revanche, le rapport T1 2026 fait état d'un résultat net en hausse de 48% à 8,0 milliards FCFA, suggérant une amélioration de la qualité du crédit et une normalisation du coût du risque. Sur la base de ces données, on estime que l'exercice 2026 pourrait voir un PNB dépasser 60 milliards FCFA et un résultat net supérieur à 40 milliards FCFA, si la tendance du T1 se confirme. La banque, leader au Bénin, bénéficie de perspectives macroéconomiques favorables dans l'UEMOA, mais doit surveiller la qualité de son portefeuille de crédits et sa liquidité.</w:t>
      </w:r>
    </w:p>
    <w:p>
      <w:pPr>
        <w:spacing w:after="120" w:line="276" w:lineRule="auto"/>
      </w:pPr>
      <w:r>
        <w:t>---</w:t>
      </w:r>
    </w:p>
    <w:p>
      <w:pPr>
        <w:spacing w:after="120" w:line="276" w:lineRule="auto"/>
      </w:pPr>
      <w:r>
        <w:t>### PARTIE 4 : CONCLUSION D'INVESTISSEMENT</w:t>
      </w:r>
    </w:p>
    <w:p>
      <w:pPr>
        <w:spacing w:after="120" w:line="276" w:lineRule="auto"/>
      </w:pPr>
      <w:r>
        <w:t>La valorisation de BICB (PER 12,1x, P/B 3,25x) est modérée mais intègre une prime de croissance, tandis que l'EV/EBITDA de 22,8x est exigeant. Le comportement du cours sur 100 jours (+46%) est très positif, mais la volatilité élevée (28,8%) et l'asymétrie positive (skewness 1,369) suggèrent un risque de correction après une telle progression. Les signaux techniques sont mitigés : les indicateurs de tendance (MM, MACD) sont haussiers, mais le RSI et le Stochastique en zone de surachat appellent à la prudence à court terme. Fondamentalement, la banque est solide avec un ROE de 26,8%, une croissance du PNB de 16,5% en 2025, et des perspectives 2026 prometteuses (résultat net T1 en hausse de 48%). Les prédictions IA pour les 10 prochains jours (7 025 FCFA à 5 858 FCFA) indiquent un repli significatif, contredisant la tendance haussière récente et confirmant les signaux de surachat technique. En synthèse, la convergence entre les signaux techniques de surachat et les prédictions IA suggère une correction à court terme, mais les fondamentaux solides et les perspectives de croissance plaident pour une appréciation à moyen terme. **Recommandation : CONSERVER** pour les investisseurs en portefeuille, avec un niveau de confiance **Moyen** et un risque global **Élevé**. L'horizon d'investissement optimal est le **moyen terme (3-12 mois)**, en attendant une stabilisation du cours et une confirmation de l'amélioration de la qualité du crédit.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485.00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785 titres</w:t>
            </w:r>
          </w:p>
        </w:tc>
        <w:tc>
          <w:tcPr>
            <w:tcW w:type="dxa" w:w="2268"/>
            <w:shd w:fill="FFF2CC" w:val="clear"/>
          </w:tcPr>
          <w:p>
            <w:r>
              <w:rPr>
                <w:b/>
                <w:color w:val="503200"/>
                <w:sz w:val="16"/>
              </w:rPr>
              <w:t xml:space="preserve">Cours actuel : </w:t>
            </w:r>
            <w:r>
              <w:rPr>
                <w:color w:val="000000"/>
                <w:sz w:val="17"/>
              </w:rPr>
              <w:t>29,100 FCFA</w:t>
            </w:r>
          </w:p>
          <w:p>
            <w:r>
              <w:rPr>
                <w:b/>
                <w:color w:val="503200"/>
                <w:sz w:val="16"/>
              </w:rPr>
              <w:t xml:space="preserve">Var. 100 jours : </w:t>
            </w:r>
            <w:r>
              <w:rPr>
                <w:b/>
                <w:color w:val="007800"/>
                <w:sz w:val="17"/>
              </w:rPr>
              <w:t>+13.21%</w:t>
            </w:r>
          </w:p>
          <w:p>
            <w:r>
              <w:rPr>
                <w:b/>
                <w:color w:val="503200"/>
                <w:sz w:val="16"/>
              </w:rPr>
              <w:t xml:space="preserve">Plus haut 100j : </w:t>
            </w:r>
            <w:r>
              <w:rPr>
                <w:color w:val="000000"/>
                <w:sz w:val="17"/>
              </w:rPr>
              <w:t>29,490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30.8%</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7.27% (Moyenne) — μ=26,840 FCFA, σ=1,952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β=0.6092 (Défensif) — Cov=0.000022, Var(idx)=0.000036, ρ=0.192,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785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σ_j=1.94%/j (Stable) — Vol. annualisée≈30.8%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27,512</w:t>
            </w:r>
          </w:p>
        </w:tc>
        <w:tc>
          <w:tcPr>
            <w:tcW w:type="dxa" w:w="1440"/>
            <w:shd w:fill="FFDCE0" w:val="clear"/>
          </w:tcPr>
          <w:p>
            <w:r>
              <w:rPr>
                <w:b/>
                <w:sz w:val="17"/>
              </w:rPr>
              <w:t>28,348</w:t>
            </w:r>
          </w:p>
        </w:tc>
        <w:tc>
          <w:tcPr>
            <w:tcW w:type="dxa" w:w="1440"/>
            <w:shd w:fill="FFDCE0" w:val="clear"/>
          </w:tcPr>
          <w:p>
            <w:r>
              <w:rPr>
                <w:sz w:val="17"/>
              </w:rPr>
              <w:t>29,183</w:t>
            </w:r>
          </w:p>
        </w:tc>
        <w:tc>
          <w:tcPr>
            <w:tcW w:type="dxa" w:w="1440"/>
            <w:shd w:fill="FFDCE0" w:val="clear"/>
          </w:tcPr>
          <w:p>
            <w:r>
              <w:rPr>
                <w:b/>
                <w:color w:val="C00000"/>
                <w:sz w:val="17"/>
              </w:rPr>
              <w:t>-2.6%</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26,928</w:t>
            </w:r>
          </w:p>
        </w:tc>
        <w:tc>
          <w:tcPr>
            <w:tcW w:type="dxa" w:w="1440"/>
            <w:shd w:fill="FFDCE0" w:val="clear"/>
          </w:tcPr>
          <w:p>
            <w:r>
              <w:rPr>
                <w:b/>
                <w:sz w:val="17"/>
              </w:rPr>
              <w:t>28,099</w:t>
            </w:r>
          </w:p>
        </w:tc>
        <w:tc>
          <w:tcPr>
            <w:tcW w:type="dxa" w:w="1440"/>
            <w:shd w:fill="FFDCE0" w:val="clear"/>
          </w:tcPr>
          <w:p>
            <w:r>
              <w:rPr>
                <w:sz w:val="17"/>
              </w:rPr>
              <w:t>29,270</w:t>
            </w:r>
          </w:p>
        </w:tc>
        <w:tc>
          <w:tcPr>
            <w:tcW w:type="dxa" w:w="1440"/>
            <w:shd w:fill="FFDCE0" w:val="clear"/>
          </w:tcPr>
          <w:p>
            <w:r>
              <w:rPr>
                <w:b/>
                <w:color w:val="C00000"/>
                <w:sz w:val="17"/>
              </w:rPr>
              <w:t>-3.4%</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26,387</w:t>
            </w:r>
          </w:p>
        </w:tc>
        <w:tc>
          <w:tcPr>
            <w:tcW w:type="dxa" w:w="1440"/>
            <w:shd w:fill="FFDCE0" w:val="clear"/>
          </w:tcPr>
          <w:p>
            <w:r>
              <w:rPr>
                <w:b/>
                <w:sz w:val="17"/>
              </w:rPr>
              <w:t>27,806</w:t>
            </w:r>
          </w:p>
        </w:tc>
        <w:tc>
          <w:tcPr>
            <w:tcW w:type="dxa" w:w="1440"/>
            <w:shd w:fill="FFDCE0" w:val="clear"/>
          </w:tcPr>
          <w:p>
            <w:r>
              <w:rPr>
                <w:sz w:val="17"/>
              </w:rPr>
              <w:t>29,226</w:t>
            </w:r>
          </w:p>
        </w:tc>
        <w:tc>
          <w:tcPr>
            <w:tcW w:type="dxa" w:w="1440"/>
            <w:shd w:fill="FFDCE0" w:val="clear"/>
          </w:tcPr>
          <w:p>
            <w:r>
              <w:rPr>
                <w:b/>
                <w:color w:val="C00000"/>
                <w:sz w:val="17"/>
              </w:rPr>
              <w:t>-4.4%</w:t>
            </w:r>
          </w:p>
        </w:tc>
      </w:tr>
      <w:tr>
        <w:tc>
          <w:tcPr>
            <w:tcW w:type="dxa" w:w="1440"/>
            <w:shd w:fill="FFDCE0" w:val="clear"/>
          </w:tcPr>
          <w:p>
            <w:r>
              <w:rPr>
                <w:sz w:val="17"/>
              </w:rPr>
              <w:t>J+4  Moyenne</w:t>
            </w:r>
          </w:p>
        </w:tc>
        <w:tc>
          <w:tcPr>
            <w:tcW w:type="dxa" w:w="1440"/>
            <w:shd w:fill="FFDCE0" w:val="clear"/>
          </w:tcPr>
          <w:p>
            <w:r>
              <w:rPr>
                <w:sz w:val="17"/>
              </w:rPr>
              <w:t>2026-08-13</w:t>
            </w:r>
          </w:p>
        </w:tc>
        <w:tc>
          <w:tcPr>
            <w:tcW w:type="dxa" w:w="1440"/>
            <w:shd w:fill="FFDCE0" w:val="clear"/>
          </w:tcPr>
          <w:p>
            <w:r>
              <w:rPr>
                <w:sz w:val="17"/>
              </w:rPr>
              <w:t>25,913</w:t>
            </w:r>
          </w:p>
        </w:tc>
        <w:tc>
          <w:tcPr>
            <w:tcW w:type="dxa" w:w="1440"/>
            <w:shd w:fill="FFDCE0" w:val="clear"/>
          </w:tcPr>
          <w:p>
            <w:r>
              <w:rPr>
                <w:b/>
                <w:sz w:val="17"/>
              </w:rPr>
              <w:t>27,536</w:t>
            </w:r>
          </w:p>
        </w:tc>
        <w:tc>
          <w:tcPr>
            <w:tcW w:type="dxa" w:w="1440"/>
            <w:shd w:fill="FFDCE0" w:val="clear"/>
          </w:tcPr>
          <w:p>
            <w:r>
              <w:rPr>
                <w:sz w:val="17"/>
              </w:rPr>
              <w:t>29,160</w:t>
            </w:r>
          </w:p>
        </w:tc>
        <w:tc>
          <w:tcPr>
            <w:tcW w:type="dxa" w:w="1440"/>
            <w:shd w:fill="FFDCE0" w:val="clear"/>
          </w:tcPr>
          <w:p>
            <w:r>
              <w:rPr>
                <w:b/>
                <w:color w:val="C00000"/>
                <w:sz w:val="17"/>
              </w:rPr>
              <w:t>-5.4%</w:t>
            </w:r>
          </w:p>
        </w:tc>
      </w:tr>
      <w:tr>
        <w:tc>
          <w:tcPr>
            <w:tcW w:type="dxa" w:w="1440"/>
            <w:shd w:fill="FFDCE0" w:val="clear"/>
          </w:tcPr>
          <w:p>
            <w:r>
              <w:rPr>
                <w:sz w:val="17"/>
              </w:rPr>
              <w:t>J+5  Moyenne</w:t>
            </w:r>
          </w:p>
        </w:tc>
        <w:tc>
          <w:tcPr>
            <w:tcW w:type="dxa" w:w="1440"/>
            <w:shd w:fill="FFDCE0" w:val="clear"/>
          </w:tcPr>
          <w:p>
            <w:r>
              <w:rPr>
                <w:sz w:val="17"/>
              </w:rPr>
              <w:t>2026-08-14</w:t>
            </w:r>
          </w:p>
        </w:tc>
        <w:tc>
          <w:tcPr>
            <w:tcW w:type="dxa" w:w="1440"/>
            <w:shd w:fill="FFDCE0" w:val="clear"/>
          </w:tcPr>
          <w:p>
            <w:r>
              <w:rPr>
                <w:sz w:val="17"/>
              </w:rPr>
              <w:t>25,490</w:t>
            </w:r>
          </w:p>
        </w:tc>
        <w:tc>
          <w:tcPr>
            <w:tcW w:type="dxa" w:w="1440"/>
            <w:shd w:fill="FFDCE0" w:val="clear"/>
          </w:tcPr>
          <w:p>
            <w:r>
              <w:rPr>
                <w:b/>
                <w:sz w:val="17"/>
              </w:rPr>
              <w:t>27,288</w:t>
            </w:r>
          </w:p>
        </w:tc>
        <w:tc>
          <w:tcPr>
            <w:tcW w:type="dxa" w:w="1440"/>
            <w:shd w:fill="FFDCE0" w:val="clear"/>
          </w:tcPr>
          <w:p>
            <w:r>
              <w:rPr>
                <w:sz w:val="17"/>
              </w:rPr>
              <w:t>29,087</w:t>
            </w:r>
          </w:p>
        </w:tc>
        <w:tc>
          <w:tcPr>
            <w:tcW w:type="dxa" w:w="1440"/>
            <w:shd w:fill="FFDCE0" w:val="clear"/>
          </w:tcPr>
          <w:p>
            <w:r>
              <w:rPr>
                <w:b/>
                <w:color w:val="C00000"/>
                <w:sz w:val="17"/>
              </w:rPr>
              <w:t>-6.2%</w:t>
            </w:r>
          </w:p>
        </w:tc>
      </w:tr>
      <w:tr>
        <w:tc>
          <w:tcPr>
            <w:tcW w:type="dxa" w:w="1440"/>
            <w:shd w:fill="FFDCE0" w:val="clear"/>
          </w:tcPr>
          <w:p>
            <w:r>
              <w:rPr>
                <w:sz w:val="17"/>
              </w:rPr>
              <w:t>J+6  Moyenne</w:t>
            </w:r>
          </w:p>
        </w:tc>
        <w:tc>
          <w:tcPr>
            <w:tcW w:type="dxa" w:w="1440"/>
            <w:shd w:fill="FFDCE0" w:val="clear"/>
          </w:tcPr>
          <w:p>
            <w:r>
              <w:rPr>
                <w:sz w:val="17"/>
              </w:rPr>
              <w:t>2026-08-17</w:t>
            </w:r>
          </w:p>
        </w:tc>
        <w:tc>
          <w:tcPr>
            <w:tcW w:type="dxa" w:w="1440"/>
            <w:shd w:fill="FFDCE0" w:val="clear"/>
          </w:tcPr>
          <w:p>
            <w:r>
              <w:rPr>
                <w:sz w:val="17"/>
              </w:rPr>
              <w:t>25,100</w:t>
            </w:r>
          </w:p>
        </w:tc>
        <w:tc>
          <w:tcPr>
            <w:tcW w:type="dxa" w:w="1440"/>
            <w:shd w:fill="FFDCE0" w:val="clear"/>
          </w:tcPr>
          <w:p>
            <w:r>
              <w:rPr>
                <w:b/>
                <w:sz w:val="17"/>
              </w:rPr>
              <w:t>27,053</w:t>
            </w:r>
          </w:p>
        </w:tc>
        <w:tc>
          <w:tcPr>
            <w:tcW w:type="dxa" w:w="1440"/>
            <w:shd w:fill="FFDCE0" w:val="clear"/>
          </w:tcPr>
          <w:p>
            <w:r>
              <w:rPr>
                <w:sz w:val="17"/>
              </w:rPr>
              <w:t>29,006</w:t>
            </w:r>
          </w:p>
        </w:tc>
        <w:tc>
          <w:tcPr>
            <w:tcW w:type="dxa" w:w="1440"/>
            <w:shd w:fill="FFDCE0" w:val="clear"/>
          </w:tcPr>
          <w:p>
            <w:r>
              <w:rPr>
                <w:b/>
                <w:color w:val="C00000"/>
                <w:sz w:val="17"/>
              </w:rPr>
              <w:t>-7.0%</w:t>
            </w:r>
          </w:p>
        </w:tc>
      </w:tr>
      <w:tr>
        <w:tc>
          <w:tcPr>
            <w:tcW w:type="dxa" w:w="1440"/>
            <w:shd w:fill="FFDCE0" w:val="clear"/>
          </w:tcPr>
          <w:p>
            <w:r>
              <w:rPr>
                <w:sz w:val="17"/>
              </w:rPr>
              <w:t>J+7  Moyenne</w:t>
            </w:r>
          </w:p>
        </w:tc>
        <w:tc>
          <w:tcPr>
            <w:tcW w:type="dxa" w:w="1440"/>
            <w:shd w:fill="FFDCE0" w:val="clear"/>
          </w:tcPr>
          <w:p>
            <w:r>
              <w:rPr>
                <w:sz w:val="17"/>
              </w:rPr>
              <w:t>2026-08-18</w:t>
            </w:r>
          </w:p>
        </w:tc>
        <w:tc>
          <w:tcPr>
            <w:tcW w:type="dxa" w:w="1440"/>
            <w:shd w:fill="FFDCE0" w:val="clear"/>
          </w:tcPr>
          <w:p>
            <w:r>
              <w:rPr>
                <w:sz w:val="17"/>
              </w:rPr>
              <w:t>24,735</w:t>
            </w:r>
          </w:p>
        </w:tc>
        <w:tc>
          <w:tcPr>
            <w:tcW w:type="dxa" w:w="1440"/>
            <w:shd w:fill="FFDCE0" w:val="clear"/>
          </w:tcPr>
          <w:p>
            <w:r>
              <w:rPr>
                <w:b/>
                <w:sz w:val="17"/>
              </w:rPr>
              <w:t>26,827</w:t>
            </w:r>
          </w:p>
        </w:tc>
        <w:tc>
          <w:tcPr>
            <w:tcW w:type="dxa" w:w="1440"/>
            <w:shd w:fill="FFDCE0" w:val="clear"/>
          </w:tcPr>
          <w:p>
            <w:r>
              <w:rPr>
                <w:sz w:val="17"/>
              </w:rPr>
              <w:t>28,919</w:t>
            </w:r>
          </w:p>
        </w:tc>
        <w:tc>
          <w:tcPr>
            <w:tcW w:type="dxa" w:w="1440"/>
            <w:shd w:fill="FFDCE0" w:val="clear"/>
          </w:tcPr>
          <w:p>
            <w:r>
              <w:rPr>
                <w:b/>
                <w:color w:val="C00000"/>
                <w:sz w:val="17"/>
              </w:rPr>
              <w:t>-7.8%</w:t>
            </w:r>
          </w:p>
        </w:tc>
      </w:tr>
      <w:tr>
        <w:tc>
          <w:tcPr>
            <w:tcW w:type="dxa" w:w="1440"/>
            <w:shd w:fill="FFDCE0" w:val="clear"/>
          </w:tcPr>
          <w:p>
            <w:r>
              <w:rPr>
                <w:sz w:val="17"/>
              </w:rPr>
              <w:t>J+8  Moyenne</w:t>
            </w:r>
          </w:p>
        </w:tc>
        <w:tc>
          <w:tcPr>
            <w:tcW w:type="dxa" w:w="1440"/>
            <w:shd w:fill="FFDCE0" w:val="clear"/>
          </w:tcPr>
          <w:p>
            <w:r>
              <w:rPr>
                <w:sz w:val="17"/>
              </w:rPr>
              <w:t>2026-08-19</w:t>
            </w:r>
          </w:p>
        </w:tc>
        <w:tc>
          <w:tcPr>
            <w:tcW w:type="dxa" w:w="1440"/>
            <w:shd w:fill="FFDCE0" w:val="clear"/>
          </w:tcPr>
          <w:p>
            <w:r>
              <w:rPr>
                <w:sz w:val="17"/>
              </w:rPr>
              <w:t>24,391</w:t>
            </w:r>
          </w:p>
        </w:tc>
        <w:tc>
          <w:tcPr>
            <w:tcW w:type="dxa" w:w="1440"/>
            <w:shd w:fill="FFDCE0" w:val="clear"/>
          </w:tcPr>
          <w:p>
            <w:r>
              <w:rPr>
                <w:b/>
                <w:sz w:val="17"/>
              </w:rPr>
              <w:t>26,609</w:t>
            </w:r>
          </w:p>
        </w:tc>
        <w:tc>
          <w:tcPr>
            <w:tcW w:type="dxa" w:w="1440"/>
            <w:shd w:fill="FFDCE0" w:val="clear"/>
          </w:tcPr>
          <w:p>
            <w:r>
              <w:rPr>
                <w:sz w:val="17"/>
              </w:rPr>
              <w:t>28,828</w:t>
            </w:r>
          </w:p>
        </w:tc>
        <w:tc>
          <w:tcPr>
            <w:tcW w:type="dxa" w:w="1440"/>
            <w:shd w:fill="FFDCE0" w:val="clear"/>
          </w:tcPr>
          <w:p>
            <w:r>
              <w:rPr>
                <w:b/>
                <w:color w:val="C00000"/>
                <w:sz w:val="17"/>
              </w:rPr>
              <w:t>-8.6%</w:t>
            </w:r>
          </w:p>
        </w:tc>
      </w:tr>
      <w:tr>
        <w:tc>
          <w:tcPr>
            <w:tcW w:type="dxa" w:w="1440"/>
            <w:shd w:fill="FFDCE0" w:val="clear"/>
          </w:tcPr>
          <w:p>
            <w:r>
              <w:rPr>
                <w:sz w:val="17"/>
              </w:rPr>
              <w:t>J+9  Moyenne</w:t>
            </w:r>
          </w:p>
        </w:tc>
        <w:tc>
          <w:tcPr>
            <w:tcW w:type="dxa" w:w="1440"/>
            <w:shd w:fill="FFDCE0" w:val="clear"/>
          </w:tcPr>
          <w:p>
            <w:r>
              <w:rPr>
                <w:sz w:val="17"/>
              </w:rPr>
              <w:t>2026-08-20</w:t>
            </w:r>
          </w:p>
        </w:tc>
        <w:tc>
          <w:tcPr>
            <w:tcW w:type="dxa" w:w="1440"/>
            <w:shd w:fill="FFDCE0" w:val="clear"/>
          </w:tcPr>
          <w:p>
            <w:r>
              <w:rPr>
                <w:sz w:val="17"/>
              </w:rPr>
              <w:t>24,065</w:t>
            </w:r>
          </w:p>
        </w:tc>
        <w:tc>
          <w:tcPr>
            <w:tcW w:type="dxa" w:w="1440"/>
            <w:shd w:fill="FFDCE0" w:val="clear"/>
          </w:tcPr>
          <w:p>
            <w:r>
              <w:rPr>
                <w:b/>
                <w:sz w:val="17"/>
              </w:rPr>
              <w:t>26,399</w:t>
            </w:r>
          </w:p>
        </w:tc>
        <w:tc>
          <w:tcPr>
            <w:tcW w:type="dxa" w:w="1440"/>
            <w:shd w:fill="FFDCE0" w:val="clear"/>
          </w:tcPr>
          <w:p>
            <w:r>
              <w:rPr>
                <w:sz w:val="17"/>
              </w:rPr>
              <w:t>28,733</w:t>
            </w:r>
          </w:p>
        </w:tc>
        <w:tc>
          <w:tcPr>
            <w:tcW w:type="dxa" w:w="1440"/>
            <w:shd w:fill="FFDCE0" w:val="clear"/>
          </w:tcPr>
          <w:p>
            <w:r>
              <w:rPr>
                <w:b/>
                <w:color w:val="C00000"/>
                <w:sz w:val="17"/>
              </w:rPr>
              <w:t>-9.3%</w:t>
            </w:r>
          </w:p>
        </w:tc>
      </w:tr>
      <w:tr>
        <w:tc>
          <w:tcPr>
            <w:tcW w:type="dxa" w:w="1440"/>
            <w:shd w:fill="FFDCE0" w:val="clear"/>
          </w:tcPr>
          <w:p>
            <w:r>
              <w:rPr>
                <w:sz w:val="17"/>
              </w:rPr>
              <w:t>J+10  Moyenne</w:t>
            </w:r>
          </w:p>
        </w:tc>
        <w:tc>
          <w:tcPr>
            <w:tcW w:type="dxa" w:w="1440"/>
            <w:shd w:fill="FFDCE0" w:val="clear"/>
          </w:tcPr>
          <w:p>
            <w:r>
              <w:rPr>
                <w:sz w:val="17"/>
              </w:rPr>
              <w:t>2026-08-21</w:t>
            </w:r>
          </w:p>
        </w:tc>
        <w:tc>
          <w:tcPr>
            <w:tcW w:type="dxa" w:w="1440"/>
            <w:shd w:fill="FFDCE0" w:val="clear"/>
          </w:tcPr>
          <w:p>
            <w:r>
              <w:rPr>
                <w:sz w:val="17"/>
              </w:rPr>
              <w:t>23,755</w:t>
            </w:r>
          </w:p>
        </w:tc>
        <w:tc>
          <w:tcPr>
            <w:tcW w:type="dxa" w:w="1440"/>
            <w:shd w:fill="FFDCE0" w:val="clear"/>
          </w:tcPr>
          <w:p>
            <w:r>
              <w:rPr>
                <w:b/>
                <w:sz w:val="17"/>
              </w:rPr>
              <w:t>26,196</w:t>
            </w:r>
          </w:p>
        </w:tc>
        <w:tc>
          <w:tcPr>
            <w:tcW w:type="dxa" w:w="1440"/>
            <w:shd w:fill="FFDCE0" w:val="clear"/>
          </w:tcPr>
          <w:p>
            <w:r>
              <w:rPr>
                <w:sz w:val="17"/>
              </w:rPr>
              <w:t>28,638</w:t>
            </w:r>
          </w:p>
        </w:tc>
        <w:tc>
          <w:tcPr>
            <w:tcW w:type="dxa" w:w="1440"/>
            <w:shd w:fill="FFDCE0" w:val="clear"/>
          </w:tcPr>
          <w:p>
            <w:r>
              <w:rPr>
                <w:b/>
                <w:color w:val="C00000"/>
                <w:sz w:val="17"/>
              </w:rPr>
              <w:t>-10.0%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Absolument. Voici un rapport d'analyse professionnel structuré pour l'action BICC (BICICI) sur la BRVM,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BICC s'établit à 485 milliards FCFA, ce qui en fait l'une des valeurs les plus significatives de la cote, reflétant son statut de banque majeure en Côte d'Ivoire. Avec un BPA de 2 191 FCFA, le titre se négocie à un PER de 13,3x, légèrement au-dessus de la moyenne historique de la BRVM (8-12x), indiquant que le marché intègre déjà une prime de croissance. Le P/B de 4,02x est nettement supérieur à 1, confirmant une valorisation exigeante du marché par rapport à la valeur comptable des fonds propres. Enfin, un EV/EBITDA de 9,3x reste dans une zone raisonnable, suggérant que la valeur d'entreprise est cohérente avec la capacité bénéficiaire opérationnelle de la banque.</w:t>
      </w:r>
    </w:p>
    <w:p>
      <w:pPr>
        <w:spacing w:after="120" w:line="276" w:lineRule="auto"/>
      </w:pPr>
      <w:r>
        <w:t>### PARTIE 1 : ANALYSE DU COURS — STATISTIQUES ET ÉVOLUTION (100 derniers jours)</w:t>
      </w:r>
    </w:p>
    <w:p>
      <w:pPr>
        <w:spacing w:after="120" w:line="276" w:lineRule="auto"/>
      </w:pPr>
      <w:r>
        <w:t>Sur les 100 derniers jours, l'action BICC affiche une performance très positive de +13,21%, avec une légère progression de +0,34% lors de la dernière séance, pour clôturer à 29 100 FCFA. Le titre a évolué dans un range de trading de 22 500 FCFA (plus bas) à 29 490 FCFA (plus haut), démontrant une tendance haussière soutenue. Les statistiques descriptives révèlent une moyenne de 26 840 FCFA et une médiane de 27 605 FCFA ; l'écart entre ces deux valeurs indique une distribution légèrement asymétrique, avec des extrêmes à la hausse. L'écart-type de 1 962 FCFA, avec un coefficient de variation de 7,3%, montre une dispersion modérée. Le kurtosis négatif (-1.172) signale une distribution platykurtique, avec moins de pics extrêmes que la normale, tandis que le skewness (-0.472) suggère une asymétrie vers les valeurs basses. La volatilité annualisée de 30,8% classe le titre comme très volatil, un niveau élevé pour une valeur bancaire.</w:t>
      </w:r>
    </w:p>
    <w:p>
      <w:pPr>
        <w:spacing w:after="120" w:line="276" w:lineRule="auto"/>
      </w:pPr>
      <w:r>
        <w:t>### PARTIE 2 : ANALYSE TECHNIQUE DÉTAILLÉE</w:t>
      </w:r>
    </w:p>
    <w:p>
      <w:pPr>
        <w:spacing w:after="120" w:line="276" w:lineRule="auto"/>
      </w:pPr>
      <w:r>
        <w:t>**Moyennes Mobiles** : Le cours actuel (29 100 FCFA) se situe au-dessus de la MM20 (28 490 FCFA) et de la MM50 (28 543,6 FCFA), ce qui est un signal haussier. Cependant, la décision globale est "Vente", probablement car le cours pourrait être en phase de consolidation après une forte hausse, et que la MM20 est sous la MM50, indiquant un potentiel retournement à moyen terme.</w:t>
      </w:r>
    </w:p>
    <w:p>
      <w:pPr>
        <w:spacing w:after="120" w:line="276" w:lineRule="auto"/>
      </w:pPr>
      <w:r>
        <w:t>**Bandes de Bollinger** : Le prix est proche de la borne supérieure (29 498 FCFA), indiquant une pression acheteuse. La décision "Neutre" suggère que le marché n'est pas encore en situation de surachat extrême, mais la proximité de la borne supérieure pourrait limiter le potentiel de hausse à court terme.</w:t>
      </w:r>
    </w:p>
    <w:p>
      <w:pPr>
        <w:spacing w:after="120" w:line="276" w:lineRule="auto"/>
      </w:pPr>
      <w:r>
        <w:t>**MACD** : La valeur du MACD (210,359) est supérieure à son signal (139,242), ce qui est un signal d'achat classique. Cette configuration indique un momentum haussier positif et une accélération de la tendance, renforçant la dynamique positive du titre.</w:t>
      </w:r>
    </w:p>
    <w:p>
      <w:pPr>
        <w:spacing w:after="120" w:line="276" w:lineRule="auto"/>
      </w:pPr>
      <w:r>
        <w:t>**RSI** : Avec une valeur de 66,78, le RSI est en zone neutre, mais proche de la zone de surachat (70). Cela signifie que le titre a encore une marge de progression avant d'être considéré comme surévalué à court terme, mais la prudence est de mise.</w:t>
      </w:r>
    </w:p>
    <w:p>
      <w:pPr>
        <w:spacing w:after="120" w:line="276" w:lineRule="auto"/>
      </w:pPr>
      <w:r>
        <w:t>**Stochastique** : Le %K (100) et le %D (99,34) sont à des niveaux extrêmement élevés, signalant une condition de surachat sévère. La décision "Vente" est justifiée, car un repli technique est probable à très court terme pour corriger ces conditions.</w:t>
      </w:r>
    </w:p>
    <w:p>
      <w:pPr>
        <w:spacing w:after="120" w:line="276" w:lineRule="auto"/>
      </w:pPr>
      <w:r>
        <w:t>**Conclusion technique** : Les indicateurs sont mitigés. Le MACD et la position du cours par rapport aux moyennes mobiles sont positifs, mais le Stochastique et, dans une moindre mesure, le RSI signalent des conditions de surachat. La décision de vente des moyennes mobiles ajoute à la prudence. Le titre est dans une tendance haussière de fond, mais un repli technique à court terme est à prévoir avant une possible poursuite de la hausse.</w:t>
      </w:r>
    </w:p>
    <w:p>
      <w:pPr>
        <w:spacing w:after="120" w:line="276" w:lineRule="auto"/>
      </w:pPr>
      <w:r>
        <w:t>### PARTIE 3 : ANALYSE FONDAMENTALE (SECTION CRITIQUE)</w:t>
      </w:r>
    </w:p>
    <w:p>
      <w:pPr>
        <w:spacing w:after="120" w:line="276" w:lineRule="auto"/>
      </w:pPr>
      <w:r>
        <w:t>En 2025, les données financières structurées de BICC révèlent une santé financière robuste. Le Produit Net Bancaire (PNB) s'établit à 79,563 milliards FCFA, générant un résultat net de 36,520 milliards FCFA. La rentabilité est excellente avec un ROE de 30,29% et un ROA de 3,24%, bien au-dessus des seuils de référence. Le coefficient d'exploitation de 50,83% démontre une excellente maîtrise des charges. Le ratio de transformation est sain, avec des dépôts clients (952,872 Mds) largement supérieurs aux créances sur la clientèle (524,439 Mds), indiquant une forte liquidité. Le coût du risque, bien que négatif, doit être surveillé. Les rapports trimestriels confirment cette dynamique : au T1 2026 (rapport du 31/03/2026), le PNB progresse de +17% à 21,214 Mds et le résultat net de +29,7% à 10,387 Mds. Le rapport du T3 2025 (cumulé) montre un PNB de 58,119 Mds (+16,4%) et un résultat net de 27,402 Mds (+50,8%). Sur la base de ces performances, on estime que l'exercice 2026 devrait poursuivre cette croissance, avec un PNB annuel potentiellement supérieur à 85 Mds FCFA et un résultat net dépassant les 40 Mds FCFA. La banque démontre une capacité de croissance rentable, une gestion rigoureuse des coûts et une excellente maîtrise du risque, consolidant sa position de leader sur le marché ivoirien.</w:t>
      </w:r>
    </w:p>
    <w:p>
      <w:pPr>
        <w:spacing w:after="120" w:line="276" w:lineRule="auto"/>
      </w:pPr>
      <w:r>
        <w:t>### PARTIE 4 : CONCLUSION D'INVESTISSEMENT</w:t>
      </w:r>
    </w:p>
    <w:p>
      <w:pPr>
        <w:spacing w:after="120" w:line="276" w:lineRule="auto"/>
      </w:pPr>
      <w:r>
        <w:t>La valorisation de BICC (PER 13,3x, P/B 4,02x) est exigeante mais justifiée par des fondamentaux exceptionnels. Le comportement du cours est haussier avec une volatilité élevée, et les statistiques (kurtosis, skewness) suggèrent une distribution stable sans extrêmes récurrents. Les signaux techniques sont mitigés : la tendance de fond est positive (MACD, MM), mais des indicateurs de surachat (Stochastique, RSI) et une décision de vente sur les MM appellent à la prudence à court terme. Les fondamentaux sont extrêmement solides, avec une croissance à deux chiffres du PNB et du résultat net, un ROE de 30% et une excellente efficacité opérationnelle. Les prédictions IA pour les 10 prochains jours (de 28 348 FCFA à 27 288 FCFA) suggèrent une correction, ce qui contredit les signaux haussiers de moyen terme mais confirme les signaux de surachat technique. En synthèse, la convergence entre des fondamentaux excellents et une dynamique de cours positive est contrebalancée par un risque de correction technique à court terme.</w:t>
      </w:r>
    </w:p>
    <w:p>
      <w:pPr>
        <w:spacing w:after="120" w:line="276" w:lineRule="auto"/>
      </w:pPr>
      <w:r>
        <w:t>**Recommandation finale : ACHAT** (avec un horizon de moyen terme).</w:t>
        <w:br/>
        <w:t>**Justification** : Les fondamentaux solides et la croissance soutenue justifient une position à moyen/long terme. La prudence est de mise à court terme en raison des signaux de surachat et des prédictions IA baissières, qui pourraient offrir un point d'entrée plus favorable.</w:t>
        <w:br/>
        <w:t>**Niveau de confiance : Moyen** (en raison des signaux techniques contradictoires).</w:t>
        <w:br/>
        <w:t>**Niveau de risque global : Moyen** (volatilité élevée, mais fondamentaux solides).</w:t>
        <w:br/>
        <w:t>**Horizon d'investissement optimal : Moyen terme (3-12 mois)** pour capitaliser sur la croissance des bénéfices, en attendant une éventuelle correction pour renforcer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12.59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2,167 titres</w:t>
            </w:r>
          </w:p>
        </w:tc>
        <w:tc>
          <w:tcPr>
            <w:tcW w:type="dxa" w:w="2268"/>
            <w:shd w:fill="FFF2CC" w:val="clear"/>
          </w:tcPr>
          <w:p>
            <w:r>
              <w:rPr>
                <w:b/>
                <w:color w:val="503200"/>
                <w:sz w:val="16"/>
              </w:rPr>
              <w:t xml:space="preserve">Cours actuel : </w:t>
            </w:r>
            <w:r>
              <w:rPr>
                <w:color w:val="000000"/>
                <w:sz w:val="17"/>
              </w:rPr>
              <w:t>1,900 FCFA</w:t>
            </w:r>
          </w:p>
          <w:p>
            <w:r>
              <w:rPr>
                <w:b/>
                <w:color w:val="503200"/>
                <w:sz w:val="16"/>
              </w:rPr>
              <w:t xml:space="preserve">Var. 100 jours : </w:t>
            </w:r>
            <w:r>
              <w:rPr>
                <w:b/>
                <w:color w:val="007800"/>
                <w:sz w:val="17"/>
              </w:rPr>
              <w:t>+18.75%</w:t>
            </w:r>
          </w:p>
          <w:p>
            <w:r>
              <w:rPr>
                <w:b/>
                <w:color w:val="503200"/>
                <w:sz w:val="16"/>
              </w:rPr>
              <w:t xml:space="preserve">Plus haut 100j : </w:t>
            </w:r>
            <w:r>
              <w:rPr>
                <w:color w:val="000000"/>
                <w:sz w:val="17"/>
              </w:rPr>
              <w:t>2,100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48.0%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11.43% (Moyenne) — μ=1,715 FCFA, σ=196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β=-0.0241 (Contre-cyclique) — Cov=-0.000001, Var(idx)=0.000036, ρ=-0.005,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2,167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annualisée≈48.0%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1,825</w:t>
            </w:r>
          </w:p>
        </w:tc>
        <w:tc>
          <w:tcPr>
            <w:tcW w:type="dxa" w:w="1440"/>
            <w:shd w:fill="FAFAFA" w:val="clear"/>
          </w:tcPr>
          <w:p>
            <w:r>
              <w:rPr>
                <w:b/>
                <w:sz w:val="17"/>
              </w:rPr>
              <w:t>1,904</w:t>
            </w:r>
          </w:p>
        </w:tc>
        <w:tc>
          <w:tcPr>
            <w:tcW w:type="dxa" w:w="1440"/>
            <w:shd w:fill="FAFAFA" w:val="clear"/>
          </w:tcPr>
          <w:p>
            <w:r>
              <w:rPr>
                <w:sz w:val="17"/>
              </w:rPr>
              <w:t>1,984</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1,791</w:t>
            </w:r>
          </w:p>
        </w:tc>
        <w:tc>
          <w:tcPr>
            <w:tcW w:type="dxa" w:w="1440"/>
            <w:shd w:fill="FAFAFA" w:val="clear"/>
          </w:tcPr>
          <w:p>
            <w:r>
              <w:rPr>
                <w:b/>
                <w:sz w:val="17"/>
              </w:rPr>
              <w:t>1,903</w:t>
            </w:r>
          </w:p>
        </w:tc>
        <w:tc>
          <w:tcPr>
            <w:tcW w:type="dxa" w:w="1440"/>
            <w:shd w:fill="FAFAFA" w:val="clear"/>
          </w:tcPr>
          <w:p>
            <w:r>
              <w:rPr>
                <w:sz w:val="17"/>
              </w:rPr>
              <w:t>2,015</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1,766</w:t>
            </w:r>
          </w:p>
        </w:tc>
        <w:tc>
          <w:tcPr>
            <w:tcW w:type="dxa" w:w="1440"/>
            <w:shd w:fill="FAFAFA" w:val="clear"/>
          </w:tcPr>
          <w:p>
            <w:r>
              <w:rPr>
                <w:b/>
                <w:sz w:val="17"/>
              </w:rPr>
              <w:t>1,903</w:t>
            </w:r>
          </w:p>
        </w:tc>
        <w:tc>
          <w:tcPr>
            <w:tcW w:type="dxa" w:w="1440"/>
            <w:shd w:fill="FAFAFA" w:val="clear"/>
          </w:tcPr>
          <w:p>
            <w:r>
              <w:rPr>
                <w:sz w:val="17"/>
              </w:rPr>
              <w:t>2,041</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1,746</w:t>
            </w:r>
          </w:p>
        </w:tc>
        <w:tc>
          <w:tcPr>
            <w:tcW w:type="dxa" w:w="1440"/>
            <w:shd w:fill="FAFAFA" w:val="clear"/>
          </w:tcPr>
          <w:p>
            <w:r>
              <w:rPr>
                <w:b/>
                <w:sz w:val="17"/>
              </w:rPr>
              <w:t>1,904</w:t>
            </w:r>
          </w:p>
        </w:tc>
        <w:tc>
          <w:tcPr>
            <w:tcW w:type="dxa" w:w="1440"/>
            <w:shd w:fill="FAFAFA" w:val="clear"/>
          </w:tcPr>
          <w:p>
            <w:r>
              <w:rPr>
                <w:sz w:val="17"/>
              </w:rPr>
              <w:t>2,062</w:t>
            </w:r>
          </w:p>
        </w:tc>
        <w:tc>
          <w:tcPr>
            <w:tcW w:type="dxa" w:w="1440"/>
            <w:shd w:fill="FAFAFA" w:val="clear"/>
          </w:tcPr>
          <w:p>
            <w:r>
              <w:rPr>
                <w:b/>
                <w:color w:val="008000"/>
                <w:sz w:val="17"/>
              </w:rPr>
              <w:t>+0.2%</w:t>
            </w:r>
          </w:p>
        </w:tc>
      </w:tr>
      <w:tr>
        <w:tc>
          <w:tcPr>
            <w:tcW w:type="dxa" w:w="1440"/>
            <w:shd w:fill="FAFAFA" w:val="clear"/>
          </w:tcPr>
          <w:p>
            <w:r>
              <w:rPr>
                <w:sz w:val="17"/>
              </w:rPr>
              <w:t>J+5  ⭐</w:t>
            </w:r>
          </w:p>
        </w:tc>
        <w:tc>
          <w:tcPr>
            <w:tcW w:type="dxa" w:w="1440"/>
            <w:shd w:fill="FAFAFA" w:val="clear"/>
          </w:tcPr>
          <w:p>
            <w:r>
              <w:rPr>
                <w:sz w:val="17"/>
              </w:rPr>
              <w:t>2026-08-14</w:t>
            </w:r>
          </w:p>
        </w:tc>
        <w:tc>
          <w:tcPr>
            <w:tcW w:type="dxa" w:w="1440"/>
            <w:shd w:fill="FAFAFA" w:val="clear"/>
          </w:tcPr>
          <w:p>
            <w:r>
              <w:rPr>
                <w:sz w:val="17"/>
              </w:rPr>
              <w:t>1,727</w:t>
            </w:r>
          </w:p>
        </w:tc>
        <w:tc>
          <w:tcPr>
            <w:tcW w:type="dxa" w:w="1440"/>
            <w:shd w:fill="FAFAFA" w:val="clear"/>
          </w:tcPr>
          <w:p>
            <w:r>
              <w:rPr>
                <w:b/>
                <w:sz w:val="17"/>
              </w:rPr>
              <w:t>1,904</w:t>
            </w:r>
          </w:p>
        </w:tc>
        <w:tc>
          <w:tcPr>
            <w:tcW w:type="dxa" w:w="1440"/>
            <w:shd w:fill="FAFAFA" w:val="clear"/>
          </w:tcPr>
          <w:p>
            <w:r>
              <w:rPr>
                <w:sz w:val="17"/>
              </w:rPr>
              <w:t>2,081</w:t>
            </w:r>
          </w:p>
        </w:tc>
        <w:tc>
          <w:tcPr>
            <w:tcW w:type="dxa" w:w="1440"/>
            <w:shd w:fill="FAFAFA" w:val="clear"/>
          </w:tcPr>
          <w:p>
            <w:r>
              <w:rPr>
                <w:b/>
                <w:color w:val="008000"/>
                <w:sz w:val="17"/>
              </w:rPr>
              <w:t>+0.2%</w:t>
            </w:r>
          </w:p>
        </w:tc>
      </w:tr>
      <w:tr>
        <w:tc>
          <w:tcPr>
            <w:tcW w:type="dxa" w:w="1440"/>
            <w:shd w:fill="FAFAFA" w:val="clear"/>
          </w:tcPr>
          <w:p>
            <w:r>
              <w:rPr>
                <w:sz w:val="17"/>
              </w:rPr>
              <w:t>J+6  ⭐</w:t>
            </w:r>
          </w:p>
        </w:tc>
        <w:tc>
          <w:tcPr>
            <w:tcW w:type="dxa" w:w="1440"/>
            <w:shd w:fill="FAFAFA" w:val="clear"/>
          </w:tcPr>
          <w:p>
            <w:r>
              <w:rPr>
                <w:sz w:val="17"/>
              </w:rPr>
              <w:t>2026-08-17</w:t>
            </w:r>
          </w:p>
        </w:tc>
        <w:tc>
          <w:tcPr>
            <w:tcW w:type="dxa" w:w="1440"/>
            <w:shd w:fill="FAFAFA" w:val="clear"/>
          </w:tcPr>
          <w:p>
            <w:r>
              <w:rPr>
                <w:sz w:val="17"/>
              </w:rPr>
              <w:t>1,710</w:t>
            </w:r>
          </w:p>
        </w:tc>
        <w:tc>
          <w:tcPr>
            <w:tcW w:type="dxa" w:w="1440"/>
            <w:shd w:fill="FAFAFA" w:val="clear"/>
          </w:tcPr>
          <w:p>
            <w:r>
              <w:rPr>
                <w:b/>
                <w:sz w:val="17"/>
              </w:rPr>
              <w:t>1,904</w:t>
            </w:r>
          </w:p>
        </w:tc>
        <w:tc>
          <w:tcPr>
            <w:tcW w:type="dxa" w:w="1440"/>
            <w:shd w:fill="FAFAFA" w:val="clear"/>
          </w:tcPr>
          <w:p>
            <w:r>
              <w:rPr>
                <w:sz w:val="17"/>
              </w:rPr>
              <w:t>2,098</w:t>
            </w:r>
          </w:p>
        </w:tc>
        <w:tc>
          <w:tcPr>
            <w:tcW w:type="dxa" w:w="1440"/>
            <w:shd w:fill="FAFAFA" w:val="clear"/>
          </w:tcPr>
          <w:p>
            <w:r>
              <w:rPr>
                <w:b/>
                <w:color w:val="008000"/>
                <w:sz w:val="17"/>
              </w:rPr>
              <w:t>+0.2%</w:t>
            </w:r>
          </w:p>
        </w:tc>
      </w:tr>
      <w:tr>
        <w:tc>
          <w:tcPr>
            <w:tcW w:type="dxa" w:w="1440"/>
            <w:shd w:fill="FAFAFA" w:val="clear"/>
          </w:tcPr>
          <w:p>
            <w:r>
              <w:rPr>
                <w:sz w:val="17"/>
              </w:rPr>
              <w:t>J+7  ⭐</w:t>
            </w:r>
          </w:p>
        </w:tc>
        <w:tc>
          <w:tcPr>
            <w:tcW w:type="dxa" w:w="1440"/>
            <w:shd w:fill="FAFAFA" w:val="clear"/>
          </w:tcPr>
          <w:p>
            <w:r>
              <w:rPr>
                <w:sz w:val="17"/>
              </w:rPr>
              <w:t>2026-08-18</w:t>
            </w:r>
          </w:p>
        </w:tc>
        <w:tc>
          <w:tcPr>
            <w:tcW w:type="dxa" w:w="1440"/>
            <w:shd w:fill="FAFAFA" w:val="clear"/>
          </w:tcPr>
          <w:p>
            <w:r>
              <w:rPr>
                <w:sz w:val="17"/>
              </w:rPr>
              <w:t>1,695</w:t>
            </w:r>
          </w:p>
        </w:tc>
        <w:tc>
          <w:tcPr>
            <w:tcW w:type="dxa" w:w="1440"/>
            <w:shd w:fill="FAFAFA" w:val="clear"/>
          </w:tcPr>
          <w:p>
            <w:r>
              <w:rPr>
                <w:b/>
                <w:sz w:val="17"/>
              </w:rPr>
              <w:t>1,904</w:t>
            </w:r>
          </w:p>
        </w:tc>
        <w:tc>
          <w:tcPr>
            <w:tcW w:type="dxa" w:w="1440"/>
            <w:shd w:fill="FAFAFA" w:val="clear"/>
          </w:tcPr>
          <w:p>
            <w:r>
              <w:rPr>
                <w:sz w:val="17"/>
              </w:rPr>
              <w:t>2,114</w:t>
            </w:r>
          </w:p>
        </w:tc>
        <w:tc>
          <w:tcPr>
            <w:tcW w:type="dxa" w:w="1440"/>
            <w:shd w:fill="FAFAFA" w:val="clear"/>
          </w:tcPr>
          <w:p>
            <w:r>
              <w:rPr>
                <w:b/>
                <w:color w:val="008000"/>
                <w:sz w:val="17"/>
              </w:rPr>
              <w:t>+0.2%</w:t>
            </w:r>
          </w:p>
        </w:tc>
      </w:tr>
      <w:tr>
        <w:tc>
          <w:tcPr>
            <w:tcW w:type="dxa" w:w="1440"/>
            <w:shd w:fill="FAFAFA" w:val="clear"/>
          </w:tcPr>
          <w:p>
            <w:r>
              <w:rPr>
                <w:sz w:val="17"/>
              </w:rPr>
              <w:t>J+8  ⭐</w:t>
            </w:r>
          </w:p>
        </w:tc>
        <w:tc>
          <w:tcPr>
            <w:tcW w:type="dxa" w:w="1440"/>
            <w:shd w:fill="FAFAFA" w:val="clear"/>
          </w:tcPr>
          <w:p>
            <w:r>
              <w:rPr>
                <w:sz w:val="17"/>
              </w:rPr>
              <w:t>2026-08-19</w:t>
            </w:r>
          </w:p>
        </w:tc>
        <w:tc>
          <w:tcPr>
            <w:tcW w:type="dxa" w:w="1440"/>
            <w:shd w:fill="FAFAFA" w:val="clear"/>
          </w:tcPr>
          <w:p>
            <w:r>
              <w:rPr>
                <w:sz w:val="17"/>
              </w:rPr>
              <w:t>1,680</w:t>
            </w:r>
          </w:p>
        </w:tc>
        <w:tc>
          <w:tcPr>
            <w:tcW w:type="dxa" w:w="1440"/>
            <w:shd w:fill="FAFAFA" w:val="clear"/>
          </w:tcPr>
          <w:p>
            <w:r>
              <w:rPr>
                <w:b/>
                <w:sz w:val="17"/>
              </w:rPr>
              <w:t>1,904</w:t>
            </w:r>
          </w:p>
        </w:tc>
        <w:tc>
          <w:tcPr>
            <w:tcW w:type="dxa" w:w="1440"/>
            <w:shd w:fill="FAFAFA" w:val="clear"/>
          </w:tcPr>
          <w:p>
            <w:r>
              <w:rPr>
                <w:sz w:val="17"/>
              </w:rPr>
              <w:t>2,128</w:t>
            </w:r>
          </w:p>
        </w:tc>
        <w:tc>
          <w:tcPr>
            <w:tcW w:type="dxa" w:w="1440"/>
            <w:shd w:fill="FAFAFA" w:val="clear"/>
          </w:tcPr>
          <w:p>
            <w:r>
              <w:rPr>
                <w:b/>
                <w:color w:val="008000"/>
                <w:sz w:val="17"/>
              </w:rPr>
              <w:t>+0.2%</w:t>
            </w:r>
          </w:p>
        </w:tc>
      </w:tr>
      <w:tr>
        <w:tc>
          <w:tcPr>
            <w:tcW w:type="dxa" w:w="1440"/>
            <w:shd w:fill="FAFAFA" w:val="clear"/>
          </w:tcPr>
          <w:p>
            <w:r>
              <w:rPr>
                <w:sz w:val="17"/>
              </w:rPr>
              <w:t>J+9  ⭐</w:t>
            </w:r>
          </w:p>
        </w:tc>
        <w:tc>
          <w:tcPr>
            <w:tcW w:type="dxa" w:w="1440"/>
            <w:shd w:fill="FAFAFA" w:val="clear"/>
          </w:tcPr>
          <w:p>
            <w:r>
              <w:rPr>
                <w:sz w:val="17"/>
              </w:rPr>
              <w:t>2026-08-20</w:t>
            </w:r>
          </w:p>
        </w:tc>
        <w:tc>
          <w:tcPr>
            <w:tcW w:type="dxa" w:w="1440"/>
            <w:shd w:fill="FAFAFA" w:val="clear"/>
          </w:tcPr>
          <w:p>
            <w:r>
              <w:rPr>
                <w:sz w:val="17"/>
              </w:rPr>
              <w:t>1,667</w:t>
            </w:r>
          </w:p>
        </w:tc>
        <w:tc>
          <w:tcPr>
            <w:tcW w:type="dxa" w:w="1440"/>
            <w:shd w:fill="FAFAFA" w:val="clear"/>
          </w:tcPr>
          <w:p>
            <w:r>
              <w:rPr>
                <w:b/>
                <w:sz w:val="17"/>
              </w:rPr>
              <w:t>1,904</w:t>
            </w:r>
          </w:p>
        </w:tc>
        <w:tc>
          <w:tcPr>
            <w:tcW w:type="dxa" w:w="1440"/>
            <w:shd w:fill="FAFAFA" w:val="clear"/>
          </w:tcPr>
          <w:p>
            <w:r>
              <w:rPr>
                <w:sz w:val="17"/>
              </w:rPr>
              <w:t>2,142</w:t>
            </w:r>
          </w:p>
        </w:tc>
        <w:tc>
          <w:tcPr>
            <w:tcW w:type="dxa" w:w="1440"/>
            <w:shd w:fill="FAFAFA" w:val="clear"/>
          </w:tcPr>
          <w:p>
            <w:r>
              <w:rPr>
                <w:b/>
                <w:color w:val="008000"/>
                <w:sz w:val="17"/>
              </w:rPr>
              <w:t>+0.2%</w:t>
            </w:r>
          </w:p>
        </w:tc>
      </w:tr>
      <w:tr>
        <w:tc>
          <w:tcPr>
            <w:tcW w:type="dxa" w:w="1440"/>
            <w:shd w:fill="FAFAFA" w:val="clear"/>
          </w:tcPr>
          <w:p>
            <w:r>
              <w:rPr>
                <w:sz w:val="17"/>
              </w:rPr>
              <w:t>J+10  ⭐</w:t>
            </w:r>
          </w:p>
        </w:tc>
        <w:tc>
          <w:tcPr>
            <w:tcW w:type="dxa" w:w="1440"/>
            <w:shd w:fill="FAFAFA" w:val="clear"/>
          </w:tcPr>
          <w:p>
            <w:r>
              <w:rPr>
                <w:sz w:val="17"/>
              </w:rPr>
              <w:t>2026-08-21</w:t>
            </w:r>
          </w:p>
        </w:tc>
        <w:tc>
          <w:tcPr>
            <w:tcW w:type="dxa" w:w="1440"/>
            <w:shd w:fill="FAFAFA" w:val="clear"/>
          </w:tcPr>
          <w:p>
            <w:r>
              <w:rPr>
                <w:sz w:val="17"/>
              </w:rPr>
              <w:t>1,654</w:t>
            </w:r>
          </w:p>
        </w:tc>
        <w:tc>
          <w:tcPr>
            <w:tcW w:type="dxa" w:w="1440"/>
            <w:shd w:fill="FAFAFA" w:val="clear"/>
          </w:tcPr>
          <w:p>
            <w:r>
              <w:rPr>
                <w:b/>
                <w:sz w:val="17"/>
              </w:rPr>
              <w:t>1,904</w:t>
            </w:r>
          </w:p>
        </w:tc>
        <w:tc>
          <w:tcPr>
            <w:tcW w:type="dxa" w:w="1440"/>
            <w:shd w:fill="FAFAFA" w:val="clear"/>
          </w:tcPr>
          <w:p>
            <w:r>
              <w:rPr>
                <w:sz w:val="17"/>
              </w:rPr>
              <w:t>2,155</w:t>
            </w:r>
          </w:p>
        </w:tc>
        <w:tc>
          <w:tcPr>
            <w:tcW w:type="dxa" w:w="1440"/>
            <w:shd w:fill="FAFAFA" w:val="clear"/>
          </w:tcPr>
          <w:p>
            <w:r>
              <w:rPr>
                <w:b/>
                <w:color w:val="008000"/>
                <w:sz w:val="17"/>
              </w:rPr>
              <w:t>+0.2%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(BERNABÉ CÔTE D'IVOIRE)**</w:t>
        <w:br/>
        <w:t>**Date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BNBC s'établit à 12,59 milliards FCFA, un niveau modeste qui la positionne comme une valeur de seconde ligne sur la BRVM. Le BPA de 3 FCFA par action est extrêmement faible, traduisant une capacité bénéficiaire quasi inexistante. Le PER de 563,9x est considérablement supérieur à la moyenne du marché BRVM (8-12x), ce qui signifie que les investisseurs paient un prix très élevé pour des bénéfices minimes, rendant la valorisation difficilement justifiable sur une base fondamentale. En revanche, le P/B de 0,71x indique que le marché valorise le titre en dessous de sa valeur comptable, suggérant une décote potentielle sur l'actif net. L'EV/EBITDA de 23,9x, bien supérieur au seuil de 15x, confirme une valorisation exigeante par rapport à la capacité opérationnelle de l'entreprise, signalant une prudence nécessaire.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BNBC a enregistré une variation totale de +18,75%, avec une légère baisse de -0,78% lors de la dernière séance. Le cours a évolué dans une fourchette de 1 300 à 2 100 FCFA, démontrant une amplitude de trading significative de 800 FCFA. La moyenne du cours sur la période est de 1 715 FCFA, tandis que la médiane est de 1 630 FCFA, l'écart entre ces deux valeurs indiquant une distribution légèrement asymétrique vers le haut, confirmée par un skewness positif de 0,134. L'écart-type de 197 FCFA, avec un coefficient de variation de 11,5%, révèle une dispersion modérée des prix autour de la moyenne. Le kurtosis de -1,161 (distribution platykurtique) suggère une absence de pics extrêmes, tandis que la volatilité annualisée de 48% classe le titre comme très volatil, bien au-dessus du seuil de 30%. La tendance globale est haussière, soutenue par une progression de près de 19% sur la période.</w:t>
      </w:r>
    </w:p>
    <w:p>
      <w:pPr>
        <w:spacing w:after="120" w:line="276" w:lineRule="auto"/>
      </w:pPr>
      <w:r>
        <w:t>---</w:t>
      </w:r>
    </w:p>
    <w:p>
      <w:pPr>
        <w:spacing w:after="120" w:line="276" w:lineRule="auto"/>
      </w:pPr>
      <w:r>
        <w:t>### PARTIE 2 : ANALYSE TECHNIQUE DÉTAILLÉE</w:t>
      </w:r>
    </w:p>
    <w:p>
      <w:pPr>
        <w:spacing w:after="120" w:line="276" w:lineRule="auto"/>
      </w:pPr>
      <w:r>
        <w:t>**Moyennes Mobiles :** La MM20 à 1 896,25 FCFA et la MM50 à 1 882,5 FCFA sont toutes deux inférieures au cours actuel de 1 900 FCFA, ce qui confirme une dynamique positive. Le croisement des moyennes mobiles, avec la MM20 au-dessus de la MM50, renforce le signal d'achat, indiquant une tendance haussière à court et moyen terme.</w:t>
      </w:r>
    </w:p>
    <w:p>
      <w:pPr>
        <w:spacing w:after="120" w:line="276" w:lineRule="auto"/>
      </w:pPr>
      <w:r>
        <w:t>**Bandes de Bollinger :** Le cours à 1 900 FCFA se positionne entre la borne inférieure à 1 749,82 FCFA et la borne supérieure à 2 042,68 FCFA, proche de la moyenne. Cette position neutre suggère une volatilité modérée, sans signal de surachat ni de survente. La décision neutre reflète une phase de consolidation après la récente hausse.</w:t>
      </w:r>
    </w:p>
    <w:p>
      <w:pPr>
        <w:spacing w:after="120" w:line="276" w:lineRule="auto"/>
      </w:pPr>
      <w:r>
        <w:t>**MACD :** Le MACD à 10,041 est inférieur à sa ligne de signal à 15,625, indiquant un momentum baissier à court terme. Cette divergence négative, bien que les valeurs restent positives, suggère un ralentissement de la dynamique haussière, justifiant une décision de vente prudente.</w:t>
      </w:r>
    </w:p>
    <w:p>
      <w:pPr>
        <w:spacing w:after="120" w:line="276" w:lineRule="auto"/>
      </w:pPr>
      <w:r>
        <w:t>**RSI :** Le RSI à 53,623 se situe dans la zone neutre (30-70), indiquant un équilibre entre pressions acheteuses et vendeuses. Cette valeur ne montre ni surachat ni survente, laissant place à une évolution directionnelle sans signal fort.</w:t>
      </w:r>
    </w:p>
    <w:p>
      <w:pPr>
        <w:spacing w:after="120" w:line="276" w:lineRule="auto"/>
      </w:pPr>
      <w:r>
        <w:t>**Stochastique :** Le %K à 21,739 et le %D à 34,783 sont en zone de survente relative, avec %K inférieur à %D, suggérant un potentiel de rebond technique. La décision neutre reflète une situation de transition, où un croisement haussier pourrait émerger.</w:t>
      </w:r>
    </w:p>
    <w:p>
      <w:pPr>
        <w:spacing w:after="120" w:line="276" w:lineRule="auto"/>
      </w:pPr>
      <w:r>
        <w:t>**Conclusion technique :** Les indicateurs sont mitigés, avec des signaux d'achat des moyennes mobiles contrebalancés par une faiblesse du MACD et un RSI neutre. La tendance de fond reste haussière, mais le court terme pourrait connaître une consolidation. La prudence est recommandée en attendant une confirmation directionnelle.</w:t>
      </w:r>
    </w:p>
    <w:p>
      <w:pPr>
        <w:spacing w:after="120" w:line="276" w:lineRule="auto"/>
      </w:pPr>
      <w:r>
        <w:t>---</w:t>
      </w:r>
    </w:p>
    <w:p>
      <w:pPr>
        <w:spacing w:after="120" w:line="276" w:lineRule="auto"/>
      </w:pPr>
      <w:r>
        <w:t>### PARTIE 3 : ANALYSE FONDAMENTALE (SECTION CRITIQUE)</w:t>
      </w:r>
    </w:p>
    <w:p>
      <w:pPr>
        <w:spacing w:after="120" w:line="276" w:lineRule="auto"/>
      </w:pPr>
      <w:r>
        <w:t>En 2025, BNBC a réalisé un chiffre d'affaires de 42,454 milliards FCFA, en baisse de 6,31% par rapport à 2024 (45,312 milliards FCFA). Le résultat net est de 22,32 millions FCFA, une amélioration par rapport aux 7,31 millions de 2024, mais la marge nette reste anémique à 0,05%. Le ROE est de 0,13% et le ROA de 0,05%, tous deux très inférieurs au seuil de 15% considéré comme excellent, reflétant une rentabilité quasi nulle. En tant qu'entreprise, le BFR est de 29,373 milliards FCFA, avec un délai clients de 104,4 jours, un délai fournisseurs de 116,09 jours et une durée de stockage de 339,23 jours, indiquant une immobilisation importante de capital et un risque de trésorerie. L'endettement total représente 105,48% des capitaux propres, avec une trésorerie nette négative de 16,689 milliards FCFA. Sur la base du rapport T1 2026, le chiffre d'affaires est stable à 11,194 milliards FCFA (-0,12%), mais le résultat net s'est redressé à +65,57 millions FCFA contre une perte de -16,15 millions au T1 2025, grâce à l'intégration de la division Équipement. On estime que l'exercice 2026 pourrait voir une amélioration progressive de la rentabilité si la montée en puissance des nouvelles divisions se confirme, mais les fondamentaux restent fragiles avec une dépendance aux affaires exceptionnelles et une liquidité précaire.</w:t>
      </w:r>
    </w:p>
    <w:p>
      <w:pPr>
        <w:spacing w:after="120" w:line="276" w:lineRule="auto"/>
      </w:pPr>
      <w:r>
        <w:t>---</w:t>
      </w:r>
    </w:p>
    <w:p>
      <w:pPr>
        <w:spacing w:after="120" w:line="276" w:lineRule="auto"/>
      </w:pPr>
      <w:r>
        <w:t>### PARTIE 4 : CONCLUSION D'INVESTISSEMENT</w:t>
      </w:r>
    </w:p>
    <w:p>
      <w:pPr>
        <w:spacing w:after="120" w:line="276" w:lineRule="auto"/>
      </w:pPr>
      <w:r>
        <w:t>La valorisation de BNBC est préoccupante, avec un PER de 563,9x et un EV/EBITDA de 23,9x indiquant une surévaluation relative, malgré un P/B de 0,71x offrant une décote comptable. Le comportement du cours est haussier sur 100 jours (+18,75%), mais la volatilité élevée (48%) et la distribution platykurtique signalent une instabilité. Les signaux techniques sont mitigés, avec des moyennes mobiles positives mais un MACD vendeur et un RSI neutre. Les fondamentaux sont faibles, avec une rentabilité quasi nulle, un BFR élevé et une trésorerie négative, bien que le T1 2026 montre un redressement du résultat net. Les prédictions IA pour les 10 prochains jours (1 903-1 904 FCFA) suggèrent une stabilité, contredisant légèrement la dynamique haussière récente. En synthèse, la recommandation est **CONSERVER**, avec un niveau de confiance **Faible** et un risque global **Élevé**. L'horizon d'investissement optimal est le **moyen terme (3-12 mois)**, en attendant une confirmation de la reprise de la rentabilité et une amélioration de la trésorerie.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353.29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5,539 titres</w:t>
            </w:r>
          </w:p>
        </w:tc>
        <w:tc>
          <w:tcPr>
            <w:tcW w:type="dxa" w:w="2268"/>
            <w:shd w:fill="FFF2CC" w:val="clear"/>
          </w:tcPr>
          <w:p>
            <w:r>
              <w:rPr>
                <w:b/>
                <w:color w:val="503200"/>
                <w:sz w:val="16"/>
              </w:rPr>
              <w:t xml:space="preserve">Cours actuel : </w:t>
            </w:r>
            <w:r>
              <w:rPr>
                <w:color w:val="000000"/>
                <w:sz w:val="17"/>
              </w:rPr>
              <w:t>8,710 FCFA</w:t>
            </w:r>
          </w:p>
          <w:p>
            <w:r>
              <w:rPr>
                <w:b/>
                <w:color w:val="503200"/>
                <w:sz w:val="16"/>
              </w:rPr>
              <w:t xml:space="preserve">Var. 100 jours : </w:t>
            </w:r>
            <w:r>
              <w:rPr>
                <w:b/>
                <w:color w:val="007800"/>
                <w:sz w:val="17"/>
              </w:rPr>
              <w:t>+8.88%</w:t>
            </w:r>
          </w:p>
          <w:p>
            <w:r>
              <w:rPr>
                <w:b/>
                <w:color w:val="503200"/>
                <w:sz w:val="16"/>
              </w:rPr>
              <w:t xml:space="preserve">Plus haut 100j : </w:t>
            </w:r>
            <w:r>
              <w:rPr>
                <w:color w:val="000000"/>
                <w:sz w:val="17"/>
              </w:rPr>
              <w:t>9,420 FCFA</w:t>
            </w:r>
          </w:p>
          <w:p>
            <w:r>
              <w:rPr>
                <w:b/>
                <w:color w:val="503200"/>
                <w:sz w:val="16"/>
              </w:rPr>
              <w:t xml:space="preserve">Plus bas 100j : </w:t>
            </w:r>
            <w:r>
              <w:rPr>
                <w:color w:val="000000"/>
                <w:sz w:val="17"/>
              </w:rPr>
              <w:t>7,295 FCFA</w:t>
            </w:r>
          </w:p>
          <w:p>
            <w:r>
              <w:rPr>
                <w:b/>
                <w:color w:val="503200"/>
                <w:sz w:val="16"/>
              </w:rPr>
              <w:t xml:space="preserve">Volatilité ann. : </w:t>
            </w:r>
            <w:r>
              <w:rPr>
                <w:color w:val="000000"/>
                <w:sz w:val="17"/>
              </w:rPr>
              <w:t>23.1%</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7.03% (Moyenne) — μ=8,543 FCFA, σ=600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β=-0.1409 (Contre-cyclique) — Cov=-0.000005, Var(idx)=0.000036, ρ=-0.058,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5,539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σ_j=1.45%/j (Stable) — Vol. annualisée≈23.1%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A06400"/>
          <w:sz w:val="26"/>
        </w:rPr>
        <w:t>54/100  (Moyen)</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8,362</w:t>
            </w:r>
          </w:p>
        </w:tc>
        <w:tc>
          <w:tcPr>
            <w:tcW w:type="dxa" w:w="1440"/>
            <w:shd w:fill="FFDCE0" w:val="clear"/>
          </w:tcPr>
          <w:p>
            <w:r>
              <w:rPr>
                <w:b/>
                <w:sz w:val="17"/>
              </w:rPr>
              <w:t>8,486</w:t>
            </w:r>
          </w:p>
        </w:tc>
        <w:tc>
          <w:tcPr>
            <w:tcW w:type="dxa" w:w="1440"/>
            <w:shd w:fill="FFDCE0" w:val="clear"/>
          </w:tcPr>
          <w:p>
            <w:r>
              <w:rPr>
                <w:sz w:val="17"/>
              </w:rPr>
              <w:t>8,610</w:t>
            </w:r>
          </w:p>
        </w:tc>
        <w:tc>
          <w:tcPr>
            <w:tcW w:type="dxa" w:w="1440"/>
            <w:shd w:fill="FFDCE0" w:val="clear"/>
          </w:tcPr>
          <w:p>
            <w:r>
              <w:rPr>
                <w:b/>
                <w:color w:val="C00000"/>
                <w:sz w:val="17"/>
              </w:rPr>
              <w:t>-2.6%</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8,193</w:t>
            </w:r>
          </w:p>
        </w:tc>
        <w:tc>
          <w:tcPr>
            <w:tcW w:type="dxa" w:w="1440"/>
            <w:shd w:fill="FFDCE0" w:val="clear"/>
          </w:tcPr>
          <w:p>
            <w:r>
              <w:rPr>
                <w:b/>
                <w:sz w:val="17"/>
              </w:rPr>
              <w:t>8,366</w:t>
            </w:r>
          </w:p>
        </w:tc>
        <w:tc>
          <w:tcPr>
            <w:tcW w:type="dxa" w:w="1440"/>
            <w:shd w:fill="FFDCE0" w:val="clear"/>
          </w:tcPr>
          <w:p>
            <w:r>
              <w:rPr>
                <w:sz w:val="17"/>
              </w:rPr>
              <w:t>8,538</w:t>
            </w:r>
          </w:p>
        </w:tc>
        <w:tc>
          <w:tcPr>
            <w:tcW w:type="dxa" w:w="1440"/>
            <w:shd w:fill="FFDCE0" w:val="clear"/>
          </w:tcPr>
          <w:p>
            <w:r>
              <w:rPr>
                <w:b/>
                <w:color w:val="C00000"/>
                <w:sz w:val="17"/>
              </w:rPr>
              <w:t>-4.0%</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8,045</w:t>
            </w:r>
          </w:p>
        </w:tc>
        <w:tc>
          <w:tcPr>
            <w:tcW w:type="dxa" w:w="1440"/>
            <w:shd w:fill="FFDCE0" w:val="clear"/>
          </w:tcPr>
          <w:p>
            <w:r>
              <w:rPr>
                <w:b/>
                <w:sz w:val="17"/>
              </w:rPr>
              <w:t>8,253</w:t>
            </w:r>
          </w:p>
        </w:tc>
        <w:tc>
          <w:tcPr>
            <w:tcW w:type="dxa" w:w="1440"/>
            <w:shd w:fill="FFDCE0" w:val="clear"/>
          </w:tcPr>
          <w:p>
            <w:r>
              <w:rPr>
                <w:sz w:val="17"/>
              </w:rPr>
              <w:t>8,462</w:t>
            </w:r>
          </w:p>
        </w:tc>
        <w:tc>
          <w:tcPr>
            <w:tcW w:type="dxa" w:w="1440"/>
            <w:shd w:fill="FFDCE0" w:val="clear"/>
          </w:tcPr>
          <w:p>
            <w:r>
              <w:rPr>
                <w:b/>
                <w:color w:val="C00000"/>
                <w:sz w:val="17"/>
              </w:rPr>
              <w:t>-5.2%</w:t>
            </w:r>
          </w:p>
        </w:tc>
      </w:tr>
      <w:tr>
        <w:tc>
          <w:tcPr>
            <w:tcW w:type="dxa" w:w="1440"/>
            <w:shd w:fill="FFDCE0" w:val="clear"/>
          </w:tcPr>
          <w:p>
            <w:r>
              <w:rPr>
                <w:sz w:val="17"/>
              </w:rPr>
              <w:t>J+4  Moyenne</w:t>
            </w:r>
          </w:p>
        </w:tc>
        <w:tc>
          <w:tcPr>
            <w:tcW w:type="dxa" w:w="1440"/>
            <w:shd w:fill="FFDCE0" w:val="clear"/>
          </w:tcPr>
          <w:p>
            <w:r>
              <w:rPr>
                <w:sz w:val="17"/>
              </w:rPr>
              <w:t>2026-08-13</w:t>
            </w:r>
          </w:p>
        </w:tc>
        <w:tc>
          <w:tcPr>
            <w:tcW w:type="dxa" w:w="1440"/>
            <w:shd w:fill="FFDCE0" w:val="clear"/>
          </w:tcPr>
          <w:p>
            <w:r>
              <w:rPr>
                <w:sz w:val="17"/>
              </w:rPr>
              <w:t>7,919</w:t>
            </w:r>
          </w:p>
        </w:tc>
        <w:tc>
          <w:tcPr>
            <w:tcW w:type="dxa" w:w="1440"/>
            <w:shd w:fill="FFDCE0" w:val="clear"/>
          </w:tcPr>
          <w:p>
            <w:r>
              <w:rPr>
                <w:b/>
                <w:sz w:val="17"/>
              </w:rPr>
              <w:t>8,158</w:t>
            </w:r>
          </w:p>
        </w:tc>
        <w:tc>
          <w:tcPr>
            <w:tcW w:type="dxa" w:w="1440"/>
            <w:shd w:fill="FFDCE0" w:val="clear"/>
          </w:tcPr>
          <w:p>
            <w:r>
              <w:rPr>
                <w:sz w:val="17"/>
              </w:rPr>
              <w:t>8,396</w:t>
            </w:r>
          </w:p>
        </w:tc>
        <w:tc>
          <w:tcPr>
            <w:tcW w:type="dxa" w:w="1440"/>
            <w:shd w:fill="FFDCE0" w:val="clear"/>
          </w:tcPr>
          <w:p>
            <w:r>
              <w:rPr>
                <w:b/>
                <w:color w:val="C00000"/>
                <w:sz w:val="17"/>
              </w:rPr>
              <w:t>-6.3%</w:t>
            </w:r>
          </w:p>
        </w:tc>
      </w:tr>
      <w:tr>
        <w:tc>
          <w:tcPr>
            <w:tcW w:type="dxa" w:w="1440"/>
            <w:shd w:fill="FFDCE0" w:val="clear"/>
          </w:tcPr>
          <w:p>
            <w:r>
              <w:rPr>
                <w:sz w:val="17"/>
              </w:rPr>
              <w:t>J+5  Moyenne</w:t>
            </w:r>
          </w:p>
        </w:tc>
        <w:tc>
          <w:tcPr>
            <w:tcW w:type="dxa" w:w="1440"/>
            <w:shd w:fill="FFDCE0" w:val="clear"/>
          </w:tcPr>
          <w:p>
            <w:r>
              <w:rPr>
                <w:sz w:val="17"/>
              </w:rPr>
              <w:t>2026-08-14</w:t>
            </w:r>
          </w:p>
        </w:tc>
        <w:tc>
          <w:tcPr>
            <w:tcW w:type="dxa" w:w="1440"/>
            <w:shd w:fill="FFDCE0" w:val="clear"/>
          </w:tcPr>
          <w:p>
            <w:r>
              <w:rPr>
                <w:sz w:val="17"/>
              </w:rPr>
              <w:t>7,807</w:t>
            </w:r>
          </w:p>
        </w:tc>
        <w:tc>
          <w:tcPr>
            <w:tcW w:type="dxa" w:w="1440"/>
            <w:shd w:fill="FFDCE0" w:val="clear"/>
          </w:tcPr>
          <w:p>
            <w:r>
              <w:rPr>
                <w:b/>
                <w:sz w:val="17"/>
              </w:rPr>
              <w:t>8,071</w:t>
            </w:r>
          </w:p>
        </w:tc>
        <w:tc>
          <w:tcPr>
            <w:tcW w:type="dxa" w:w="1440"/>
            <w:shd w:fill="FFDCE0" w:val="clear"/>
          </w:tcPr>
          <w:p>
            <w:r>
              <w:rPr>
                <w:sz w:val="17"/>
              </w:rPr>
              <w:t>8,334</w:t>
            </w:r>
          </w:p>
        </w:tc>
        <w:tc>
          <w:tcPr>
            <w:tcW w:type="dxa" w:w="1440"/>
            <w:shd w:fill="FFDCE0" w:val="clear"/>
          </w:tcPr>
          <w:p>
            <w:r>
              <w:rPr>
                <w:b/>
                <w:color w:val="C00000"/>
                <w:sz w:val="17"/>
              </w:rPr>
              <w:t>-7.3%</w:t>
            </w:r>
          </w:p>
        </w:tc>
      </w:tr>
      <w:tr>
        <w:tc>
          <w:tcPr>
            <w:tcW w:type="dxa" w:w="1440"/>
            <w:shd w:fill="FFDCE0" w:val="clear"/>
          </w:tcPr>
          <w:p>
            <w:r>
              <w:rPr>
                <w:sz w:val="17"/>
              </w:rPr>
              <w:t>J+6  Moyenne</w:t>
            </w:r>
          </w:p>
        </w:tc>
        <w:tc>
          <w:tcPr>
            <w:tcW w:type="dxa" w:w="1440"/>
            <w:shd w:fill="FFDCE0" w:val="clear"/>
          </w:tcPr>
          <w:p>
            <w:r>
              <w:rPr>
                <w:sz w:val="17"/>
              </w:rPr>
              <w:t>2026-08-17</w:t>
            </w:r>
          </w:p>
        </w:tc>
        <w:tc>
          <w:tcPr>
            <w:tcW w:type="dxa" w:w="1440"/>
            <w:shd w:fill="FFDCE0" w:val="clear"/>
          </w:tcPr>
          <w:p>
            <w:r>
              <w:rPr>
                <w:sz w:val="17"/>
              </w:rPr>
              <w:t>7,704</w:t>
            </w:r>
          </w:p>
        </w:tc>
        <w:tc>
          <w:tcPr>
            <w:tcW w:type="dxa" w:w="1440"/>
            <w:shd w:fill="FFDCE0" w:val="clear"/>
          </w:tcPr>
          <w:p>
            <w:r>
              <w:rPr>
                <w:b/>
                <w:sz w:val="17"/>
              </w:rPr>
              <w:t>7,990</w:t>
            </w:r>
          </w:p>
        </w:tc>
        <w:tc>
          <w:tcPr>
            <w:tcW w:type="dxa" w:w="1440"/>
            <w:shd w:fill="FFDCE0" w:val="clear"/>
          </w:tcPr>
          <w:p>
            <w:r>
              <w:rPr>
                <w:sz w:val="17"/>
              </w:rPr>
              <w:t>8,275</w:t>
            </w:r>
          </w:p>
        </w:tc>
        <w:tc>
          <w:tcPr>
            <w:tcW w:type="dxa" w:w="1440"/>
            <w:shd w:fill="FFDCE0" w:val="clear"/>
          </w:tcPr>
          <w:p>
            <w:r>
              <w:rPr>
                <w:b/>
                <w:color w:val="C00000"/>
                <w:sz w:val="17"/>
              </w:rPr>
              <w:t>-8.3%</w:t>
            </w:r>
          </w:p>
        </w:tc>
      </w:tr>
      <w:tr>
        <w:tc>
          <w:tcPr>
            <w:tcW w:type="dxa" w:w="1440"/>
            <w:shd w:fill="FFDCE0" w:val="clear"/>
          </w:tcPr>
          <w:p>
            <w:r>
              <w:rPr>
                <w:sz w:val="17"/>
              </w:rPr>
              <w:t>J+7  Moyenne</w:t>
            </w:r>
          </w:p>
        </w:tc>
        <w:tc>
          <w:tcPr>
            <w:tcW w:type="dxa" w:w="1440"/>
            <w:shd w:fill="FFDCE0" w:val="clear"/>
          </w:tcPr>
          <w:p>
            <w:r>
              <w:rPr>
                <w:sz w:val="17"/>
              </w:rPr>
              <w:t>2026-08-18</w:t>
            </w:r>
          </w:p>
        </w:tc>
        <w:tc>
          <w:tcPr>
            <w:tcW w:type="dxa" w:w="1440"/>
            <w:shd w:fill="FFDCE0" w:val="clear"/>
          </w:tcPr>
          <w:p>
            <w:r>
              <w:rPr>
                <w:sz w:val="17"/>
              </w:rPr>
              <w:t>7,607</w:t>
            </w:r>
          </w:p>
        </w:tc>
        <w:tc>
          <w:tcPr>
            <w:tcW w:type="dxa" w:w="1440"/>
            <w:shd w:fill="FFDCE0" w:val="clear"/>
          </w:tcPr>
          <w:p>
            <w:r>
              <w:rPr>
                <w:b/>
                <w:sz w:val="17"/>
              </w:rPr>
              <w:t>7,913</w:t>
            </w:r>
          </w:p>
        </w:tc>
        <w:tc>
          <w:tcPr>
            <w:tcW w:type="dxa" w:w="1440"/>
            <w:shd w:fill="FFDCE0" w:val="clear"/>
          </w:tcPr>
          <w:p>
            <w:r>
              <w:rPr>
                <w:sz w:val="17"/>
              </w:rPr>
              <w:t>8,219</w:t>
            </w:r>
          </w:p>
        </w:tc>
        <w:tc>
          <w:tcPr>
            <w:tcW w:type="dxa" w:w="1440"/>
            <w:shd w:fill="FFDCE0" w:val="clear"/>
          </w:tcPr>
          <w:p>
            <w:r>
              <w:rPr>
                <w:b/>
                <w:color w:val="C00000"/>
                <w:sz w:val="17"/>
              </w:rPr>
              <w:t>-9.2%</w:t>
            </w:r>
          </w:p>
        </w:tc>
      </w:tr>
      <w:tr>
        <w:tc>
          <w:tcPr>
            <w:tcW w:type="dxa" w:w="1440"/>
            <w:shd w:fill="FFDCE0" w:val="clear"/>
          </w:tcPr>
          <w:p>
            <w:r>
              <w:rPr>
                <w:sz w:val="17"/>
              </w:rPr>
              <w:t>J+8  Moyenne</w:t>
            </w:r>
          </w:p>
        </w:tc>
        <w:tc>
          <w:tcPr>
            <w:tcW w:type="dxa" w:w="1440"/>
            <w:shd w:fill="FFDCE0" w:val="clear"/>
          </w:tcPr>
          <w:p>
            <w:r>
              <w:rPr>
                <w:sz w:val="17"/>
              </w:rPr>
              <w:t>2026-08-19</w:t>
            </w:r>
          </w:p>
        </w:tc>
        <w:tc>
          <w:tcPr>
            <w:tcW w:type="dxa" w:w="1440"/>
            <w:shd w:fill="FFDCE0" w:val="clear"/>
          </w:tcPr>
          <w:p>
            <w:r>
              <w:rPr>
                <w:sz w:val="17"/>
              </w:rPr>
              <w:t>7,516</w:t>
            </w:r>
          </w:p>
        </w:tc>
        <w:tc>
          <w:tcPr>
            <w:tcW w:type="dxa" w:w="1440"/>
            <w:shd w:fill="FFDCE0" w:val="clear"/>
          </w:tcPr>
          <w:p>
            <w:r>
              <w:rPr>
                <w:b/>
                <w:sz w:val="17"/>
              </w:rPr>
              <w:t>7,840</w:t>
            </w:r>
          </w:p>
        </w:tc>
        <w:tc>
          <w:tcPr>
            <w:tcW w:type="dxa" w:w="1440"/>
            <w:shd w:fill="FFDCE0" w:val="clear"/>
          </w:tcPr>
          <w:p>
            <w:r>
              <w:rPr>
                <w:sz w:val="17"/>
              </w:rPr>
              <w:t>8,164</w:t>
            </w:r>
          </w:p>
        </w:tc>
        <w:tc>
          <w:tcPr>
            <w:tcW w:type="dxa" w:w="1440"/>
            <w:shd w:fill="FFDCE0" w:val="clear"/>
          </w:tcPr>
          <w:p>
            <w:r>
              <w:rPr>
                <w:b/>
                <w:color w:val="C00000"/>
                <w:sz w:val="17"/>
              </w:rPr>
              <w:t>-10.0%</w:t>
            </w:r>
          </w:p>
        </w:tc>
      </w:tr>
      <w:tr>
        <w:tc>
          <w:tcPr>
            <w:tcW w:type="dxa" w:w="1440"/>
            <w:shd w:fill="FFDCE0" w:val="clear"/>
          </w:tcPr>
          <w:p>
            <w:r>
              <w:rPr>
                <w:sz w:val="17"/>
              </w:rPr>
              <w:t>J+9  Moyenne</w:t>
            </w:r>
          </w:p>
        </w:tc>
        <w:tc>
          <w:tcPr>
            <w:tcW w:type="dxa" w:w="1440"/>
            <w:shd w:fill="FFDCE0" w:val="clear"/>
          </w:tcPr>
          <w:p>
            <w:r>
              <w:rPr>
                <w:sz w:val="17"/>
              </w:rPr>
              <w:t>2026-08-20</w:t>
            </w:r>
          </w:p>
        </w:tc>
        <w:tc>
          <w:tcPr>
            <w:tcW w:type="dxa" w:w="1440"/>
            <w:shd w:fill="FFDCE0" w:val="clear"/>
          </w:tcPr>
          <w:p>
            <w:r>
              <w:rPr>
                <w:sz w:val="17"/>
              </w:rPr>
              <w:t>7,430</w:t>
            </w:r>
          </w:p>
        </w:tc>
        <w:tc>
          <w:tcPr>
            <w:tcW w:type="dxa" w:w="1440"/>
            <w:shd w:fill="FFDCE0" w:val="clear"/>
          </w:tcPr>
          <w:p>
            <w:r>
              <w:rPr>
                <w:b/>
                <w:sz w:val="17"/>
              </w:rPr>
              <w:t>7,771</w:t>
            </w:r>
          </w:p>
        </w:tc>
        <w:tc>
          <w:tcPr>
            <w:tcW w:type="dxa" w:w="1440"/>
            <w:shd w:fill="FFDCE0" w:val="clear"/>
          </w:tcPr>
          <w:p>
            <w:r>
              <w:rPr>
                <w:sz w:val="17"/>
              </w:rPr>
              <w:t>8,111</w:t>
            </w:r>
          </w:p>
        </w:tc>
        <w:tc>
          <w:tcPr>
            <w:tcW w:type="dxa" w:w="1440"/>
            <w:shd w:fill="FFDCE0" w:val="clear"/>
          </w:tcPr>
          <w:p>
            <w:r>
              <w:rPr>
                <w:b/>
                <w:color w:val="C00000"/>
                <w:sz w:val="17"/>
              </w:rPr>
              <w:t>-10.8%</w:t>
            </w:r>
          </w:p>
        </w:tc>
      </w:tr>
      <w:tr>
        <w:tc>
          <w:tcPr>
            <w:tcW w:type="dxa" w:w="1440"/>
            <w:shd w:fill="FFDCE0" w:val="clear"/>
          </w:tcPr>
          <w:p>
            <w:r>
              <w:rPr>
                <w:sz w:val="17"/>
              </w:rPr>
              <w:t>J+10  Moyenne</w:t>
            </w:r>
          </w:p>
        </w:tc>
        <w:tc>
          <w:tcPr>
            <w:tcW w:type="dxa" w:w="1440"/>
            <w:shd w:fill="FFDCE0" w:val="clear"/>
          </w:tcPr>
          <w:p>
            <w:r>
              <w:rPr>
                <w:sz w:val="17"/>
              </w:rPr>
              <w:t>2026-08-21</w:t>
            </w:r>
          </w:p>
        </w:tc>
        <w:tc>
          <w:tcPr>
            <w:tcW w:type="dxa" w:w="1440"/>
            <w:shd w:fill="FFDCE0" w:val="clear"/>
          </w:tcPr>
          <w:p>
            <w:r>
              <w:rPr>
                <w:sz w:val="17"/>
              </w:rPr>
              <w:t>7,349</w:t>
            </w:r>
          </w:p>
        </w:tc>
        <w:tc>
          <w:tcPr>
            <w:tcW w:type="dxa" w:w="1440"/>
            <w:shd w:fill="FFDCE0" w:val="clear"/>
          </w:tcPr>
          <w:p>
            <w:r>
              <w:rPr>
                <w:b/>
                <w:sz w:val="17"/>
              </w:rPr>
              <w:t>7,705</w:t>
            </w:r>
          </w:p>
        </w:tc>
        <w:tc>
          <w:tcPr>
            <w:tcW w:type="dxa" w:w="1440"/>
            <w:shd w:fill="FFDCE0" w:val="clear"/>
          </w:tcPr>
          <w:p>
            <w:r>
              <w:rPr>
                <w:sz w:val="17"/>
              </w:rPr>
              <w:t>8,060</w:t>
            </w:r>
          </w:p>
        </w:tc>
        <w:tc>
          <w:tcPr>
            <w:tcW w:type="dxa" w:w="1440"/>
            <w:shd w:fill="FFDCE0" w:val="clear"/>
          </w:tcPr>
          <w:p>
            <w:r>
              <w:rPr>
                <w:b/>
                <w:color w:val="C00000"/>
                <w:sz w:val="17"/>
              </w:rPr>
              <w:t>-11.5%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BOAB s'établit à 353,29 milliards FCFA, ce qui en fait une valeur de première ligne sur la BRVM, représentant un poids significatif dans l'indice bancaire régional. Le BPA de 496 FCFA indique que chaque action génère un bénéfice substantiel, justifiant un PER de 17,6x. Ce niveau est nettement supérieur à la moyenne historique de la BRVM (8-12x), signifiant que les investisseurs paient une prime de croissance notable pour accéder aux résultats de la banque. Le P/B de 3,01x confirme cette lecture : le marché valorise l'actif net comptable plus de trois fois, une prime accordée aux banques performantes et bien capitalisées. Enfin, l'EV/EBITDA de 18,5x, bien que très exigeant, reflète la solidité opérationnelle et la capacité de la banque à générer de la valeur, justifiant en partie cette décote relative par rapport à d'autres secteurs.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BOAB affiche une progression de +8,88%, avec une légère hausse de +0,11% lors de la dernière séance, témoignant d'une dynamique positive mais modérée. Le cours a évolué dans un range de 2 125 FCFA, entre un plus bas de 7 295 FCFA et un plus haut de 9 420 FCFA, indiquant une amplitude de trading significative. La moyenne (8 543 FCFA) est inférieure à la médiane (8 715 FCFA), ce qui, combiné à un skewness négatif (-0,627), révèle une distribution asymétrique avec des journées plus fréquentes au-dessus de la moyenne, mais des baisses ponctuelles plus marquées. L'écart-type de 603 FCFA (CV=7,1%) montre une dispersion modérée, tandis que le kurtosis de -0,741 (mésokurtique) indique l'absence de risques de pics extrêmes. La volatilité annualisée de 23,1% positionne le titre dans une zone modérée, offrant un équilibre entre potentiel de rendement et stabilité relative.</w:t>
      </w:r>
    </w:p>
    <w:p>
      <w:pPr>
        <w:spacing w:after="120" w:line="276" w:lineRule="auto" w:before="240"/>
      </w:pPr>
      <w:r>
        <w:rPr>
          <w:b/>
          <w:color w:val="003366"/>
          <w:sz w:val="24"/>
        </w:rPr>
        <w:t>**PARTIE 2 : ANALYSE TECHNIQUE DÉTAILLÉE**</w:t>
      </w:r>
    </w:p>
    <w:p>
      <w:pPr>
        <w:spacing w:after="120" w:line="276" w:lineRule="auto"/>
      </w:pPr>
      <w:r>
        <w:t>**Moyennes Mobiles**: La MM20 (8 689,75 FCFA) et la MM50 (8 807,2 FCFA) se situent toutes deux au-dessus du cours actuel (8 710 FCFA), avec une MM50 supérieure à la MM20, indiquant une tendance baissière à moyen terme. La décision de vente est justifiée par cette configuration en pente descendante, bien que le cours évolue à proximité de la MM20, suggérant une possible stabilisation.</w:t>
      </w:r>
    </w:p>
    <w:p>
      <w:pPr>
        <w:spacing w:after="120" w:line="276" w:lineRule="auto"/>
      </w:pPr>
      <w:r>
        <w:t>**Bandes de Bollinger**: Le cours se positionne entre la borne inférieure (8 523,03 FCFA) et la borne supérieure (8 856,47 FCFA), plus près du milieu de la bande. La largeur des bandes reflète une volatilité modérée. La décision neutre est appropriée, le prix n'étant ni en zone de surachat ni de survente, laissant place à une évolution directionnelle.</w:t>
      </w:r>
    </w:p>
    <w:p>
      <w:pPr>
        <w:spacing w:after="120" w:line="276" w:lineRule="auto"/>
      </w:pPr>
      <w:r>
        <w:t>**MACD**: La valeur MACD (-48,389) est supérieure au signal (-63,791), avec un écart positif de 15,4 points. Cette configuration haussière indique un momentum en amélioration, bien que les deux lignes restent en territoire négatif. La décision d'achat est justifiée par ce croisement haussier, signalant un potentiel de retournement à la hausse.</w:t>
      </w:r>
    </w:p>
    <w:p>
      <w:pPr>
        <w:spacing w:after="120" w:line="276" w:lineRule="auto"/>
      </w:pPr>
      <w:r>
        <w:t>**RSI**: Le RSI à 50,758 se situe exactement dans la zone neutre (30-70), indiquant un équilibre entre pressions acheteuses et vendeuses. Cette valeur ne montre ni surachat ni survente, laissant place à une évolution directionnelle sans contrainte technique majeure. La décision neutre est cohérente avec cette lecture.</w:t>
      </w:r>
    </w:p>
    <w:p>
      <w:pPr>
        <w:spacing w:after="120" w:line="276" w:lineRule="auto"/>
      </w:pPr>
      <w:r>
        <w:t>**Stochastique**: Le %K (95,0) et le %D (87,308) sont tous deux en zone de surachat (&gt;80), avec un %K supérieur au %D. Cette configuration indique une forte pression acheteuse récente, mais signale un risque de retournement imminent. La décision de vente est justifiée par cette situation de surachat technique, pouvant précéder une correction.</w:t>
      </w:r>
    </w:p>
    <w:p>
      <w:pPr>
        <w:spacing w:after="120" w:line="276" w:lineRule="auto"/>
      </w:pPr>
      <w:r>
        <w:t>**Conclusion technique**: Les indicateurs sont mitigés : les moyennes mobiles suggèrent une tendance baissière, tandis que le MACD et le RSI indiquent un momentum neutre à positif. Le stochastique en surachat et les bandes de Bollinger neutres créent un équilibre. Globalement, le titre semble en phase de consolidation, avec un biais légèrement haussier à court terme, mais une prudence s'impose en raison des signaux contradictoires.</w:t>
      </w:r>
    </w:p>
    <w:p>
      <w:pPr>
        <w:spacing w:after="120" w:line="276" w:lineRule="auto" w:before="240"/>
      </w:pPr>
      <w:r>
        <w:rPr>
          <w:b/>
          <w:color w:val="003366"/>
          <w:sz w:val="24"/>
        </w:rPr>
        <w:t>**PARTIE 3 : ANALYSE FONDAMENTALE (SECTION CRITIQUE)**</w:t>
      </w:r>
    </w:p>
    <w:p>
      <w:pPr>
        <w:spacing w:after="120" w:line="276" w:lineRule="auto"/>
      </w:pPr>
      <w:r>
        <w:t>En 2025, les états financiers structurés de BOAB révèlent une banque solide avec un Produit Net Bancaire (PNB) de 51,274 milliards FCFA et un résultat net de 20,107 milliards FCFA, en hausse par rapport aux 19,647 milliards de 2024. Le ROE de 17,11% et le ROA de 2,08% démontrent une excellente rentabilité, tandis que le coefficient d'exploitation de 49,53% témoigne d'une efficacité opérationnelle remarquable (inférieur à 50%). Le ratio dépôts/crédits (711,642/391,724) montre une transformation saine, avec un excédent de liquidité. Le coût du risque de 22,50% reste élevé, reflétant des provisions prudentielles. Les rapports trimestriels 2025 confirment cette trajectoire : le T1 2025 (PNB +1,7%, résultat net -8,2% dû au coût du risque), le S1 2025 (PNB +5,91%, résultat net +0,75%) et le T3 2025 (PNB +9%, résultat net +13%) montrent une amélioration progressive. Le T1 2026 (PNB +11%, commissions +18,9%) suggère une accélération. On estime que l'exercice 2026 pourrait voir un PNB dépasser 55 milliards FCFA, avec un résultat net autour de 22 milliards, confirmant la solidité et la croissance durable de la banque.</w:t>
      </w:r>
    </w:p>
    <w:p>
      <w:pPr>
        <w:spacing w:after="120" w:line="276" w:lineRule="auto" w:before="240"/>
      </w:pPr>
      <w:r>
        <w:rPr>
          <w:b/>
          <w:color w:val="003366"/>
          <w:sz w:val="24"/>
        </w:rPr>
        <w:t>**PARTIE 4 : CONCLUSION D'INVESTISSEMENT**</w:t>
      </w:r>
    </w:p>
    <w:p>
      <w:pPr>
        <w:spacing w:after="120" w:line="276" w:lineRule="auto"/>
      </w:pPr>
      <w:r>
        <w:t>La valorisation de BOAB (PER 17,6x, P/B 3,01x, EV/EBITDA 18,5x) indique une prime de croissance significative, reflétant la confiance du marché dans les fondamentaux solides de la banque. Le comportement du cours (+8,88% sur 100 jours, volatilité modérée de 23,1%) montre une tendance positive, avec des statistiques (kurtosis mésokurtique, skewness négatif) suggérant une stabilité relative. Les signaux techniques sont mitigés : les moyennes mobiles baissières contrastent avec un MACD haussier et un RSI neutre, tandis que le stochastique en surachat appelle à la prudence. Les fondamentaux sont excellents : ROE de 17,11%, coefficient d'exploitation de 49,53%, et croissance soutenue du PNB (+10,2% en 2025, +11% au T1 2026). Les prédictions IA (8 486 à 8 071 FCFA sur 10 jours) suggèrent une légère correction, contredisant les signaux fondamentaux positifs. En synthèse, la convergence entre la solidité financière et la croissance des revenus justifie une recommandation **ACHAT**, avec un niveau de confiance **Moyen** en raison des signaux techniques divergents. Le risque global est **Moyen**, et l'horizon d'investissement optimal est le **moyen terme (3-12 mois)**, permettant de capitaliser sur la croissance des résultats tout en gérant la volatilité à court terme.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318.12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6,217 titres</w:t>
            </w:r>
          </w:p>
        </w:tc>
        <w:tc>
          <w:tcPr>
            <w:tcW w:type="dxa" w:w="2268"/>
            <w:shd w:fill="FFF2CC" w:val="clear"/>
          </w:tcPr>
          <w:p>
            <w:r>
              <w:rPr>
                <w:b/>
                <w:color w:val="503200"/>
                <w:sz w:val="16"/>
              </w:rPr>
              <w:t xml:space="preserve">Cours actuel : </w:t>
            </w:r>
            <w:r>
              <w:rPr>
                <w:color w:val="000000"/>
                <w:sz w:val="17"/>
              </w:rPr>
              <w:t>7,230 FCFA</w:t>
            </w:r>
          </w:p>
          <w:p>
            <w:r>
              <w:rPr>
                <w:b/>
                <w:color w:val="503200"/>
                <w:sz w:val="16"/>
              </w:rPr>
              <w:t xml:space="preserve">Var. 100 jours : </w:t>
            </w:r>
            <w:r>
              <w:rPr>
                <w:b/>
                <w:color w:val="007800"/>
                <w:sz w:val="17"/>
              </w:rPr>
              <w:t>+39.04%</w:t>
            </w:r>
          </w:p>
          <w:p>
            <w:r>
              <w:rPr>
                <w:b/>
                <w:color w:val="503200"/>
                <w:sz w:val="16"/>
              </w:rPr>
              <w:t xml:space="preserve">Plus haut 100j : </w:t>
            </w:r>
            <w:r>
              <w:rPr>
                <w:color w:val="000000"/>
                <w:sz w:val="17"/>
              </w:rPr>
              <w:t>7,255 FCFA</w:t>
            </w:r>
          </w:p>
          <w:p>
            <w:r>
              <w:rPr>
                <w:b/>
                <w:color w:val="503200"/>
                <w:sz w:val="16"/>
              </w:rPr>
              <w:t xml:space="preserve">Plus bas 100j : </w:t>
            </w:r>
            <w:r>
              <w:rPr>
                <w:color w:val="000000"/>
                <w:sz w:val="17"/>
              </w:rPr>
              <w:t>5,005 FCFA</w:t>
            </w:r>
          </w:p>
          <w:p>
            <w:r>
              <w:rPr>
                <w:b/>
                <w:color w:val="503200"/>
                <w:sz w:val="16"/>
              </w:rPr>
              <w:t xml:space="preserve">Volatilité ann. : </w:t>
            </w:r>
            <w:r>
              <w:rPr>
                <w:color w:val="000000"/>
                <w:sz w:val="17"/>
              </w:rPr>
              <w:t>29.2%</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10.67% (Moyenne) — μ=5,827 FCFA, σ=622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β=0.1667 (Défensif) — Cov=0.000006, Var(idx)=0.000036, ρ=0.056,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6,217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σ_j=1.84%/j (Stable) — Vol. annualisée≈29.2%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6,811</w:t>
            </w:r>
          </w:p>
        </w:tc>
        <w:tc>
          <w:tcPr>
            <w:tcW w:type="dxa" w:w="1440"/>
            <w:shd w:fill="FFDCE0" w:val="clear"/>
          </w:tcPr>
          <w:p>
            <w:r>
              <w:rPr>
                <w:b/>
                <w:sz w:val="17"/>
              </w:rPr>
              <w:t>7,079</w:t>
            </w:r>
          </w:p>
        </w:tc>
        <w:tc>
          <w:tcPr>
            <w:tcW w:type="dxa" w:w="1440"/>
            <w:shd w:fill="FFDCE0" w:val="clear"/>
          </w:tcPr>
          <w:p>
            <w:r>
              <w:rPr>
                <w:sz w:val="17"/>
              </w:rPr>
              <w:t>7,347</w:t>
            </w:r>
          </w:p>
        </w:tc>
        <w:tc>
          <w:tcPr>
            <w:tcW w:type="dxa" w:w="1440"/>
            <w:shd w:fill="FFDCE0" w:val="clear"/>
          </w:tcPr>
          <w:p>
            <w:r>
              <w:rPr>
                <w:b/>
                <w:color w:val="C00000"/>
                <w:sz w:val="17"/>
              </w:rPr>
              <w:t>-2.1%</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6,604</w:t>
            </w:r>
          </w:p>
        </w:tc>
        <w:tc>
          <w:tcPr>
            <w:tcW w:type="dxa" w:w="1440"/>
            <w:shd w:fill="FFDCE0" w:val="clear"/>
          </w:tcPr>
          <w:p>
            <w:r>
              <w:rPr>
                <w:b/>
                <w:sz w:val="17"/>
              </w:rPr>
              <w:t>6,978</w:t>
            </w:r>
          </w:p>
        </w:tc>
        <w:tc>
          <w:tcPr>
            <w:tcW w:type="dxa" w:w="1440"/>
            <w:shd w:fill="FFDCE0" w:val="clear"/>
          </w:tcPr>
          <w:p>
            <w:r>
              <w:rPr>
                <w:sz w:val="17"/>
              </w:rPr>
              <w:t>7,351</w:t>
            </w:r>
          </w:p>
        </w:tc>
        <w:tc>
          <w:tcPr>
            <w:tcW w:type="dxa" w:w="1440"/>
            <w:shd w:fill="FFDCE0" w:val="clear"/>
          </w:tcPr>
          <w:p>
            <w:r>
              <w:rPr>
                <w:b/>
                <w:color w:val="C00000"/>
                <w:sz w:val="17"/>
              </w:rPr>
              <w:t>-3.5%</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6,439</w:t>
            </w:r>
          </w:p>
        </w:tc>
        <w:tc>
          <w:tcPr>
            <w:tcW w:type="dxa" w:w="1440"/>
            <w:shd w:fill="FFDCE0" w:val="clear"/>
          </w:tcPr>
          <w:p>
            <w:r>
              <w:rPr>
                <w:b/>
                <w:sz w:val="17"/>
              </w:rPr>
              <w:t>6,891</w:t>
            </w:r>
          </w:p>
        </w:tc>
        <w:tc>
          <w:tcPr>
            <w:tcW w:type="dxa" w:w="1440"/>
            <w:shd w:fill="FFDCE0" w:val="clear"/>
          </w:tcPr>
          <w:p>
            <w:r>
              <w:rPr>
                <w:sz w:val="17"/>
              </w:rPr>
              <w:t>7,343</w:t>
            </w:r>
          </w:p>
        </w:tc>
        <w:tc>
          <w:tcPr>
            <w:tcW w:type="dxa" w:w="1440"/>
            <w:shd w:fill="FFDCE0" w:val="clear"/>
          </w:tcPr>
          <w:p>
            <w:r>
              <w:rPr>
                <w:b/>
                <w:color w:val="C00000"/>
                <w:sz w:val="17"/>
              </w:rPr>
              <w:t>-4.7%</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6,304</w:t>
            </w:r>
          </w:p>
        </w:tc>
        <w:tc>
          <w:tcPr>
            <w:tcW w:type="dxa" w:w="1440"/>
            <w:shd w:fill="FFDCE0" w:val="clear"/>
          </w:tcPr>
          <w:p>
            <w:r>
              <w:rPr>
                <w:b/>
                <w:sz w:val="17"/>
              </w:rPr>
              <w:t>6,820</w:t>
            </w:r>
          </w:p>
        </w:tc>
        <w:tc>
          <w:tcPr>
            <w:tcW w:type="dxa" w:w="1440"/>
            <w:shd w:fill="FFDCE0" w:val="clear"/>
          </w:tcPr>
          <w:p>
            <w:r>
              <w:rPr>
                <w:sz w:val="17"/>
              </w:rPr>
              <w:t>7,337</w:t>
            </w:r>
          </w:p>
        </w:tc>
        <w:tc>
          <w:tcPr>
            <w:tcW w:type="dxa" w:w="1440"/>
            <w:shd w:fill="FFDCE0" w:val="clear"/>
          </w:tcPr>
          <w:p>
            <w:r>
              <w:rPr>
                <w:b/>
                <w:color w:val="C00000"/>
                <w:sz w:val="17"/>
              </w:rPr>
              <w:t>-5.7%</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6,187</w:t>
            </w:r>
          </w:p>
        </w:tc>
        <w:tc>
          <w:tcPr>
            <w:tcW w:type="dxa" w:w="1440"/>
            <w:shd w:fill="FFDCE0" w:val="clear"/>
          </w:tcPr>
          <w:p>
            <w:r>
              <w:rPr>
                <w:b/>
                <w:sz w:val="17"/>
              </w:rPr>
              <w:t>6,759</w:t>
            </w:r>
          </w:p>
        </w:tc>
        <w:tc>
          <w:tcPr>
            <w:tcW w:type="dxa" w:w="1440"/>
            <w:shd w:fill="FFDCE0" w:val="clear"/>
          </w:tcPr>
          <w:p>
            <w:r>
              <w:rPr>
                <w:sz w:val="17"/>
              </w:rPr>
              <w:t>7,331</w:t>
            </w:r>
          </w:p>
        </w:tc>
        <w:tc>
          <w:tcPr>
            <w:tcW w:type="dxa" w:w="1440"/>
            <w:shd w:fill="FFDCE0" w:val="clear"/>
          </w:tcPr>
          <w:p>
            <w:r>
              <w:rPr>
                <w:b/>
                <w:color w:val="C00000"/>
                <w:sz w:val="17"/>
              </w:rPr>
              <w:t>-6.5%</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6,080</w:t>
            </w:r>
          </w:p>
        </w:tc>
        <w:tc>
          <w:tcPr>
            <w:tcW w:type="dxa" w:w="1440"/>
            <w:shd w:fill="FFDCE0" w:val="clear"/>
          </w:tcPr>
          <w:p>
            <w:r>
              <w:rPr>
                <w:b/>
                <w:sz w:val="17"/>
              </w:rPr>
              <w:t>6,702</w:t>
            </w:r>
          </w:p>
        </w:tc>
        <w:tc>
          <w:tcPr>
            <w:tcW w:type="dxa" w:w="1440"/>
            <w:shd w:fill="FFDCE0" w:val="clear"/>
          </w:tcPr>
          <w:p>
            <w:r>
              <w:rPr>
                <w:sz w:val="17"/>
              </w:rPr>
              <w:t>7,324</w:t>
            </w:r>
          </w:p>
        </w:tc>
        <w:tc>
          <w:tcPr>
            <w:tcW w:type="dxa" w:w="1440"/>
            <w:shd w:fill="FFDCE0" w:val="clear"/>
          </w:tcPr>
          <w:p>
            <w:r>
              <w:rPr>
                <w:b/>
                <w:color w:val="C00000"/>
                <w:sz w:val="17"/>
              </w:rPr>
              <w:t>-7.3%</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5,982</w:t>
            </w:r>
          </w:p>
        </w:tc>
        <w:tc>
          <w:tcPr>
            <w:tcW w:type="dxa" w:w="1440"/>
            <w:shd w:fill="FFDCE0" w:val="clear"/>
          </w:tcPr>
          <w:p>
            <w:r>
              <w:rPr>
                <w:b/>
                <w:sz w:val="17"/>
              </w:rPr>
              <w:t>6,648</w:t>
            </w:r>
          </w:p>
        </w:tc>
        <w:tc>
          <w:tcPr>
            <w:tcW w:type="dxa" w:w="1440"/>
            <w:shd w:fill="FFDCE0" w:val="clear"/>
          </w:tcPr>
          <w:p>
            <w:r>
              <w:rPr>
                <w:sz w:val="17"/>
              </w:rPr>
              <w:t>7,314</w:t>
            </w:r>
          </w:p>
        </w:tc>
        <w:tc>
          <w:tcPr>
            <w:tcW w:type="dxa" w:w="1440"/>
            <w:shd w:fill="FFDCE0" w:val="clear"/>
          </w:tcPr>
          <w:p>
            <w:r>
              <w:rPr>
                <w:b/>
                <w:color w:val="C00000"/>
                <w:sz w:val="17"/>
              </w:rPr>
              <w:t>-8.0%</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5,890</w:t>
            </w:r>
          </w:p>
        </w:tc>
        <w:tc>
          <w:tcPr>
            <w:tcW w:type="dxa" w:w="1440"/>
            <w:shd w:fill="FFDCE0" w:val="clear"/>
          </w:tcPr>
          <w:p>
            <w:r>
              <w:rPr>
                <w:b/>
                <w:sz w:val="17"/>
              </w:rPr>
              <w:t>6,597</w:t>
            </w:r>
          </w:p>
        </w:tc>
        <w:tc>
          <w:tcPr>
            <w:tcW w:type="dxa" w:w="1440"/>
            <w:shd w:fill="FFDCE0" w:val="clear"/>
          </w:tcPr>
          <w:p>
            <w:r>
              <w:rPr>
                <w:sz w:val="17"/>
              </w:rPr>
              <w:t>7,303</w:t>
            </w:r>
          </w:p>
        </w:tc>
        <w:tc>
          <w:tcPr>
            <w:tcW w:type="dxa" w:w="1440"/>
            <w:shd w:fill="FFDCE0" w:val="clear"/>
          </w:tcPr>
          <w:p>
            <w:r>
              <w:rPr>
                <w:b/>
                <w:color w:val="C00000"/>
                <w:sz w:val="17"/>
              </w:rPr>
              <w:t>-8.8%</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5,804</w:t>
            </w:r>
          </w:p>
        </w:tc>
        <w:tc>
          <w:tcPr>
            <w:tcW w:type="dxa" w:w="1440"/>
            <w:shd w:fill="FFDCE0" w:val="clear"/>
          </w:tcPr>
          <w:p>
            <w:r>
              <w:rPr>
                <w:b/>
                <w:sz w:val="17"/>
              </w:rPr>
              <w:t>6,547</w:t>
            </w:r>
          </w:p>
        </w:tc>
        <w:tc>
          <w:tcPr>
            <w:tcW w:type="dxa" w:w="1440"/>
            <w:shd w:fill="FFDCE0" w:val="clear"/>
          </w:tcPr>
          <w:p>
            <w:r>
              <w:rPr>
                <w:sz w:val="17"/>
              </w:rPr>
              <w:t>7,291</w:t>
            </w:r>
          </w:p>
        </w:tc>
        <w:tc>
          <w:tcPr>
            <w:tcW w:type="dxa" w:w="1440"/>
            <w:shd w:fill="FFDCE0" w:val="clear"/>
          </w:tcPr>
          <w:p>
            <w:r>
              <w:rPr>
                <w:b/>
                <w:color w:val="C00000"/>
                <w:sz w:val="17"/>
              </w:rPr>
              <w:t>-9.4%</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5,721</w:t>
            </w:r>
          </w:p>
        </w:tc>
        <w:tc>
          <w:tcPr>
            <w:tcW w:type="dxa" w:w="1440"/>
            <w:shd w:fill="FFDCE0" w:val="clear"/>
          </w:tcPr>
          <w:p>
            <w:r>
              <w:rPr>
                <w:b/>
                <w:sz w:val="17"/>
              </w:rPr>
              <w:t>6,499</w:t>
            </w:r>
          </w:p>
        </w:tc>
        <w:tc>
          <w:tcPr>
            <w:tcW w:type="dxa" w:w="1440"/>
            <w:shd w:fill="FFDCE0" w:val="clear"/>
          </w:tcPr>
          <w:p>
            <w:r>
              <w:rPr>
                <w:sz w:val="17"/>
              </w:rPr>
              <w:t>7,277</w:t>
            </w:r>
          </w:p>
        </w:tc>
        <w:tc>
          <w:tcPr>
            <w:tcW w:type="dxa" w:w="1440"/>
            <w:shd w:fill="FFDCE0" w:val="clear"/>
          </w:tcPr>
          <w:p>
            <w:r>
              <w:rPr>
                <w:b/>
                <w:color w:val="C00000"/>
                <w:sz w:val="17"/>
              </w:rPr>
              <w:t>-10.1%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Absolument. Voici un rapport d'analyse professionnel structuré pour l'action BOABF,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BOABF s'établit à 318,12 milliards FCFA, ce qui en fait l'une des valeurs significatives de la cote BRVM, reflétant son statut de banque majeure dans la zone UEMOA. Avec un BPA de 438 FCFA, chaque action génère un bénéfice substantiel. Le PER de 16,5x est nettement supérieur à la moyenne historique de la BRVM (8-12x), indiquant que les investisseurs acceptent de payer une prime pour la croissance anticipée, mais cela suggère aussi une valorisation exigeante. Le P/B de 2,51x confirme cette prime, le marché valorisant la société à 2,5 fois ses capitaux propres, ce qui est typique pour une banque rentable. Enfin, un EV/EBITDA de 7,0x est dans une fourchette raisonnable, indiquant que la valeur totale de l'entreprise reste cohérente avec sa capacité opérationnelle à générer des flux.</w:t>
      </w:r>
    </w:p>
    <w:p>
      <w:pPr>
        <w:spacing w:after="120" w:line="276" w:lineRule="auto"/>
      </w:pPr>
      <w:r>
        <w:t>### **PARTIE 1 : ANALYSE DU COURS — STATISTIQUES ET ÉVOLUTION (100 derniers jours)**</w:t>
      </w:r>
    </w:p>
    <w:p>
      <w:pPr>
        <w:spacing w:after="120" w:line="276" w:lineRule="auto"/>
      </w:pPr>
      <w:r>
        <w:t>Sur les 100 derniers jours, l'action BOABF a connu une forte progression de +39,04%, avec une légère hausse de +0,42% lors de la dernière séance, clôturant à 7 230 FCFA. Le titre a évolué dans une fourchette large de 5 005 FCFA (plus bas) à 7 255 FCFA (plus haut), démontrant un fort momentum haussier. La moyenne du cours sur la période est de 5 827 FCFA, tandis que la médiane est de 5 590 FCFA. L'écart entre la moyenne et la médiane, couplé à un skewness positif de 1,417, confirme une asymétrie positive : le cours a passé plus de temps sous sa moyenne, mais a connu des épisodes de hausse brutale qui ont tiré la moyenne vers le haut. L'écart-type de 625 FCFA (CV=10,7%) indique une dispersion modérée autour de la moyenne. Le kurtosis de 0,511 (mésokurtique) suggère un risque de variations extrêmes similaire à une distribution normale. Enfin, la volatilité annualisée de 29,2% classe le titre dans la catégorie "modérée à élevée", ce qui implique un risque non négligeable pour les investisseurs.</w:t>
      </w:r>
    </w:p>
    <w:p>
      <w:pPr>
        <w:spacing w:after="120" w:line="276" w:lineRule="auto"/>
      </w:pPr>
      <w:r>
        <w:t>### **PARTIE 2 : ANALYSE TECHNIQUE DÉTAILLÉE**</w:t>
      </w:r>
    </w:p>
    <w:p>
      <w:pPr>
        <w:spacing w:after="120" w:line="276" w:lineRule="auto"/>
      </w:pPr>
      <w:r>
        <w:t>**Moyennes Mobiles :** Le cours actuel (7 230 FCFA) est nettement au-dessus de sa moyenne mobile à 20 jours (6 980,25 FCFA) et à 50 jours (6 185,5 FCFA). Cette configuration haussière, où le prix est soutenu par les deux moyennes, justifie la décision d'**Achat**. La pente positive des MM50 confirme la tendance de fond à moyen terme.</w:t>
      </w:r>
    </w:p>
    <w:p>
      <w:pPr>
        <w:spacing w:after="120" w:line="276" w:lineRule="auto"/>
      </w:pPr>
      <w:r>
        <w:t>**Bandes de Bollinger :** Le prix se situe dans la partie supérieure des bandes, entre la moyenne mobile et la borne supérieure (7 723,5 FCFA). La largeur des bandes indique une volatilité élevée. Le fait que le prix ne touche pas la borne supérieure suggère un momentum positif mais sans surachat extrême, justifiant la décision **Neutre**.</w:t>
      </w:r>
    </w:p>
    <w:p>
      <w:pPr>
        <w:spacing w:after="120" w:line="276" w:lineRule="auto"/>
      </w:pPr>
      <w:r>
        <w:t>**MACD :** La valeur du MACD (305,56) est inférieure à son signal (333,33), indiquant un ralentissement du momentum haussier à court terme. Bien que les deux lignes soient en territoire positif, ce croisement baissier du MACD sous son signal est un signe précurseur de possible consolidation ou correction, justifiant la décision de **Vente**.</w:t>
      </w:r>
    </w:p>
    <w:p>
      <w:pPr>
        <w:spacing w:after="120" w:line="276" w:lineRule="auto"/>
      </w:pPr>
      <w:r>
        <w:t>**RSI :** Avec une valeur de 51,23, le RSI est en zone neutre, entre 30 et 70. Cela signifie que le titre n'est ni suracheté ni survendu, laissant place à une certaine indécision chez les opérateurs. La décision est donc **Neutre**.</w:t>
      </w:r>
    </w:p>
    <w:p>
      <w:pPr>
        <w:spacing w:after="120" w:line="276" w:lineRule="auto"/>
      </w:pPr>
      <w:r>
        <w:t>**Stochastique :** Les valeurs de %K (100,0) et %D (94,84) sont extrêmement élevées, en zone de surachat. Ce niveau indique que le mouvement haussier est excessif à court terme et qu'un retournement ou une consolidation est probable, justifiant la décision de **Vente**.</w:t>
      </w:r>
    </w:p>
    <w:p>
      <w:pPr>
        <w:spacing w:after="120" w:line="276" w:lineRule="auto"/>
      </w:pPr>
      <w:r>
        <w:t>**Conclusion technique :** La tendance de fond reste clairement haussière, portée par les moyennes mobiles. Cependant, les oscillateurs (MACD, Stochastique) signalent une perte de momentum et des conditions de surachat à court terme. Le RSI neutre suggère qu'une correction pourrait être saine avant la poursuite de la tendance. Le signal global est donc un **ralentissement haussier**, avec un risque de consolidation à court terme.</w:t>
      </w:r>
    </w:p>
    <w:p>
      <w:pPr>
        <w:spacing w:after="120" w:line="276" w:lineRule="auto"/>
      </w:pPr>
      <w:r>
        <w:t>### **PARTIE 3 : ANALYSE FONDAMENTALE (SECTION CRITIQUE)**</w:t>
      </w:r>
    </w:p>
    <w:p>
      <w:pPr>
        <w:spacing w:after="120" w:line="276" w:lineRule="auto"/>
      </w:pPr>
      <w:r>
        <w:t>En 2025, les données financières annuelles de BOABF montrent une banque de taille significative avec un total de bilan de 1 148,675 milliards FCFA. Le Produit Net Bancaire (PNB) s'établit à 57,820 milliards FCFA, générant un résultat net de 19,252 milliards FCFA. La rentabilité des fonds propres (ROE) est excellente à 15,2%, et la marge nette est très élevée à 33,3%. Le coefficient d'exploitation de 47,2% témoigne d'une excellente maîtrise des charges. Cependant, le coût du risque, représentant 33,9% des charges financières, est un point de vigilance majeur. Les rapports trimestriels de 2025 confirment cette dégradation : le rapport du 1er trimestre 2025 (PNB 14,22 Mds, RN 5,20 Mds, -16,6%) et celui du 3ème trimestre (PNB 43,28 Mds, RN 13,45 Mds, -27,7%) montrent une stagnation de l'activité et une chute de la rentabilité due à une explosion des provisions. Le rapport du 1er trimestre 2026 (PNB 12,69 Mds, RN 4,52 Mds) indique une poursuite de la contraction. On estime que l'exercice 2026 sera difficile, avec une rentabilité sous pression, bien que la banque maintienne une collecte de dépôts dynamique. La solidité financière reste acceptable, mais la qualité du portefeuille de crédits est le principal risque.</w:t>
      </w:r>
    </w:p>
    <w:p>
      <w:pPr>
        <w:spacing w:after="120" w:line="276" w:lineRule="auto"/>
      </w:pPr>
      <w:r>
        <w:t>### **PARTIE 4 : CONCLUSION D'INVESTISSEMENT**</w:t>
      </w:r>
    </w:p>
    <w:p>
      <w:pPr>
        <w:spacing w:after="120" w:line="276" w:lineRule="auto"/>
      </w:pPr>
      <w:r>
        <w:t>La valorisation de BOABF (PER 16,5x, P/B 2,51x) est exigeante, intégrant une prime de croissance qui contraste avec la dégradation récente des fondamentaux. Le comportement du cours est haussier sur 100 jours (+39%), mais la volatilité élevée et l'asymétrie positive suggèrent un risque de retournement. Les signaux techniques sont mitigés : la tendance de fond (MM) reste positive, mais les oscillateurs (MACD, Stochastique) signalent un épuisement du mouvement à court terme. Fondamentalement, la banque est solide (ROE &gt;15%) mais confrontée à une hausse du coût du risque qui érode sa rentabilité, comme le confirment les rapports trimestriels de 2025 et 2026. Les prédictions IA pour les 10 prochains jours (baisse de 7 079 à 6 759 FCFA) confirment le scénario de consolidation technique. En synthèse, la convergence des signaux techniques et des prédictions IA vers un repli à court terme, couplée à des fondamentaux en détérioration et une valorisation élevée, conduit à une recommandation **CONSERVER**. Le niveau de confiance est **Moyen**, le risque global est **Élevé**. L'horizon d'investissement optimal serait de **moyen terme (3-12 mois)**, en attendant de voir si la banque parvient à stabiliser son coût du risque et à redresser sa croissance.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464.00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13,990 titres</w:t>
            </w:r>
          </w:p>
        </w:tc>
        <w:tc>
          <w:tcPr>
            <w:tcW w:type="dxa" w:w="2268"/>
            <w:shd w:fill="FFF2CC" w:val="clear"/>
          </w:tcPr>
          <w:p>
            <w:r>
              <w:rPr>
                <w:b/>
                <w:color w:val="503200"/>
                <w:sz w:val="16"/>
              </w:rPr>
              <w:t xml:space="preserve">Cours actuel : </w:t>
            </w:r>
            <w:r>
              <w:rPr>
                <w:color w:val="000000"/>
                <w:sz w:val="17"/>
              </w:rPr>
              <w:t>11,600 FCFA</w:t>
            </w:r>
          </w:p>
          <w:p>
            <w:r>
              <w:rPr>
                <w:b/>
                <w:color w:val="503200"/>
                <w:sz w:val="16"/>
              </w:rPr>
              <w:t xml:space="preserve">Var. 100 jours : </w:t>
            </w:r>
            <w:r>
              <w:rPr>
                <w:b/>
                <w:color w:val="007800"/>
                <w:sz w:val="17"/>
              </w:rPr>
              <w:t>+33.33%</w:t>
            </w:r>
          </w:p>
          <w:p>
            <w:r>
              <w:rPr>
                <w:b/>
                <w:color w:val="503200"/>
                <w:sz w:val="16"/>
              </w:rPr>
              <w:t xml:space="preserve">Plus haut 100j : </w:t>
            </w:r>
            <w:r>
              <w:rPr>
                <w:color w:val="000000"/>
                <w:sz w:val="17"/>
              </w:rPr>
              <w:t>11,600 FCFA</w:t>
            </w:r>
          </w:p>
          <w:p>
            <w:r>
              <w:rPr>
                <w:b/>
                <w:color w:val="503200"/>
                <w:sz w:val="16"/>
              </w:rPr>
              <w:t xml:space="preserve">Plus bas 100j : </w:t>
            </w:r>
            <w:r>
              <w:rPr>
                <w:color w:val="000000"/>
                <w:sz w:val="17"/>
              </w:rPr>
              <w:t>8,100 FCFA</w:t>
            </w:r>
          </w:p>
          <w:p>
            <w:r>
              <w:rPr>
                <w:b/>
                <w:color w:val="503200"/>
                <w:sz w:val="16"/>
              </w:rPr>
              <w:t xml:space="preserve">Volatilité ann. : </w:t>
            </w:r>
            <w:r>
              <w:rPr>
                <w:color w:val="000000"/>
                <w:sz w:val="17"/>
              </w:rPr>
              <w:t>27.0%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17.1/100 → Faible</w:t>
      </w:r>
    </w:p>
    <w:p>
      <w:pPr>
        <w:spacing w:before="40" w:after="80"/>
      </w:pPr>
      <w:r>
        <w:rPr>
          <w:rFonts w:ascii="Courier New" w:hAnsi="Courier New"/>
          <w:color w:val="006400"/>
          <w:sz w:val="18"/>
        </w:rPr>
        <w:t>███░░░░░░░░░░░░░░░░░  17.1/100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8.33% (Moyenne) — μ=9,152 FCFA, σ=763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β=0.6639 (Défensif) — Cov=0.000024, Var(idx)=0.000036, ρ=0.233,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13,990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σ_j=1.70%/j (Stable) — Vol. annualisée≈27.0%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10,761</w:t>
            </w:r>
          </w:p>
        </w:tc>
        <w:tc>
          <w:tcPr>
            <w:tcW w:type="dxa" w:w="1440"/>
            <w:shd w:fill="FFDCE0" w:val="clear"/>
          </w:tcPr>
          <w:p>
            <w:r>
              <w:rPr>
                <w:b/>
                <w:sz w:val="17"/>
              </w:rPr>
              <w:t>11,090</w:t>
            </w:r>
          </w:p>
        </w:tc>
        <w:tc>
          <w:tcPr>
            <w:tcW w:type="dxa" w:w="1440"/>
            <w:shd w:fill="FFDCE0" w:val="clear"/>
          </w:tcPr>
          <w:p>
            <w:r>
              <w:rPr>
                <w:sz w:val="17"/>
              </w:rPr>
              <w:t>11,419</w:t>
            </w:r>
          </w:p>
        </w:tc>
        <w:tc>
          <w:tcPr>
            <w:tcW w:type="dxa" w:w="1440"/>
            <w:shd w:fill="FFDCE0" w:val="clear"/>
          </w:tcPr>
          <w:p>
            <w:r>
              <w:rPr>
                <w:b/>
                <w:color w:val="C00000"/>
                <w:sz w:val="17"/>
              </w:rPr>
              <w:t>-4.4%</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10,263</w:t>
            </w:r>
          </w:p>
        </w:tc>
        <w:tc>
          <w:tcPr>
            <w:tcW w:type="dxa" w:w="1440"/>
            <w:shd w:fill="FFDCE0" w:val="clear"/>
          </w:tcPr>
          <w:p>
            <w:r>
              <w:rPr>
                <w:b/>
                <w:sz w:val="17"/>
              </w:rPr>
              <w:t>10,712</w:t>
            </w:r>
          </w:p>
        </w:tc>
        <w:tc>
          <w:tcPr>
            <w:tcW w:type="dxa" w:w="1440"/>
            <w:shd w:fill="FFDCE0" w:val="clear"/>
          </w:tcPr>
          <w:p>
            <w:r>
              <w:rPr>
                <w:sz w:val="17"/>
              </w:rPr>
              <w:t>11,162</w:t>
            </w:r>
          </w:p>
        </w:tc>
        <w:tc>
          <w:tcPr>
            <w:tcW w:type="dxa" w:w="1440"/>
            <w:shd w:fill="FFDCE0" w:val="clear"/>
          </w:tcPr>
          <w:p>
            <w:r>
              <w:rPr>
                <w:b/>
                <w:color w:val="C00000"/>
                <w:sz w:val="17"/>
              </w:rPr>
              <w:t>-7.7%</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9,795</w:t>
            </w:r>
          </w:p>
        </w:tc>
        <w:tc>
          <w:tcPr>
            <w:tcW w:type="dxa" w:w="1440"/>
            <w:shd w:fill="FFDCE0" w:val="clear"/>
          </w:tcPr>
          <w:p>
            <w:r>
              <w:rPr>
                <w:b/>
                <w:sz w:val="17"/>
              </w:rPr>
              <w:t>10,326</w:t>
            </w:r>
          </w:p>
        </w:tc>
        <w:tc>
          <w:tcPr>
            <w:tcW w:type="dxa" w:w="1440"/>
            <w:shd w:fill="FFDCE0" w:val="clear"/>
          </w:tcPr>
          <w:p>
            <w:r>
              <w:rPr>
                <w:sz w:val="17"/>
              </w:rPr>
              <w:t>10,857</w:t>
            </w:r>
          </w:p>
        </w:tc>
        <w:tc>
          <w:tcPr>
            <w:tcW w:type="dxa" w:w="1440"/>
            <w:shd w:fill="FFDCE0" w:val="clear"/>
          </w:tcPr>
          <w:p>
            <w:r>
              <w:rPr>
                <w:b/>
                <w:color w:val="C00000"/>
                <w:sz w:val="17"/>
              </w:rPr>
              <w:t>-11.0%</w:t>
            </w:r>
          </w:p>
        </w:tc>
      </w:tr>
      <w:tr>
        <w:tc>
          <w:tcPr>
            <w:tcW w:type="dxa" w:w="1440"/>
            <w:shd w:fill="FFDCE0" w:val="clear"/>
          </w:tcPr>
          <w:p>
            <w:r>
              <w:rPr>
                <w:sz w:val="17"/>
              </w:rPr>
              <w:t>J+4  Moyenne</w:t>
            </w:r>
          </w:p>
        </w:tc>
        <w:tc>
          <w:tcPr>
            <w:tcW w:type="dxa" w:w="1440"/>
            <w:shd w:fill="FFDCE0" w:val="clear"/>
          </w:tcPr>
          <w:p>
            <w:r>
              <w:rPr>
                <w:sz w:val="17"/>
              </w:rPr>
              <w:t>2026-08-13</w:t>
            </w:r>
          </w:p>
        </w:tc>
        <w:tc>
          <w:tcPr>
            <w:tcW w:type="dxa" w:w="1440"/>
            <w:shd w:fill="FFDCE0" w:val="clear"/>
          </w:tcPr>
          <w:p>
            <w:r>
              <w:rPr>
                <w:sz w:val="17"/>
              </w:rPr>
              <w:t>9,386</w:t>
            </w:r>
          </w:p>
        </w:tc>
        <w:tc>
          <w:tcPr>
            <w:tcW w:type="dxa" w:w="1440"/>
            <w:shd w:fill="FFDCE0" w:val="clear"/>
          </w:tcPr>
          <w:p>
            <w:r>
              <w:rPr>
                <w:b/>
                <w:sz w:val="17"/>
              </w:rPr>
              <w:t>9,978</w:t>
            </w:r>
          </w:p>
        </w:tc>
        <w:tc>
          <w:tcPr>
            <w:tcW w:type="dxa" w:w="1440"/>
            <w:shd w:fill="FFDCE0" w:val="clear"/>
          </w:tcPr>
          <w:p>
            <w:r>
              <w:rPr>
                <w:sz w:val="17"/>
              </w:rPr>
              <w:t>10,570</w:t>
            </w:r>
          </w:p>
        </w:tc>
        <w:tc>
          <w:tcPr>
            <w:tcW w:type="dxa" w:w="1440"/>
            <w:shd w:fill="FFDCE0" w:val="clear"/>
          </w:tcPr>
          <w:p>
            <w:r>
              <w:rPr>
                <w:b/>
                <w:color w:val="C00000"/>
                <w:sz w:val="17"/>
              </w:rPr>
              <w:t>-14.0%</w:t>
            </w:r>
          </w:p>
        </w:tc>
      </w:tr>
      <w:tr>
        <w:tc>
          <w:tcPr>
            <w:tcW w:type="dxa" w:w="1440"/>
            <w:shd w:fill="FFDCE0" w:val="clear"/>
          </w:tcPr>
          <w:p>
            <w:r>
              <w:rPr>
                <w:sz w:val="17"/>
              </w:rPr>
              <w:t>J+5  Moyenne</w:t>
            </w:r>
          </w:p>
        </w:tc>
        <w:tc>
          <w:tcPr>
            <w:tcW w:type="dxa" w:w="1440"/>
            <w:shd w:fill="FFDCE0" w:val="clear"/>
          </w:tcPr>
          <w:p>
            <w:r>
              <w:rPr>
                <w:sz w:val="17"/>
              </w:rPr>
              <w:t>2026-08-14</w:t>
            </w:r>
          </w:p>
        </w:tc>
        <w:tc>
          <w:tcPr>
            <w:tcW w:type="dxa" w:w="1440"/>
            <w:shd w:fill="FFDCE0" w:val="clear"/>
          </w:tcPr>
          <w:p>
            <w:r>
              <w:rPr>
                <w:sz w:val="17"/>
              </w:rPr>
              <w:t>9,028</w:t>
            </w:r>
          </w:p>
        </w:tc>
        <w:tc>
          <w:tcPr>
            <w:tcW w:type="dxa" w:w="1440"/>
            <w:shd w:fill="FFDCE0" w:val="clear"/>
          </w:tcPr>
          <w:p>
            <w:r>
              <w:rPr>
                <w:b/>
                <w:sz w:val="17"/>
              </w:rPr>
              <w:t>9,670</w:t>
            </w:r>
          </w:p>
        </w:tc>
        <w:tc>
          <w:tcPr>
            <w:tcW w:type="dxa" w:w="1440"/>
            <w:shd w:fill="FFDCE0" w:val="clear"/>
          </w:tcPr>
          <w:p>
            <w:r>
              <w:rPr>
                <w:sz w:val="17"/>
              </w:rPr>
              <w:t>10,311</w:t>
            </w:r>
          </w:p>
        </w:tc>
        <w:tc>
          <w:tcPr>
            <w:tcW w:type="dxa" w:w="1440"/>
            <w:shd w:fill="FFDCE0" w:val="clear"/>
          </w:tcPr>
          <w:p>
            <w:r>
              <w:rPr>
                <w:b/>
                <w:color w:val="C00000"/>
                <w:sz w:val="17"/>
              </w:rPr>
              <w:t>-16.6%</w:t>
            </w:r>
          </w:p>
        </w:tc>
      </w:tr>
      <w:tr>
        <w:tc>
          <w:tcPr>
            <w:tcW w:type="dxa" w:w="1440"/>
            <w:shd w:fill="FFDCE0" w:val="clear"/>
          </w:tcPr>
          <w:p>
            <w:r>
              <w:rPr>
                <w:sz w:val="17"/>
              </w:rPr>
              <w:t>J+6  Moyenne</w:t>
            </w:r>
          </w:p>
        </w:tc>
        <w:tc>
          <w:tcPr>
            <w:tcW w:type="dxa" w:w="1440"/>
            <w:shd w:fill="FFDCE0" w:val="clear"/>
          </w:tcPr>
          <w:p>
            <w:r>
              <w:rPr>
                <w:sz w:val="17"/>
              </w:rPr>
              <w:t>2026-08-17</w:t>
            </w:r>
          </w:p>
        </w:tc>
        <w:tc>
          <w:tcPr>
            <w:tcW w:type="dxa" w:w="1440"/>
            <w:shd w:fill="FFDCE0" w:val="clear"/>
          </w:tcPr>
          <w:p>
            <w:r>
              <w:rPr>
                <w:sz w:val="17"/>
              </w:rPr>
              <w:t>8,715</w:t>
            </w:r>
          </w:p>
        </w:tc>
        <w:tc>
          <w:tcPr>
            <w:tcW w:type="dxa" w:w="1440"/>
            <w:shd w:fill="FFDCE0" w:val="clear"/>
          </w:tcPr>
          <w:p>
            <w:r>
              <w:rPr>
                <w:b/>
                <w:sz w:val="17"/>
              </w:rPr>
              <w:t>9,398</w:t>
            </w:r>
          </w:p>
        </w:tc>
        <w:tc>
          <w:tcPr>
            <w:tcW w:type="dxa" w:w="1440"/>
            <w:shd w:fill="FFDCE0" w:val="clear"/>
          </w:tcPr>
          <w:p>
            <w:r>
              <w:rPr>
                <w:sz w:val="17"/>
              </w:rPr>
              <w:t>10,081</w:t>
            </w:r>
          </w:p>
        </w:tc>
        <w:tc>
          <w:tcPr>
            <w:tcW w:type="dxa" w:w="1440"/>
            <w:shd w:fill="FFDCE0" w:val="clear"/>
          </w:tcPr>
          <w:p>
            <w:r>
              <w:rPr>
                <w:b/>
                <w:color w:val="C00000"/>
                <w:sz w:val="17"/>
              </w:rPr>
              <w:t>-19.0%</w:t>
            </w:r>
          </w:p>
        </w:tc>
      </w:tr>
      <w:tr>
        <w:tc>
          <w:tcPr>
            <w:tcW w:type="dxa" w:w="1440"/>
            <w:shd w:fill="FFDCE0" w:val="clear"/>
          </w:tcPr>
          <w:p>
            <w:r>
              <w:rPr>
                <w:sz w:val="17"/>
              </w:rPr>
              <w:t>J+7  Moyenne</w:t>
            </w:r>
          </w:p>
        </w:tc>
        <w:tc>
          <w:tcPr>
            <w:tcW w:type="dxa" w:w="1440"/>
            <w:shd w:fill="FFDCE0" w:val="clear"/>
          </w:tcPr>
          <w:p>
            <w:r>
              <w:rPr>
                <w:sz w:val="17"/>
              </w:rPr>
              <w:t>2026-08-18</w:t>
            </w:r>
          </w:p>
        </w:tc>
        <w:tc>
          <w:tcPr>
            <w:tcW w:type="dxa" w:w="1440"/>
            <w:shd w:fill="FFDCE0" w:val="clear"/>
          </w:tcPr>
          <w:p>
            <w:r>
              <w:rPr>
                <w:sz w:val="17"/>
              </w:rPr>
              <w:t>8,439</w:t>
            </w:r>
          </w:p>
        </w:tc>
        <w:tc>
          <w:tcPr>
            <w:tcW w:type="dxa" w:w="1440"/>
            <w:shd w:fill="FFDCE0" w:val="clear"/>
          </w:tcPr>
          <w:p>
            <w:r>
              <w:rPr>
                <w:b/>
                <w:sz w:val="17"/>
              </w:rPr>
              <w:t>9,158</w:t>
            </w:r>
          </w:p>
        </w:tc>
        <w:tc>
          <w:tcPr>
            <w:tcW w:type="dxa" w:w="1440"/>
            <w:shd w:fill="FFDCE0" w:val="clear"/>
          </w:tcPr>
          <w:p>
            <w:r>
              <w:rPr>
                <w:sz w:val="17"/>
              </w:rPr>
              <w:t>9,877</w:t>
            </w:r>
          </w:p>
        </w:tc>
        <w:tc>
          <w:tcPr>
            <w:tcW w:type="dxa" w:w="1440"/>
            <w:shd w:fill="FFDCE0" w:val="clear"/>
          </w:tcPr>
          <w:p>
            <w:r>
              <w:rPr>
                <w:b/>
                <w:color w:val="C00000"/>
                <w:sz w:val="17"/>
              </w:rPr>
              <w:t>-21.1%</w:t>
            </w:r>
          </w:p>
        </w:tc>
      </w:tr>
      <w:tr>
        <w:tc>
          <w:tcPr>
            <w:tcW w:type="dxa" w:w="1440"/>
            <w:shd w:fill="FFDCE0" w:val="clear"/>
          </w:tcPr>
          <w:p>
            <w:r>
              <w:rPr>
                <w:sz w:val="17"/>
              </w:rPr>
              <w:t>J+8  Moyenne</w:t>
            </w:r>
          </w:p>
        </w:tc>
        <w:tc>
          <w:tcPr>
            <w:tcW w:type="dxa" w:w="1440"/>
            <w:shd w:fill="FFDCE0" w:val="clear"/>
          </w:tcPr>
          <w:p>
            <w:r>
              <w:rPr>
                <w:sz w:val="17"/>
              </w:rPr>
              <w:t>2026-08-19</w:t>
            </w:r>
          </w:p>
        </w:tc>
        <w:tc>
          <w:tcPr>
            <w:tcW w:type="dxa" w:w="1440"/>
            <w:shd w:fill="FFDCE0" w:val="clear"/>
          </w:tcPr>
          <w:p>
            <w:r>
              <w:rPr>
                <w:sz w:val="17"/>
              </w:rPr>
              <w:t>8,194</w:t>
            </w:r>
          </w:p>
        </w:tc>
        <w:tc>
          <w:tcPr>
            <w:tcW w:type="dxa" w:w="1440"/>
            <w:shd w:fill="FFDCE0" w:val="clear"/>
          </w:tcPr>
          <w:p>
            <w:r>
              <w:rPr>
                <w:b/>
                <w:sz w:val="17"/>
              </w:rPr>
              <w:t>8,944</w:t>
            </w:r>
          </w:p>
        </w:tc>
        <w:tc>
          <w:tcPr>
            <w:tcW w:type="dxa" w:w="1440"/>
            <w:shd w:fill="FFDCE0" w:val="clear"/>
          </w:tcPr>
          <w:p>
            <w:r>
              <w:rPr>
                <w:sz w:val="17"/>
              </w:rPr>
              <w:t>9,695</w:t>
            </w:r>
          </w:p>
        </w:tc>
        <w:tc>
          <w:tcPr>
            <w:tcW w:type="dxa" w:w="1440"/>
            <w:shd w:fill="FFDCE0" w:val="clear"/>
          </w:tcPr>
          <w:p>
            <w:r>
              <w:rPr>
                <w:b/>
                <w:color w:val="C00000"/>
                <w:sz w:val="17"/>
              </w:rPr>
              <w:t>-22.9%</w:t>
            </w:r>
          </w:p>
        </w:tc>
      </w:tr>
      <w:tr>
        <w:tc>
          <w:tcPr>
            <w:tcW w:type="dxa" w:w="1440"/>
            <w:shd w:fill="FFDCE0" w:val="clear"/>
          </w:tcPr>
          <w:p>
            <w:r>
              <w:rPr>
                <w:sz w:val="17"/>
              </w:rPr>
              <w:t>J+9  Moyenne</w:t>
            </w:r>
          </w:p>
        </w:tc>
        <w:tc>
          <w:tcPr>
            <w:tcW w:type="dxa" w:w="1440"/>
            <w:shd w:fill="FFDCE0" w:val="clear"/>
          </w:tcPr>
          <w:p>
            <w:r>
              <w:rPr>
                <w:sz w:val="17"/>
              </w:rPr>
              <w:t>2026-08-20</w:t>
            </w:r>
          </w:p>
        </w:tc>
        <w:tc>
          <w:tcPr>
            <w:tcW w:type="dxa" w:w="1440"/>
            <w:shd w:fill="FFDCE0" w:val="clear"/>
          </w:tcPr>
          <w:p>
            <w:r>
              <w:rPr>
                <w:sz w:val="17"/>
              </w:rPr>
              <w:t>7,975</w:t>
            </w:r>
          </w:p>
        </w:tc>
        <w:tc>
          <w:tcPr>
            <w:tcW w:type="dxa" w:w="1440"/>
            <w:shd w:fill="FFDCE0" w:val="clear"/>
          </w:tcPr>
          <w:p>
            <w:r>
              <w:rPr>
                <w:b/>
                <w:sz w:val="17"/>
              </w:rPr>
              <w:t>8,754</w:t>
            </w:r>
          </w:p>
        </w:tc>
        <w:tc>
          <w:tcPr>
            <w:tcW w:type="dxa" w:w="1440"/>
            <w:shd w:fill="FFDCE0" w:val="clear"/>
          </w:tcPr>
          <w:p>
            <w:r>
              <w:rPr>
                <w:sz w:val="17"/>
              </w:rPr>
              <w:t>9,533</w:t>
            </w:r>
          </w:p>
        </w:tc>
        <w:tc>
          <w:tcPr>
            <w:tcW w:type="dxa" w:w="1440"/>
            <w:shd w:fill="FFDCE0" w:val="clear"/>
          </w:tcPr>
          <w:p>
            <w:r>
              <w:rPr>
                <w:b/>
                <w:color w:val="C00000"/>
                <w:sz w:val="17"/>
              </w:rPr>
              <w:t>-24.5%</w:t>
            </w:r>
          </w:p>
        </w:tc>
      </w:tr>
      <w:tr>
        <w:tc>
          <w:tcPr>
            <w:tcW w:type="dxa" w:w="1440"/>
            <w:shd w:fill="FFDCE0" w:val="clear"/>
          </w:tcPr>
          <w:p>
            <w:r>
              <w:rPr>
                <w:sz w:val="17"/>
              </w:rPr>
              <w:t>J+10  Moyenne</w:t>
            </w:r>
          </w:p>
        </w:tc>
        <w:tc>
          <w:tcPr>
            <w:tcW w:type="dxa" w:w="1440"/>
            <w:shd w:fill="FFDCE0" w:val="clear"/>
          </w:tcPr>
          <w:p>
            <w:r>
              <w:rPr>
                <w:sz w:val="17"/>
              </w:rPr>
              <w:t>2026-08-21</w:t>
            </w:r>
          </w:p>
        </w:tc>
        <w:tc>
          <w:tcPr>
            <w:tcW w:type="dxa" w:w="1440"/>
            <w:shd w:fill="FFDCE0" w:val="clear"/>
          </w:tcPr>
          <w:p>
            <w:r>
              <w:rPr>
                <w:sz w:val="17"/>
              </w:rPr>
              <w:t>7,777</w:t>
            </w:r>
          </w:p>
        </w:tc>
        <w:tc>
          <w:tcPr>
            <w:tcW w:type="dxa" w:w="1440"/>
            <w:shd w:fill="FFDCE0" w:val="clear"/>
          </w:tcPr>
          <w:p>
            <w:r>
              <w:rPr>
                <w:b/>
                <w:sz w:val="17"/>
              </w:rPr>
              <w:t>8,583</w:t>
            </w:r>
          </w:p>
        </w:tc>
        <w:tc>
          <w:tcPr>
            <w:tcW w:type="dxa" w:w="1440"/>
            <w:shd w:fill="FFDCE0" w:val="clear"/>
          </w:tcPr>
          <w:p>
            <w:r>
              <w:rPr>
                <w:sz w:val="17"/>
              </w:rPr>
              <w:t>9,388</w:t>
            </w:r>
          </w:p>
        </w:tc>
        <w:tc>
          <w:tcPr>
            <w:tcW w:type="dxa" w:w="1440"/>
            <w:shd w:fill="FFDCE0" w:val="clear"/>
          </w:tcPr>
          <w:p>
            <w:r>
              <w:rPr>
                <w:b/>
                <w:color w:val="C00000"/>
                <w:sz w:val="17"/>
              </w:rPr>
              <w:t>-26.0%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464 milliards FCFA positionne BOAC parmi les valeurs moyennes à grandes capitalisations de la BRVM, un poids significatif dans l'indice bancaire régional. Le BPA de 888 FCFA indique que chaque action génère un bénéfice confortable, justifiant un PER de 13,1x. Ce niveau est légèrement supérieur à la moyenne historique de la BRVM (8-12x), suggérant que le marché accorde une prime de croissance à la valeur, sans pour autant la rendre excessivement chère. Le P/B de 3,64x confirme cette prime, le marché valorisant la banque bien au-delà de sa valeur comptable, ce qui est courant pour les banques à forte rentabilité (ROE &gt; 25%). En revanche, l'EV/EBITDA de 26,6x est très exigeant, signalant que la valeur totale de l'entreprise (capitalisation + dette nette) est élevée par rapport à sa capacité opérationnelle, un point de vigilance pour les investisseurs à long terme.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le titre BOAC a enregistré une progression spectaculaire de +33,33%, passant d'un plus bas de 8 100 FCFA à un plus haut de 11 600 FCFA, son niveau actuel. La dernière séance est stable (0,00%), marquant une pause après ce rallye. La moyenne du cours sur la période (9 152 FCFA) est supérieure à la médiane (8 898 FCFA), et le skewness positif de 1,733 indique une distribution asymétrique avec des jours de forte hausse plus marqués que les baisses. L'écart-type de 767 FCFA (CV=8,4%) montre une dispersion modérée autour de la moyenne. Le kurtosis élevé (2,588) signale un risque de mouvements extrêmes, avec des queues de distribution épaisses. La volatilité annualisée de 27,0% classe le titre dans une zone de volatilité modérée à élevée, reflétant l'ampleur du mouvement haussier récent.</w:t>
      </w:r>
    </w:p>
    <w:p>
      <w:pPr>
        <w:spacing w:after="120" w:line="276" w:lineRule="auto" w:before="240"/>
      </w:pPr>
      <w:r>
        <w:rPr>
          <w:b/>
          <w:color w:val="003366"/>
          <w:sz w:val="24"/>
        </w:rPr>
        <w:t>**PARTIE 2 : ANALYSE TECHNIQUE DÉTAILLÉE**</w:t>
      </w:r>
    </w:p>
    <w:p>
      <w:pPr>
        <w:spacing w:after="120" w:line="276" w:lineRule="auto"/>
      </w:pPr>
      <w:r>
        <w:t>**Moyennes Mobiles** : Le cours actuel (11 600 FCFA) évolue nettement au-dessus de la MM20 (10 419 FCFA) et de la MM50 (9 626 FCFA). Cette configuration haussière, avec des moyennes orientées à la hausse, confirme une tendance de fond positive. La décision est un **Achat**, le titre étant dans une phase de tendance haussière soutenue.</w:t>
      </w:r>
    </w:p>
    <w:p>
      <w:pPr>
        <w:spacing w:after="120" w:line="276" w:lineRule="auto"/>
      </w:pPr>
      <w:r>
        <w:t>**Bandes de Bollinger** : Le cours se situe près de la borne supérieure (11 940 FCFA) après avoir touché des niveaux proches de la borne inférieure (8 898 FCFA) il y a quelques mois. L'écart entre les bornes s'élargit, indiquant une volatilité croissante. La position proche de la borne supérieure suggère une pression acheteuse forte, mais le signal est **Neutre** car le titre n'a pas encore franchi la borne, ce qui pourrait indiquer une résistance.</w:t>
      </w:r>
    </w:p>
    <w:p>
      <w:pPr>
        <w:spacing w:after="120" w:line="276" w:lineRule="auto"/>
      </w:pPr>
      <w:r>
        <w:t>**MACD** : Le MACD (574,6) est nettement au-dessus de sa ligne de signal (456,9), avec un histogramme positif et en expansion. Cette configuration indique un momentum haussier puissant et une accélération de la tendance. La décision est un **Achat**, le signal étant clairement positif.</w:t>
      </w:r>
    </w:p>
    <w:p>
      <w:pPr>
        <w:spacing w:after="120" w:line="276" w:lineRule="auto"/>
      </w:pPr>
      <w:r>
        <w:t>**RSI** : Le RSI est à 84,8, un niveau extrêmement élevé, bien au-dessus du seuil de surachat de 70. Cette valeur indique que le titre est survendu à la hausse et qu'un repli technique est probable à court terme. La décision est une **Vente**, signalant un risque de correction imminente.</w:t>
      </w:r>
    </w:p>
    <w:p>
      <w:pPr>
        <w:spacing w:after="120" w:line="276" w:lineRule="auto"/>
      </w:pPr>
      <w:r>
        <w:t>**Stochastique** : Le %K et le %D sont tous deux à 100, un niveau extrême de surachat. Cette configuration indique que le titre est en territoire très survendu à la hausse, avec un risque élevé de retournement. La décision est une **Vente**, confirmant la prudence nécessaire à ces niveaux.</w:t>
      </w:r>
    </w:p>
    <w:p>
      <w:pPr>
        <w:spacing w:after="120" w:line="276" w:lineRule="auto"/>
      </w:pPr>
      <w:r>
        <w:t>**Conclusion technique** : Les indicateurs de tendance (MM, MACD) sont résolument haussiers, mais les oscillateurs de momentum (RSI, Stochastique) sont en zone de surachat extrême. Cette divergence suggère que la tendance de fond reste positive, mais qu'un repli technique est très probable à court terme avant une éventuelle reprise. La prudence est de mise pour les nouveaux achats.</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BOAC font état d'un Produit Net Bancaire (PNB) de 73,545 milliards FCFA, en légère croissance de 1,13% par rapport à 2024. Le résultat net atteint 35,540 milliards FCFA, contre 32,044 milliards en 2024, soit une progression de 10,9%. La rentabilité des fonds propres (ROE) est excellente à 27,91%, et le ROA de 3,22% témoigne d'une bonne efficacité de l'actif. Le coefficient d'exploitation de 36,70% est remarquable, indiquant une banque très efficace dans sa gestion des charges. Le coût du risque (6,67%) reste un point de vigilance, bien qu'il se soit amélioré par rapport à 2024. Les dépôts clientèle (850,5 milliards) couvrent largement les créances sur la clientèle (430,4 milliards), montrant une transformation saine. Les rapports trimestriels 2025 montrent une activité en plateau : le PNB du T3 2025 (53,49 milliards cumulés) est stable (+0,23%), mais le résultat net progresse légèrement (+1,29%). Le T1 2025 était plus dynamique (PNB +4,93%, résultat net +14,59%), porté par une baisse spectaculaire du coût du risque (-87%). Sur la base de ces tendances, on estime que l'exercice 2025 devrait confirmer une croissance modérée du PNB et une amélioration de la rentabilité nette, soutenue par une maîtrise des coûts et une qualité de crédit en amélioration. La banque affiche une solidité financière indéniable, avec des perspectives de croissance à moyen terme portées par le plan stratégique 2027 (croissance du PNB de +11,6% sur trois ans).</w:t>
      </w:r>
    </w:p>
    <w:p>
      <w:pPr>
        <w:spacing w:after="120" w:line="276" w:lineRule="auto" w:before="240"/>
      </w:pPr>
      <w:r>
        <w:rPr>
          <w:b/>
          <w:color w:val="003366"/>
          <w:sz w:val="24"/>
        </w:rPr>
        <w:t>**PARTIE 4 : CONCLUSION D'INVESTISSEMENT**</w:t>
      </w:r>
    </w:p>
    <w:p>
      <w:pPr>
        <w:spacing w:after="120" w:line="276" w:lineRule="auto"/>
      </w:pPr>
      <w:r>
        <w:t>La valorisation de BOAC (PER 13,1x, P/B 3,64x) est exigeante mais justifiée par une rentabilité exceptionnelle, tandis que l'EV/EBITDA élevé (26,6x) appelle à la prudence. Le comportement du cours sur 100 jours est très haussier (+33%), mais les statistiques (kurtosis élevé, skewness positif) et la volatilité de 27% signalent un risque de retournement. Les signaux techniques sont mitigés : la tendance (MM, MACD) est haussière, mais les oscillateurs (RSI, Stochastique) sont en surachat extrême, annonçant une correction probable. Les fondamentaux sont solides, avec un ROE de 27,9% et un coefficient d'exploitation de 36,7%, mais la croissance du PNB est atone. Les prédictions IA (J+1 à J+10) anticipent une baisse progressive du cours vers 9 670 FCFA, confirmant le risque de correction technique. En synthèse, la convergence entre les signaux de surachat technique et les prédictions IA suggère une pause dans le rallye. **Recommandation : CONSERVER** pour les investisseurs en portefeuille, avec un niveau de confiance **Moyen** et un risque global **Élevé** à court terme. Horizon d'investissement optimal : **Moyen terme (3-12 mois)**, en attendant un point d'entrée plus favorable après une correction technique.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153.45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6,394 titres</w:t>
            </w:r>
          </w:p>
        </w:tc>
        <w:tc>
          <w:tcPr>
            <w:tcW w:type="dxa" w:w="2268"/>
            <w:shd w:fill="FFF2CC" w:val="clear"/>
          </w:tcPr>
          <w:p>
            <w:r>
              <w:rPr>
                <w:b/>
                <w:color w:val="503200"/>
                <w:sz w:val="16"/>
              </w:rPr>
              <w:t xml:space="preserve">Cours actuel : </w:t>
            </w:r>
            <w:r>
              <w:rPr>
                <w:color w:val="000000"/>
                <w:sz w:val="17"/>
              </w:rPr>
              <w:t>5,590 FCFA</w:t>
            </w:r>
          </w:p>
          <w:p>
            <w:r>
              <w:rPr>
                <w:b/>
                <w:color w:val="503200"/>
                <w:sz w:val="16"/>
              </w:rPr>
              <w:t xml:space="preserve">Var. 100 jours : </w:t>
            </w:r>
            <w:r>
              <w:rPr>
                <w:b/>
                <w:color w:val="007800"/>
                <w:sz w:val="17"/>
              </w:rPr>
              <w:t>+18.81%</w:t>
            </w:r>
          </w:p>
          <w:p>
            <w:r>
              <w:rPr>
                <w:b/>
                <w:color w:val="503200"/>
                <w:sz w:val="16"/>
              </w:rPr>
              <w:t xml:space="preserve">Plus haut 100j : </w:t>
            </w:r>
            <w:r>
              <w:rPr>
                <w:color w:val="000000"/>
                <w:sz w:val="17"/>
              </w:rPr>
              <w:t>5,770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7.95% (Moyenne) — μ=4,927 FCFA, σ=392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β=0.2874 (Défensif) — Cov=0.000010, Var(idx)=0.000036, ρ=0.087,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6,394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σ_j=1.95%/j (Stable) — Vol. annualisée≈31.0%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5,337</w:t>
            </w:r>
          </w:p>
        </w:tc>
        <w:tc>
          <w:tcPr>
            <w:tcW w:type="dxa" w:w="1440"/>
            <w:shd w:fill="FAFAFA" w:val="clear"/>
          </w:tcPr>
          <w:p>
            <w:r>
              <w:rPr>
                <w:b/>
                <w:sz w:val="17"/>
              </w:rPr>
              <w:t>5,535</w:t>
            </w:r>
          </w:p>
        </w:tc>
        <w:tc>
          <w:tcPr>
            <w:tcW w:type="dxa" w:w="1440"/>
            <w:shd w:fill="FAFAFA" w:val="clear"/>
          </w:tcPr>
          <w:p>
            <w:r>
              <w:rPr>
                <w:sz w:val="17"/>
              </w:rPr>
              <w:t>5,732</w:t>
            </w:r>
          </w:p>
        </w:tc>
        <w:tc>
          <w:tcPr>
            <w:tcW w:type="dxa" w:w="1440"/>
            <w:shd w:fill="FAFAFA" w:val="clear"/>
          </w:tcPr>
          <w:p>
            <w:r>
              <w:rPr>
                <w:b/>
                <w:color w:val="C00000"/>
                <w:sz w:val="17"/>
              </w:rPr>
              <w:t>-1.0%</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5,183</w:t>
            </w:r>
          </w:p>
        </w:tc>
        <w:tc>
          <w:tcPr>
            <w:tcW w:type="dxa" w:w="1440"/>
            <w:shd w:fill="FFDCE0" w:val="clear"/>
          </w:tcPr>
          <w:p>
            <w:r>
              <w:rPr>
                <w:b/>
                <w:sz w:val="17"/>
              </w:rPr>
              <w:t>5,458</w:t>
            </w:r>
          </w:p>
        </w:tc>
        <w:tc>
          <w:tcPr>
            <w:tcW w:type="dxa" w:w="1440"/>
            <w:shd w:fill="FFDCE0" w:val="clear"/>
          </w:tcPr>
          <w:p>
            <w:r>
              <w:rPr>
                <w:sz w:val="17"/>
              </w:rPr>
              <w:t>5,734</w:t>
            </w:r>
          </w:p>
        </w:tc>
        <w:tc>
          <w:tcPr>
            <w:tcW w:type="dxa" w:w="1440"/>
            <w:shd w:fill="FFDCE0" w:val="clear"/>
          </w:tcPr>
          <w:p>
            <w:r>
              <w:rPr>
                <w:b/>
                <w:color w:val="C00000"/>
                <w:sz w:val="17"/>
              </w:rPr>
              <w:t>-2.4%</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5,051</w:t>
            </w:r>
          </w:p>
        </w:tc>
        <w:tc>
          <w:tcPr>
            <w:tcW w:type="dxa" w:w="1440"/>
            <w:shd w:fill="FFDCE0" w:val="clear"/>
          </w:tcPr>
          <w:p>
            <w:r>
              <w:rPr>
                <w:b/>
                <w:sz w:val="17"/>
              </w:rPr>
              <w:t>5,384</w:t>
            </w:r>
          </w:p>
        </w:tc>
        <w:tc>
          <w:tcPr>
            <w:tcW w:type="dxa" w:w="1440"/>
            <w:shd w:fill="FFDCE0" w:val="clear"/>
          </w:tcPr>
          <w:p>
            <w:r>
              <w:rPr>
                <w:sz w:val="17"/>
              </w:rPr>
              <w:t>5,716</w:t>
            </w:r>
          </w:p>
        </w:tc>
        <w:tc>
          <w:tcPr>
            <w:tcW w:type="dxa" w:w="1440"/>
            <w:shd w:fill="FFDCE0" w:val="clear"/>
          </w:tcPr>
          <w:p>
            <w:r>
              <w:rPr>
                <w:b/>
                <w:color w:val="C00000"/>
                <w:sz w:val="17"/>
              </w:rPr>
              <w:t>-3.7%</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4,937</w:t>
            </w:r>
          </w:p>
        </w:tc>
        <w:tc>
          <w:tcPr>
            <w:tcW w:type="dxa" w:w="1440"/>
            <w:shd w:fill="FFDCE0" w:val="clear"/>
          </w:tcPr>
          <w:p>
            <w:r>
              <w:rPr>
                <w:b/>
                <w:sz w:val="17"/>
              </w:rPr>
              <w:t>5,317</w:t>
            </w:r>
          </w:p>
        </w:tc>
        <w:tc>
          <w:tcPr>
            <w:tcW w:type="dxa" w:w="1440"/>
            <w:shd w:fill="FFDCE0" w:val="clear"/>
          </w:tcPr>
          <w:p>
            <w:r>
              <w:rPr>
                <w:sz w:val="17"/>
              </w:rPr>
              <w:t>5,696</w:t>
            </w:r>
          </w:p>
        </w:tc>
        <w:tc>
          <w:tcPr>
            <w:tcW w:type="dxa" w:w="1440"/>
            <w:shd w:fill="FFDCE0" w:val="clear"/>
          </w:tcPr>
          <w:p>
            <w:r>
              <w:rPr>
                <w:b/>
                <w:color w:val="C00000"/>
                <w:sz w:val="17"/>
              </w:rPr>
              <w:t>-4.9%</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4,837</w:t>
            </w:r>
          </w:p>
        </w:tc>
        <w:tc>
          <w:tcPr>
            <w:tcW w:type="dxa" w:w="1440"/>
            <w:shd w:fill="FFDCE0" w:val="clear"/>
          </w:tcPr>
          <w:p>
            <w:r>
              <w:rPr>
                <w:b/>
                <w:sz w:val="17"/>
              </w:rPr>
              <w:t>5,257</w:t>
            </w:r>
          </w:p>
        </w:tc>
        <w:tc>
          <w:tcPr>
            <w:tcW w:type="dxa" w:w="1440"/>
            <w:shd w:fill="FFDCE0" w:val="clear"/>
          </w:tcPr>
          <w:p>
            <w:r>
              <w:rPr>
                <w:sz w:val="17"/>
              </w:rPr>
              <w:t>5,677</w:t>
            </w:r>
          </w:p>
        </w:tc>
        <w:tc>
          <w:tcPr>
            <w:tcW w:type="dxa" w:w="1440"/>
            <w:shd w:fill="FFDCE0" w:val="clear"/>
          </w:tcPr>
          <w:p>
            <w:r>
              <w:rPr>
                <w:b/>
                <w:color w:val="C00000"/>
                <w:sz w:val="17"/>
              </w:rPr>
              <w:t>-6.0%</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4,747</w:t>
            </w:r>
          </w:p>
        </w:tc>
        <w:tc>
          <w:tcPr>
            <w:tcW w:type="dxa" w:w="1440"/>
            <w:shd w:fill="FFDCE0" w:val="clear"/>
          </w:tcPr>
          <w:p>
            <w:r>
              <w:rPr>
                <w:b/>
                <w:sz w:val="17"/>
              </w:rPr>
              <w:t>5,202</w:t>
            </w:r>
          </w:p>
        </w:tc>
        <w:tc>
          <w:tcPr>
            <w:tcW w:type="dxa" w:w="1440"/>
            <w:shd w:fill="FFDCE0" w:val="clear"/>
          </w:tcPr>
          <w:p>
            <w:r>
              <w:rPr>
                <w:sz w:val="17"/>
              </w:rPr>
              <w:t>5,657</w:t>
            </w:r>
          </w:p>
        </w:tc>
        <w:tc>
          <w:tcPr>
            <w:tcW w:type="dxa" w:w="1440"/>
            <w:shd w:fill="FFDCE0" w:val="clear"/>
          </w:tcPr>
          <w:p>
            <w:r>
              <w:rPr>
                <w:b/>
                <w:color w:val="C00000"/>
                <w:sz w:val="17"/>
              </w:rPr>
              <w:t>-6.9%</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4,664</w:t>
            </w:r>
          </w:p>
        </w:tc>
        <w:tc>
          <w:tcPr>
            <w:tcW w:type="dxa" w:w="1440"/>
            <w:shd w:fill="FFDCE0" w:val="clear"/>
          </w:tcPr>
          <w:p>
            <w:r>
              <w:rPr>
                <w:b/>
                <w:sz w:val="17"/>
              </w:rPr>
              <w:t>5,151</w:t>
            </w:r>
          </w:p>
        </w:tc>
        <w:tc>
          <w:tcPr>
            <w:tcW w:type="dxa" w:w="1440"/>
            <w:shd w:fill="FFDCE0" w:val="clear"/>
          </w:tcPr>
          <w:p>
            <w:r>
              <w:rPr>
                <w:sz w:val="17"/>
              </w:rPr>
              <w:t>5,637</w:t>
            </w:r>
          </w:p>
        </w:tc>
        <w:tc>
          <w:tcPr>
            <w:tcW w:type="dxa" w:w="1440"/>
            <w:shd w:fill="FFDCE0" w:val="clear"/>
          </w:tcPr>
          <w:p>
            <w:r>
              <w:rPr>
                <w:b/>
                <w:color w:val="C00000"/>
                <w:sz w:val="17"/>
              </w:rPr>
              <w:t>-7.9%</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4,587</w:t>
            </w:r>
          </w:p>
        </w:tc>
        <w:tc>
          <w:tcPr>
            <w:tcW w:type="dxa" w:w="1440"/>
            <w:shd w:fill="FFDCE0" w:val="clear"/>
          </w:tcPr>
          <w:p>
            <w:r>
              <w:rPr>
                <w:b/>
                <w:sz w:val="17"/>
              </w:rPr>
              <w:t>5,102</w:t>
            </w:r>
          </w:p>
        </w:tc>
        <w:tc>
          <w:tcPr>
            <w:tcW w:type="dxa" w:w="1440"/>
            <w:shd w:fill="FFDCE0" w:val="clear"/>
          </w:tcPr>
          <w:p>
            <w:r>
              <w:rPr>
                <w:sz w:val="17"/>
              </w:rPr>
              <w:t>5,617</w:t>
            </w:r>
          </w:p>
        </w:tc>
        <w:tc>
          <w:tcPr>
            <w:tcW w:type="dxa" w:w="1440"/>
            <w:shd w:fill="FFDCE0" w:val="clear"/>
          </w:tcPr>
          <w:p>
            <w:r>
              <w:rPr>
                <w:b/>
                <w:color w:val="C00000"/>
                <w:sz w:val="17"/>
              </w:rPr>
              <w:t>-8.7%</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4,514</w:t>
            </w:r>
          </w:p>
        </w:tc>
        <w:tc>
          <w:tcPr>
            <w:tcW w:type="dxa" w:w="1440"/>
            <w:shd w:fill="FFDCE0" w:val="clear"/>
          </w:tcPr>
          <w:p>
            <w:r>
              <w:rPr>
                <w:b/>
                <w:sz w:val="17"/>
              </w:rPr>
              <w:t>5,056</w:t>
            </w:r>
          </w:p>
        </w:tc>
        <w:tc>
          <w:tcPr>
            <w:tcW w:type="dxa" w:w="1440"/>
            <w:shd w:fill="FFDCE0" w:val="clear"/>
          </w:tcPr>
          <w:p>
            <w:r>
              <w:rPr>
                <w:sz w:val="17"/>
              </w:rPr>
              <w:t>5,597</w:t>
            </w:r>
          </w:p>
        </w:tc>
        <w:tc>
          <w:tcPr>
            <w:tcW w:type="dxa" w:w="1440"/>
            <w:shd w:fill="FFDCE0" w:val="clear"/>
          </w:tcPr>
          <w:p>
            <w:r>
              <w:rPr>
                <w:b/>
                <w:color w:val="C00000"/>
                <w:sz w:val="17"/>
              </w:rPr>
              <w:t>-9.6%</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4,446</w:t>
            </w:r>
          </w:p>
        </w:tc>
        <w:tc>
          <w:tcPr>
            <w:tcW w:type="dxa" w:w="1440"/>
            <w:shd w:fill="FFDCE0" w:val="clear"/>
          </w:tcPr>
          <w:p>
            <w:r>
              <w:rPr>
                <w:b/>
                <w:sz w:val="17"/>
              </w:rPr>
              <w:t>5,012</w:t>
            </w:r>
          </w:p>
        </w:tc>
        <w:tc>
          <w:tcPr>
            <w:tcW w:type="dxa" w:w="1440"/>
            <w:shd w:fill="FFDCE0" w:val="clear"/>
          </w:tcPr>
          <w:p>
            <w:r>
              <w:rPr>
                <w:sz w:val="17"/>
              </w:rPr>
              <w:t>5,578</w:t>
            </w:r>
          </w:p>
        </w:tc>
        <w:tc>
          <w:tcPr>
            <w:tcW w:type="dxa" w:w="1440"/>
            <w:shd w:fill="FFDCE0" w:val="clear"/>
          </w:tcPr>
          <w:p>
            <w:r>
              <w:rPr>
                <w:b/>
                <w:color w:val="C00000"/>
                <w:sz w:val="17"/>
              </w:rPr>
              <w:t>-10.3%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BOAM s'établit à 153,45 milliards FCFA, un niveau qui la positionne parmi les valeurs moyennes du compartiment bancaire de la BRVM. Avec un BPA de 404 FCFA, le titre se négocie à un PER de 13,8x, légèrement au-dessus de la moyenne historique du marché (8-12x), ce qui indique que les investisseurs acceptent de payer une prime modérée pour la qualité de la banque. Le P/B de 3,08x confirme cette prime, le marché valorisant la société à plus de trois fois sa valeur comptable, signe d'une confiance dans la création de valeur future. Enfin, l'EV/EBITDA de 6,8x reste dans une zone raisonnable (5-10x), suggérant que la valorisation globale de l'entreprise, rapportée à sa capacité opérationnelle, n'est pas excessive.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BOAM a enregistré une progression remarquable de +18,81%, avec une dernière séance quasi stable (+0,09%) à 5 590 FCFA. Le cours a évolué dans un range de 4 425 à 5 770 FCFA, démontrant une dynamique haussière soutenue. La moyenne (4 927 FCFA) est supérieure à la médiane (4 718 FCFA), et le skewness positif (0,975) confirme une asymétrie avec davantage de journées sous la moyenne, mais des mouvements haussiers plus amples. L'écart-type de 394 FCFA (CV=8%) indique une dispersion modérée, tandis que le kurtosis de -0,505 (mésokurtique) suggère une distribution proche de la normale, sans risque de pics extrêmes. La volatilité annualisée de 31,0% classe le titre dans la catégorie élevée (&gt;30%), ce qui implique des fluctuations significatives à court terme, mais aussi un potentiel de rendement accru.</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(5 590 FCFA) se situe au-dessus de la MM20 (5 625,75 FCFA) et très nettement au-dessus de la MM50 (5 137,2 FCFA). Cette configuration haussière, avec une MM20 supérieure à la MM50, confirme une tendance positive de moyen terme. La décision d'achat est justifiée par la dynamique positive et le croisement haussier des moyennes.</w:t>
      </w:r>
    </w:p>
    <w:p>
      <w:pPr>
        <w:spacing w:after="120" w:line="276" w:lineRule="auto"/>
      </w:pPr>
      <w:r>
        <w:t>**Bandes de Bollinger** : Le prix évolue entre la borne inférieure (5 437 FCFA) et la borne supérieure (5 814 FCFA), se positionnant légèrement sous la moyenne mobile centrale. Cette position neutre indique une volatilité modérée, sans signal d'extension excessive. La décision neutre est cohérente avec un cours qui respire dans un canal normal.</w:t>
      </w:r>
    </w:p>
    <w:p>
      <w:pPr>
        <w:spacing w:after="120" w:line="276" w:lineRule="auto"/>
      </w:pPr>
      <w:r>
        <w:t>**MACD** : Le MACD (126,18) est inférieur à sa ligne de signal (161,60), indiquant un momentum baissier à court terme. Cette divergence négative suggère un essoufflement de la dynamique haussière, justifiant la décision de vente. Cependant, la valeur positive du MACD signale que la tendance de fond reste haussière.</w:t>
      </w:r>
    </w:p>
    <w:p>
      <w:pPr>
        <w:spacing w:after="120" w:line="276" w:lineRule="auto"/>
      </w:pPr>
      <w:r>
        <w:t>**RSI** : À 40,12, le RSI se situe dans la zone neutre (30-70), sans signal de surachat ni de survente. Cette valeur indique une pression vendeuse modérée, mais sans excès. La décision neutre est appropriée, le titre disposant d'une marge de manœuvre avant d'atteindre des zones extrêmes.</w:t>
      </w:r>
    </w:p>
    <w:p>
      <w:pPr>
        <w:spacing w:after="120" w:line="276" w:lineRule="auto"/>
      </w:pPr>
      <w:r>
        <w:t>**Stochastique** : Le %K (68,57) est supérieur au %D (61,25), avec une configuration positive mais non extrême. Ce croisement haussier suggère une reprise du momentum acheteur, sans signal de surachat. La décision neutre reflète un équilibre entre forces acheteuses et vendeuses.</w:t>
      </w:r>
    </w:p>
    <w:p>
      <w:pPr>
        <w:spacing w:after="120" w:line="276" w:lineRule="auto"/>
      </w:pPr>
      <w:r>
        <w:t>**Conclusion technique** : La tendance de fond reste haussière (MM), mais les indicateurs de momentum (MACD, RSI) montrent un essoufflement à court terme. Le titre évolue dans un canal normal (Bollinger) avec un stochastique légèrement positif. Globalement, le signal est mitigé : la tendance long terme est positive, mais un repli technique à court terme n'est pas à exclure.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BOAM font ressortir un Produit Net Bancaire (PNB) de 37,996 milliards FCFA, en croissance de 5,08%, et un résultat net de 11,081 milliards FCFA. La banque affiche une rentabilité des fonds propres (ROE) de 22,24%, un niveau excellent (&gt;15%), et un ROA de 1,87%. Le coefficient d'exploitation de 63,14% reste légèrement au-dessus du seuil d'efficacité (&lt;60%), mais le coût du risque, à 43,39% des charges financières, demeure élevé, traduisant un risque de crédit significatif. Les dépôts clientèle (502,89 Mds) couvrent largement les crédits (253,65 Mds), indiquant une transformation saine. Les rapports trimestriels 2025 confirment cette trajectoire : le T1 affiche un résultat net en hausse de 91,2% (3,021 Mds), le S1 une progression de 28,8% (6,21 Mds), et le T3 une croissance de 26,2% (9,16 Mds). Sur la base de ces performances, on estime que l'exercice 2025 devrait clôturer avec un résultat net supérieur à 11 milliards FCFA, confirmant la solidité financière de la banque. L'évolution sur trois ans montre une amélioration spectaculaire : le résultat net est passé de 2,46 Mds en 2022 à 9,12 Mds en 2024, puis 11,08 Mds en 2025, démontrant une gestion efficace des risques et des coûts. La recommandation fondamentale est positive, la banque faisant preuve d'une résilience remarquable dans un environnement malien difficile.</w:t>
      </w:r>
    </w:p>
    <w:p>
      <w:pPr>
        <w:spacing w:after="120" w:line="276" w:lineRule="auto"/>
      </w:pPr>
      <w:r>
        <w:t>---</w:t>
      </w:r>
    </w:p>
    <w:p>
      <w:pPr>
        <w:spacing w:after="120" w:line="276" w:lineRule="auto"/>
      </w:pPr>
      <w:r>
        <w:t>### PARTIE 4 : CONCLUSION D'INVESTISSEMENT</w:t>
      </w:r>
    </w:p>
    <w:p>
      <w:pPr>
        <w:spacing w:after="120" w:line="276" w:lineRule="auto"/>
      </w:pPr>
      <w:r>
        <w:t>La valorisation de BOAM (PER 13,8x, P/B 3,08x) est légèrement supérieure aux moyennes du marché, mais justifiée par la qualité des fondamentaux. Le comportement du cours (+18,81% sur 100 jours) reflète une tendance haussière solide, avec une volatilité élevée mais maîtrisée. Les signaux techniques sont mitigés : la tendance long terme reste positive, mais les indicateurs de momentum suggèrent un possible repli à court terme. Les fondamentaux sont excellents, avec un ROE de 22,24%, une croissance soutenue du PNB (+5,08%) et une amélioration continue de la rentabilité nette. Les prédictions IA (5 535 à 5 257 FCFA sur 10 jours) indiquent une correction de 5 à 6%, ce qui contredit la tendance haussière récente mais confirme les signaux techniques de court terme. En synthèse, la convergence entre la solidité fondamentale et la valorisation raisonnable plaide pour une position positive, mais la correction technique anticipée suggère d'attendre un meilleur point d'entrée. **Recommandation : ACHAT** avec un niveau de confiance **Moyen** et un risque global **Moyen**. L'horizon d'investissement optimal est le **moyen terme (3-12 mois)**, permettant de capitaliser sur la croissance fondamentale tout en absorbant la volatilité technique à court terme.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108.16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10,628 titres</w:t>
            </w:r>
          </w:p>
        </w:tc>
        <w:tc>
          <w:tcPr>
            <w:tcW w:type="dxa" w:w="2268"/>
            <w:shd w:fill="FFF2CC" w:val="clear"/>
          </w:tcPr>
          <w:p>
            <w:r>
              <w:rPr>
                <w:b/>
                <w:color w:val="503200"/>
                <w:sz w:val="16"/>
              </w:rPr>
              <w:t xml:space="preserve">Cours actuel : </w:t>
            </w:r>
            <w:r>
              <w:rPr>
                <w:color w:val="000000"/>
                <w:sz w:val="17"/>
              </w:rPr>
              <w:t>5,200 FCFA</w:t>
            </w:r>
          </w:p>
          <w:p>
            <w:r>
              <w:rPr>
                <w:b/>
                <w:color w:val="503200"/>
                <w:sz w:val="16"/>
              </w:rPr>
              <w:t xml:space="preserve">Var. 100 jours : </w:t>
            </w:r>
            <w:r>
              <w:rPr>
                <w:b/>
                <w:color w:val="007800"/>
                <w:sz w:val="17"/>
              </w:rPr>
              <w:t>+74.20%</w:t>
            </w:r>
          </w:p>
          <w:p>
            <w:r>
              <w:rPr>
                <w:b/>
                <w:color w:val="503200"/>
                <w:sz w:val="16"/>
              </w:rPr>
              <w:t xml:space="preserve">Plus haut 100j : </w:t>
            </w:r>
            <w:r>
              <w:rPr>
                <w:color w:val="000000"/>
                <w:sz w:val="17"/>
              </w:rPr>
              <w:t>5,400 FCFA</w:t>
            </w:r>
          </w:p>
          <w:p>
            <w:r>
              <w:rPr>
                <w:b/>
                <w:color w:val="503200"/>
                <w:sz w:val="16"/>
              </w:rPr>
              <w:t xml:space="preserve">Plus bas 100j : </w:t>
            </w:r>
            <w:r>
              <w:rPr>
                <w:color w:val="000000"/>
                <w:sz w:val="17"/>
              </w:rPr>
              <w:t>2,460 FCFA</w:t>
            </w:r>
          </w:p>
          <w:p>
            <w:r>
              <w:rPr>
                <w:b/>
                <w:color w:val="503200"/>
                <w:sz w:val="16"/>
              </w:rPr>
              <w:t xml:space="preserve">Volatilité ann. : </w:t>
            </w:r>
            <w:r>
              <w:rPr>
                <w:color w:val="000000"/>
                <w:sz w:val="17"/>
              </w:rPr>
              <w:t>44.2%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22.07% (Élevée) — μ=3,796 FCFA, σ=838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β=0.7260 (Défensif) — Cov=0.000026, Var(idx)=0.000036, ρ=0.155,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10,628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σ_j=2.78%/j (Stable) — Vol. annualisée≈44.2%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4,898</w:t>
            </w:r>
          </w:p>
        </w:tc>
        <w:tc>
          <w:tcPr>
            <w:tcW w:type="dxa" w:w="1440"/>
            <w:shd w:fill="FAFAFA" w:val="clear"/>
          </w:tcPr>
          <w:p>
            <w:r>
              <w:rPr>
                <w:b/>
                <w:sz w:val="17"/>
              </w:rPr>
              <w:t>5,125</w:t>
            </w:r>
          </w:p>
        </w:tc>
        <w:tc>
          <w:tcPr>
            <w:tcW w:type="dxa" w:w="1440"/>
            <w:shd w:fill="FAFAFA" w:val="clear"/>
          </w:tcPr>
          <w:p>
            <w:r>
              <w:rPr>
                <w:sz w:val="17"/>
              </w:rPr>
              <w:t>5,352</w:t>
            </w:r>
          </w:p>
        </w:tc>
        <w:tc>
          <w:tcPr>
            <w:tcW w:type="dxa" w:w="1440"/>
            <w:shd w:fill="FAFAFA" w:val="clear"/>
          </w:tcPr>
          <w:p>
            <w:r>
              <w:rPr>
                <w:b/>
                <w:color w:val="C00000"/>
                <w:sz w:val="17"/>
              </w:rPr>
              <w:t>-1.4%</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4,804</w:t>
            </w:r>
          </w:p>
        </w:tc>
        <w:tc>
          <w:tcPr>
            <w:tcW w:type="dxa" w:w="1440"/>
            <w:shd w:fill="FAFAFA" w:val="clear"/>
          </w:tcPr>
          <w:p>
            <w:r>
              <w:rPr>
                <w:b/>
                <w:sz w:val="17"/>
              </w:rPr>
              <w:t>5,124</w:t>
            </w:r>
          </w:p>
        </w:tc>
        <w:tc>
          <w:tcPr>
            <w:tcW w:type="dxa" w:w="1440"/>
            <w:shd w:fill="FAFAFA" w:val="clear"/>
          </w:tcPr>
          <w:p>
            <w:r>
              <w:rPr>
                <w:sz w:val="17"/>
              </w:rPr>
              <w:t>5,445</w:t>
            </w:r>
          </w:p>
        </w:tc>
        <w:tc>
          <w:tcPr>
            <w:tcW w:type="dxa" w:w="1440"/>
            <w:shd w:fill="FAFAFA" w:val="clear"/>
          </w:tcPr>
          <w:p>
            <w:r>
              <w:rPr>
                <w:b/>
                <w:color w:val="C00000"/>
                <w:sz w:val="17"/>
              </w:rPr>
              <w:t>-1.5%</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4,724</w:t>
            </w:r>
          </w:p>
        </w:tc>
        <w:tc>
          <w:tcPr>
            <w:tcW w:type="dxa" w:w="1440"/>
            <w:shd w:fill="FAFAFA" w:val="clear"/>
          </w:tcPr>
          <w:p>
            <w:r>
              <w:rPr>
                <w:b/>
                <w:sz w:val="17"/>
              </w:rPr>
              <w:t>5,116</w:t>
            </w:r>
          </w:p>
        </w:tc>
        <w:tc>
          <w:tcPr>
            <w:tcW w:type="dxa" w:w="1440"/>
            <w:shd w:fill="FAFAFA" w:val="clear"/>
          </w:tcPr>
          <w:p>
            <w:r>
              <w:rPr>
                <w:sz w:val="17"/>
              </w:rPr>
              <w:t>5,508</w:t>
            </w:r>
          </w:p>
        </w:tc>
        <w:tc>
          <w:tcPr>
            <w:tcW w:type="dxa" w:w="1440"/>
            <w:shd w:fill="FAFAFA" w:val="clear"/>
          </w:tcPr>
          <w:p>
            <w:r>
              <w:rPr>
                <w:b/>
                <w:color w:val="C00000"/>
                <w:sz w:val="17"/>
              </w:rPr>
              <w:t>-1.6%</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4,654</w:t>
            </w:r>
          </w:p>
        </w:tc>
        <w:tc>
          <w:tcPr>
            <w:tcW w:type="dxa" w:w="1440"/>
            <w:shd w:fill="FAFAFA" w:val="clear"/>
          </w:tcPr>
          <w:p>
            <w:r>
              <w:rPr>
                <w:b/>
                <w:sz w:val="17"/>
              </w:rPr>
              <w:t>5,106</w:t>
            </w:r>
          </w:p>
        </w:tc>
        <w:tc>
          <w:tcPr>
            <w:tcW w:type="dxa" w:w="1440"/>
            <w:shd w:fill="FAFAFA" w:val="clear"/>
          </w:tcPr>
          <w:p>
            <w:r>
              <w:rPr>
                <w:sz w:val="17"/>
              </w:rPr>
              <w:t>5,558</w:t>
            </w:r>
          </w:p>
        </w:tc>
        <w:tc>
          <w:tcPr>
            <w:tcW w:type="dxa" w:w="1440"/>
            <w:shd w:fill="FAFAFA" w:val="clear"/>
          </w:tcPr>
          <w:p>
            <w:r>
              <w:rPr>
                <w:b/>
                <w:color w:val="C00000"/>
                <w:sz w:val="17"/>
              </w:rPr>
              <w:t>-1.8%</w:t>
            </w:r>
          </w:p>
        </w:tc>
      </w:tr>
      <w:tr>
        <w:tc>
          <w:tcPr>
            <w:tcW w:type="dxa" w:w="1440"/>
            <w:shd w:fill="FAFAFA" w:val="clear"/>
          </w:tcPr>
          <w:p>
            <w:r>
              <w:rPr>
                <w:sz w:val="17"/>
              </w:rPr>
              <w:t>J+5  ⭐</w:t>
            </w:r>
          </w:p>
        </w:tc>
        <w:tc>
          <w:tcPr>
            <w:tcW w:type="dxa" w:w="1440"/>
            <w:shd w:fill="FAFAFA" w:val="clear"/>
          </w:tcPr>
          <w:p>
            <w:r>
              <w:rPr>
                <w:sz w:val="17"/>
              </w:rPr>
              <w:t>2026-08-14</w:t>
            </w:r>
          </w:p>
        </w:tc>
        <w:tc>
          <w:tcPr>
            <w:tcW w:type="dxa" w:w="1440"/>
            <w:shd w:fill="FAFAFA" w:val="clear"/>
          </w:tcPr>
          <w:p>
            <w:r>
              <w:rPr>
                <w:sz w:val="17"/>
              </w:rPr>
              <w:t>4,592</w:t>
            </w:r>
          </w:p>
        </w:tc>
        <w:tc>
          <w:tcPr>
            <w:tcW w:type="dxa" w:w="1440"/>
            <w:shd w:fill="FAFAFA" w:val="clear"/>
          </w:tcPr>
          <w:p>
            <w:r>
              <w:rPr>
                <w:b/>
                <w:sz w:val="17"/>
              </w:rPr>
              <w:t>5,096</w:t>
            </w:r>
          </w:p>
        </w:tc>
        <w:tc>
          <w:tcPr>
            <w:tcW w:type="dxa" w:w="1440"/>
            <w:shd w:fill="FAFAFA" w:val="clear"/>
          </w:tcPr>
          <w:p>
            <w:r>
              <w:rPr>
                <w:sz w:val="17"/>
              </w:rPr>
              <w:t>5,601</w:t>
            </w:r>
          </w:p>
        </w:tc>
        <w:tc>
          <w:tcPr>
            <w:tcW w:type="dxa" w:w="1440"/>
            <w:shd w:fill="FAFAFA"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4,536</w:t>
            </w:r>
          </w:p>
        </w:tc>
        <w:tc>
          <w:tcPr>
            <w:tcW w:type="dxa" w:w="1440"/>
            <w:shd w:fill="FFDCE0" w:val="clear"/>
          </w:tcPr>
          <w:p>
            <w:r>
              <w:rPr>
                <w:b/>
                <w:sz w:val="17"/>
              </w:rPr>
              <w:t>5,087</w:t>
            </w:r>
          </w:p>
        </w:tc>
        <w:tc>
          <w:tcPr>
            <w:tcW w:type="dxa" w:w="1440"/>
            <w:shd w:fill="FFDCE0" w:val="clear"/>
          </w:tcPr>
          <w:p>
            <w:r>
              <w:rPr>
                <w:sz w:val="17"/>
              </w:rPr>
              <w:t>5,638</w:t>
            </w:r>
          </w:p>
        </w:tc>
        <w:tc>
          <w:tcPr>
            <w:tcW w:type="dxa" w:w="1440"/>
            <w:shd w:fill="FFDCE0" w:val="clear"/>
          </w:tcPr>
          <w:p>
            <w:r>
              <w:rPr>
                <w:b/>
                <w:color w:val="C00000"/>
                <w:sz w:val="17"/>
              </w:rPr>
              <w:t>-2.2%</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4,483</w:t>
            </w:r>
          </w:p>
        </w:tc>
        <w:tc>
          <w:tcPr>
            <w:tcW w:type="dxa" w:w="1440"/>
            <w:shd w:fill="FFDCE0" w:val="clear"/>
          </w:tcPr>
          <w:p>
            <w:r>
              <w:rPr>
                <w:b/>
                <w:sz w:val="17"/>
              </w:rPr>
              <w:t>5,078</w:t>
            </w:r>
          </w:p>
        </w:tc>
        <w:tc>
          <w:tcPr>
            <w:tcW w:type="dxa" w:w="1440"/>
            <w:shd w:fill="FFDCE0" w:val="clear"/>
          </w:tcPr>
          <w:p>
            <w:r>
              <w:rPr>
                <w:sz w:val="17"/>
              </w:rPr>
              <w:t>5,672</w:t>
            </w:r>
          </w:p>
        </w:tc>
        <w:tc>
          <w:tcPr>
            <w:tcW w:type="dxa" w:w="1440"/>
            <w:shd w:fill="FFDCE0" w:val="clear"/>
          </w:tcPr>
          <w:p>
            <w:r>
              <w:rPr>
                <w:b/>
                <w:color w:val="C00000"/>
                <w:sz w:val="17"/>
              </w:rPr>
              <w:t>-2.4%</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4,434</w:t>
            </w:r>
          </w:p>
        </w:tc>
        <w:tc>
          <w:tcPr>
            <w:tcW w:type="dxa" w:w="1440"/>
            <w:shd w:fill="FFDCE0" w:val="clear"/>
          </w:tcPr>
          <w:p>
            <w:r>
              <w:rPr>
                <w:b/>
                <w:sz w:val="17"/>
              </w:rPr>
              <w:t>5,068</w:t>
            </w:r>
          </w:p>
        </w:tc>
        <w:tc>
          <w:tcPr>
            <w:tcW w:type="dxa" w:w="1440"/>
            <w:shd w:fill="FFDCE0" w:val="clear"/>
          </w:tcPr>
          <w:p>
            <w:r>
              <w:rPr>
                <w:sz w:val="17"/>
              </w:rPr>
              <w:t>5,703</w:t>
            </w:r>
          </w:p>
        </w:tc>
        <w:tc>
          <w:tcPr>
            <w:tcW w:type="dxa" w:w="1440"/>
            <w:shd w:fill="FFDCE0" w:val="clear"/>
          </w:tcPr>
          <w:p>
            <w:r>
              <w:rPr>
                <w:b/>
                <w:color w:val="C00000"/>
                <w:sz w:val="17"/>
              </w:rPr>
              <w:t>-2.5%</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4,388</w:t>
            </w:r>
          </w:p>
        </w:tc>
        <w:tc>
          <w:tcPr>
            <w:tcW w:type="dxa" w:w="1440"/>
            <w:shd w:fill="FFDCE0" w:val="clear"/>
          </w:tcPr>
          <w:p>
            <w:r>
              <w:rPr>
                <w:b/>
                <w:sz w:val="17"/>
              </w:rPr>
              <w:t>5,059</w:t>
            </w:r>
          </w:p>
        </w:tc>
        <w:tc>
          <w:tcPr>
            <w:tcW w:type="dxa" w:w="1440"/>
            <w:shd w:fill="FFDCE0" w:val="clear"/>
          </w:tcPr>
          <w:p>
            <w:r>
              <w:rPr>
                <w:sz w:val="17"/>
              </w:rPr>
              <w:t>5,731</w:t>
            </w:r>
          </w:p>
        </w:tc>
        <w:tc>
          <w:tcPr>
            <w:tcW w:type="dxa" w:w="1440"/>
            <w:shd w:fill="FFDCE0" w:val="clear"/>
          </w:tcPr>
          <w:p>
            <w:r>
              <w:rPr>
                <w:b/>
                <w:color w:val="C00000"/>
                <w:sz w:val="17"/>
              </w:rPr>
              <w:t>-2.7%</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4,344</w:t>
            </w:r>
          </w:p>
        </w:tc>
        <w:tc>
          <w:tcPr>
            <w:tcW w:type="dxa" w:w="1440"/>
            <w:shd w:fill="FFDCE0" w:val="clear"/>
          </w:tcPr>
          <w:p>
            <w:r>
              <w:rPr>
                <w:b/>
                <w:sz w:val="17"/>
              </w:rPr>
              <w:t>5,051</w:t>
            </w:r>
          </w:p>
        </w:tc>
        <w:tc>
          <w:tcPr>
            <w:tcW w:type="dxa" w:w="1440"/>
            <w:shd w:fill="FFDCE0" w:val="clear"/>
          </w:tcPr>
          <w:p>
            <w:r>
              <w:rPr>
                <w:sz w:val="17"/>
              </w:rPr>
              <w:t>5,757</w:t>
            </w:r>
          </w:p>
        </w:tc>
        <w:tc>
          <w:tcPr>
            <w:tcW w:type="dxa" w:w="1440"/>
            <w:shd w:fill="FFDCE0" w:val="clear"/>
          </w:tcPr>
          <w:p>
            <w:r>
              <w:rPr>
                <w:b/>
                <w:color w:val="C00000"/>
                <w:sz w:val="17"/>
              </w:rPr>
              <w:t>-2.9%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BOAN s'établit à 108,16 milliards FCFA, un niveau significatif qui la positionne parmi les valeurs moyennes de la BRVM, reflétant un intérêt certain des investisseurs pour ce titre malgré des fondamentaux fragiles. Le BPA de 20 FCFA par action est particulièrement faible, traduisant une capacité bénéficiaire très réduite. Le PER de 264,4x est extrêmement élevé, très largement au-dessus de la moyenne BRVM (~8-12x), indiquant que les investisseurs paient un prix très cher pour chaque unité de bénéfice, ce qui suggère soit des anticipations de rebond très fortes, soit une surévaluation manifeste. Le P/B de 3,00x montre que le marché valorise la société à trois fois sa valeur comptable, une prime de croissance qui semble difficile à justifier au regard des performances actuelles. Enfin, l'EV/EBITDA de 39,9x est également très exigeant, signalant que la valeur totale de l'entreprise est près de 40 fois sa capacité opérationnelle, un niveau qui laisse peu de marge d'erreur.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BOAN a enregistré une progression spectaculaire de +74,20%, avec une dernière séance en hausse de +2,46% à 5 200 FCFA, démontrant une dynamique haussière très soutenue. Le cours a évolué dans une fourchette large de 2 460 FCFA (plus bas) à 5 400 FCFA (plus haut), illustrant un range de trading de près de 3 000 FCFA, ce qui témoigne d'une forte volatilité et d'un intérêt marqué des investisseurs. La moyenne du cours sur la période est de 3 796 FCFA, légèrement supérieure à la médiane de 3 700 FCFA, indiquant une distribution relativement symétrique avec une légère tendance haussière. L'écart-type de 842 FCFA, avec un coefficient de variation de 22,2%, révèle une dispersion modérée des prix autour de la moyenne. Le kurtosis de -0,685 (mésokurtique) suggère une distribution proche de la normale, sans risque de pics extrêmes, tandis que le skewness de 0,484 indique une asymétrie positive, avec des queues de distribution orientées vers les hausses. La volatilité annualisée de 44,2% classe le titre dans la catégorie des valeurs à forte volatilité, ce qui implique un risque élevé mais aussi un potentiel de gains substantiels.</w:t>
      </w:r>
    </w:p>
    <w:p>
      <w:pPr>
        <w:spacing w:after="120" w:line="276" w:lineRule="auto" w:before="240"/>
      </w:pPr>
      <w:r>
        <w:rPr>
          <w:b/>
          <w:color w:val="003366"/>
          <w:sz w:val="24"/>
        </w:rPr>
        <w:t>**PARTIE 2 : ANALYSE TECHNIQUE DÉTAILLÉE**</w:t>
      </w:r>
    </w:p>
    <w:p>
      <w:pPr>
        <w:spacing w:after="120" w:line="276" w:lineRule="auto"/>
      </w:pPr>
      <w:r>
        <w:t>**Moyennes Mobiles** : Le cours actuel de 5 200 FCFA se situe au-dessus de la MM20 (5 181,5 FCFA) et nettement au-dessus de la MM50 (4 430,9 FCFA), confirmant une tendance haussière de moyen terme. La configuration des moyennes mobiles, avec la MM20 au-dessus de la MM50, valide un signal d'achat classique en analyse technique, indiquant que la dynamique positive reste intacte malgré la récente consolidation.</w:t>
      </w:r>
    </w:p>
    <w:p>
      <w:pPr>
        <w:spacing w:after="120" w:line="276" w:lineRule="auto"/>
      </w:pPr>
      <w:r>
        <w:t>**Bandes de Bollinger** : Le prix se positionne à 5 200 FCFA, entre la borne inférieure (4 764,568 FCFA) et la borne supérieure (5 598,432 FCFA), proche du milieu du canal. Cette position neutre suggère une volatilité modérée avec un potentiel de mouvement dans les deux directions. La largeur des bandes reflète la volatilité élevée du titre, et le signal neutre indique que le marché n'est pas encore en situation de surachat ou de survente extrême.</w:t>
      </w:r>
    </w:p>
    <w:p>
      <w:pPr>
        <w:spacing w:after="120" w:line="276" w:lineRule="auto"/>
      </w:pPr>
      <w:r>
        <w:t>**MACD** : Le MACD affiche une valeur de 217,692, inférieure à son signal à 280,232, générant un signal de vente. Cette configuration indique un affaiblissement du momentum haussier à court terme, même si les deux indicateurs restent en territoire positif. La convergence négative suggère une possible correction à venir, bien que la tendance de fond demeure haussière.</w:t>
      </w:r>
    </w:p>
    <w:p>
      <w:pPr>
        <w:spacing w:after="120" w:line="276" w:lineRule="auto"/>
      </w:pPr>
      <w:r>
        <w:t>**RSI** : À 42,991, le RSI se situe en zone neutre, entre 30 et 70, indiquant que le titre n'est ni suracheté ni survendu. Cette valeur reflète une pression acheteuse modérée, avec une marge de manœuvre avant d'atteindre des niveaux extrêmes. Le RSI neutre suggère que les investisseurs attendent des signaux plus clairs avant de prendre des positions directionnelles.</w:t>
      </w:r>
    </w:p>
    <w:p>
      <w:pPr>
        <w:spacing w:after="120" w:line="276" w:lineRule="auto"/>
      </w:pPr>
      <w:r>
        <w:t>**Stochastique** : Le %K à 38,462 et le %D à 12,821 montrent une configuration où le %K est nettement au-dessus du %D, suggérant un début de rebond technique. Cependant, les deux valeurs restent en zone basse, indiquant que le momentum haussier est encore fragile. Le croisement haussier du %K au-dessus du %D pourrait signaler un retour de l'intérêt acheteur à court terme.</w:t>
      </w:r>
    </w:p>
    <w:p>
      <w:pPr>
        <w:spacing w:after="120" w:line="276" w:lineRule="auto"/>
      </w:pPr>
      <w:r>
        <w:t>**Conclusion technique** : La synthèse des indicateurs techniques révèle un tableau contrasté. Les moyennes mobiles confirment une tendance haussière de fond, tandis que le MACD signale un affaiblissement du momentum à court terme. Le RSI et les bandes de Bollinger sont neutres, et le stochastique suggère un potentiel rebond. Globalement, la tendance reste positive mais avec des signaux de prudence à court terme, justifiant une approche attentiste.</w:t>
      </w:r>
    </w:p>
    <w:p>
      <w:pPr>
        <w:spacing w:after="120" w:line="276" w:lineRule="auto" w:before="240"/>
      </w:pPr>
      <w:r>
        <w:rPr>
          <w:b/>
          <w:color w:val="003366"/>
          <w:sz w:val="24"/>
        </w:rPr>
        <w:t>**PARTIE 3 : ANALYSE FONDAMENTALE (SECTION CRITIQUE)**</w:t>
      </w:r>
    </w:p>
    <w:p>
      <w:pPr>
        <w:spacing w:after="120" w:line="276" w:lineRule="auto"/>
      </w:pPr>
      <w:r>
        <w:t>En 2025, les données structurées de BOAN révèlent une situation financière préoccupante. Le Produit Net Bancaire s'établit à 21,125 milliards FCFA, en légère baisse de 1,2% par rapport à 2024 (21,380 milliards FCFA), tandis que le résultat net s'effondre à 409 millions FCFA, soit une chute vertigineuse de 91,8% par rapport aux 5,002 milliards FCFA de 2024. La rentabilité est au plus bas avec un ROE de 1,13% et un ROA de 0,14%, très loin des standards bancaires (&gt;15% pour le ROE). Le coefficient d'exploitation de 74,37% indique une efficacité opérationnelle dégradée, bien au-dessus du seuil de 60% considéré comme sain. Le coût du risque de 67,30% est particulièrement élevé, reflétant un portefeuille de crédits de mauvaise qualité avec un taux de créances en souffrance sectoriel de 24%. Les dépôts clientèle (183,280 milliards FCFA) restent supérieurs aux crédits (128,447 milliards FCFA), montrant une transformation bancaire prudente. Les rapports trimestriels 2025 confirment la tendance : T1 avec un PNB en baisse de 16,3% et un résultat net en chute de 50,2%, S1 avec une contraction de 4,1% du PNB et une baisse de 25,2% du résultat net, et 9 mois avec un résultat net en recul de 33,1%. Cependant, le rapport T1 2026 (daté de 2026) montre une amélioration significative avec un résultat net en hausse de 28,9% à 1 467,3 millions FCFA et un PNB en progression de 7,9%, suggérant un début de redressement. Le budget 2026 prévoit une multiplication par 6 du résultat avant impôts, passant de 1,183 milliards à 7,280 milliards FCFA, avec une réduction de 65,7% du coût du risque. La solidité prudentielle est maintenue avec un ratio de solvabilité de 14,06% et un coefficient de liquidité de 123,95%, conformes aux exigences UEMOA.</w:t>
      </w:r>
    </w:p>
    <w:p>
      <w:pPr>
        <w:spacing w:after="120" w:line="276" w:lineRule="auto" w:before="240"/>
      </w:pPr>
      <w:r>
        <w:rPr>
          <w:b/>
          <w:color w:val="003366"/>
          <w:sz w:val="24"/>
        </w:rPr>
        <w:t>**PARTIE 4 : CONCLUSION D'INVESTISSEMENT**</w:t>
      </w:r>
    </w:p>
    <w:p>
      <w:pPr>
        <w:spacing w:after="120" w:line="276" w:lineRule="auto"/>
      </w:pPr>
      <w:r>
        <w:t>La synthèse globale révèle des signaux fortement contrastés pour BOAN. La valorisation (Partie 0) est extrêmement exigeante avec un PER de 264,4x et un EV/EBITDA de 39,9x, indiquant une surévaluation manifeste par rapport aux bénéfices actuels. Le comportement du cours (Partie 1) montre une tendance haussière spectaculaire de +74,2% sur 100 jours, avec une volatilité élevée de 44,2% et une distribution relativement normale, mais cette performance semble déconnectée des fondamentaux. Les signaux techniques (Partie 2) sont mitigés : les moyennes mobiles sont haussières, mais le MACD est vendeur et le RSI neutre, suggérant une possible consolidation. Les fondamentaux (Partie 3) sont préoccupants avec un effondrement du résultat net en 2025, mais les perspectives 2026 sont encourageantes avec un T1 en forte amélioration et un budget ambitieux. Les prédictions IA (J+1 à J+10) prévoient une légère baisse de 5 125 à 5 096 FCFA, contredisant la tendance haussière récente. Sur la base de cette analyse, la recommandation est **CONSERVER** avec un niveau de confiance **Moyen** et un risque global **Élevé**. L'horizon d'investissement optimal serait le **moyen terme (3-12 mois)**, en attendant la confirmation du redressement fondamental à travers les résultats semestriels 2026. Les investisseurs devraient surveiller attentivement l'évolution du coût du risque et la réalisation des objectifs budgétaires avant d'envisager un renforcement de position.</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277.56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8,986 titres</w:t>
            </w:r>
          </w:p>
        </w:tc>
        <w:tc>
          <w:tcPr>
            <w:tcW w:type="dxa" w:w="2268"/>
            <w:shd w:fill="FFF2CC" w:val="clear"/>
          </w:tcPr>
          <w:p>
            <w:r>
              <w:rPr>
                <w:b/>
                <w:color w:val="503200"/>
                <w:sz w:val="16"/>
              </w:rPr>
              <w:t xml:space="preserve">Cours actuel : </w:t>
            </w:r>
            <w:r>
              <w:rPr>
                <w:color w:val="000000"/>
                <w:sz w:val="17"/>
              </w:rPr>
              <w:t>7,710 FCFA</w:t>
            </w:r>
          </w:p>
          <w:p>
            <w:r>
              <w:rPr>
                <w:b/>
                <w:color w:val="503200"/>
                <w:sz w:val="16"/>
              </w:rPr>
              <w:t xml:space="preserve">Var. 100 jours : </w:t>
            </w:r>
            <w:r>
              <w:rPr>
                <w:b/>
                <w:color w:val="007800"/>
                <w:sz w:val="17"/>
              </w:rPr>
              <w:t>+10.14%</w:t>
            </w:r>
          </w:p>
          <w:p>
            <w:r>
              <w:rPr>
                <w:b/>
                <w:color w:val="503200"/>
                <w:sz w:val="16"/>
              </w:rPr>
              <w:t xml:space="preserve">Plus haut 100j : </w:t>
            </w:r>
            <w:r>
              <w:rPr>
                <w:color w:val="000000"/>
                <w:sz w:val="17"/>
              </w:rPr>
              <w:t>8,050 FCFA</w:t>
            </w:r>
          </w:p>
          <w:p>
            <w:r>
              <w:rPr>
                <w:b/>
                <w:color w:val="503200"/>
                <w:sz w:val="16"/>
              </w:rPr>
              <w:t xml:space="preserve">Plus bas 100j : </w:t>
            </w:r>
            <w:r>
              <w:rPr>
                <w:color w:val="000000"/>
                <w:sz w:val="17"/>
              </w:rPr>
              <w:t>6,400 FCFA</w:t>
            </w:r>
          </w:p>
          <w:p>
            <w:r>
              <w:rPr>
                <w:b/>
                <w:color w:val="503200"/>
                <w:sz w:val="16"/>
              </w:rPr>
              <w:t xml:space="preserve">Volatilité ann. : </w:t>
            </w:r>
            <w:r>
              <w:rPr>
                <w:color w:val="000000"/>
                <w:sz w:val="17"/>
              </w:rPr>
              <w:t>24.6%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5.33% (Moyenne) — μ=7,252 FCFA, σ=387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β=0.5513 (Défensif) — Cov=0.000020, Var(idx)=0.000036, ρ=0.212,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8,986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σ_j=1.55%/j (Stable) — Vol. annualisée≈24.6%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7,341</w:t>
            </w:r>
          </w:p>
        </w:tc>
        <w:tc>
          <w:tcPr>
            <w:tcW w:type="dxa" w:w="1440"/>
            <w:shd w:fill="FFDCE0" w:val="clear"/>
          </w:tcPr>
          <w:p>
            <w:r>
              <w:rPr>
                <w:b/>
                <w:sz w:val="17"/>
              </w:rPr>
              <w:t>7,518</w:t>
            </w:r>
          </w:p>
        </w:tc>
        <w:tc>
          <w:tcPr>
            <w:tcW w:type="dxa" w:w="1440"/>
            <w:shd w:fill="FFDCE0" w:val="clear"/>
          </w:tcPr>
          <w:p>
            <w:r>
              <w:rPr>
                <w:sz w:val="17"/>
              </w:rPr>
              <w:t>7,694</w:t>
            </w:r>
          </w:p>
        </w:tc>
        <w:tc>
          <w:tcPr>
            <w:tcW w:type="dxa" w:w="1440"/>
            <w:shd w:fill="FFDCE0" w:val="clear"/>
          </w:tcPr>
          <w:p>
            <w:r>
              <w:rPr>
                <w:b/>
                <w:color w:val="C00000"/>
                <w:sz w:val="17"/>
              </w:rPr>
              <w:t>-2.5%</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7,165</w:t>
            </w:r>
          </w:p>
        </w:tc>
        <w:tc>
          <w:tcPr>
            <w:tcW w:type="dxa" w:w="1440"/>
            <w:shd w:fill="FFDCE0" w:val="clear"/>
          </w:tcPr>
          <w:p>
            <w:r>
              <w:rPr>
                <w:b/>
                <w:sz w:val="17"/>
              </w:rPr>
              <w:t>7,411</w:t>
            </w:r>
          </w:p>
        </w:tc>
        <w:tc>
          <w:tcPr>
            <w:tcW w:type="dxa" w:w="1440"/>
            <w:shd w:fill="FFDCE0" w:val="clear"/>
          </w:tcPr>
          <w:p>
            <w:r>
              <w:rPr>
                <w:sz w:val="17"/>
              </w:rPr>
              <w:t>7,658</w:t>
            </w:r>
          </w:p>
        </w:tc>
        <w:tc>
          <w:tcPr>
            <w:tcW w:type="dxa" w:w="1440"/>
            <w:shd w:fill="FFDCE0" w:val="clear"/>
          </w:tcPr>
          <w:p>
            <w:r>
              <w:rPr>
                <w:b/>
                <w:color w:val="C00000"/>
                <w:sz w:val="17"/>
              </w:rPr>
              <w:t>-3.9%</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7,005</w:t>
            </w:r>
          </w:p>
        </w:tc>
        <w:tc>
          <w:tcPr>
            <w:tcW w:type="dxa" w:w="1440"/>
            <w:shd w:fill="FFDCE0" w:val="clear"/>
          </w:tcPr>
          <w:p>
            <w:r>
              <w:rPr>
                <w:b/>
                <w:sz w:val="17"/>
              </w:rPr>
              <w:t>7,302</w:t>
            </w:r>
          </w:p>
        </w:tc>
        <w:tc>
          <w:tcPr>
            <w:tcW w:type="dxa" w:w="1440"/>
            <w:shd w:fill="FFDCE0" w:val="clear"/>
          </w:tcPr>
          <w:p>
            <w:r>
              <w:rPr>
                <w:sz w:val="17"/>
              </w:rPr>
              <w:t>7,600</w:t>
            </w:r>
          </w:p>
        </w:tc>
        <w:tc>
          <w:tcPr>
            <w:tcW w:type="dxa" w:w="1440"/>
            <w:shd w:fill="FFDCE0" w:val="clear"/>
          </w:tcPr>
          <w:p>
            <w:r>
              <w:rPr>
                <w:b/>
                <w:color w:val="C00000"/>
                <w:sz w:val="17"/>
              </w:rPr>
              <w:t>-5.3%</w:t>
            </w:r>
          </w:p>
        </w:tc>
      </w:tr>
      <w:tr>
        <w:tc>
          <w:tcPr>
            <w:tcW w:type="dxa" w:w="1440"/>
            <w:shd w:fill="FFDCE0" w:val="clear"/>
          </w:tcPr>
          <w:p>
            <w:r>
              <w:rPr>
                <w:sz w:val="17"/>
              </w:rPr>
              <w:t>J+4  Moyenne</w:t>
            </w:r>
          </w:p>
        </w:tc>
        <w:tc>
          <w:tcPr>
            <w:tcW w:type="dxa" w:w="1440"/>
            <w:shd w:fill="FFDCE0" w:val="clear"/>
          </w:tcPr>
          <w:p>
            <w:r>
              <w:rPr>
                <w:sz w:val="17"/>
              </w:rPr>
              <w:t>2026-08-13</w:t>
            </w:r>
          </w:p>
        </w:tc>
        <w:tc>
          <w:tcPr>
            <w:tcW w:type="dxa" w:w="1440"/>
            <w:shd w:fill="FFDCE0" w:val="clear"/>
          </w:tcPr>
          <w:p>
            <w:r>
              <w:rPr>
                <w:sz w:val="17"/>
              </w:rPr>
              <w:t>6,864</w:t>
            </w:r>
          </w:p>
        </w:tc>
        <w:tc>
          <w:tcPr>
            <w:tcW w:type="dxa" w:w="1440"/>
            <w:shd w:fill="FFDCE0" w:val="clear"/>
          </w:tcPr>
          <w:p>
            <w:r>
              <w:rPr>
                <w:b/>
                <w:sz w:val="17"/>
              </w:rPr>
              <w:t>7,203</w:t>
            </w:r>
          </w:p>
        </w:tc>
        <w:tc>
          <w:tcPr>
            <w:tcW w:type="dxa" w:w="1440"/>
            <w:shd w:fill="FFDCE0" w:val="clear"/>
          </w:tcPr>
          <w:p>
            <w:r>
              <w:rPr>
                <w:sz w:val="17"/>
              </w:rPr>
              <w:t>7,541</w:t>
            </w:r>
          </w:p>
        </w:tc>
        <w:tc>
          <w:tcPr>
            <w:tcW w:type="dxa" w:w="1440"/>
            <w:shd w:fill="FFDCE0" w:val="clear"/>
          </w:tcPr>
          <w:p>
            <w:r>
              <w:rPr>
                <w:b/>
                <w:color w:val="C00000"/>
                <w:sz w:val="17"/>
              </w:rPr>
              <w:t>-6.6%</w:t>
            </w:r>
          </w:p>
        </w:tc>
      </w:tr>
      <w:tr>
        <w:tc>
          <w:tcPr>
            <w:tcW w:type="dxa" w:w="1440"/>
            <w:shd w:fill="FFDCE0" w:val="clear"/>
          </w:tcPr>
          <w:p>
            <w:r>
              <w:rPr>
                <w:sz w:val="17"/>
              </w:rPr>
              <w:t>J+5  Moyenne</w:t>
            </w:r>
          </w:p>
        </w:tc>
        <w:tc>
          <w:tcPr>
            <w:tcW w:type="dxa" w:w="1440"/>
            <w:shd w:fill="FFDCE0" w:val="clear"/>
          </w:tcPr>
          <w:p>
            <w:r>
              <w:rPr>
                <w:sz w:val="17"/>
              </w:rPr>
              <w:t>2026-08-14</w:t>
            </w:r>
          </w:p>
        </w:tc>
        <w:tc>
          <w:tcPr>
            <w:tcW w:type="dxa" w:w="1440"/>
            <w:shd w:fill="FFDCE0" w:val="clear"/>
          </w:tcPr>
          <w:p>
            <w:r>
              <w:rPr>
                <w:sz w:val="17"/>
              </w:rPr>
              <w:t>6,735</w:t>
            </w:r>
          </w:p>
        </w:tc>
        <w:tc>
          <w:tcPr>
            <w:tcW w:type="dxa" w:w="1440"/>
            <w:shd w:fill="FFDCE0" w:val="clear"/>
          </w:tcPr>
          <w:p>
            <w:r>
              <w:rPr>
                <w:b/>
                <w:sz w:val="17"/>
              </w:rPr>
              <w:t>7,109</w:t>
            </w:r>
          </w:p>
        </w:tc>
        <w:tc>
          <w:tcPr>
            <w:tcW w:type="dxa" w:w="1440"/>
            <w:shd w:fill="FFDCE0" w:val="clear"/>
          </w:tcPr>
          <w:p>
            <w:r>
              <w:rPr>
                <w:sz w:val="17"/>
              </w:rPr>
              <w:t>7,483</w:t>
            </w:r>
          </w:p>
        </w:tc>
        <w:tc>
          <w:tcPr>
            <w:tcW w:type="dxa" w:w="1440"/>
            <w:shd w:fill="FFDCE0" w:val="clear"/>
          </w:tcPr>
          <w:p>
            <w:r>
              <w:rPr>
                <w:b/>
                <w:color w:val="C00000"/>
                <w:sz w:val="17"/>
              </w:rPr>
              <w:t>-7.8%</w:t>
            </w:r>
          </w:p>
        </w:tc>
      </w:tr>
      <w:tr>
        <w:tc>
          <w:tcPr>
            <w:tcW w:type="dxa" w:w="1440"/>
            <w:shd w:fill="FFDCE0" w:val="clear"/>
          </w:tcPr>
          <w:p>
            <w:r>
              <w:rPr>
                <w:sz w:val="17"/>
              </w:rPr>
              <w:t>J+6  Moyenne</w:t>
            </w:r>
          </w:p>
        </w:tc>
        <w:tc>
          <w:tcPr>
            <w:tcW w:type="dxa" w:w="1440"/>
            <w:shd w:fill="FFDCE0" w:val="clear"/>
          </w:tcPr>
          <w:p>
            <w:r>
              <w:rPr>
                <w:sz w:val="17"/>
              </w:rPr>
              <w:t>2026-08-17</w:t>
            </w:r>
          </w:p>
        </w:tc>
        <w:tc>
          <w:tcPr>
            <w:tcW w:type="dxa" w:w="1440"/>
            <w:shd w:fill="FFDCE0" w:val="clear"/>
          </w:tcPr>
          <w:p>
            <w:r>
              <w:rPr>
                <w:sz w:val="17"/>
              </w:rPr>
              <w:t>6,616</w:t>
            </w:r>
          </w:p>
        </w:tc>
        <w:tc>
          <w:tcPr>
            <w:tcW w:type="dxa" w:w="1440"/>
            <w:shd w:fill="FFDCE0" w:val="clear"/>
          </w:tcPr>
          <w:p>
            <w:r>
              <w:rPr>
                <w:b/>
                <w:sz w:val="17"/>
              </w:rPr>
              <w:t>7,021</w:t>
            </w:r>
          </w:p>
        </w:tc>
        <w:tc>
          <w:tcPr>
            <w:tcW w:type="dxa" w:w="1440"/>
            <w:shd w:fill="FFDCE0" w:val="clear"/>
          </w:tcPr>
          <w:p>
            <w:r>
              <w:rPr>
                <w:sz w:val="17"/>
              </w:rPr>
              <w:t>7,425</w:t>
            </w:r>
          </w:p>
        </w:tc>
        <w:tc>
          <w:tcPr>
            <w:tcW w:type="dxa" w:w="1440"/>
            <w:shd w:fill="FFDCE0" w:val="clear"/>
          </w:tcPr>
          <w:p>
            <w:r>
              <w:rPr>
                <w:b/>
                <w:color w:val="C00000"/>
                <w:sz w:val="17"/>
              </w:rPr>
              <w:t>-8.9%</w:t>
            </w:r>
          </w:p>
        </w:tc>
      </w:tr>
      <w:tr>
        <w:tc>
          <w:tcPr>
            <w:tcW w:type="dxa" w:w="1440"/>
            <w:shd w:fill="FFDCE0" w:val="clear"/>
          </w:tcPr>
          <w:p>
            <w:r>
              <w:rPr>
                <w:sz w:val="17"/>
              </w:rPr>
              <w:t>J+7  Moyenne</w:t>
            </w:r>
          </w:p>
        </w:tc>
        <w:tc>
          <w:tcPr>
            <w:tcW w:type="dxa" w:w="1440"/>
            <w:shd w:fill="FFDCE0" w:val="clear"/>
          </w:tcPr>
          <w:p>
            <w:r>
              <w:rPr>
                <w:sz w:val="17"/>
              </w:rPr>
              <w:t>2026-08-18</w:t>
            </w:r>
          </w:p>
        </w:tc>
        <w:tc>
          <w:tcPr>
            <w:tcW w:type="dxa" w:w="1440"/>
            <w:shd w:fill="FFDCE0" w:val="clear"/>
          </w:tcPr>
          <w:p>
            <w:r>
              <w:rPr>
                <w:sz w:val="17"/>
              </w:rPr>
              <w:t>6,505</w:t>
            </w:r>
          </w:p>
        </w:tc>
        <w:tc>
          <w:tcPr>
            <w:tcW w:type="dxa" w:w="1440"/>
            <w:shd w:fill="FFDCE0" w:val="clear"/>
          </w:tcPr>
          <w:p>
            <w:r>
              <w:rPr>
                <w:b/>
                <w:sz w:val="17"/>
              </w:rPr>
              <w:t>6,937</w:t>
            </w:r>
          </w:p>
        </w:tc>
        <w:tc>
          <w:tcPr>
            <w:tcW w:type="dxa" w:w="1440"/>
            <w:shd w:fill="FFDCE0" w:val="clear"/>
          </w:tcPr>
          <w:p>
            <w:r>
              <w:rPr>
                <w:sz w:val="17"/>
              </w:rPr>
              <w:t>7,369</w:t>
            </w:r>
          </w:p>
        </w:tc>
        <w:tc>
          <w:tcPr>
            <w:tcW w:type="dxa" w:w="1440"/>
            <w:shd w:fill="FFDCE0" w:val="clear"/>
          </w:tcPr>
          <w:p>
            <w:r>
              <w:rPr>
                <w:b/>
                <w:color w:val="C00000"/>
                <w:sz w:val="17"/>
              </w:rPr>
              <w:t>-10.0%</w:t>
            </w:r>
          </w:p>
        </w:tc>
      </w:tr>
      <w:tr>
        <w:tc>
          <w:tcPr>
            <w:tcW w:type="dxa" w:w="1440"/>
            <w:shd w:fill="FFDCE0" w:val="clear"/>
          </w:tcPr>
          <w:p>
            <w:r>
              <w:rPr>
                <w:sz w:val="17"/>
              </w:rPr>
              <w:t>J+8  Moyenne</w:t>
            </w:r>
          </w:p>
        </w:tc>
        <w:tc>
          <w:tcPr>
            <w:tcW w:type="dxa" w:w="1440"/>
            <w:shd w:fill="FFDCE0" w:val="clear"/>
          </w:tcPr>
          <w:p>
            <w:r>
              <w:rPr>
                <w:sz w:val="17"/>
              </w:rPr>
              <w:t>2026-08-19</w:t>
            </w:r>
          </w:p>
        </w:tc>
        <w:tc>
          <w:tcPr>
            <w:tcW w:type="dxa" w:w="1440"/>
            <w:shd w:fill="FFDCE0" w:val="clear"/>
          </w:tcPr>
          <w:p>
            <w:r>
              <w:rPr>
                <w:sz w:val="17"/>
              </w:rPr>
              <w:t>6,401</w:t>
            </w:r>
          </w:p>
        </w:tc>
        <w:tc>
          <w:tcPr>
            <w:tcW w:type="dxa" w:w="1440"/>
            <w:shd w:fill="FFDCE0" w:val="clear"/>
          </w:tcPr>
          <w:p>
            <w:r>
              <w:rPr>
                <w:b/>
                <w:sz w:val="17"/>
              </w:rPr>
              <w:t>6,858</w:t>
            </w:r>
          </w:p>
        </w:tc>
        <w:tc>
          <w:tcPr>
            <w:tcW w:type="dxa" w:w="1440"/>
            <w:shd w:fill="FFDCE0" w:val="clear"/>
          </w:tcPr>
          <w:p>
            <w:r>
              <w:rPr>
                <w:sz w:val="17"/>
              </w:rPr>
              <w:t>7,314</w:t>
            </w:r>
          </w:p>
        </w:tc>
        <w:tc>
          <w:tcPr>
            <w:tcW w:type="dxa" w:w="1440"/>
            <w:shd w:fill="FFDCE0" w:val="clear"/>
          </w:tcPr>
          <w:p>
            <w:r>
              <w:rPr>
                <w:b/>
                <w:color w:val="C00000"/>
                <w:sz w:val="17"/>
              </w:rPr>
              <w:t>-11.1%</w:t>
            </w:r>
          </w:p>
        </w:tc>
      </w:tr>
      <w:tr>
        <w:tc>
          <w:tcPr>
            <w:tcW w:type="dxa" w:w="1440"/>
            <w:shd w:fill="FFDCE0" w:val="clear"/>
          </w:tcPr>
          <w:p>
            <w:r>
              <w:rPr>
                <w:sz w:val="17"/>
              </w:rPr>
              <w:t>J+9  Moyenne</w:t>
            </w:r>
          </w:p>
        </w:tc>
        <w:tc>
          <w:tcPr>
            <w:tcW w:type="dxa" w:w="1440"/>
            <w:shd w:fill="FFDCE0" w:val="clear"/>
          </w:tcPr>
          <w:p>
            <w:r>
              <w:rPr>
                <w:sz w:val="17"/>
              </w:rPr>
              <w:t>2026-08-20</w:t>
            </w:r>
          </w:p>
        </w:tc>
        <w:tc>
          <w:tcPr>
            <w:tcW w:type="dxa" w:w="1440"/>
            <w:shd w:fill="FFDCE0" w:val="clear"/>
          </w:tcPr>
          <w:p>
            <w:r>
              <w:rPr>
                <w:sz w:val="17"/>
              </w:rPr>
              <w:t>6,303</w:t>
            </w:r>
          </w:p>
        </w:tc>
        <w:tc>
          <w:tcPr>
            <w:tcW w:type="dxa" w:w="1440"/>
            <w:shd w:fill="FFDCE0" w:val="clear"/>
          </w:tcPr>
          <w:p>
            <w:r>
              <w:rPr>
                <w:b/>
                <w:sz w:val="17"/>
              </w:rPr>
              <w:t>6,782</w:t>
            </w:r>
          </w:p>
        </w:tc>
        <w:tc>
          <w:tcPr>
            <w:tcW w:type="dxa" w:w="1440"/>
            <w:shd w:fill="FFDCE0" w:val="clear"/>
          </w:tcPr>
          <w:p>
            <w:r>
              <w:rPr>
                <w:sz w:val="17"/>
              </w:rPr>
              <w:t>7,260</w:t>
            </w:r>
          </w:p>
        </w:tc>
        <w:tc>
          <w:tcPr>
            <w:tcW w:type="dxa" w:w="1440"/>
            <w:shd w:fill="FFDCE0" w:val="clear"/>
          </w:tcPr>
          <w:p>
            <w:r>
              <w:rPr>
                <w:b/>
                <w:color w:val="C00000"/>
                <w:sz w:val="17"/>
              </w:rPr>
              <w:t>-12.0%</w:t>
            </w:r>
          </w:p>
        </w:tc>
      </w:tr>
      <w:tr>
        <w:tc>
          <w:tcPr>
            <w:tcW w:type="dxa" w:w="1440"/>
            <w:shd w:fill="FFDCE0" w:val="clear"/>
          </w:tcPr>
          <w:p>
            <w:r>
              <w:rPr>
                <w:sz w:val="17"/>
              </w:rPr>
              <w:t>J+10  Moyenne</w:t>
            </w:r>
          </w:p>
        </w:tc>
        <w:tc>
          <w:tcPr>
            <w:tcW w:type="dxa" w:w="1440"/>
            <w:shd w:fill="FFDCE0" w:val="clear"/>
          </w:tcPr>
          <w:p>
            <w:r>
              <w:rPr>
                <w:sz w:val="17"/>
              </w:rPr>
              <w:t>2026-08-21</w:t>
            </w:r>
          </w:p>
        </w:tc>
        <w:tc>
          <w:tcPr>
            <w:tcW w:type="dxa" w:w="1440"/>
            <w:shd w:fill="FFDCE0" w:val="clear"/>
          </w:tcPr>
          <w:p>
            <w:r>
              <w:rPr>
                <w:sz w:val="17"/>
              </w:rPr>
              <w:t>6,211</w:t>
            </w:r>
          </w:p>
        </w:tc>
        <w:tc>
          <w:tcPr>
            <w:tcW w:type="dxa" w:w="1440"/>
            <w:shd w:fill="FFDCE0" w:val="clear"/>
          </w:tcPr>
          <w:p>
            <w:r>
              <w:rPr>
                <w:b/>
                <w:sz w:val="17"/>
              </w:rPr>
              <w:t>6,710</w:t>
            </w:r>
          </w:p>
        </w:tc>
        <w:tc>
          <w:tcPr>
            <w:tcW w:type="dxa" w:w="1440"/>
            <w:shd w:fill="FFDCE0" w:val="clear"/>
          </w:tcPr>
          <w:p>
            <w:r>
              <w:rPr>
                <w:sz w:val="17"/>
              </w:rPr>
              <w:t>7,209</w:t>
            </w:r>
          </w:p>
        </w:tc>
        <w:tc>
          <w:tcPr>
            <w:tcW w:type="dxa" w:w="1440"/>
            <w:shd w:fill="FFDCE0" w:val="clear"/>
          </w:tcPr>
          <w:p>
            <w:r>
              <w:rPr>
                <w:b/>
                <w:color w:val="C00000"/>
                <w:sz w:val="17"/>
              </w:rPr>
              <w:t>-13.0%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BOAS s'établit à 277,56 milliards FCFA, ce qui positionne la banque parmi les valeurs moyennes à grandes capitalisations de la BRVM, lui conférant une liquidité théorique appréciable. Avec un BPA de 608 FCFA, chaque action génère un bénéfice substantiel, justifiant un PER de 12,7x. Ce ratio, légèrement supérieur à la moyenne historique de la BRVM (8-12x), indique que les investisseurs acceptent de payer une prime raisonnable pour la qualité de la banque, sans pour autant tomber dans une surévaluation excessive. Le P/B de 2,88x confirme cette lecture : le marché valorise la banque près de trois fois sa valeur comptable, une prime de croissance accordée aux établissements performants et bien gérés. Enfin, l'EV/EBITDA de 8,1x, situé dans la fourchette raisonnable de 5-10x, suggère que la valeur totale de l'entreprise (dette incluse) reste cohérente avec sa capacité opérationnelle à générer des bénéfices, renforçant l'attractivité relative du titre.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BOAS a enregistré une progression totale de +10,14%, avec une dernière séance en hausse de +1,45%, témoignant d'une dynamique positive persistante. Le cours a évolué dans un range de 6 400 à 8 050 FCFA, démontrant une amplitude de trading significative de plus de 25%. La moyenne du cours sur la période (7 252 FCFA) est légèrement inférieure à la médiane (7 302 FCFA), indiquant une distribution quasi symétrique, confirmée par un skewness de -0,068. L'écart-type de 389 FCFA, avec un coefficient de variation de seulement 5,4%, révèle une dispersion modérée autour de la moyenne, tandis que le kurtosis de -0,769 (mésokurtique) suggère l'absence de mouvements extrêmes ou de pics de volatilité inhabituels. La volatilité annualisée de 24,6% classe le titre dans la catégorie modérée (15-30%), offrant un équilibre entre potentiel de rendement et maîtrise du risque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7 710 FCFA se positionne au-dessus de la MM20 (7 614,25 FCFA) et de la MM50 (7 467,2 FCFA), avec un écart croissant entre les deux moyennes. Cette configuration haussière, où le prix évolue au-dessus des deux moyennes et où la MM20 est au-dessus de la MM50, confirme une tendance positive de court et moyen terme, justifiant la décision d'achat.</w:t>
      </w:r>
    </w:p>
    <w:p>
      <w:pPr>
        <w:spacing w:after="120" w:line="276" w:lineRule="auto"/>
      </w:pPr>
      <w:r>
        <w:t>**Bandes de Bollinger** : Le prix se situe à 7 710 FCFA, dans la partie supérieure du canal formé par les bornes (7 181,289 à 8 047,211 FCFA), sans toutefois toucher la borne supérieure. Cette position indique une volatilité normale et un mouvement haussier maîtrisé, sans signe de surachat imminent. La décision neutre reflète l'absence d'extrême technique, le titre évoluant dans une zone de confort.</w:t>
      </w:r>
    </w:p>
    <w:p>
      <w:pPr>
        <w:spacing w:after="120" w:line="276" w:lineRule="auto"/>
      </w:pPr>
      <w:r>
        <w:t>**MACD** : La valeur du MACD (86,048) est inférieure à sa ligne de signal (94,37), créant une divergence négative. Bien que le momentum reste positif en valeur absolue, ce croisement baissier suggère un ralentissement de la dynamique haussière à court terme, justifiant la décision de vente comme signal de prudence.</w:t>
      </w:r>
    </w:p>
    <w:p>
      <w:pPr>
        <w:spacing w:after="120" w:line="276" w:lineRule="auto"/>
      </w:pPr>
      <w:r>
        <w:t>**RSI** : Avec une valeur de 50,362, le RSI se situe exactement dans la zone neutre (30-70), indiquant un équilibre parfait entre pressions acheteuses et vendeuses. Cette position centrale ne signale ni surachat ni survente, laissant place à une évolution dans les deux sens sans contrainte technique majeure.</w:t>
      </w:r>
    </w:p>
    <w:p>
      <w:pPr>
        <w:spacing w:after="120" w:line="276" w:lineRule="auto"/>
      </w:pPr>
      <w:r>
        <w:t>**Stochastique** : Le %K (46,875) est supérieur au %D (41,31), suggérant un croisement haussier potentiel en cours de formation. Cependant, les deux valeurs restent en zone neutre, indiquant une absence de signal directionnel fort. La décision neutre reflète cette indécision technique.</w:t>
      </w:r>
    </w:p>
    <w:p>
      <w:pPr>
        <w:spacing w:after="120" w:line="276" w:lineRule="auto"/>
      </w:pPr>
      <w:r>
        <w:t>**Conclusion technique** : La convergence des indicateurs est mitigée, avec des signaux positifs provenant des moyennes mobiles, mais des signaux prudents du MACD. Le RSI et le stochastique étant neutres, la tendance haussière de fond portée par les moyennes mobiles semble devoir se poursuivre, mais avec un risque de consolidation à court terme. La prudence reste de mise, le titre évoluant dans une zone de résistance proche de ses plus hauts.</w:t>
      </w:r>
    </w:p>
    <w:p>
      <w:pPr>
        <w:spacing w:after="120" w:line="276" w:lineRule="auto" w:before="240"/>
      </w:pPr>
      <w:r>
        <w:rPr>
          <w:b/>
          <w:color w:val="003366"/>
          <w:sz w:val="24"/>
        </w:rPr>
        <w:t>**PARTIE 3 : ANALYSE FONDAMENTALE (SECTION CRITIQUE)**</w:t>
      </w:r>
    </w:p>
    <w:p>
      <w:pPr>
        <w:spacing w:after="120" w:line="276" w:lineRule="auto"/>
      </w:pPr>
      <w:r>
        <w:t>En 2025, BOAS affiche des fondamentaux solides avec un Produit Net Bancaire de 51,926 milliards FCFA et un résultat net de 21,905 milliards FCFA, démontrant une excellente conversion de l'activité en profit. La rentabilité des fonds propres (ROE) atteint 22,69%, largement au-dessus du seuil d'excellence de 15%, tandis que le ROA de 2,62% témoigne d'une gestion efficace des actifs. Le coefficient d'exploitation de 44,02% confirme une maîtrise remarquable des charges, bien en-deçà du seuil de 60% considéré comme satisfaisant. Le coût du risque de 23,31% des charges financières, bien qu'élevé, reflète une politique de provisionnement prudente dans un environnement économique difficile. Les dépôts clients (686,927 milliards FCFA) dépassent largement les créances sur la clientèle (386,424 milliards FCFA), indiquant une transformation saine de l'épargne collectée. Les rapports trimestriels 2025 confirment cette dynamique : au T1, le PNB progressait de 2,36% et le résultat net de 9,25%, puis au S1, la croissance s'accélérait à +6,77% pour le PNB et +12,70% pour le résultat net. Le rapport du T3 2025 montre une poursuite de cette tendance avec un PNB cumulé de 37,44 milliards (+6,71%) et un résultat net de 16,37 milliards (+10,01%). Sur la base de ces performances, on estime que l'exercice 2025 devrait se clôturer avec un résultat net proche de 22 milliards FCFA, en croissance d'environ 10% par rapport à 2024. Le rapport T1 2026 (PNB de 12,58 milliards, +6,82%, résultat net de 5,741 milliards, +9,78%) suggère une poursuite de cette trajectoire ascendante pour 2026, avec une collecte de dépôts en forte hausse (+16,68%) et un coefficient d'exploitation amélioré à 42,1%.</w:t>
      </w:r>
    </w:p>
    <w:p>
      <w:pPr>
        <w:spacing w:after="120" w:line="276" w:lineRule="auto" w:before="240"/>
      </w:pPr>
      <w:r>
        <w:rPr>
          <w:b/>
          <w:color w:val="003366"/>
          <w:sz w:val="24"/>
        </w:rPr>
        <w:t>**PARTIE 4 : CONCLUSION D'INVESTISSEMENT**</w:t>
      </w:r>
    </w:p>
    <w:p>
      <w:pPr>
        <w:spacing w:after="120" w:line="276" w:lineRule="auto"/>
      </w:pPr>
      <w:r>
        <w:t>La synthèse des analyses révèle une convergence positive entre les différents facteurs. La valorisation (PER de 12,7x, P/B de 2,88x, EV/EBITDA de 8,1x) reste raisonnable pour une banque de cette qualité, sans surévaluation excessive. Le comportement du cours sur 100 jours (+10,14%) avec une volatilité modérée (24,6%) et une distribution symétrique (skewness -0,068, kurtosis -0,769) témoigne d'une progression saine et maîtrisée. Les signaux techniques sont partagés mais globalement positifs, avec des moyennes mobiles haussières tempérées par un MACD prudent. Les fondamentaux sont excellents : ROE de 22,69%, coefficient d'exploitation de 44,02%, croissance soutenue du PNB et du résultat net, confirmée par les rapports trimestriels 2025 et T1 2026. Les prédictions IA pour les 10 prochains jours (7 518 à 7 109 FCFA) suggèrent un repli technique à court terme, ce qui pourrait représenter une opportunité d'achat pour les investisseurs de moyen terme. **Recommandation : ACHAT** avec un niveau de confiance Élevé, un risque global Moyen, et un horizon d'investissement optimal de moyen terme (3-12 mois) pour capitaliser sur la solidité fondamentale de la banque et sa dynamique de croissance, en profitant d'éventuels replis techniques pour renforcer les positions.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21.02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2,460 titres</w:t>
            </w:r>
          </w:p>
        </w:tc>
        <w:tc>
          <w:tcPr>
            <w:tcW w:type="dxa" w:w="2268"/>
            <w:shd w:fill="FFF2CC" w:val="clear"/>
          </w:tcPr>
          <w:p>
            <w:r>
              <w:rPr>
                <w:b/>
                <w:color w:val="503200"/>
                <w:sz w:val="16"/>
              </w:rPr>
              <w:t xml:space="preserve">Cours actuel : </w:t>
            </w:r>
            <w:r>
              <w:rPr>
                <w:color w:val="000000"/>
                <w:sz w:val="17"/>
              </w:rPr>
              <w:t>3,550 FCFA</w:t>
            </w:r>
          </w:p>
          <w:p>
            <w:r>
              <w:rPr>
                <w:b/>
                <w:color w:val="503200"/>
                <w:sz w:val="16"/>
              </w:rPr>
              <w:t xml:space="preserve">Var. 100 jours : </w:t>
            </w:r>
            <w:r>
              <w:rPr>
                <w:b/>
                <w:color w:val="B40000"/>
                <w:sz w:val="17"/>
              </w:rPr>
              <w:t>-7.79%</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3,165 FCFA</w:t>
            </w:r>
          </w:p>
          <w:p>
            <w:r>
              <w:rPr>
                <w:b/>
                <w:color w:val="503200"/>
                <w:sz w:val="16"/>
              </w:rPr>
              <w:t xml:space="preserve">Volatilité ann. : </w:t>
            </w:r>
            <w:r>
              <w:rPr>
                <w:color w:val="000000"/>
                <w:sz w:val="17"/>
              </w:rPr>
              <w:t>58.3%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8.59% (Moyenne) — μ=3,743 FCFA, σ=322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β=0.0239 (Défensif) — Cov=0.000001, Var(idx)=0.000036, ρ=0.004,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2,460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2026-08-10</w:t>
            </w:r>
          </w:p>
        </w:tc>
        <w:tc>
          <w:tcPr>
            <w:tcW w:type="dxa" w:w="1440"/>
            <w:shd w:fill="C6EFCE" w:val="clear"/>
          </w:tcPr>
          <w:p>
            <w:r>
              <w:rPr>
                <w:sz w:val="17"/>
              </w:rPr>
              <w:t>3,470</w:t>
            </w:r>
          </w:p>
        </w:tc>
        <w:tc>
          <w:tcPr>
            <w:tcW w:type="dxa" w:w="1440"/>
            <w:shd w:fill="C6EFCE" w:val="clear"/>
          </w:tcPr>
          <w:p>
            <w:r>
              <w:rPr>
                <w:b/>
                <w:sz w:val="17"/>
              </w:rPr>
              <w:t>3,707</w:t>
            </w:r>
          </w:p>
        </w:tc>
        <w:tc>
          <w:tcPr>
            <w:tcW w:type="dxa" w:w="1440"/>
            <w:shd w:fill="C6EFCE" w:val="clear"/>
          </w:tcPr>
          <w:p>
            <w:r>
              <w:rPr>
                <w:sz w:val="17"/>
              </w:rPr>
              <w:t>3,943</w:t>
            </w:r>
          </w:p>
        </w:tc>
        <w:tc>
          <w:tcPr>
            <w:tcW w:type="dxa" w:w="1440"/>
            <w:shd w:fill="C6EFCE" w:val="clear"/>
          </w:tcPr>
          <w:p>
            <w:r>
              <w:rPr>
                <w:b/>
                <w:color w:val="008000"/>
                <w:sz w:val="17"/>
              </w:rPr>
              <w:t>+4.4%</w:t>
            </w:r>
          </w:p>
        </w:tc>
      </w:tr>
      <w:tr>
        <w:tc>
          <w:tcPr>
            <w:tcW w:type="dxa" w:w="1440"/>
            <w:shd w:fill="C6EFCE" w:val="clear"/>
          </w:tcPr>
          <w:p>
            <w:r>
              <w:rPr>
                <w:sz w:val="17"/>
              </w:rPr>
              <w:t>J+2  Moyenne</w:t>
            </w:r>
          </w:p>
        </w:tc>
        <w:tc>
          <w:tcPr>
            <w:tcW w:type="dxa" w:w="1440"/>
            <w:shd w:fill="C6EFCE" w:val="clear"/>
          </w:tcPr>
          <w:p>
            <w:r>
              <w:rPr>
                <w:sz w:val="17"/>
              </w:rPr>
              <w:t>2026-08-11</w:t>
            </w:r>
          </w:p>
        </w:tc>
        <w:tc>
          <w:tcPr>
            <w:tcW w:type="dxa" w:w="1440"/>
            <w:shd w:fill="C6EFCE" w:val="clear"/>
          </w:tcPr>
          <w:p>
            <w:r>
              <w:rPr>
                <w:sz w:val="17"/>
              </w:rPr>
              <w:t>3,522</w:t>
            </w:r>
          </w:p>
        </w:tc>
        <w:tc>
          <w:tcPr>
            <w:tcW w:type="dxa" w:w="1440"/>
            <w:shd w:fill="C6EFCE" w:val="clear"/>
          </w:tcPr>
          <w:p>
            <w:r>
              <w:rPr>
                <w:b/>
                <w:sz w:val="17"/>
              </w:rPr>
              <w:t>3,872</w:t>
            </w:r>
          </w:p>
        </w:tc>
        <w:tc>
          <w:tcPr>
            <w:tcW w:type="dxa" w:w="1440"/>
            <w:shd w:fill="C6EFCE" w:val="clear"/>
          </w:tcPr>
          <w:p>
            <w:r>
              <w:rPr>
                <w:sz w:val="17"/>
              </w:rPr>
              <w:t>4,222</w:t>
            </w:r>
          </w:p>
        </w:tc>
        <w:tc>
          <w:tcPr>
            <w:tcW w:type="dxa" w:w="1440"/>
            <w:shd w:fill="C6EFCE" w:val="clear"/>
          </w:tcPr>
          <w:p>
            <w:r>
              <w:rPr>
                <w:b/>
                <w:color w:val="008000"/>
                <w:sz w:val="17"/>
              </w:rPr>
              <w:t>+9.1%</w:t>
            </w:r>
          </w:p>
        </w:tc>
      </w:tr>
      <w:tr>
        <w:tc>
          <w:tcPr>
            <w:tcW w:type="dxa" w:w="1440"/>
            <w:shd w:fill="C6EFCE" w:val="clear"/>
          </w:tcPr>
          <w:p>
            <w:r>
              <w:rPr>
                <w:sz w:val="17"/>
              </w:rPr>
              <w:t>J+3  Moyenne</w:t>
            </w:r>
          </w:p>
        </w:tc>
        <w:tc>
          <w:tcPr>
            <w:tcW w:type="dxa" w:w="1440"/>
            <w:shd w:fill="C6EFCE" w:val="clear"/>
          </w:tcPr>
          <w:p>
            <w:r>
              <w:rPr>
                <w:sz w:val="17"/>
              </w:rPr>
              <w:t>2026-08-12</w:t>
            </w:r>
          </w:p>
        </w:tc>
        <w:tc>
          <w:tcPr>
            <w:tcW w:type="dxa" w:w="1440"/>
            <w:shd w:fill="C6EFCE" w:val="clear"/>
          </w:tcPr>
          <w:p>
            <w:r>
              <w:rPr>
                <w:sz w:val="17"/>
              </w:rPr>
              <w:t>3,616</w:t>
            </w:r>
          </w:p>
        </w:tc>
        <w:tc>
          <w:tcPr>
            <w:tcW w:type="dxa" w:w="1440"/>
            <w:shd w:fill="C6EFCE" w:val="clear"/>
          </w:tcPr>
          <w:p>
            <w:r>
              <w:rPr>
                <w:b/>
                <w:sz w:val="17"/>
              </w:rPr>
              <w:t>4,066</w:t>
            </w:r>
          </w:p>
        </w:tc>
        <w:tc>
          <w:tcPr>
            <w:tcW w:type="dxa" w:w="1440"/>
            <w:shd w:fill="C6EFCE" w:val="clear"/>
          </w:tcPr>
          <w:p>
            <w:r>
              <w:rPr>
                <w:sz w:val="17"/>
              </w:rPr>
              <w:t>4,516</w:t>
            </w:r>
          </w:p>
        </w:tc>
        <w:tc>
          <w:tcPr>
            <w:tcW w:type="dxa" w:w="1440"/>
            <w:shd w:fill="C6EFCE" w:val="clear"/>
          </w:tcPr>
          <w:p>
            <w:r>
              <w:rPr>
                <w:b/>
                <w:color w:val="008000"/>
                <w:sz w:val="17"/>
              </w:rPr>
              <w:t>+14.5%</w:t>
            </w:r>
          </w:p>
        </w:tc>
      </w:tr>
      <w:tr>
        <w:tc>
          <w:tcPr>
            <w:tcW w:type="dxa" w:w="1440"/>
            <w:shd w:fill="C6EFCE" w:val="clear"/>
          </w:tcPr>
          <w:p>
            <w:r>
              <w:rPr>
                <w:sz w:val="17"/>
              </w:rPr>
              <w:t>J+4  ⭐</w:t>
            </w:r>
          </w:p>
        </w:tc>
        <w:tc>
          <w:tcPr>
            <w:tcW w:type="dxa" w:w="1440"/>
            <w:shd w:fill="C6EFCE" w:val="clear"/>
          </w:tcPr>
          <w:p>
            <w:r>
              <w:rPr>
                <w:sz w:val="17"/>
              </w:rPr>
              <w:t>2026-08-13</w:t>
            </w:r>
          </w:p>
        </w:tc>
        <w:tc>
          <w:tcPr>
            <w:tcW w:type="dxa" w:w="1440"/>
            <w:shd w:fill="C6EFCE" w:val="clear"/>
          </w:tcPr>
          <w:p>
            <w:r>
              <w:rPr>
                <w:sz w:val="17"/>
              </w:rPr>
              <w:t>3,737</w:t>
            </w:r>
          </w:p>
        </w:tc>
        <w:tc>
          <w:tcPr>
            <w:tcW w:type="dxa" w:w="1440"/>
            <w:shd w:fill="C6EFCE" w:val="clear"/>
          </w:tcPr>
          <w:p>
            <w:r>
              <w:rPr>
                <w:b/>
                <w:sz w:val="17"/>
              </w:rPr>
              <w:t>4,285</w:t>
            </w:r>
          </w:p>
        </w:tc>
        <w:tc>
          <w:tcPr>
            <w:tcW w:type="dxa" w:w="1440"/>
            <w:shd w:fill="C6EFCE" w:val="clear"/>
          </w:tcPr>
          <w:p>
            <w:r>
              <w:rPr>
                <w:sz w:val="17"/>
              </w:rPr>
              <w:t>4,832</w:t>
            </w:r>
          </w:p>
        </w:tc>
        <w:tc>
          <w:tcPr>
            <w:tcW w:type="dxa" w:w="1440"/>
            <w:shd w:fill="C6EFCE" w:val="clear"/>
          </w:tcPr>
          <w:p>
            <w:r>
              <w:rPr>
                <w:b/>
                <w:color w:val="008000"/>
                <w:sz w:val="17"/>
              </w:rPr>
              <w:t>+20.7%</w:t>
            </w:r>
          </w:p>
        </w:tc>
      </w:tr>
      <w:tr>
        <w:tc>
          <w:tcPr>
            <w:tcW w:type="dxa" w:w="1440"/>
            <w:shd w:fill="C6EFCE" w:val="clear"/>
          </w:tcPr>
          <w:p>
            <w:r>
              <w:rPr>
                <w:sz w:val="17"/>
              </w:rPr>
              <w:t>J+5  ⭐</w:t>
            </w:r>
          </w:p>
        </w:tc>
        <w:tc>
          <w:tcPr>
            <w:tcW w:type="dxa" w:w="1440"/>
            <w:shd w:fill="C6EFCE" w:val="clear"/>
          </w:tcPr>
          <w:p>
            <w:r>
              <w:rPr>
                <w:sz w:val="17"/>
              </w:rPr>
              <w:t>2026-08-14</w:t>
            </w:r>
          </w:p>
        </w:tc>
        <w:tc>
          <w:tcPr>
            <w:tcW w:type="dxa" w:w="1440"/>
            <w:shd w:fill="C6EFCE" w:val="clear"/>
          </w:tcPr>
          <w:p>
            <w:r>
              <w:rPr>
                <w:sz w:val="17"/>
              </w:rPr>
              <w:t>3,883</w:t>
            </w:r>
          </w:p>
        </w:tc>
        <w:tc>
          <w:tcPr>
            <w:tcW w:type="dxa" w:w="1440"/>
            <w:shd w:fill="C6EFCE" w:val="clear"/>
          </w:tcPr>
          <w:p>
            <w:r>
              <w:rPr>
                <w:b/>
                <w:sz w:val="17"/>
              </w:rPr>
              <w:t>4,530</w:t>
            </w:r>
          </w:p>
        </w:tc>
        <w:tc>
          <w:tcPr>
            <w:tcW w:type="dxa" w:w="1440"/>
            <w:shd w:fill="C6EFCE" w:val="clear"/>
          </w:tcPr>
          <w:p>
            <w:r>
              <w:rPr>
                <w:sz w:val="17"/>
              </w:rPr>
              <w:t>5,177</w:t>
            </w:r>
          </w:p>
        </w:tc>
        <w:tc>
          <w:tcPr>
            <w:tcW w:type="dxa" w:w="1440"/>
            <w:shd w:fill="C6EFCE" w:val="clear"/>
          </w:tcPr>
          <w:p>
            <w:r>
              <w:rPr>
                <w:b/>
                <w:color w:val="008000"/>
                <w:sz w:val="17"/>
              </w:rPr>
              <w:t>+27.6%</w:t>
            </w:r>
          </w:p>
        </w:tc>
      </w:tr>
      <w:tr>
        <w:tc>
          <w:tcPr>
            <w:tcW w:type="dxa" w:w="1440"/>
            <w:shd w:fill="C6EFCE" w:val="clear"/>
          </w:tcPr>
          <w:p>
            <w:r>
              <w:rPr>
                <w:sz w:val="17"/>
              </w:rPr>
              <w:t>J+6  ⭐</w:t>
            </w:r>
          </w:p>
        </w:tc>
        <w:tc>
          <w:tcPr>
            <w:tcW w:type="dxa" w:w="1440"/>
            <w:shd w:fill="C6EFCE" w:val="clear"/>
          </w:tcPr>
          <w:p>
            <w:r>
              <w:rPr>
                <w:sz w:val="17"/>
              </w:rPr>
              <w:t>2026-08-17</w:t>
            </w:r>
          </w:p>
        </w:tc>
        <w:tc>
          <w:tcPr>
            <w:tcW w:type="dxa" w:w="1440"/>
            <w:shd w:fill="C6EFCE" w:val="clear"/>
          </w:tcPr>
          <w:p>
            <w:r>
              <w:rPr>
                <w:sz w:val="17"/>
              </w:rPr>
              <w:t>4,056</w:t>
            </w:r>
          </w:p>
        </w:tc>
        <w:tc>
          <w:tcPr>
            <w:tcW w:type="dxa" w:w="1440"/>
            <w:shd w:fill="C6EFCE" w:val="clear"/>
          </w:tcPr>
          <w:p>
            <w:r>
              <w:rPr>
                <w:b/>
                <w:sz w:val="17"/>
              </w:rPr>
              <w:t>4,809</w:t>
            </w:r>
          </w:p>
        </w:tc>
        <w:tc>
          <w:tcPr>
            <w:tcW w:type="dxa" w:w="1440"/>
            <w:shd w:fill="C6EFCE" w:val="clear"/>
          </w:tcPr>
          <w:p>
            <w:r>
              <w:rPr>
                <w:sz w:val="17"/>
              </w:rPr>
              <w:t>5,561</w:t>
            </w:r>
          </w:p>
        </w:tc>
        <w:tc>
          <w:tcPr>
            <w:tcW w:type="dxa" w:w="1440"/>
            <w:shd w:fill="C6EFCE" w:val="clear"/>
          </w:tcPr>
          <w:p>
            <w:r>
              <w:rPr>
                <w:b/>
                <w:color w:val="008000"/>
                <w:sz w:val="17"/>
              </w:rPr>
              <w:t>+35.5%</w:t>
            </w:r>
          </w:p>
        </w:tc>
      </w:tr>
      <w:tr>
        <w:tc>
          <w:tcPr>
            <w:tcW w:type="dxa" w:w="1440"/>
            <w:shd w:fill="C6EFCE" w:val="clear"/>
          </w:tcPr>
          <w:p>
            <w:r>
              <w:rPr>
                <w:sz w:val="17"/>
              </w:rPr>
              <w:t>J+7  ⭐</w:t>
            </w:r>
          </w:p>
        </w:tc>
        <w:tc>
          <w:tcPr>
            <w:tcW w:type="dxa" w:w="1440"/>
            <w:shd w:fill="C6EFCE" w:val="clear"/>
          </w:tcPr>
          <w:p>
            <w:r>
              <w:rPr>
                <w:sz w:val="17"/>
              </w:rPr>
              <w:t>2026-08-18</w:t>
            </w:r>
          </w:p>
        </w:tc>
        <w:tc>
          <w:tcPr>
            <w:tcW w:type="dxa" w:w="1440"/>
            <w:shd w:fill="C6EFCE" w:val="clear"/>
          </w:tcPr>
          <w:p>
            <w:r>
              <w:rPr>
                <w:sz w:val="17"/>
              </w:rPr>
              <w:t>4,265</w:t>
            </w:r>
          </w:p>
        </w:tc>
        <w:tc>
          <w:tcPr>
            <w:tcW w:type="dxa" w:w="1440"/>
            <w:shd w:fill="C6EFCE" w:val="clear"/>
          </w:tcPr>
          <w:p>
            <w:r>
              <w:rPr>
                <w:b/>
                <w:sz w:val="17"/>
              </w:rPr>
              <w:t>5,132</w:t>
            </w:r>
          </w:p>
        </w:tc>
        <w:tc>
          <w:tcPr>
            <w:tcW w:type="dxa" w:w="1440"/>
            <w:shd w:fill="C6EFCE" w:val="clear"/>
          </w:tcPr>
          <w:p>
            <w:r>
              <w:rPr>
                <w:sz w:val="17"/>
              </w:rPr>
              <w:t>6,000</w:t>
            </w:r>
          </w:p>
        </w:tc>
        <w:tc>
          <w:tcPr>
            <w:tcW w:type="dxa" w:w="1440"/>
            <w:shd w:fill="C6EFCE" w:val="clear"/>
          </w:tcPr>
          <w:p>
            <w:r>
              <w:rPr>
                <w:b/>
                <w:color w:val="008000"/>
                <w:sz w:val="17"/>
              </w:rPr>
              <w:t>+44.6%</w:t>
            </w:r>
          </w:p>
        </w:tc>
      </w:tr>
      <w:tr>
        <w:tc>
          <w:tcPr>
            <w:tcW w:type="dxa" w:w="1440"/>
            <w:shd w:fill="C6EFCE" w:val="clear"/>
          </w:tcPr>
          <w:p>
            <w:r>
              <w:rPr>
                <w:sz w:val="17"/>
              </w:rPr>
              <w:t>J+8  ⭐</w:t>
            </w:r>
          </w:p>
        </w:tc>
        <w:tc>
          <w:tcPr>
            <w:tcW w:type="dxa" w:w="1440"/>
            <w:shd w:fill="C6EFCE" w:val="clear"/>
          </w:tcPr>
          <w:p>
            <w:r>
              <w:rPr>
                <w:sz w:val="17"/>
              </w:rPr>
              <w:t>2026-08-19</w:t>
            </w:r>
          </w:p>
        </w:tc>
        <w:tc>
          <w:tcPr>
            <w:tcW w:type="dxa" w:w="1440"/>
            <w:shd w:fill="C6EFCE" w:val="clear"/>
          </w:tcPr>
          <w:p>
            <w:r>
              <w:rPr>
                <w:sz w:val="17"/>
              </w:rPr>
              <w:t>4,520</w:t>
            </w:r>
          </w:p>
        </w:tc>
        <w:tc>
          <w:tcPr>
            <w:tcW w:type="dxa" w:w="1440"/>
            <w:shd w:fill="C6EFCE" w:val="clear"/>
          </w:tcPr>
          <w:p>
            <w:r>
              <w:rPr>
                <w:b/>
                <w:sz w:val="17"/>
              </w:rPr>
              <w:t>5,516</w:t>
            </w:r>
          </w:p>
        </w:tc>
        <w:tc>
          <w:tcPr>
            <w:tcW w:type="dxa" w:w="1440"/>
            <w:shd w:fill="C6EFCE" w:val="clear"/>
          </w:tcPr>
          <w:p>
            <w:r>
              <w:rPr>
                <w:sz w:val="17"/>
              </w:rPr>
              <w:t>6,513</w:t>
            </w:r>
          </w:p>
        </w:tc>
        <w:tc>
          <w:tcPr>
            <w:tcW w:type="dxa" w:w="1440"/>
            <w:shd w:fill="C6EFCE" w:val="clear"/>
          </w:tcPr>
          <w:p>
            <w:r>
              <w:rPr>
                <w:b/>
                <w:color w:val="008000"/>
                <w:sz w:val="17"/>
              </w:rPr>
              <w:t>+55.4%</w:t>
            </w:r>
          </w:p>
        </w:tc>
      </w:tr>
      <w:tr>
        <w:tc>
          <w:tcPr>
            <w:tcW w:type="dxa" w:w="1440"/>
            <w:shd w:fill="C6EFCE" w:val="clear"/>
          </w:tcPr>
          <w:p>
            <w:r>
              <w:rPr>
                <w:sz w:val="17"/>
              </w:rPr>
              <w:t>J+9  ⭐</w:t>
            </w:r>
          </w:p>
        </w:tc>
        <w:tc>
          <w:tcPr>
            <w:tcW w:type="dxa" w:w="1440"/>
            <w:shd w:fill="C6EFCE" w:val="clear"/>
          </w:tcPr>
          <w:p>
            <w:r>
              <w:rPr>
                <w:sz w:val="17"/>
              </w:rPr>
              <w:t>2026-08-20</w:t>
            </w:r>
          </w:p>
        </w:tc>
        <w:tc>
          <w:tcPr>
            <w:tcW w:type="dxa" w:w="1440"/>
            <w:shd w:fill="C6EFCE" w:val="clear"/>
          </w:tcPr>
          <w:p>
            <w:r>
              <w:rPr>
                <w:sz w:val="17"/>
              </w:rPr>
              <w:t>4,794</w:t>
            </w:r>
          </w:p>
        </w:tc>
        <w:tc>
          <w:tcPr>
            <w:tcW w:type="dxa" w:w="1440"/>
            <w:shd w:fill="C6EFCE" w:val="clear"/>
          </w:tcPr>
          <w:p>
            <w:r>
              <w:rPr>
                <w:b/>
                <w:sz w:val="17"/>
              </w:rPr>
              <w:t>5,930</w:t>
            </w:r>
          </w:p>
        </w:tc>
        <w:tc>
          <w:tcPr>
            <w:tcW w:type="dxa" w:w="1440"/>
            <w:shd w:fill="C6EFCE" w:val="clear"/>
          </w:tcPr>
          <w:p>
            <w:r>
              <w:rPr>
                <w:sz w:val="17"/>
              </w:rPr>
              <w:t>7,066</w:t>
            </w:r>
          </w:p>
        </w:tc>
        <w:tc>
          <w:tcPr>
            <w:tcW w:type="dxa" w:w="1440"/>
            <w:shd w:fill="C6EFCE" w:val="clear"/>
          </w:tcPr>
          <w:p>
            <w:r>
              <w:rPr>
                <w:b/>
                <w:color w:val="008000"/>
                <w:sz w:val="17"/>
              </w:rPr>
              <w:t>+67.0%</w:t>
            </w:r>
          </w:p>
        </w:tc>
      </w:tr>
      <w:tr>
        <w:tc>
          <w:tcPr>
            <w:tcW w:type="dxa" w:w="1440"/>
            <w:shd w:fill="C6EFCE" w:val="clear"/>
          </w:tcPr>
          <w:p>
            <w:r>
              <w:rPr>
                <w:sz w:val="17"/>
              </w:rPr>
              <w:t>J+10  ⭐</w:t>
            </w:r>
          </w:p>
        </w:tc>
        <w:tc>
          <w:tcPr>
            <w:tcW w:type="dxa" w:w="1440"/>
            <w:shd w:fill="C6EFCE" w:val="clear"/>
          </w:tcPr>
          <w:p>
            <w:r>
              <w:rPr>
                <w:sz w:val="17"/>
              </w:rPr>
              <w:t>2026-08-21</w:t>
            </w:r>
          </w:p>
        </w:tc>
        <w:tc>
          <w:tcPr>
            <w:tcW w:type="dxa" w:w="1440"/>
            <w:shd w:fill="C6EFCE" w:val="clear"/>
          </w:tcPr>
          <w:p>
            <w:r>
              <w:rPr>
                <w:sz w:val="17"/>
              </w:rPr>
              <w:t>5,087</w:t>
            </w:r>
          </w:p>
        </w:tc>
        <w:tc>
          <w:tcPr>
            <w:tcW w:type="dxa" w:w="1440"/>
            <w:shd w:fill="C6EFCE" w:val="clear"/>
          </w:tcPr>
          <w:p>
            <w:r>
              <w:rPr>
                <w:b/>
                <w:sz w:val="17"/>
              </w:rPr>
              <w:t>6,375</w:t>
            </w:r>
          </w:p>
        </w:tc>
        <w:tc>
          <w:tcPr>
            <w:tcW w:type="dxa" w:w="1440"/>
            <w:shd w:fill="C6EFCE" w:val="clear"/>
          </w:tcPr>
          <w:p>
            <w:r>
              <w:rPr>
                <w:sz w:val="17"/>
              </w:rPr>
              <w:t>7,662</w:t>
            </w:r>
          </w:p>
        </w:tc>
        <w:tc>
          <w:tcPr>
            <w:tcW w:type="dxa" w:w="1440"/>
            <w:shd w:fill="C6EFCE" w:val="clear"/>
          </w:tcPr>
          <w:p>
            <w:r>
              <w:rPr>
                <w:b/>
                <w:color w:val="008000"/>
                <w:sz w:val="17"/>
              </w:rPr>
              <w:t>+79.6%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21,02 milliards FCFA, un niveau modeste qui la classe parmi les valeurs de taille moyenne sur la BRVM. Avec un BPA de 243 FCFA, le titre se négocie à un PER de 14,6x, ce qui est supérieur à la moyenne historique du marché (8-12x), indiquant que les investisseurs paient une prime relative pour la croissance anticipée. Le P/B de 2,25x confirme cette prime, le marché valorisant la société à plus du double de sa valeur comptable, ce qui suggère des attentes de création de valeur future. Enfin, l'EV/EBITDA de 7,4x se situe dans une fourchette raisonnable (5-10x), indiquant que la valorisation de l'entreprise par rapport à sa capacité opérationnelle reste mesurée, malgré une prime apparente sur les bénéfices nets.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CABC a enregistré une baisse significative de -7,79%, avec une légère reprise de +1,43% lors de la dernière séance. Le cours a fluctué dans une fourchette large de 3 165 FCFA (plus bas) à 4 500 FCFA (plus haut), illustrant une volatilité importante. La moyenne du cours (3 743 FCFA) est supérieure à la médiane (3 700 FCFA), indiquant une distribution légèrement asymétrique avec quelques périodes de prix élevés. L'écart-type de 323 FCFA (CV = 8,6%) révèle une dispersion modérée autour de la moyenne. Le kurtosis de -0,402 (mésokurtique) suggère une distribution proche de la normale, sans risque de pics extrêmes, tandis que le skewness de 0,374 confirme une asymétrie positive. La volatilité annualisée de 58,3% est très élevée, classant le titre comme spéculatif et risqué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(3 550 FCFA) est inférieur à la MM20 (3 700 FCFA) et à la MM50 (3 881,3 FCFA), confirmant une tendance baissière à court et moyen terme. La décision de "Vente" est justifiée par cette configuration, le prix évoluant sous ses moyennes mobiles clés.</w:t>
      </w:r>
    </w:p>
    <w:p>
      <w:pPr>
        <w:spacing w:after="120" w:line="276" w:lineRule="auto"/>
      </w:pPr>
      <w:r>
        <w:t>**Bandes de Bollinger** : Le cours se situe près de la borne inférieure (3 379,6 FCFA), indiquant une pression vendeuse. La décision "Neutre" reflète une volatilité modérée, le prix n'étant pas encore en situation de surachat ou de survente extrême, mais la proximité de la borne inférieure suggère un potentiel de rebond technique.</w:t>
      </w:r>
    </w:p>
    <w:p>
      <w:pPr>
        <w:spacing w:after="120" w:line="276" w:lineRule="auto"/>
      </w:pPr>
      <w:r>
        <w:t>**MACD** : La valeur négative du MACD (-115,6) et son signal (-93,5) indiquent un momentum baissier persistant. La décision de "Vente" est cohérente avec cette divergence négative, signalant une faiblesse sous-jacente du titre.</w:t>
      </w:r>
    </w:p>
    <w:p>
      <w:pPr>
        <w:spacing w:after="120" w:line="276" w:lineRule="auto"/>
      </w:pPr>
      <w:r>
        <w:t>**RSI** : À 46,5, le RSI se situe en zone neutre (30-70), indiquant un équilibre relatif entre acheteurs et vendeurs. La décision "Neutre" est appropriée, le titre n'étant ni suracheté ni survendu, laissant place à une évolution directionnelle future.</w:t>
      </w:r>
    </w:p>
    <w:p>
      <w:pPr>
        <w:spacing w:after="120" w:line="276" w:lineRule="auto"/>
      </w:pPr>
      <w:r>
        <w:t>**Stochastique** : Le %K (15,8) et le %D (7,0) sont en zone de survente (&lt;20), avec un croisement haussier potentiel. La décision "Achat" est justifiée par cette configuration, suggérant un rebond technique imminent après une phase de faiblesse.</w:t>
      </w:r>
    </w:p>
    <w:p>
      <w:pPr>
        <w:spacing w:after="120" w:line="276" w:lineRule="auto"/>
      </w:pPr>
      <w:r>
        <w:t>**Conclusion technique** : La majorité des indicateurs (MM, MACD) penchent vers une tendance baissière, mais le stochastique en survente et le RSI neutre suggèrent un potentiel de rebond à court terme. La configuration globale est mitigée, avec un biais vendeur dominant, mais des signaux de retournement technique possibles.</w:t>
      </w:r>
    </w:p>
    <w:p>
      <w:pPr>
        <w:spacing w:after="120" w:line="276" w:lineRule="auto"/>
      </w:pPr>
      <w:r>
        <w:t>---</w:t>
      </w:r>
    </w:p>
    <w:p>
      <w:pPr>
        <w:spacing w:after="120" w:line="276" w:lineRule="auto"/>
      </w:pPr>
      <w:r>
        <w:t>### PARTIE 3 : ANALYSE FONDAMENTALE (SECTION CRITIQUE)</w:t>
      </w:r>
    </w:p>
    <w:p>
      <w:pPr>
        <w:spacing w:after="120" w:line="276" w:lineRule="auto"/>
      </w:pPr>
      <w:r>
        <w:t>En 2025, CABC a réalisé un chiffre d'affaires de 21,263 milliards FCFA, en hausse de +11,2% par rapport à 2024 (19,125 milliards FCFA), démontrant une dynamique commerciale soutenue. Le résultat net s'établit à 1,439 milliard FCFA, en légère progression par rapport à 2024 (1,375 milliard FCFA), avec une marge nette de 6,8%. La rentabilité des fonds propres (ROE) est excellente à 15,4%, tandis que le ROA atteint 6,1%. Cependant, le BFR de 7,186 milliards FCFA et les délais clients élevés (144,7 jours) signalent un risque de trésorerie, avec des créances clients en hausse de 22,4% à 8,429 milliards FCFA. Le flux de trésorerie opérationnel est négatif (-819,7 millions FCFA), principalement en raison de l'augmentation des stocks (+36,9%) et des créances. Selon le rapport du 3ème trimestre 2025, le CA cumulé sur 9 mois atteint 16,630 milliards FCFA (+13,7%), avec un résultat net de 1,329 milliard FCFA (+26%), suggérant une fin d'année positive. Les rapports de 2024 et 2025 (Mistral) montrent une amélioration de la rentabilité, mais la trésorerie en baisse et les flux négatifs restent des points de vigilance. La recommandation fondamentale est de **CONSERVER**, avec une surveillance active de la gestion du BFR et de la trésorerie.</w:t>
      </w:r>
    </w:p>
    <w:p>
      <w:pPr>
        <w:spacing w:after="120" w:line="276" w:lineRule="auto"/>
      </w:pPr>
      <w:r>
        <w:t>---</w:t>
      </w:r>
    </w:p>
    <w:p>
      <w:pPr>
        <w:spacing w:after="120" w:line="276" w:lineRule="auto"/>
      </w:pPr>
      <w:r>
        <w:t>### PARTIE 4 : CONCLUSION D'INVESTISSEMENT</w:t>
      </w:r>
    </w:p>
    <w:p>
      <w:pPr>
        <w:spacing w:after="120" w:line="276" w:lineRule="auto"/>
      </w:pPr>
      <w:r>
        <w:t>La valorisation de CABC (PER 14,6x, P/B 2,25x, EV/EBITDA 7,4x) indique une prime de croissance, mais le comportement du cours (-7,79% sur 100 jours) et la volatilité élevée (58,3%) suggèrent un risque accru. Les signaux techniques sont mitigés, avec une tendance baissière dominante mais des indicateurs de survente (stochastique) laissant entrevoir un rebond possible. Fondamentalement, la société affiche une croissance solide du CA et une rentabilité en amélioration, mais la détérioration de la trésorerie et les flux opérationnels négatifs constituent des risques majeurs. Les prédictions IA (3 707 à 4 530 FCFA sur 10 jours) anticipent une hausse, contredisant la tendance récente mais cohérente avec les signaux de rebond technique. En synthèse, la convergence entre les fondamentaux (croissance) et les prédictions IA (hausse) est partielle, mais les risques de trésorerie et la volatilité justifient une approche prudente. **Recommandation finale : CONSERVER**, avec un niveau de confiance **Moyen** et un risque global **Élevé**. Horizon d'investissement optimal : **Moyen terme (3-12 mois)**, en surveillant la gestion du BFR et les flux de trésorerie.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905.76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1,733 titres</w:t>
            </w:r>
          </w:p>
        </w:tc>
        <w:tc>
          <w:tcPr>
            <w:tcW w:type="dxa" w:w="2268"/>
            <w:shd w:fill="FFF2CC" w:val="clear"/>
          </w:tcPr>
          <w:p>
            <w:r>
              <w:rPr>
                <w:b/>
                <w:color w:val="503200"/>
                <w:sz w:val="16"/>
              </w:rPr>
              <w:t xml:space="preserve">Cours actuel : </w:t>
            </w:r>
            <w:r>
              <w:rPr>
                <w:color w:val="000000"/>
                <w:sz w:val="17"/>
              </w:rPr>
              <w:t>28,305 FCFA</w:t>
            </w:r>
          </w:p>
          <w:p>
            <w:r>
              <w:rPr>
                <w:b/>
                <w:color w:val="503200"/>
                <w:sz w:val="16"/>
              </w:rPr>
              <w:t xml:space="preserve">Var. 100 jours : </w:t>
            </w:r>
            <w:r>
              <w:rPr>
                <w:b/>
                <w:color w:val="007800"/>
                <w:sz w:val="17"/>
              </w:rPr>
              <w:t>+102.18%</w:t>
            </w:r>
          </w:p>
          <w:p>
            <w:r>
              <w:rPr>
                <w:b/>
                <w:color w:val="503200"/>
                <w:sz w:val="16"/>
              </w:rPr>
              <w:t xml:space="preserve">Plus haut 100j : </w:t>
            </w:r>
            <w:r>
              <w:rPr>
                <w:color w:val="000000"/>
                <w:sz w:val="17"/>
              </w:rPr>
              <w:t>30,005 FCFA</w:t>
            </w:r>
          </w:p>
          <w:p>
            <w:r>
              <w:rPr>
                <w:b/>
                <w:color w:val="503200"/>
                <w:sz w:val="16"/>
              </w:rPr>
              <w:t xml:space="preserve">Plus bas 100j : </w:t>
            </w:r>
            <w:r>
              <w:rPr>
                <w:color w:val="000000"/>
                <w:sz w:val="17"/>
              </w:rPr>
              <w:t>13,500 FCFA</w:t>
            </w:r>
          </w:p>
          <w:p>
            <w:r>
              <w:rPr>
                <w:b/>
                <w:color w:val="503200"/>
                <w:sz w:val="16"/>
              </w:rPr>
              <w:t xml:space="preserve">Volatilité ann. : </w:t>
            </w:r>
            <w:r>
              <w:rPr>
                <w:color w:val="000000"/>
                <w:sz w:val="17"/>
              </w:rPr>
              <w:t>42.3%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25.01% (Élevée) — μ=20,537 FCFA, σ=5,137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β=0.6349 (Défensif) — Cov=0.000023, Var(idx)=0.000036, ρ=0.142,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1,733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24,968</w:t>
            </w:r>
          </w:p>
        </w:tc>
        <w:tc>
          <w:tcPr>
            <w:tcW w:type="dxa" w:w="1440"/>
            <w:shd w:fill="FFDCE0" w:val="clear"/>
          </w:tcPr>
          <w:p>
            <w:r>
              <w:rPr>
                <w:b/>
                <w:sz w:val="17"/>
              </w:rPr>
              <w:t>26,182</w:t>
            </w:r>
          </w:p>
        </w:tc>
        <w:tc>
          <w:tcPr>
            <w:tcW w:type="dxa" w:w="1440"/>
            <w:shd w:fill="FFDCE0" w:val="clear"/>
          </w:tcPr>
          <w:p>
            <w:r>
              <w:rPr>
                <w:sz w:val="17"/>
              </w:rPr>
              <w:t>27,396</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22,630</w:t>
            </w:r>
          </w:p>
        </w:tc>
        <w:tc>
          <w:tcPr>
            <w:tcW w:type="dxa" w:w="1440"/>
            <w:shd w:fill="FFDCE0" w:val="clear"/>
          </w:tcPr>
          <w:p>
            <w:r>
              <w:rPr>
                <w:b/>
                <w:sz w:val="17"/>
              </w:rPr>
              <w:t>24,218</w:t>
            </w:r>
          </w:p>
        </w:tc>
        <w:tc>
          <w:tcPr>
            <w:tcW w:type="dxa" w:w="1440"/>
            <w:shd w:fill="FFDCE0" w:val="clear"/>
          </w:tcPr>
          <w:p>
            <w:r>
              <w:rPr>
                <w:sz w:val="17"/>
              </w:rPr>
              <w:t>25,807</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20,603</w:t>
            </w:r>
          </w:p>
        </w:tc>
        <w:tc>
          <w:tcPr>
            <w:tcW w:type="dxa" w:w="1440"/>
            <w:shd w:fill="FFDCE0" w:val="clear"/>
          </w:tcPr>
          <w:p>
            <w:r>
              <w:rPr>
                <w:b/>
                <w:sz w:val="17"/>
              </w:rPr>
              <w:t>22,402</w:t>
            </w:r>
          </w:p>
        </w:tc>
        <w:tc>
          <w:tcPr>
            <w:tcW w:type="dxa" w:w="1440"/>
            <w:shd w:fill="FFDCE0" w:val="clear"/>
          </w:tcPr>
          <w:p>
            <w:r>
              <w:rPr>
                <w:sz w:val="17"/>
              </w:rPr>
              <w:t>24,202</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18,800</w:t>
            </w:r>
          </w:p>
        </w:tc>
        <w:tc>
          <w:tcPr>
            <w:tcW w:type="dxa" w:w="1440"/>
            <w:shd w:fill="FFDCE0" w:val="clear"/>
          </w:tcPr>
          <w:p>
            <w:r>
              <w:rPr>
                <w:b/>
                <w:sz w:val="17"/>
              </w:rPr>
              <w:t>20,722</w:t>
            </w:r>
          </w:p>
        </w:tc>
        <w:tc>
          <w:tcPr>
            <w:tcW w:type="dxa" w:w="1440"/>
            <w:shd w:fill="FFDCE0" w:val="clear"/>
          </w:tcPr>
          <w:p>
            <w:r>
              <w:rPr>
                <w:sz w:val="17"/>
              </w:rPr>
              <w:t>22,644</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17,458</w:t>
            </w:r>
          </w:p>
        </w:tc>
        <w:tc>
          <w:tcPr>
            <w:tcW w:type="dxa" w:w="1440"/>
            <w:shd w:fill="FFDCE0" w:val="clear"/>
          </w:tcPr>
          <w:p>
            <w:r>
              <w:rPr>
                <w:b/>
                <w:sz w:val="17"/>
              </w:rPr>
              <w:t>19,478</w:t>
            </w:r>
          </w:p>
        </w:tc>
        <w:tc>
          <w:tcPr>
            <w:tcW w:type="dxa" w:w="1440"/>
            <w:shd w:fill="FFDCE0" w:val="clear"/>
          </w:tcPr>
          <w:p>
            <w:r>
              <w:rPr>
                <w:sz w:val="17"/>
              </w:rPr>
              <w:t>21,498</w:t>
            </w:r>
          </w:p>
        </w:tc>
        <w:tc>
          <w:tcPr>
            <w:tcW w:type="dxa" w:w="1440"/>
            <w:shd w:fill="FFDCE0" w:val="clear"/>
          </w:tcPr>
          <w:p>
            <w:r>
              <w:rPr>
                <w:b/>
                <w:color w:val="C00000"/>
                <w:sz w:val="17"/>
              </w:rPr>
              <w:t>-31.2%</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16,792</w:t>
            </w:r>
          </w:p>
        </w:tc>
        <w:tc>
          <w:tcPr>
            <w:tcW w:type="dxa" w:w="1440"/>
            <w:shd w:fill="FFDCE0" w:val="clear"/>
          </w:tcPr>
          <w:p>
            <w:r>
              <w:rPr>
                <w:b/>
                <w:sz w:val="17"/>
              </w:rPr>
              <w:t>18,944</w:t>
            </w:r>
          </w:p>
        </w:tc>
        <w:tc>
          <w:tcPr>
            <w:tcW w:type="dxa" w:w="1440"/>
            <w:shd w:fill="FFDCE0" w:val="clear"/>
          </w:tcPr>
          <w:p>
            <w:r>
              <w:rPr>
                <w:sz w:val="17"/>
              </w:rPr>
              <w:t>21,096</w:t>
            </w:r>
          </w:p>
        </w:tc>
        <w:tc>
          <w:tcPr>
            <w:tcW w:type="dxa" w:w="1440"/>
            <w:shd w:fill="FFDCE0" w:val="clear"/>
          </w:tcPr>
          <w:p>
            <w:r>
              <w:rPr>
                <w:b/>
                <w:color w:val="C00000"/>
                <w:sz w:val="17"/>
              </w:rPr>
              <w:t>-33.1%</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16,209</w:t>
            </w:r>
          </w:p>
        </w:tc>
        <w:tc>
          <w:tcPr>
            <w:tcW w:type="dxa" w:w="1440"/>
            <w:shd w:fill="FFDCE0" w:val="clear"/>
          </w:tcPr>
          <w:p>
            <w:r>
              <w:rPr>
                <w:b/>
                <w:sz w:val="17"/>
              </w:rPr>
              <w:t>18,476</w:t>
            </w:r>
          </w:p>
        </w:tc>
        <w:tc>
          <w:tcPr>
            <w:tcW w:type="dxa" w:w="1440"/>
            <w:shd w:fill="FFDCE0" w:val="clear"/>
          </w:tcPr>
          <w:p>
            <w:r>
              <w:rPr>
                <w:sz w:val="17"/>
              </w:rPr>
              <w:t>20,744</w:t>
            </w:r>
          </w:p>
        </w:tc>
        <w:tc>
          <w:tcPr>
            <w:tcW w:type="dxa" w:w="1440"/>
            <w:shd w:fill="FFDCE0" w:val="clear"/>
          </w:tcPr>
          <w:p>
            <w:r>
              <w:rPr>
                <w:b/>
                <w:color w:val="C00000"/>
                <w:sz w:val="17"/>
              </w:rPr>
              <w:t>-34.7%</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15,690</w:t>
            </w:r>
          </w:p>
        </w:tc>
        <w:tc>
          <w:tcPr>
            <w:tcW w:type="dxa" w:w="1440"/>
            <w:shd w:fill="FFDCE0" w:val="clear"/>
          </w:tcPr>
          <w:p>
            <w:r>
              <w:rPr>
                <w:b/>
                <w:sz w:val="17"/>
              </w:rPr>
              <w:t>18,058</w:t>
            </w:r>
          </w:p>
        </w:tc>
        <w:tc>
          <w:tcPr>
            <w:tcW w:type="dxa" w:w="1440"/>
            <w:shd w:fill="FFDCE0" w:val="clear"/>
          </w:tcPr>
          <w:p>
            <w:r>
              <w:rPr>
                <w:sz w:val="17"/>
              </w:rPr>
              <w:t>20,427</w:t>
            </w:r>
          </w:p>
        </w:tc>
        <w:tc>
          <w:tcPr>
            <w:tcW w:type="dxa" w:w="1440"/>
            <w:shd w:fill="FFDCE0" w:val="clear"/>
          </w:tcPr>
          <w:p>
            <w:r>
              <w:rPr>
                <w:b/>
                <w:color w:val="C00000"/>
                <w:sz w:val="17"/>
              </w:rPr>
              <w:t>-36.2%</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15,220</w:t>
            </w:r>
          </w:p>
        </w:tc>
        <w:tc>
          <w:tcPr>
            <w:tcW w:type="dxa" w:w="1440"/>
            <w:shd w:fill="FFDCE0" w:val="clear"/>
          </w:tcPr>
          <w:p>
            <w:r>
              <w:rPr>
                <w:b/>
                <w:sz w:val="17"/>
              </w:rPr>
              <w:t>17,680</w:t>
            </w:r>
          </w:p>
        </w:tc>
        <w:tc>
          <w:tcPr>
            <w:tcW w:type="dxa" w:w="1440"/>
            <w:shd w:fill="FFDCE0" w:val="clear"/>
          </w:tcPr>
          <w:p>
            <w:r>
              <w:rPr>
                <w:sz w:val="17"/>
              </w:rPr>
              <w:t>20,140</w:t>
            </w:r>
          </w:p>
        </w:tc>
        <w:tc>
          <w:tcPr>
            <w:tcW w:type="dxa" w:w="1440"/>
            <w:shd w:fill="FFDCE0" w:val="clear"/>
          </w:tcPr>
          <w:p>
            <w:r>
              <w:rPr>
                <w:b/>
                <w:color w:val="C00000"/>
                <w:sz w:val="17"/>
              </w:rPr>
              <w:t>-37.5%</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14,793</w:t>
            </w:r>
          </w:p>
        </w:tc>
        <w:tc>
          <w:tcPr>
            <w:tcW w:type="dxa" w:w="1440"/>
            <w:shd w:fill="FFDCE0" w:val="clear"/>
          </w:tcPr>
          <w:p>
            <w:r>
              <w:rPr>
                <w:b/>
                <w:sz w:val="17"/>
              </w:rPr>
              <w:t>17,336</w:t>
            </w:r>
          </w:p>
        </w:tc>
        <w:tc>
          <w:tcPr>
            <w:tcW w:type="dxa" w:w="1440"/>
            <w:shd w:fill="FFDCE0" w:val="clear"/>
          </w:tcPr>
          <w:p>
            <w:r>
              <w:rPr>
                <w:sz w:val="17"/>
              </w:rPr>
              <w:t>19,878</w:t>
            </w:r>
          </w:p>
        </w:tc>
        <w:tc>
          <w:tcPr>
            <w:tcW w:type="dxa" w:w="1440"/>
            <w:shd w:fill="FFDCE0" w:val="clear"/>
          </w:tcPr>
          <w:p>
            <w:r>
              <w:rPr>
                <w:b/>
                <w:color w:val="C00000"/>
                <w:sz w:val="17"/>
              </w:rPr>
              <w:t>-38.8%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CBIBF (CORIS BANK INTERNATIONAL BURKINA FASO)**</w:t>
        <w:br/>
        <w:t>**Date de l'analyse : 10 août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905,76 milliards FCFA, CBIBF s'impose comme l'une des valeurs les plus lourdes et les plus liquides de la BRVM, un poids lourd du secteur bancaire régional. Le BPA de 2 047 FCFA indique que chaque action génère un bénéfice substantiel, justifiant un PER de 13,8x. Ce niveau est légèrement supérieur à la moyenne historique de la place (8-12x), ce qui suggère que le marché intègre déjà une prime de croissance et de qualité. Le ratio EV/EBITDA de 10,2x, bien que dans la fourchette haute (10-15x), reflète une valorisation cohérente avec la solide capacité opérationnelle de la banque. En l'absence de données sur l'actif net comptable, le ratio P/B ne peut être calculé, mais les autres indicateurs confirment une valorisation exigeante, récompensant la performance et la solidité de l'établissement.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le titre CBIBF a enregistré une performance spectaculaire de +102,18%, passant d'un plus bas de 13 500 FCFA à un sommet de 30 005 FCFA, avant de se stabiliser à 28 305 FCFA. Cette tendance est fortement haussière, portée par l'amélioration des fondamentaux et l'intérêt des investisseurs. La moyenne (20 537 FCFA) est inférieure à la médiane (21 332 FCFA), indiquant une distribution légèrement asymétrique avec une concentration des prix vers le haut. L'écart-type de 5 163 FCFA (CV=25,1%) révèle une dispersion modérée, tandis que le kurtosis négatif (-1,162) signale une distribution aplatie, avec moins de pics extrêmes que la normale. Le skewness positif (0,261) confirme une asymétrie vers les hausses. La volatilité annualisée de 42,3% classe le titre comme très volatil, un niveau élevé qui implique un risque significatif mais aussi un fort potentiel de rendement.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(28 305 FCFA) évolue au-dessus de la MM20 (28 156,5 FCFA) et de la MM50 (24 886 FCFA). Cette configuration haussière confirme la dynamique positive à court et moyen terme, justifiant la décision d'achat. La MM20 servant de support dynamique, la tendance reste solide tant que le cours ne casse pas ce niveau.</w:t>
      </w:r>
    </w:p>
    <w:p>
      <w:pPr>
        <w:spacing w:after="120" w:line="276" w:lineRule="auto"/>
      </w:pPr>
      <w:r>
        <w:t>**Bandes de Bollinger** : Le prix se situe à 28 305 FCFA, entre la borne inférieure (25 660,6 FCFA) et la borne supérieure (30 652,4 FCFA). La position médiane du cours indique une volatilité modérée, sans excès de surachat ni de survente. La décision est neutre, le marché semblant consolider après une forte progression.</w:t>
      </w:r>
    </w:p>
    <w:p>
      <w:pPr>
        <w:spacing w:after="120" w:line="276" w:lineRule="auto"/>
      </w:pPr>
      <w:r>
        <w:t>**MACD** : Le MACD (916,5) est inférieur à sa ligne de signal (1 066,8), suggérant un momentum baissier à court terme. Cette divergence indique un essoufflement de la dynamique haussière, justifiant la décision de vente. Les investisseurs pourraient assister à une correction technique avant la poursuite de la tendance.</w:t>
      </w:r>
    </w:p>
    <w:p>
      <w:pPr>
        <w:spacing w:after="120" w:line="276" w:lineRule="auto"/>
      </w:pPr>
      <w:r>
        <w:t>**RSI** : À 48,2, le RSI se situe en zone neutre, entre 30 et 70. Cela reflète un équilibre entre pressions acheteuses et vendeuses, sans signal de surachat ou de survente. La décision est neutre, le marché étant en phase de stabilisation.</w:t>
      </w:r>
    </w:p>
    <w:p>
      <w:pPr>
        <w:spacing w:after="120" w:line="276" w:lineRule="auto"/>
      </w:pPr>
      <w:r>
        <w:t>**Stochastique** : Le %K (91,7) est nettement supérieur au %D (79,3), indiquant une zone de surachat. Cette configuration suggère un risque de retournement à court terme, justifiant la décision de vente. Les investisseurs devraient être prudents face à cette surchauffe technique.</w:t>
      </w:r>
    </w:p>
    <w:p>
      <w:pPr>
        <w:spacing w:after="120" w:line="276" w:lineRule="auto"/>
      </w:pPr>
      <w:r>
        <w:t>**Conclusion technique** : La tendance de fond reste haussière, soutenue par les moyennes mobiles, mais les indicateurs de momentum (MACD, Stochastique) signalent un essoufflement. Le RSI neutre et les bandes de Bollinger suggèrent une consolidation. Le titre pourrait connaître un repli technique à court terme avant de reprendre sa progression.</w:t>
      </w:r>
    </w:p>
    <w:p>
      <w:pPr>
        <w:spacing w:after="120" w:line="276" w:lineRule="auto"/>
      </w:pPr>
      <w:r>
        <w:t>---</w:t>
      </w:r>
    </w:p>
    <w:p>
      <w:pPr>
        <w:spacing w:after="120" w:line="276" w:lineRule="auto"/>
      </w:pPr>
      <w:r>
        <w:t>### PARTIE 3 : ANALYSE FONDAMENTALE (SECTION CRITIQUE)</w:t>
      </w:r>
    </w:p>
    <w:p>
      <w:pPr>
        <w:spacing w:after="120" w:line="276" w:lineRule="auto"/>
      </w:pPr>
      <w:r>
        <w:t>En 2025, CBIBF a réalisé un Produit Net Bancaire (PNB) de 138,986 milliards FCFA, en croissance de 6,1%, et un résultat net de 65,495 milliards FCFA, en hausse de 36,6% par rapport à 2024. La marge nette s'établit à 47,1%, et le coefficient d'exploitation à 36,4%, témoignant d'une excellente maîtrise des charges. Le coût du risque s'est significativement amélioré (-59,3%), reflétant une meilleure qualité du portefeuille de crédits. Les dépôts clientèle (2 015,3 milliards FCFA, +14,9%) et les crédits nets (1 327 milliards FCFA, +5,4%) confirment la solidité du modèle de transformation. Les rapports trimestriels 2025 montrent une dynamique positive : au T1 2025, le PNB atteignait 28,7 milliards FCFA (+2,8%) et le résultat net 17,6 milliards FCFA (+5,9%) ; au S1 2025, le PNB progressait à 65,1 milliards FCFA (+8,75%) et le résultat net à 33,8 milliards FCFA (+0,66%) ; au T3 2025, le PNB s'élevait à 101,3 milliards FCFA (+9,65%) et le résultat net à 52,9 milliards FCFA (+6,25%). Sur la base du rapport T1 2026 (PNB de 36,8 milliards FCFA, +28,5% et résultat net de 21,5 milliards FCFA, +22,2%), on estime que l'exercice 2026 pourrait dépasser les performances de 2025, avec un PNB annuel potentiel de 150 milliards FCFA et un résultat net de 75 milliards FCFA. La banque affiche une santé financière robuste, une croissance soutenue et une gestion efficace des risques, malgré un environnement géopolitique incertain.</w:t>
      </w:r>
    </w:p>
    <w:p>
      <w:pPr>
        <w:spacing w:after="120" w:line="276" w:lineRule="auto"/>
      </w:pPr>
      <w:r>
        <w:t>---</w:t>
      </w:r>
    </w:p>
    <w:p>
      <w:pPr>
        <w:spacing w:after="120" w:line="276" w:lineRule="auto"/>
      </w:pPr>
      <w:r>
        <w:t>### PARTIE 4 : CONCLUSION D'INVESTISSEMENT</w:t>
      </w:r>
    </w:p>
    <w:p>
      <w:pPr>
        <w:spacing w:after="120" w:line="276" w:lineRule="auto"/>
      </w:pPr>
      <w:r>
        <w:t>La valorisation de CBIBF (PER 13,8x, EV/EBITDA 10,2x) est exigeante mais justifiée par la qualité des fondamentaux et les perspectives de croissance. Le comportement du cours, avec une hausse de 102% sur 100 jours et une volatilité élevée (42,3%), reflète un fort enthousiasme, mais le kurtosis plat et le skewness positif suggèrent une stabilité relative. Les signaux techniques sont mitigés : la tendance de fond reste haussière (MM), mais le MACD et le Stochastique indiquent un essoufflement à court terme, avec un RSI neutre. Les fondamentaux sont excellents, avec une croissance soutenue du PNB et du résultat net, une amélioration du coût du risque et une collecte de dépôts dynamique. Les prédictions IA (26 182 FCFA à J+1, 19 478 FCFA à J+10) anticipent une correction significative, contredisant la tendance haussière. Cette divergence entre les signaux techniques et les prédictions IA suggère une prudence à court terme. **Recommandation finale : CONSERVER**, avec un niveau de confiance **Moyen** et un risque global **Élevé**. L'horizon d'investissement optimal est le **moyen terme (3-12 mois)**, en attendant une stabilisation du cours et une confirmation de la tendance haussière.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308.33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3,744 titres</w:t>
            </w:r>
          </w:p>
        </w:tc>
        <w:tc>
          <w:tcPr>
            <w:tcW w:type="dxa" w:w="2268"/>
            <w:shd w:fill="FFF2CC" w:val="clear"/>
          </w:tcPr>
          <w:p>
            <w:r>
              <w:rPr>
                <w:b/>
                <w:color w:val="503200"/>
                <w:sz w:val="16"/>
              </w:rPr>
              <w:t xml:space="preserve">Cours actuel : </w:t>
            </w:r>
            <w:r>
              <w:rPr>
                <w:color w:val="000000"/>
                <w:sz w:val="17"/>
              </w:rPr>
              <w:t>1,700 FCFA</w:t>
            </w:r>
          </w:p>
          <w:p>
            <w:r>
              <w:rPr>
                <w:b/>
                <w:color w:val="503200"/>
                <w:sz w:val="16"/>
              </w:rPr>
              <w:t xml:space="preserve">Var. 100 jours : </w:t>
            </w:r>
            <w:r>
              <w:rPr>
                <w:b/>
                <w:color w:val="B40000"/>
                <w:sz w:val="17"/>
              </w:rPr>
              <w:t>-4.23%</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6.48% (Moyenne) — μ=1,608 FCFA, σ=104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β=0.9659 (Neutre (suit le marché)) — Cov=0.000035, Var(idx)=0.000036, ρ=0.187,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3,744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σ_j=3.10%/j (Modérée) — Vol. annualisée≈49.2%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1,568</w:t>
            </w:r>
          </w:p>
        </w:tc>
        <w:tc>
          <w:tcPr>
            <w:tcW w:type="dxa" w:w="1440"/>
            <w:shd w:fill="FFDCE0" w:val="clear"/>
          </w:tcPr>
          <w:p>
            <w:r>
              <w:rPr>
                <w:b/>
                <w:sz w:val="17"/>
              </w:rPr>
              <w:t>1,649</w:t>
            </w:r>
          </w:p>
        </w:tc>
        <w:tc>
          <w:tcPr>
            <w:tcW w:type="dxa" w:w="1440"/>
            <w:shd w:fill="FFDCE0" w:val="clear"/>
          </w:tcPr>
          <w:p>
            <w:r>
              <w:rPr>
                <w:sz w:val="17"/>
              </w:rPr>
              <w:t>1,730</w:t>
            </w:r>
          </w:p>
        </w:tc>
        <w:tc>
          <w:tcPr>
            <w:tcW w:type="dxa" w:w="1440"/>
            <w:shd w:fill="FFDCE0" w:val="clear"/>
          </w:tcPr>
          <w:p>
            <w:r>
              <w:rPr>
                <w:b/>
                <w:color w:val="C00000"/>
                <w:sz w:val="17"/>
              </w:rPr>
              <w:t>-3.0%</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1,515</w:t>
            </w:r>
          </w:p>
        </w:tc>
        <w:tc>
          <w:tcPr>
            <w:tcW w:type="dxa" w:w="1440"/>
            <w:shd w:fill="FFDCE0" w:val="clear"/>
          </w:tcPr>
          <w:p>
            <w:r>
              <w:rPr>
                <w:b/>
                <w:sz w:val="17"/>
              </w:rPr>
              <w:t>1,628</w:t>
            </w:r>
          </w:p>
        </w:tc>
        <w:tc>
          <w:tcPr>
            <w:tcW w:type="dxa" w:w="1440"/>
            <w:shd w:fill="FFDCE0" w:val="clear"/>
          </w:tcPr>
          <w:p>
            <w:r>
              <w:rPr>
                <w:sz w:val="17"/>
              </w:rPr>
              <w:t>1,742</w:t>
            </w:r>
          </w:p>
        </w:tc>
        <w:tc>
          <w:tcPr>
            <w:tcW w:type="dxa" w:w="1440"/>
            <w:shd w:fill="FFDCE0" w:val="clear"/>
          </w:tcPr>
          <w:p>
            <w:r>
              <w:rPr>
                <w:b/>
                <w:color w:val="C00000"/>
                <w:sz w:val="17"/>
              </w:rPr>
              <w:t>-4.2%</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1,468</w:t>
            </w:r>
          </w:p>
        </w:tc>
        <w:tc>
          <w:tcPr>
            <w:tcW w:type="dxa" w:w="1440"/>
            <w:shd w:fill="FFDCE0" w:val="clear"/>
          </w:tcPr>
          <w:p>
            <w:r>
              <w:rPr>
                <w:b/>
                <w:sz w:val="17"/>
              </w:rPr>
              <w:t>1,605</w:t>
            </w:r>
          </w:p>
        </w:tc>
        <w:tc>
          <w:tcPr>
            <w:tcW w:type="dxa" w:w="1440"/>
            <w:shd w:fill="FFDCE0" w:val="clear"/>
          </w:tcPr>
          <w:p>
            <w:r>
              <w:rPr>
                <w:sz w:val="17"/>
              </w:rPr>
              <w:t>1,741</w:t>
            </w:r>
          </w:p>
        </w:tc>
        <w:tc>
          <w:tcPr>
            <w:tcW w:type="dxa" w:w="1440"/>
            <w:shd w:fill="FFDCE0" w:val="clear"/>
          </w:tcPr>
          <w:p>
            <w:r>
              <w:rPr>
                <w:b/>
                <w:color w:val="C00000"/>
                <w:sz w:val="17"/>
              </w:rPr>
              <w:t>-5.6%</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1,426</w:t>
            </w:r>
          </w:p>
        </w:tc>
        <w:tc>
          <w:tcPr>
            <w:tcW w:type="dxa" w:w="1440"/>
            <w:shd w:fill="FFDCE0" w:val="clear"/>
          </w:tcPr>
          <w:p>
            <w:r>
              <w:rPr>
                <w:b/>
                <w:sz w:val="17"/>
              </w:rPr>
              <w:t>1,581</w:t>
            </w:r>
          </w:p>
        </w:tc>
        <w:tc>
          <w:tcPr>
            <w:tcW w:type="dxa" w:w="1440"/>
            <w:shd w:fill="FFDCE0" w:val="clear"/>
          </w:tcPr>
          <w:p>
            <w:r>
              <w:rPr>
                <w:sz w:val="17"/>
              </w:rPr>
              <w:t>1,737</w:t>
            </w:r>
          </w:p>
        </w:tc>
        <w:tc>
          <w:tcPr>
            <w:tcW w:type="dxa" w:w="1440"/>
            <w:shd w:fill="FFDCE0" w:val="clear"/>
          </w:tcPr>
          <w:p>
            <w:r>
              <w:rPr>
                <w:b/>
                <w:color w:val="C00000"/>
                <w:sz w:val="17"/>
              </w:rPr>
              <w:t>-7.0%</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1,387</w:t>
            </w:r>
          </w:p>
        </w:tc>
        <w:tc>
          <w:tcPr>
            <w:tcW w:type="dxa" w:w="1440"/>
            <w:shd w:fill="FFDCE0" w:val="clear"/>
          </w:tcPr>
          <w:p>
            <w:r>
              <w:rPr>
                <w:b/>
                <w:sz w:val="17"/>
              </w:rPr>
              <w:t>1,558</w:t>
            </w:r>
          </w:p>
        </w:tc>
        <w:tc>
          <w:tcPr>
            <w:tcW w:type="dxa" w:w="1440"/>
            <w:shd w:fill="FFDCE0" w:val="clear"/>
          </w:tcPr>
          <w:p>
            <w:r>
              <w:rPr>
                <w:sz w:val="17"/>
              </w:rPr>
              <w:t>1,730</w:t>
            </w:r>
          </w:p>
        </w:tc>
        <w:tc>
          <w:tcPr>
            <w:tcW w:type="dxa" w:w="1440"/>
            <w:shd w:fill="FFDCE0" w:val="clear"/>
          </w:tcPr>
          <w:p>
            <w:r>
              <w:rPr>
                <w:b/>
                <w:color w:val="C00000"/>
                <w:sz w:val="17"/>
              </w:rPr>
              <w:t>-8.3%</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1,351</w:t>
            </w:r>
          </w:p>
        </w:tc>
        <w:tc>
          <w:tcPr>
            <w:tcW w:type="dxa" w:w="1440"/>
            <w:shd w:fill="FFDCE0" w:val="clear"/>
          </w:tcPr>
          <w:p>
            <w:r>
              <w:rPr>
                <w:b/>
                <w:sz w:val="17"/>
              </w:rPr>
              <w:t>1,536</w:t>
            </w:r>
          </w:p>
        </w:tc>
        <w:tc>
          <w:tcPr>
            <w:tcW w:type="dxa" w:w="1440"/>
            <w:shd w:fill="FFDCE0" w:val="clear"/>
          </w:tcPr>
          <w:p>
            <w:r>
              <w:rPr>
                <w:sz w:val="17"/>
              </w:rPr>
              <w:t>1,721</w:t>
            </w:r>
          </w:p>
        </w:tc>
        <w:tc>
          <w:tcPr>
            <w:tcW w:type="dxa" w:w="1440"/>
            <w:shd w:fill="FFDCE0" w:val="clear"/>
          </w:tcPr>
          <w:p>
            <w:r>
              <w:rPr>
                <w:b/>
                <w:color w:val="C00000"/>
                <w:sz w:val="17"/>
              </w:rPr>
              <w:t>-9.7%</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1,317</w:t>
            </w:r>
          </w:p>
        </w:tc>
        <w:tc>
          <w:tcPr>
            <w:tcW w:type="dxa" w:w="1440"/>
            <w:shd w:fill="FFDCE0" w:val="clear"/>
          </w:tcPr>
          <w:p>
            <w:r>
              <w:rPr>
                <w:b/>
                <w:sz w:val="17"/>
              </w:rPr>
              <w:t>1,514</w:t>
            </w:r>
          </w:p>
        </w:tc>
        <w:tc>
          <w:tcPr>
            <w:tcW w:type="dxa" w:w="1440"/>
            <w:shd w:fill="FFDCE0" w:val="clear"/>
          </w:tcPr>
          <w:p>
            <w:r>
              <w:rPr>
                <w:sz w:val="17"/>
              </w:rPr>
              <w:t>1,710</w:t>
            </w:r>
          </w:p>
        </w:tc>
        <w:tc>
          <w:tcPr>
            <w:tcW w:type="dxa" w:w="1440"/>
            <w:shd w:fill="FFDCE0" w:val="clear"/>
          </w:tcPr>
          <w:p>
            <w:r>
              <w:rPr>
                <w:b/>
                <w:color w:val="C00000"/>
                <w:sz w:val="17"/>
              </w:rPr>
              <w:t>-11.0%</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1,285</w:t>
            </w:r>
          </w:p>
        </w:tc>
        <w:tc>
          <w:tcPr>
            <w:tcW w:type="dxa" w:w="1440"/>
            <w:shd w:fill="FFDCE0" w:val="clear"/>
          </w:tcPr>
          <w:p>
            <w:r>
              <w:rPr>
                <w:b/>
                <w:sz w:val="17"/>
              </w:rPr>
              <w:t>1,492</w:t>
            </w:r>
          </w:p>
        </w:tc>
        <w:tc>
          <w:tcPr>
            <w:tcW w:type="dxa" w:w="1440"/>
            <w:shd w:fill="FFDCE0" w:val="clear"/>
          </w:tcPr>
          <w:p>
            <w:r>
              <w:rPr>
                <w:sz w:val="17"/>
              </w:rPr>
              <w:t>1,699</w:t>
            </w:r>
          </w:p>
        </w:tc>
        <w:tc>
          <w:tcPr>
            <w:tcW w:type="dxa" w:w="1440"/>
            <w:shd w:fill="FFDCE0" w:val="clear"/>
          </w:tcPr>
          <w:p>
            <w:r>
              <w:rPr>
                <w:b/>
                <w:color w:val="C00000"/>
                <w:sz w:val="17"/>
              </w:rPr>
              <w:t>-12.2%</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1,254</w:t>
            </w:r>
          </w:p>
        </w:tc>
        <w:tc>
          <w:tcPr>
            <w:tcW w:type="dxa" w:w="1440"/>
            <w:shd w:fill="FFDCE0" w:val="clear"/>
          </w:tcPr>
          <w:p>
            <w:r>
              <w:rPr>
                <w:b/>
                <w:sz w:val="17"/>
              </w:rPr>
              <w:t>1,471</w:t>
            </w:r>
          </w:p>
        </w:tc>
        <w:tc>
          <w:tcPr>
            <w:tcW w:type="dxa" w:w="1440"/>
            <w:shd w:fill="FFDCE0" w:val="clear"/>
          </w:tcPr>
          <w:p>
            <w:r>
              <w:rPr>
                <w:sz w:val="17"/>
              </w:rPr>
              <w:t>1,688</w:t>
            </w:r>
          </w:p>
        </w:tc>
        <w:tc>
          <w:tcPr>
            <w:tcW w:type="dxa" w:w="1440"/>
            <w:shd w:fill="FFDCE0" w:val="clear"/>
          </w:tcPr>
          <w:p>
            <w:r>
              <w:rPr>
                <w:b/>
                <w:color w:val="C00000"/>
                <w:sz w:val="17"/>
              </w:rPr>
              <w:t>-13.5%</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1,225</w:t>
            </w:r>
          </w:p>
        </w:tc>
        <w:tc>
          <w:tcPr>
            <w:tcW w:type="dxa" w:w="1440"/>
            <w:shd w:fill="FFDCE0" w:val="clear"/>
          </w:tcPr>
          <w:p>
            <w:r>
              <w:rPr>
                <w:b/>
                <w:sz w:val="17"/>
              </w:rPr>
              <w:t>1,450</w:t>
            </w:r>
          </w:p>
        </w:tc>
        <w:tc>
          <w:tcPr>
            <w:tcW w:type="dxa" w:w="1440"/>
            <w:shd w:fill="FFDCE0" w:val="clear"/>
          </w:tcPr>
          <w:p>
            <w:r>
              <w:rPr>
                <w:sz w:val="17"/>
              </w:rPr>
              <w:t>1,676</w:t>
            </w:r>
          </w:p>
        </w:tc>
        <w:tc>
          <w:tcPr>
            <w:tcW w:type="dxa" w:w="1440"/>
            <w:shd w:fill="FFDCE0" w:val="clear"/>
          </w:tcPr>
          <w:p>
            <w:r>
              <w:rPr>
                <w:b/>
                <w:color w:val="C00000"/>
                <w:sz w:val="17"/>
              </w:rPr>
              <w:t>-14.7%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**Date de l'analyse : 10 août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308,33 milliards FCFA, CFAC se positionne comme une valeur de premier plan sur la BRVM, reflétant la confiance des investisseurs dans le leader du marché automobile ivoirien. Cependant, les ratios de valorisation révèlent une prime significative par rapport aux fondamentaux actuels. Le BPA de 26 FCFA par action, bien que réel, est faible au regard du cours de 1 700 FCFA, ce qui se traduit par un PER de 65,7x. Ce niveau est extrêmement élevé comparé à la moyenne historique de la BRVM (8-12x), indiquant que le marché anticipe une croissance future des bénéfices très soutenue. De même, le P/B de 15,85x et l'EV/EBITDA de 33,4x confirment une valorisation exigeante, où les investisseurs paient une prime considérable pour la position dominante de l'entreprise et son potentiel de redressement, malgré une rentabilité actuelle en deçà de ces attentes.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CFAC affiche une performance négative de -4,23%, mais a légèrement rebondi lors de la dernière séance (+0,59%), clôturant à 1 700 FCFA. Le cours a évolué dans une fourchette de 500 FCFA, entre un plus bas de 1 325 FCFA et un plus haut de 1 825 FCFA. La moyenne (1 608 FCFA) et la médiane (1 605 FCFA) sont très proches, indiquant une distribution des prix relativement symétrique, ce qui est confirmé par un skewness de -0,326. L'écart-type de 105 FCFA (CV=6,5%) montre une dispersion modérée autour de la moyenne. Le kurtosis de -0,163 (mésokurtique) suggère une absence de pics extrêmes de volatilité. La volatilité annualisée de 49,2% est très élevée, signalant un risque de marché substantiel et des fluctuations de prix potentiellement amples, ce qui est cohérent avec la tendance baissière observée sur la période.</w:t>
      </w:r>
    </w:p>
    <w:p>
      <w:pPr>
        <w:spacing w:after="120" w:line="276" w:lineRule="auto"/>
      </w:pPr>
      <w:r>
        <w:t>---</w:t>
      </w:r>
    </w:p>
    <w:p>
      <w:pPr>
        <w:spacing w:after="120" w:line="276" w:lineRule="auto"/>
      </w:pPr>
      <w:r>
        <w:t>### PARTIE 2 : ANALYSE TECHNIQUE DÉTAILLÉE</w:t>
      </w:r>
    </w:p>
    <w:p>
      <w:pPr>
        <w:spacing w:after="120" w:line="276" w:lineRule="auto"/>
      </w:pPr>
      <w:r>
        <w:t>**Moyennes Mobiles (MM20=1644,25 / MM50=1647,2) :** Le cours actuel (1 700 FCFA) est supérieur aux deux moyennes mobiles, ce qui est un signal haussier à court terme. Cependant, le signal global est une "Vente", car les MM20 et MM50 sont pratiquement identiques, indiquant un manque de dynamisme directionnel clair et une possible consolidation après une période de baisse. Le croisement baissier antérieur continue de peser sur la tendance de fond.</w:t>
      </w:r>
    </w:p>
    <w:p>
      <w:pPr>
        <w:spacing w:after="120" w:line="276" w:lineRule="auto"/>
      </w:pPr>
      <w:r>
        <w:t>**Bandes de Bollinger (Borne sup=1748,99 / Borne inf=1539,50) :** Le cours à 1 700 FCFA se situe dans la moitié supérieure des bandes, proche de la borne supérieure. Cela indique une pression acheteuse récente, mais le signal est "Neutre". La largeur des bandes (environ 209 FCFA) reflète la volatilité élevée du titre. Le prix n'est pas en situation de surachat extrême, laissant une marge de manœuvre avant un retournement potentiel.</w:t>
      </w:r>
    </w:p>
    <w:p>
      <w:pPr>
        <w:spacing w:after="120" w:line="276" w:lineRule="auto"/>
      </w:pPr>
      <w:r>
        <w:t>**MACD (Valeur=14,256 / Signal=9,798) :** Le MACD est positif et au-dessus de sa ligne de signal, ce qui est un signal d'**Achat** clair. Cette configuration indique un momentum haussier en cours, suggérant que la dynamique des prix pourrait se poursuivre à la hausse à court terme, malgré la tendance baissière de plus long terme.</w:t>
      </w:r>
    </w:p>
    <w:p>
      <w:pPr>
        <w:spacing w:after="120" w:line="276" w:lineRule="auto"/>
      </w:pPr>
      <w:r>
        <w:t>**RSI (Valeur=60,638) :** Le RSI est en zone neutre (entre 30 et 70), avec une valeur de 60,6. Il montre une dynamique positive sans être en situation de surachat. Le signal est "Neutre", mais la tendance du RSI est haussière, ce qui suggère que les acheteurs ont le contrôle sans que le titre ne soit encore survendu.</w:t>
      </w:r>
    </w:p>
    <w:p>
      <w:pPr>
        <w:spacing w:after="120" w:line="276" w:lineRule="auto"/>
      </w:pPr>
      <w:r>
        <w:t>**Stochastique (%K=100,0 / %D=93,889) :** Le %K est à son niveau maximum (100), et le %D est également très élevé. Cette configuration indique une condition de **surachat extrême**. Le signal est une "Vente", car un tel niveau est rarement soutenable et précède souvent un repli technique ou une consolidation à court terme.</w:t>
      </w:r>
    </w:p>
    <w:p>
      <w:pPr>
        <w:spacing w:after="120" w:line="276" w:lineRule="auto"/>
      </w:pPr>
      <w:r>
        <w:t>**Conclusion technique :** Les signaux techniques sont mitigés. Le MACD et la position du cours au-dessus des MM suggèrent un potentiel haussier à court terme, mais le Stochastique en surachat extrême et le signal de vente des MM indiquent un risque de correction. La prudence est de mise, car le momentum haussier semble s'essouffler face à des indicateurs de retournement.</w:t>
      </w:r>
    </w:p>
    <w:p>
      <w:pPr>
        <w:spacing w:after="120" w:line="276" w:lineRule="auto"/>
      </w:pPr>
      <w:r>
        <w:t>---</w:t>
      </w:r>
    </w:p>
    <w:p>
      <w:pPr>
        <w:spacing w:after="120" w:line="276" w:lineRule="auto"/>
      </w:pPr>
      <w:r>
        <w:t>### PARTIE 3 : ANALYSE FONDAMENTALE (SECTION CRITIQUE)</w:t>
      </w:r>
    </w:p>
    <w:p>
      <w:pPr>
        <w:spacing w:after="120" w:line="276" w:lineRule="auto"/>
      </w:pPr>
      <w:r>
        <w:t>**En 2024**, les données structurées officielles montrent que CFAC a réalisé un chiffre d'affaires de 158,313 milliards FCFA, en baisse de -12,1% par rapport à 2023 (180,162 Mds FCFA), selon le rapport annuel 2024. Le résultat net s'est établi à 4,693 milliards FCFA, en recul de -26,7% (vs 6,399 Mds en 2023). Malgré cette baisse, la rentabilité reste solide avec un ROE de 24,1% et un ROA de 5,5%. En tant qu'entreprise de distribution automobile, l'analyse du BFR est cruciale : il est négatif à -3,482 milliards FCFA, ce qui est un point très favorable, indiquant que l'entreprise finance son exploitation grâce aux délais de paiement de ses fournisseurs (81,75 jours) qui excèdent ses délais clients (36,64 jours). Cependant, la trésorerie nette est négative (-624 millions FCFA) et le Free Cash Flow est de -1,650 milliard FCFA, en raison d'investissements importants (-8,741 Mds). **Les rapports trimestriels de 2025 montrent un redressement spectaculaire** : le S1 2025 affiche un CA de 91,182 milliards FCFA (+18,4% vs S1 2024) et un résultat net de 5,420 milliards FCFA (+152,7%), avec une marge nette passant de 2,8% à 5,9%. Sur la base de cette dynamique, on estime que l'exercice 2025 pourrait voir un CA dépasser les 180 milliards FCFA et un résultat net potentiellement supérieur à 10 milliards FCFA, soit un BPA d'environ 55 FCFA, ce qui justifierait une partie de la valorisation actuelle.</w:t>
      </w:r>
    </w:p>
    <w:p>
      <w:pPr>
        <w:spacing w:after="120" w:line="276" w:lineRule="auto"/>
      </w:pPr>
      <w:r>
        <w:t>---</w:t>
      </w:r>
    </w:p>
    <w:p>
      <w:pPr>
        <w:spacing w:after="120" w:line="276" w:lineRule="auto"/>
      </w:pPr>
      <w:r>
        <w:t>### PARTIE 4 : CONCLUSION D'INVESTISSEMENT</w:t>
      </w:r>
    </w:p>
    <w:p>
      <w:pPr>
        <w:spacing w:after="120" w:line="276" w:lineRule="auto"/>
      </w:pPr>
      <w:r>
        <w:t>La valorisation de CFAC est extrêmement exigeante (PER 65,7x, P/B 15,85x), ce qui reflète des attentes de croissance très élevées. Le comportement du cours sur 100 jours est baissier (-4,23%) avec une volatilité très élevée (49,2%), indiquant une incertitude. Les signaux techniques sont contradictoires : un momentum haussier (MACD) contre un surachat extrême (Stochastique) et une tendance de fond baissière (MM). Cependant, les fondamentaux montrent un contraste saisissant : après une année 2024 difficile, les rapports trimestriels de 2025 révèlent un redressement exceptionnel de la rentabilité et de la croissance, ce qui valide les anticipations du marché. Les prédictions IA (1 649 à 1 558 FCFA sur 10 jours) suggèrent une correction à court terme, en ligne avec les signaux de surachat technique. La convergence entre les solides perspectives fondamentales et la valorisation élevée est le cœur du dilemme. **Recommandation finale : CONSERVER.** Le potentiel de croissance est réel, mais le prix actuel intègre déjà une grande partie de ces bonnes nouvelles. **Niveau de confiance : Moyen.** **Risque global : Élevé** (volatilité et valorisation). **Horizon d'investissement optimal : Moyen terme (3-12 mois)**, en attendant que la croissance des bénéfices rattrape la valorisation ou qu'une correction du cours offre un point d'entrée plus attractif.</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281.12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6,452 titres</w:t>
            </w:r>
          </w:p>
        </w:tc>
        <w:tc>
          <w:tcPr>
            <w:tcW w:type="dxa" w:w="2268"/>
            <w:shd w:fill="FFF2CC" w:val="clear"/>
          </w:tcPr>
          <w:p>
            <w:r>
              <w:rPr>
                <w:b/>
                <w:color w:val="503200"/>
                <w:sz w:val="16"/>
              </w:rPr>
              <w:t xml:space="preserve">Cours actuel : </w:t>
            </w:r>
            <w:r>
              <w:rPr>
                <w:color w:val="000000"/>
                <w:sz w:val="17"/>
              </w:rPr>
              <w:t>5,020 FCFA</w:t>
            </w:r>
          </w:p>
          <w:p>
            <w:r>
              <w:rPr>
                <w:b/>
                <w:color w:val="503200"/>
                <w:sz w:val="16"/>
              </w:rPr>
              <w:t xml:space="preserve">Var. 100 jours : </w:t>
            </w:r>
            <w:r>
              <w:rPr>
                <w:b/>
                <w:color w:val="007800"/>
                <w:sz w:val="17"/>
              </w:rPr>
              <w:t>+52.12%</w:t>
            </w:r>
          </w:p>
          <w:p>
            <w:r>
              <w:rPr>
                <w:b/>
                <w:color w:val="503200"/>
                <w:sz w:val="16"/>
              </w:rPr>
              <w:t xml:space="preserve">Plus haut 100j : </w:t>
            </w:r>
            <w:r>
              <w:rPr>
                <w:color w:val="000000"/>
                <w:sz w:val="17"/>
              </w:rPr>
              <w:t>5,485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46.3%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22.09% (Élevée) — μ=4,194 FCFA, σ=926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β=0.7162 (Défensif) — Cov=0.000026, Var(idx)=0.000036, ρ=0.146,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6,452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σ_j=2.92%/j (Stable) — Vol. annualisée≈46.3%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4,454</w:t>
            </w:r>
          </w:p>
        </w:tc>
        <w:tc>
          <w:tcPr>
            <w:tcW w:type="dxa" w:w="1440"/>
            <w:shd w:fill="FFDCE0" w:val="clear"/>
          </w:tcPr>
          <w:p>
            <w:r>
              <w:rPr>
                <w:b/>
                <w:sz w:val="17"/>
              </w:rPr>
              <w:t>4,644</w:t>
            </w:r>
          </w:p>
        </w:tc>
        <w:tc>
          <w:tcPr>
            <w:tcW w:type="dxa" w:w="1440"/>
            <w:shd w:fill="FFDCE0" w:val="clear"/>
          </w:tcPr>
          <w:p>
            <w:r>
              <w:rPr>
                <w:sz w:val="17"/>
              </w:rPr>
              <w:t>4,833</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4,048</w:t>
            </w:r>
          </w:p>
        </w:tc>
        <w:tc>
          <w:tcPr>
            <w:tcW w:type="dxa" w:w="1440"/>
            <w:shd w:fill="FFDCE0" w:val="clear"/>
          </w:tcPr>
          <w:p>
            <w:r>
              <w:rPr>
                <w:b/>
                <w:sz w:val="17"/>
              </w:rPr>
              <w:t>4,295</w:t>
            </w:r>
          </w:p>
        </w:tc>
        <w:tc>
          <w:tcPr>
            <w:tcW w:type="dxa" w:w="1440"/>
            <w:shd w:fill="FFDCE0" w:val="clear"/>
          </w:tcPr>
          <w:p>
            <w:r>
              <w:rPr>
                <w:sz w:val="17"/>
              </w:rPr>
              <w:t>4,543</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3,693</w:t>
            </w:r>
          </w:p>
        </w:tc>
        <w:tc>
          <w:tcPr>
            <w:tcW w:type="dxa" w:w="1440"/>
            <w:shd w:fill="FFDCE0" w:val="clear"/>
          </w:tcPr>
          <w:p>
            <w:r>
              <w:rPr>
                <w:b/>
                <w:sz w:val="17"/>
              </w:rPr>
              <w:t>3,973</w:t>
            </w:r>
          </w:p>
        </w:tc>
        <w:tc>
          <w:tcPr>
            <w:tcW w:type="dxa" w:w="1440"/>
            <w:shd w:fill="FFDCE0" w:val="clear"/>
          </w:tcPr>
          <w:p>
            <w:r>
              <w:rPr>
                <w:sz w:val="17"/>
              </w:rPr>
              <w:t>4,253</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3,376</w:t>
            </w:r>
          </w:p>
        </w:tc>
        <w:tc>
          <w:tcPr>
            <w:tcW w:type="dxa" w:w="1440"/>
            <w:shd w:fill="FFDCE0" w:val="clear"/>
          </w:tcPr>
          <w:p>
            <w:r>
              <w:rPr>
                <w:b/>
                <w:sz w:val="17"/>
              </w:rPr>
              <w:t>3,675</w:t>
            </w:r>
          </w:p>
        </w:tc>
        <w:tc>
          <w:tcPr>
            <w:tcW w:type="dxa" w:w="1440"/>
            <w:shd w:fill="FFDCE0" w:val="clear"/>
          </w:tcPr>
          <w:p>
            <w:r>
              <w:rPr>
                <w:sz w:val="17"/>
              </w:rPr>
              <w:t>3,974</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3,213</w:t>
            </w:r>
          </w:p>
        </w:tc>
        <w:tc>
          <w:tcPr>
            <w:tcW w:type="dxa" w:w="1440"/>
            <w:shd w:fill="FFDCE0" w:val="clear"/>
          </w:tcPr>
          <w:p>
            <w:r>
              <w:rPr>
                <w:b/>
                <w:sz w:val="17"/>
              </w:rPr>
              <w:t>3,535</w:t>
            </w:r>
          </w:p>
        </w:tc>
        <w:tc>
          <w:tcPr>
            <w:tcW w:type="dxa" w:w="1440"/>
            <w:shd w:fill="FFDCE0" w:val="clear"/>
          </w:tcPr>
          <w:p>
            <w:r>
              <w:rPr>
                <w:sz w:val="17"/>
              </w:rPr>
              <w:t>3,857</w:t>
            </w:r>
          </w:p>
        </w:tc>
        <w:tc>
          <w:tcPr>
            <w:tcW w:type="dxa" w:w="1440"/>
            <w:shd w:fill="FFDCE0" w:val="clear"/>
          </w:tcPr>
          <w:p>
            <w:r>
              <w:rPr>
                <w:b/>
                <w:color w:val="C00000"/>
                <w:sz w:val="17"/>
              </w:rPr>
              <w:t>-29.6%</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3,100</w:t>
            </w:r>
          </w:p>
        </w:tc>
        <w:tc>
          <w:tcPr>
            <w:tcW w:type="dxa" w:w="1440"/>
            <w:shd w:fill="FFDCE0" w:val="clear"/>
          </w:tcPr>
          <w:p>
            <w:r>
              <w:rPr>
                <w:b/>
                <w:sz w:val="17"/>
              </w:rPr>
              <w:t>3,444</w:t>
            </w:r>
          </w:p>
        </w:tc>
        <w:tc>
          <w:tcPr>
            <w:tcW w:type="dxa" w:w="1440"/>
            <w:shd w:fill="FFDCE0" w:val="clear"/>
          </w:tcPr>
          <w:p>
            <w:r>
              <w:rPr>
                <w:sz w:val="17"/>
              </w:rPr>
              <w:t>3,788</w:t>
            </w:r>
          </w:p>
        </w:tc>
        <w:tc>
          <w:tcPr>
            <w:tcW w:type="dxa" w:w="1440"/>
            <w:shd w:fill="FFDCE0" w:val="clear"/>
          </w:tcPr>
          <w:p>
            <w:r>
              <w:rPr>
                <w:b/>
                <w:color w:val="C00000"/>
                <w:sz w:val="17"/>
              </w:rPr>
              <w:t>-31.4%</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3,001</w:t>
            </w:r>
          </w:p>
        </w:tc>
        <w:tc>
          <w:tcPr>
            <w:tcW w:type="dxa" w:w="1440"/>
            <w:shd w:fill="FFDCE0" w:val="clear"/>
          </w:tcPr>
          <w:p>
            <w:r>
              <w:rPr>
                <w:b/>
                <w:sz w:val="17"/>
              </w:rPr>
              <w:t>3,363</w:t>
            </w:r>
          </w:p>
        </w:tc>
        <w:tc>
          <w:tcPr>
            <w:tcW w:type="dxa" w:w="1440"/>
            <w:shd w:fill="FFDCE0" w:val="clear"/>
          </w:tcPr>
          <w:p>
            <w:r>
              <w:rPr>
                <w:sz w:val="17"/>
              </w:rPr>
              <w:t>3,726</w:t>
            </w:r>
          </w:p>
        </w:tc>
        <w:tc>
          <w:tcPr>
            <w:tcW w:type="dxa" w:w="1440"/>
            <w:shd w:fill="FFDCE0" w:val="clear"/>
          </w:tcPr>
          <w:p>
            <w:r>
              <w:rPr>
                <w:b/>
                <w:color w:val="C00000"/>
                <w:sz w:val="17"/>
              </w:rPr>
              <w:t>-33.0%</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2,911</w:t>
            </w:r>
          </w:p>
        </w:tc>
        <w:tc>
          <w:tcPr>
            <w:tcW w:type="dxa" w:w="1440"/>
            <w:shd w:fill="FFDCE0" w:val="clear"/>
          </w:tcPr>
          <w:p>
            <w:r>
              <w:rPr>
                <w:b/>
                <w:sz w:val="17"/>
              </w:rPr>
              <w:t>3,291</w:t>
            </w:r>
          </w:p>
        </w:tc>
        <w:tc>
          <w:tcPr>
            <w:tcW w:type="dxa" w:w="1440"/>
            <w:shd w:fill="FFDCE0" w:val="clear"/>
          </w:tcPr>
          <w:p>
            <w:r>
              <w:rPr>
                <w:sz w:val="17"/>
              </w:rPr>
              <w:t>3,670</w:t>
            </w:r>
          </w:p>
        </w:tc>
        <w:tc>
          <w:tcPr>
            <w:tcW w:type="dxa" w:w="1440"/>
            <w:shd w:fill="FFDCE0" w:val="clear"/>
          </w:tcPr>
          <w:p>
            <w:r>
              <w:rPr>
                <w:b/>
                <w:color w:val="C00000"/>
                <w:sz w:val="17"/>
              </w:rPr>
              <w:t>-34.5%</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2,831</w:t>
            </w:r>
          </w:p>
        </w:tc>
        <w:tc>
          <w:tcPr>
            <w:tcW w:type="dxa" w:w="1440"/>
            <w:shd w:fill="FFDCE0" w:val="clear"/>
          </w:tcPr>
          <w:p>
            <w:r>
              <w:rPr>
                <w:b/>
                <w:sz w:val="17"/>
              </w:rPr>
              <w:t>3,225</w:t>
            </w:r>
          </w:p>
        </w:tc>
        <w:tc>
          <w:tcPr>
            <w:tcW w:type="dxa" w:w="1440"/>
            <w:shd w:fill="FFDCE0" w:val="clear"/>
          </w:tcPr>
          <w:p>
            <w:r>
              <w:rPr>
                <w:sz w:val="17"/>
              </w:rPr>
              <w:t>3,619</w:t>
            </w:r>
          </w:p>
        </w:tc>
        <w:tc>
          <w:tcPr>
            <w:tcW w:type="dxa" w:w="1440"/>
            <w:shd w:fill="FFDCE0" w:val="clear"/>
          </w:tcPr>
          <w:p>
            <w:r>
              <w:rPr>
                <w:b/>
                <w:color w:val="C00000"/>
                <w:sz w:val="17"/>
              </w:rPr>
              <w:t>-35.8%</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2,758</w:t>
            </w:r>
          </w:p>
        </w:tc>
        <w:tc>
          <w:tcPr>
            <w:tcW w:type="dxa" w:w="1440"/>
            <w:shd w:fill="FFDCE0" w:val="clear"/>
          </w:tcPr>
          <w:p>
            <w:r>
              <w:rPr>
                <w:b/>
                <w:sz w:val="17"/>
              </w:rPr>
              <w:t>3,166</w:t>
            </w:r>
          </w:p>
        </w:tc>
        <w:tc>
          <w:tcPr>
            <w:tcW w:type="dxa" w:w="1440"/>
            <w:shd w:fill="FFDCE0" w:val="clear"/>
          </w:tcPr>
          <w:p>
            <w:r>
              <w:rPr>
                <w:sz w:val="17"/>
              </w:rPr>
              <w:t>3,574</w:t>
            </w:r>
          </w:p>
        </w:tc>
        <w:tc>
          <w:tcPr>
            <w:tcW w:type="dxa" w:w="1440"/>
            <w:shd w:fill="FFDCE0" w:val="clear"/>
          </w:tcPr>
          <w:p>
            <w:r>
              <w:rPr>
                <w:b/>
                <w:color w:val="C00000"/>
                <w:sz w:val="17"/>
              </w:rPr>
              <w:t>-36.9%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la CIEC s'établit à 281,12 milliards FCFA, un niveau significatif qui la positionne parmi les valeurs moyennes à grandes capitalisations de la BRVM. Avec un BPA de 234 FCFA, chaque action génère un bénéfice confortable, mais le PER de 21,4x indique que les investisseurs paient une prime substantielle par rapport à la moyenne historique de la BRVM (8-12x), suggérant des anticipations de croissance élevées ou une possible surévaluation. Le P/B de 7,82x confirme cette lecture : le marché valorise l'action près de huit fois sa valeur comptable, une prime très exigeante qui reflète la confiance dans le modèle économique de l'entreprise. Enfin, l'EV/EBITDA de 12,6x se situe dans la fourchette haute (10-15x), indiquant que la valeur d'entreprise est élevée relativement à la capacité opérationnelle de génération de cash-flow. Ces ratios combinés suggèrent une valorisation ambitieuse qui devra être justifiée par une croissance soutenue des bénéfices.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CIEC a enregistré une progression spectaculaire de +52,12%, avec une légère hausse de +0,40% lors de la dernière séance, portant le cours à 5 020 FCFA. Le titre a évolué dans une fourchette large de 3 000 à 5 485 FCFA, démontrant une forte dynamique haussière malgré des phases de consolidation. La moyenne du cours sur la période (4 194 FCFA) est proche de la médiane (4 102 FCFA), indiquant une distribution relativement symétrique, confirmée par un skewness de 0,025. L'écart-type de 931 FCFA, soit un coefficient de variation de 22,2%, révèle une dispersion modérée des prix autour de la moyenne. Le kurtosis de -1,833 (distribution platykurtique) suggère une faible concentration des extrêmes, limitant le risque de mouvements brusques. La volatilité annualisée de 46,3% classe le titre dans la catégorie à forte volatilité (&gt;30%), ce qui implique un risque élevé mais aussi un potentiel de rendement significatif pour les investisseurs tolérants au risque.</w:t>
      </w:r>
    </w:p>
    <w:p>
      <w:pPr>
        <w:spacing w:after="120" w:line="276" w:lineRule="auto" w:before="240"/>
      </w:pPr>
      <w:r>
        <w:rPr>
          <w:b/>
          <w:color w:val="003366"/>
          <w:sz w:val="24"/>
        </w:rPr>
        <w:t>**PARTIE 2 : ANALYSE TECHNIQUE DÉTAILLÉE**</w:t>
      </w:r>
    </w:p>
    <w:p>
      <w:pPr>
        <w:spacing w:after="120" w:line="276" w:lineRule="auto"/>
      </w:pPr>
      <w:r>
        <w:t>**Moyennes Mobiles** : La MM20 (5 150,5 FCFA) et la MM50 (5 087,2 FCFA) se situent toutes deux au-dessus du cours actuel (5 020 FCFA), indiquant une pression baissière à court terme. Cependant, la décision globale est "Achat", car la MM20 est supérieure à la MM50, signalant une tendance haussière sous-jacente. Le cours évolue légèrement sous ces moyennes, ce qui pourrait représenter un point d'entrée opportun si le support tient.</w:t>
      </w:r>
    </w:p>
    <w:p>
      <w:pPr>
        <w:spacing w:after="120" w:line="276" w:lineRule="auto"/>
      </w:pPr>
      <w:r>
        <w:t>**Bandes de Bollinger** : Le cours (5 020 FCFA) se positionne entre la borne inférieure (4 865,5 FCFA) et la borne supérieure (5 435,5 FCFA), proche de la zone médiane. La décision "Neutre" reflète une volatilité modérée avec un prix qui n'est ni suracheté ni survendu. La largeur des bandes indique une volatilité en contraction, pouvant précéder un mouvement directionnel.</w:t>
      </w:r>
    </w:p>
    <w:p>
      <w:pPr>
        <w:spacing w:after="120" w:line="276" w:lineRule="auto"/>
      </w:pPr>
      <w:r>
        <w:t>**MACD** : La valeur MACD (-8,326) est inférieure au signal (36,768), générant une décision "Vente". Cette configuration baissière indique un momentum négatif à court terme, malgré la tendance haussière de fond. La divergence négative suggère une possible correction ou consolidation avant la reprise de la tendance.</w:t>
      </w:r>
    </w:p>
    <w:p>
      <w:pPr>
        <w:spacing w:after="120" w:line="276" w:lineRule="auto"/>
      </w:pPr>
      <w:r>
        <w:t>**RSI** : À 42,616, le RSI se situe en zone neutre (30-70), indiquant un équilibre entre pression acheteuse et vendeuse. La décision "Neutre" est cohérente avec un marché en phase de digestion des gains récents, sans signal de surachat ni de survente.</w:t>
      </w:r>
    </w:p>
    <w:p>
      <w:pPr>
        <w:spacing w:after="120" w:line="276" w:lineRule="auto"/>
      </w:pPr>
      <w:r>
        <w:t>**Stochastique** : Le %K (6,329) est très bas et le %D (8,717) également, générant une décision "Achat". Ces niveaux extrêmement bas signalent une condition de survente sévère, suggérant un rebond technique imminent. Le croisement potentiel du %K au-dessus du %D renforcerait ce signal haussier.</w:t>
      </w:r>
    </w:p>
    <w:p>
      <w:pPr>
        <w:spacing w:after="120" w:line="276" w:lineRule="auto"/>
      </w:pPr>
      <w:r>
        <w:t>**Conclusion technique** : Les indicateurs sont mitigés avec une prédominance baissière à court terme (MACD, position sous les MM) mais des signaux de retournement potentiel (Stochastique en survente, RSI neutre). La tendance de fond reste haussière (MM20 &gt; MM50), mais une consolidation est probable avant la poursuite du mouvement. Le scénario le plus probable est un rebond technique à court terme vers les moyennes mobiles, suivi d'une reprise de la tendance haussière.</w:t>
      </w:r>
    </w:p>
    <w:p>
      <w:pPr>
        <w:spacing w:after="120" w:line="276" w:lineRule="auto" w:before="240"/>
      </w:pPr>
      <w:r>
        <w:rPr>
          <w:b/>
          <w:color w:val="003366"/>
          <w:sz w:val="24"/>
        </w:rPr>
        <w:t>**PARTIE 3 : ANALYSE FONDAMENTALE (SECTION CRITIQUE)**</w:t>
      </w:r>
    </w:p>
    <w:p>
      <w:pPr>
        <w:spacing w:after="120" w:line="276" w:lineRule="auto"/>
      </w:pPr>
      <w:r>
        <w:t>En 2025, la CIEC affiche des performances solides avec un chiffre d'affaires de 302,320 milliards FCFA, en croissance de 14,8% par rapport à 2024 (263,294 milliards FCFA). Le résultat net s'établit à 13,127 milliards FCFA, en progression de 24,4% (contre 10,526 milliards en 2024), avec une marge nette de 4,34%. La rentabilité des fonds propres (ROE) atteint 36,5%, un niveau excellent (&gt;15%), tandis que le ROA reste faible à 0,65%, reflétant un bilan très lourd (2 018,446 milliards FCFA) typique du secteur électrique. Le BFR négatif de -90,244 milliards FCFA constitue un avantage majeur : l'entreprise finance son exploitation grâce aux délais fournisseurs très longs (970 jours), compensant des délais clients élevés (164 jours). La capacité d'autofinancement (CAF) de 28,869 milliards FCFA et le free cash-flow positif de 20,167 milliards FCFA démontrent une génération de trésorerie robuste. Le rapport annuel 2025 (daté 31/12/2025) confirme ces chiffres et souligne la croissance des ventes d'énergie (+8,3% national, +21,7% export) et l'expansion de la base clientèle (+15,1% à 5,28 millions de clients). Les rapports du S1 2025 (134,923 milliards FCFA de CA, +18,85%) suggèrent une accélération au second semestre, permettant d'estimer un CA 2026 potentiel autour de 330-340 milliards FCFA si la tendance se maintient. Le dividende proposé de 234 FCFA/action représente un taux de distribution de 99,8%, confirmant la politique généreuse de l'entreprise. Les principaux risques identifiés incluent la dépendance au cadre réglementaire de la concession, le risque de crédit client et un endettement élevé (612,9% de ratio d'endettement), bien que la couverture des intérêts (617,7%) reste confortable.</w:t>
      </w:r>
    </w:p>
    <w:p>
      <w:pPr>
        <w:spacing w:after="120" w:line="276" w:lineRule="auto" w:before="240"/>
      </w:pPr>
      <w:r>
        <w:rPr>
          <w:b/>
          <w:color w:val="003366"/>
          <w:sz w:val="24"/>
        </w:rPr>
        <w:t>**PARTIE 4 : CONCLUSION D'INVESTISSEMENT**</w:t>
      </w:r>
    </w:p>
    <w:p>
      <w:pPr>
        <w:spacing w:after="120" w:line="276" w:lineRule="auto"/>
      </w:pPr>
      <w:r>
        <w:t>La synthèse globale révèle des signaux contrastés. La valorisation (Partie 0) apparaît exigeante avec un PER de 21,4x et un P/B de 7,82x, nettement au-dessus des moyennes BRVM, mais justifiée par la croissance soutenue et la politique de dividende attractive. Le comportement du cours (Partie 1) montre une tendance haussière forte (+52,12% sur 100 jours) avec une volatilité élevée (46,3%) et une distribution symétrique sans extrêmes préoccupants. Les signaux techniques (Partie 2) sont mitigés : tendance de fond haussière (MM20 &gt; MM50) mais momentum baissier à court terme (MACD négatif), avec des conditions de survente (Stochastique) suggérant un rebond imminent. Les fondamentaux (Partie 3) sont solides avec une croissance du CA de 14,8%, un ROE excellent de 36,5%, un BFR négatif favorable et une génération de cash-flow robuste. Les prédictions IA (J+1 à J+10) montrent une trajectoire baissière marquée (de 4 644 à 3 535 FCFA), contredisant les signaux techniques de rebond et suggérant une correction significative à venir. Cette divergence entre les fondamentaux solides et la prédiction baissière indique un possible ajustement du marché après la forte hausse récente. **Recommandation : CONSERVER** avec un niveau de confiance Moyen et un risque global Élevé. L'horizon d'investissement optimal serait le moyen terme (3-12 mois) pour bénéficier de la croissance des bénéfices et du rendement du dividende (4,66%), tout en surveillant attentivement la correction potentielle à court terme.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891.82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3,357 titres</w:t>
            </w:r>
          </w:p>
        </w:tc>
        <w:tc>
          <w:tcPr>
            <w:tcW w:type="dxa" w:w="2268"/>
            <w:shd w:fill="FFF2CC" w:val="clear"/>
          </w:tcPr>
          <w:p>
            <w:r>
              <w:rPr>
                <w:b/>
                <w:color w:val="503200"/>
                <w:sz w:val="16"/>
              </w:rPr>
              <w:t xml:space="preserve">Cours actuel : </w:t>
            </w:r>
            <w:r>
              <w:rPr>
                <w:color w:val="000000"/>
                <w:sz w:val="17"/>
              </w:rPr>
              <w:t>16,200 FCFA</w:t>
            </w:r>
          </w:p>
          <w:p>
            <w:r>
              <w:rPr>
                <w:b/>
                <w:color w:val="503200"/>
                <w:sz w:val="16"/>
              </w:rPr>
              <w:t xml:space="preserve">Var. 100 jours : </w:t>
            </w:r>
            <w:r>
              <w:rPr>
                <w:b/>
                <w:color w:val="B40000"/>
                <w:sz w:val="17"/>
              </w:rPr>
              <w:t>-1.22%</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26.8%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2.11% (Faible) — μ=16,331 FCFA, σ=345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β=0.2821 (Défensif) — Cov=0.000010, Var(idx)=0.000036, ρ=0.100,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3,357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σ_j=1.69%/j (Stable) — Vol. annualisée≈26.8%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15,621</w:t>
            </w:r>
          </w:p>
        </w:tc>
        <w:tc>
          <w:tcPr>
            <w:tcW w:type="dxa" w:w="1440"/>
            <w:shd w:fill="FAFAFA" w:val="clear"/>
          </w:tcPr>
          <w:p>
            <w:r>
              <w:rPr>
                <w:b/>
                <w:sz w:val="17"/>
              </w:rPr>
              <w:t>16,105</w:t>
            </w:r>
          </w:p>
        </w:tc>
        <w:tc>
          <w:tcPr>
            <w:tcW w:type="dxa" w:w="1440"/>
            <w:shd w:fill="FAFAFA" w:val="clear"/>
          </w:tcPr>
          <w:p>
            <w:r>
              <w:rPr>
                <w:sz w:val="17"/>
              </w:rPr>
              <w:t>16,588</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15,415</w:t>
            </w:r>
          </w:p>
        </w:tc>
        <w:tc>
          <w:tcPr>
            <w:tcW w:type="dxa" w:w="1440"/>
            <w:shd w:fill="FAFAFA" w:val="clear"/>
          </w:tcPr>
          <w:p>
            <w:r>
              <w:rPr>
                <w:b/>
                <w:sz w:val="17"/>
              </w:rPr>
              <w:t>16,099</w:t>
            </w:r>
          </w:p>
        </w:tc>
        <w:tc>
          <w:tcPr>
            <w:tcW w:type="dxa" w:w="1440"/>
            <w:shd w:fill="FAFAFA" w:val="clear"/>
          </w:tcPr>
          <w:p>
            <w:r>
              <w:rPr>
                <w:sz w:val="17"/>
              </w:rPr>
              <w:t>16,782</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15,249</w:t>
            </w:r>
          </w:p>
        </w:tc>
        <w:tc>
          <w:tcPr>
            <w:tcW w:type="dxa" w:w="1440"/>
            <w:shd w:fill="FAFAFA" w:val="clear"/>
          </w:tcPr>
          <w:p>
            <w:r>
              <w:rPr>
                <w:b/>
                <w:sz w:val="17"/>
              </w:rPr>
              <w:t>16,086</w:t>
            </w:r>
          </w:p>
        </w:tc>
        <w:tc>
          <w:tcPr>
            <w:tcW w:type="dxa" w:w="1440"/>
            <w:shd w:fill="FAFAFA" w:val="clear"/>
          </w:tcPr>
          <w:p>
            <w:r>
              <w:rPr>
                <w:sz w:val="17"/>
              </w:rPr>
              <w:t>16,922</w:t>
            </w:r>
          </w:p>
        </w:tc>
        <w:tc>
          <w:tcPr>
            <w:tcW w:type="dxa" w:w="1440"/>
            <w:shd w:fill="FAFAFA" w:val="clear"/>
          </w:tcPr>
          <w:p>
            <w:r>
              <w:rPr>
                <w:b/>
                <w:color w:val="C00000"/>
                <w:sz w:val="17"/>
              </w:rPr>
              <w:t>-0.7%</w:t>
            </w:r>
          </w:p>
        </w:tc>
      </w:tr>
      <w:tr>
        <w:tc>
          <w:tcPr>
            <w:tcW w:type="dxa" w:w="1440"/>
            <w:shd w:fill="FAFAFA" w:val="clear"/>
          </w:tcPr>
          <w:p>
            <w:r>
              <w:rPr>
                <w:sz w:val="17"/>
              </w:rPr>
              <w:t>J+4  Moyenne</w:t>
            </w:r>
          </w:p>
        </w:tc>
        <w:tc>
          <w:tcPr>
            <w:tcW w:type="dxa" w:w="1440"/>
            <w:shd w:fill="FAFAFA" w:val="clear"/>
          </w:tcPr>
          <w:p>
            <w:r>
              <w:rPr>
                <w:sz w:val="17"/>
              </w:rPr>
              <w:t>2026-08-13</w:t>
            </w:r>
          </w:p>
        </w:tc>
        <w:tc>
          <w:tcPr>
            <w:tcW w:type="dxa" w:w="1440"/>
            <w:shd w:fill="FAFAFA" w:val="clear"/>
          </w:tcPr>
          <w:p>
            <w:r>
              <w:rPr>
                <w:sz w:val="17"/>
              </w:rPr>
              <w:t>15,107</w:t>
            </w:r>
          </w:p>
        </w:tc>
        <w:tc>
          <w:tcPr>
            <w:tcW w:type="dxa" w:w="1440"/>
            <w:shd w:fill="FAFAFA" w:val="clear"/>
          </w:tcPr>
          <w:p>
            <w:r>
              <w:rPr>
                <w:b/>
                <w:sz w:val="17"/>
              </w:rPr>
              <w:t>16,073</w:t>
            </w:r>
          </w:p>
        </w:tc>
        <w:tc>
          <w:tcPr>
            <w:tcW w:type="dxa" w:w="1440"/>
            <w:shd w:fill="FAFAFA" w:val="clear"/>
          </w:tcPr>
          <w:p>
            <w:r>
              <w:rPr>
                <w:sz w:val="17"/>
              </w:rPr>
              <w:t>17,038</w:t>
            </w:r>
          </w:p>
        </w:tc>
        <w:tc>
          <w:tcPr>
            <w:tcW w:type="dxa" w:w="1440"/>
            <w:shd w:fill="FAFAFA" w:val="clear"/>
          </w:tcPr>
          <w:p>
            <w:r>
              <w:rPr>
                <w:b/>
                <w:color w:val="C00000"/>
                <w:sz w:val="17"/>
              </w:rPr>
              <w:t>-0.8%</w:t>
            </w:r>
          </w:p>
        </w:tc>
      </w:tr>
      <w:tr>
        <w:tc>
          <w:tcPr>
            <w:tcW w:type="dxa" w:w="1440"/>
            <w:shd w:fill="FAFAFA" w:val="clear"/>
          </w:tcPr>
          <w:p>
            <w:r>
              <w:rPr>
                <w:sz w:val="17"/>
              </w:rPr>
              <w:t>J+5  Moyenne</w:t>
            </w:r>
          </w:p>
        </w:tc>
        <w:tc>
          <w:tcPr>
            <w:tcW w:type="dxa" w:w="1440"/>
            <w:shd w:fill="FAFAFA" w:val="clear"/>
          </w:tcPr>
          <w:p>
            <w:r>
              <w:rPr>
                <w:sz w:val="17"/>
              </w:rPr>
              <w:t>2026-08-14</w:t>
            </w:r>
          </w:p>
        </w:tc>
        <w:tc>
          <w:tcPr>
            <w:tcW w:type="dxa" w:w="1440"/>
            <w:shd w:fill="FAFAFA" w:val="clear"/>
          </w:tcPr>
          <w:p>
            <w:r>
              <w:rPr>
                <w:sz w:val="17"/>
              </w:rPr>
              <w:t>14,981</w:t>
            </w:r>
          </w:p>
        </w:tc>
        <w:tc>
          <w:tcPr>
            <w:tcW w:type="dxa" w:w="1440"/>
            <w:shd w:fill="FAFAFA" w:val="clear"/>
          </w:tcPr>
          <w:p>
            <w:r>
              <w:rPr>
                <w:b/>
                <w:sz w:val="17"/>
              </w:rPr>
              <w:t>16,060</w:t>
            </w:r>
          </w:p>
        </w:tc>
        <w:tc>
          <w:tcPr>
            <w:tcW w:type="dxa" w:w="1440"/>
            <w:shd w:fill="FAFAFA" w:val="clear"/>
          </w:tcPr>
          <w:p>
            <w:r>
              <w:rPr>
                <w:sz w:val="17"/>
              </w:rPr>
              <w:t>17,139</w:t>
            </w:r>
          </w:p>
        </w:tc>
        <w:tc>
          <w:tcPr>
            <w:tcW w:type="dxa" w:w="1440"/>
            <w:shd w:fill="FAFAFA" w:val="clear"/>
          </w:tcPr>
          <w:p>
            <w:r>
              <w:rPr>
                <w:b/>
                <w:color w:val="C00000"/>
                <w:sz w:val="17"/>
              </w:rPr>
              <w:t>-0.9%</w:t>
            </w:r>
          </w:p>
        </w:tc>
      </w:tr>
      <w:tr>
        <w:tc>
          <w:tcPr>
            <w:tcW w:type="dxa" w:w="1440"/>
            <w:shd w:fill="FAFAFA" w:val="clear"/>
          </w:tcPr>
          <w:p>
            <w:r>
              <w:rPr>
                <w:sz w:val="17"/>
              </w:rPr>
              <w:t>J+6  Moyenne</w:t>
            </w:r>
          </w:p>
        </w:tc>
        <w:tc>
          <w:tcPr>
            <w:tcW w:type="dxa" w:w="1440"/>
            <w:shd w:fill="FAFAFA" w:val="clear"/>
          </w:tcPr>
          <w:p>
            <w:r>
              <w:rPr>
                <w:sz w:val="17"/>
              </w:rPr>
              <w:t>2026-08-17</w:t>
            </w:r>
          </w:p>
        </w:tc>
        <w:tc>
          <w:tcPr>
            <w:tcW w:type="dxa" w:w="1440"/>
            <w:shd w:fill="FAFAFA" w:val="clear"/>
          </w:tcPr>
          <w:p>
            <w:r>
              <w:rPr>
                <w:sz w:val="17"/>
              </w:rPr>
              <w:t>14,867</w:t>
            </w:r>
          </w:p>
        </w:tc>
        <w:tc>
          <w:tcPr>
            <w:tcW w:type="dxa" w:w="1440"/>
            <w:shd w:fill="FAFAFA" w:val="clear"/>
          </w:tcPr>
          <w:p>
            <w:r>
              <w:rPr>
                <w:b/>
                <w:sz w:val="17"/>
              </w:rPr>
              <w:t>16,048</w:t>
            </w:r>
          </w:p>
        </w:tc>
        <w:tc>
          <w:tcPr>
            <w:tcW w:type="dxa" w:w="1440"/>
            <w:shd w:fill="FAFAFA" w:val="clear"/>
          </w:tcPr>
          <w:p>
            <w:r>
              <w:rPr>
                <w:sz w:val="17"/>
              </w:rPr>
              <w:t>17,228</w:t>
            </w:r>
          </w:p>
        </w:tc>
        <w:tc>
          <w:tcPr>
            <w:tcW w:type="dxa" w:w="1440"/>
            <w:shd w:fill="FAFAFA" w:val="clear"/>
          </w:tcPr>
          <w:p>
            <w:r>
              <w:rPr>
                <w:b/>
                <w:color w:val="C00000"/>
                <w:sz w:val="17"/>
              </w:rPr>
              <w:t>-0.9%</w:t>
            </w:r>
          </w:p>
        </w:tc>
      </w:tr>
      <w:tr>
        <w:tc>
          <w:tcPr>
            <w:tcW w:type="dxa" w:w="1440"/>
            <w:shd w:fill="FAFAFA" w:val="clear"/>
          </w:tcPr>
          <w:p>
            <w:r>
              <w:rPr>
                <w:sz w:val="17"/>
              </w:rPr>
              <w:t>J+7  Moyenne</w:t>
            </w:r>
          </w:p>
        </w:tc>
        <w:tc>
          <w:tcPr>
            <w:tcW w:type="dxa" w:w="1440"/>
            <w:shd w:fill="FAFAFA" w:val="clear"/>
          </w:tcPr>
          <w:p>
            <w:r>
              <w:rPr>
                <w:sz w:val="17"/>
              </w:rPr>
              <w:t>2026-08-18</w:t>
            </w:r>
          </w:p>
        </w:tc>
        <w:tc>
          <w:tcPr>
            <w:tcW w:type="dxa" w:w="1440"/>
            <w:shd w:fill="FAFAFA" w:val="clear"/>
          </w:tcPr>
          <w:p>
            <w:r>
              <w:rPr>
                <w:sz w:val="17"/>
              </w:rPr>
              <w:t>14,761</w:t>
            </w:r>
          </w:p>
        </w:tc>
        <w:tc>
          <w:tcPr>
            <w:tcW w:type="dxa" w:w="1440"/>
            <w:shd w:fill="FAFAFA" w:val="clear"/>
          </w:tcPr>
          <w:p>
            <w:r>
              <w:rPr>
                <w:b/>
                <w:sz w:val="17"/>
              </w:rPr>
              <w:t>16,036</w:t>
            </w:r>
          </w:p>
        </w:tc>
        <w:tc>
          <w:tcPr>
            <w:tcW w:type="dxa" w:w="1440"/>
            <w:shd w:fill="FAFAFA" w:val="clear"/>
          </w:tcPr>
          <w:p>
            <w:r>
              <w:rPr>
                <w:sz w:val="17"/>
              </w:rPr>
              <w:t>17,310</w:t>
            </w:r>
          </w:p>
        </w:tc>
        <w:tc>
          <w:tcPr>
            <w:tcW w:type="dxa" w:w="1440"/>
            <w:shd w:fill="FAFAFA" w:val="clear"/>
          </w:tcPr>
          <w:p>
            <w:r>
              <w:rPr>
                <w:b/>
                <w:color w:val="C00000"/>
                <w:sz w:val="17"/>
              </w:rPr>
              <w:t>-1.0%</w:t>
            </w:r>
          </w:p>
        </w:tc>
      </w:tr>
      <w:tr>
        <w:tc>
          <w:tcPr>
            <w:tcW w:type="dxa" w:w="1440"/>
            <w:shd w:fill="FAFAFA" w:val="clear"/>
          </w:tcPr>
          <w:p>
            <w:r>
              <w:rPr>
                <w:sz w:val="17"/>
              </w:rPr>
              <w:t>J+8  Moyenne</w:t>
            </w:r>
          </w:p>
        </w:tc>
        <w:tc>
          <w:tcPr>
            <w:tcW w:type="dxa" w:w="1440"/>
            <w:shd w:fill="FAFAFA" w:val="clear"/>
          </w:tcPr>
          <w:p>
            <w:r>
              <w:rPr>
                <w:sz w:val="17"/>
              </w:rPr>
              <w:t>2026-08-19</w:t>
            </w:r>
          </w:p>
        </w:tc>
        <w:tc>
          <w:tcPr>
            <w:tcW w:type="dxa" w:w="1440"/>
            <w:shd w:fill="FAFAFA" w:val="clear"/>
          </w:tcPr>
          <w:p>
            <w:r>
              <w:rPr>
                <w:sz w:val="17"/>
              </w:rPr>
              <w:t>14,662</w:t>
            </w:r>
          </w:p>
        </w:tc>
        <w:tc>
          <w:tcPr>
            <w:tcW w:type="dxa" w:w="1440"/>
            <w:shd w:fill="FAFAFA" w:val="clear"/>
          </w:tcPr>
          <w:p>
            <w:r>
              <w:rPr>
                <w:b/>
                <w:sz w:val="17"/>
              </w:rPr>
              <w:t>16,024</w:t>
            </w:r>
          </w:p>
        </w:tc>
        <w:tc>
          <w:tcPr>
            <w:tcW w:type="dxa" w:w="1440"/>
            <w:shd w:fill="FAFAFA" w:val="clear"/>
          </w:tcPr>
          <w:p>
            <w:r>
              <w:rPr>
                <w:sz w:val="17"/>
              </w:rPr>
              <w:t>17,385</w:t>
            </w:r>
          </w:p>
        </w:tc>
        <w:tc>
          <w:tcPr>
            <w:tcW w:type="dxa" w:w="1440"/>
            <w:shd w:fill="FAFAFA" w:val="clear"/>
          </w:tcPr>
          <w:p>
            <w:r>
              <w:rPr>
                <w:b/>
                <w:color w:val="C00000"/>
                <w:sz w:val="17"/>
              </w:rPr>
              <w:t>-1.1%</w:t>
            </w:r>
          </w:p>
        </w:tc>
      </w:tr>
      <w:tr>
        <w:tc>
          <w:tcPr>
            <w:tcW w:type="dxa" w:w="1440"/>
            <w:shd w:fill="FAFAFA" w:val="clear"/>
          </w:tcPr>
          <w:p>
            <w:r>
              <w:rPr>
                <w:sz w:val="17"/>
              </w:rPr>
              <w:t>J+9  Moyenne</w:t>
            </w:r>
          </w:p>
        </w:tc>
        <w:tc>
          <w:tcPr>
            <w:tcW w:type="dxa" w:w="1440"/>
            <w:shd w:fill="FAFAFA" w:val="clear"/>
          </w:tcPr>
          <w:p>
            <w:r>
              <w:rPr>
                <w:sz w:val="17"/>
              </w:rPr>
              <w:t>2026-08-20</w:t>
            </w:r>
          </w:p>
        </w:tc>
        <w:tc>
          <w:tcPr>
            <w:tcW w:type="dxa" w:w="1440"/>
            <w:shd w:fill="FAFAFA" w:val="clear"/>
          </w:tcPr>
          <w:p>
            <w:r>
              <w:rPr>
                <w:sz w:val="17"/>
              </w:rPr>
              <w:t>14,569</w:t>
            </w:r>
          </w:p>
        </w:tc>
        <w:tc>
          <w:tcPr>
            <w:tcW w:type="dxa" w:w="1440"/>
            <w:shd w:fill="FAFAFA" w:val="clear"/>
          </w:tcPr>
          <w:p>
            <w:r>
              <w:rPr>
                <w:b/>
                <w:sz w:val="17"/>
              </w:rPr>
              <w:t>16,012</w:t>
            </w:r>
          </w:p>
        </w:tc>
        <w:tc>
          <w:tcPr>
            <w:tcW w:type="dxa" w:w="1440"/>
            <w:shd w:fill="FAFAFA" w:val="clear"/>
          </w:tcPr>
          <w:p>
            <w:r>
              <w:rPr>
                <w:sz w:val="17"/>
              </w:rPr>
              <w:t>17,454</w:t>
            </w:r>
          </w:p>
        </w:tc>
        <w:tc>
          <w:tcPr>
            <w:tcW w:type="dxa" w:w="1440"/>
            <w:shd w:fill="FAFAFA" w:val="clear"/>
          </w:tcPr>
          <w:p>
            <w:r>
              <w:rPr>
                <w:b/>
                <w:color w:val="C00000"/>
                <w:sz w:val="17"/>
              </w:rPr>
              <w:t>-1.2%</w:t>
            </w:r>
          </w:p>
        </w:tc>
      </w:tr>
      <w:tr>
        <w:tc>
          <w:tcPr>
            <w:tcW w:type="dxa" w:w="1440"/>
            <w:shd w:fill="FAFAFA" w:val="clear"/>
          </w:tcPr>
          <w:p>
            <w:r>
              <w:rPr>
                <w:sz w:val="17"/>
              </w:rPr>
              <w:t>J+10  Moyenne</w:t>
            </w:r>
          </w:p>
        </w:tc>
        <w:tc>
          <w:tcPr>
            <w:tcW w:type="dxa" w:w="1440"/>
            <w:shd w:fill="FAFAFA" w:val="clear"/>
          </w:tcPr>
          <w:p>
            <w:r>
              <w:rPr>
                <w:sz w:val="17"/>
              </w:rPr>
              <w:t>2026-08-21</w:t>
            </w:r>
          </w:p>
        </w:tc>
        <w:tc>
          <w:tcPr>
            <w:tcW w:type="dxa" w:w="1440"/>
            <w:shd w:fill="FAFAFA" w:val="clear"/>
          </w:tcPr>
          <w:p>
            <w:r>
              <w:rPr>
                <w:sz w:val="17"/>
              </w:rPr>
              <w:t>14,480</w:t>
            </w:r>
          </w:p>
        </w:tc>
        <w:tc>
          <w:tcPr>
            <w:tcW w:type="dxa" w:w="1440"/>
            <w:shd w:fill="FAFAFA" w:val="clear"/>
          </w:tcPr>
          <w:p>
            <w:r>
              <w:rPr>
                <w:b/>
                <w:sz w:val="17"/>
              </w:rPr>
              <w:t>16,000</w:t>
            </w:r>
          </w:p>
        </w:tc>
        <w:tc>
          <w:tcPr>
            <w:tcW w:type="dxa" w:w="1440"/>
            <w:shd w:fill="FAFAFA" w:val="clear"/>
          </w:tcPr>
          <w:p>
            <w:r>
              <w:rPr>
                <w:sz w:val="17"/>
              </w:rPr>
              <w:t>17,520</w:t>
            </w:r>
          </w:p>
        </w:tc>
        <w:tc>
          <w:tcPr>
            <w:tcW w:type="dxa" w:w="1440"/>
            <w:shd w:fill="FAFAFA" w:val="clear"/>
          </w:tcPr>
          <w:p>
            <w:r>
              <w:rPr>
                <w:b/>
                <w:color w:val="C00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ECOC (ECOBANK CÔTE D'IVOIRE)**</w:t>
        <w:br/>
        <w:t>**Date : 10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d'ECOC s'établit à 891,82 milliards FCFA, ce qui en fait l'une des plus importantes capitalisations de la BRVM, reflétant le statut de poids lourd du secteur bancaire ivoirien. Avec un BPA de 1 153 FCFA, chaque action génère un bénéfice substantiel, justifiant un PER de 14,0x. Ce ratio est supérieur à la moyenne historique de la BRVM (8-12x), indiquant que le marché valorise déjà une prime de croissance et de qualité pour ce titre. Le P/B de 4,08x confirme cette prime, le marché valorisant l'actif net comptable plus de quatre fois, ce qui est exigeant. Enfin, l'EV/EBITDA de 13,8x, bien que dans la fourchette haute (10-15x), suggère que la valeur d'entreprise reste cohérente avec la capacité opérationnelle de la banque, mais laisse peu de marge de sécurité pour un investisseur value.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ECOC affiche une variation totale de -1,22%, mais a rebondi de +1,25% lors de la dernière séance, signe d'un léger regain d'intérêt. Le cours a évolué dans un range de 15 520 FCFA (plus bas) à 17 270 FCFA (plus haut), démontrant une amplitude de trading de près de 11%. La moyenne (16 331 FCFA) et la médiane (16 300 FCFA) sont quasi identiques, et le skewness de 0,142 confirme une distribution symétrique des prix, sans biais directionnel marqué. L'écart-type de 347 FCFA (CV=2,1%) indique une dispersion très faible, signe d'un titre stable, tandis que le kurtosis de 0,298 (mésokurtique) suggère une absence de mouvements extrêmes ou de "pics" de volatilité. La volatilité annualisée de 26,8% classe le titre dans une zone de risque modéré (15-30%), ce qui est cohérent avec une valeur bancaire de premier plan, mais non dénuée de sensibilité aux variations de marché.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(16 200 FCFA) se situe sous la MM20 (16 137 FCFA) et nettement sous la MM50 (16 434,5 FCFA). La configuration baissière des moyennes mobiles, avec le prix sous la MM50, génère un signal de vente, indiquant que la tendance de fond reste négative à moyen terme, malgré le récent rebond.</w:t>
      </w:r>
    </w:p>
    <w:p>
      <w:pPr>
        <w:spacing w:after="120" w:line="276" w:lineRule="auto"/>
      </w:pPr>
      <w:r>
        <w:t>**Bandes de Bollinger** : Le prix se positionne à l'intérieur des bandes (borne supérieure à 16 713,4 et inférieure à 15 560,6), proche de la bande médiane. La largeur des bandes est modérée, et le signal est neutre. Cela suggère une phase de consolidation sans pression directionnelle forte, le marché attendant un catalyseur pour sortir de ce range.</w:t>
      </w:r>
    </w:p>
    <w:p>
      <w:pPr>
        <w:spacing w:after="120" w:line="276" w:lineRule="auto"/>
      </w:pPr>
      <w:r>
        <w:t>**MACD** : Le MACD (-84,14) est négatif mais se situe au-dessus de sa ligne de signal (-103,47). Cette configuration haussière, malgré des valeurs négatives, indique un momentum en amélioration. Le signal d'achat est précoce mais suggère que la dynamique baissière s'essouffle, ouvrant la voie à un potentiel retournement.</w:t>
      </w:r>
    </w:p>
    <w:p>
      <w:pPr>
        <w:spacing w:after="120" w:line="276" w:lineRule="auto"/>
      </w:pPr>
      <w:r>
        <w:t>**RSI** : Avec une valeur de 56,80, le RSI est en zone neutre (30-70), indiquant un équilibre entre les forces acheteuses et vendeuses. Il n'y a pas de conditions de surachat ou de survente, ce qui laisse de la marge pour un mouvement dans les deux sens, mais le niveau actuel est légèrement positif.</w:t>
      </w:r>
    </w:p>
    <w:p>
      <w:pPr>
        <w:spacing w:after="120" w:line="276" w:lineRule="auto"/>
      </w:pPr>
      <w:r>
        <w:t>**Stochastique** : Le %K (91,51) est très élevé et nettement supérieur au %D (78,93), signalant une condition de surachat extrême. Le croisement baissier potentiel du %K sous le %D pourrait déclencher un signal de vente à court terme, suggérant un risque de correction après le récent rebond.</w:t>
      </w:r>
    </w:p>
    <w:p>
      <w:pPr>
        <w:spacing w:after="120" w:line="276" w:lineRule="auto"/>
      </w:pPr>
      <w:r>
        <w:t>**Conclusion technique** : La convergence des signaux est mitigée. Les moyennes mobiles sont baissières, mais le MACD et le RSI montrent une amélioration du momentum. Le stochastique en zone de surachat suggère un repli imminent. Globalement, la tendance est neutre à baissière à court terme, avec un potentiel de rebond technique limité avant une possible consolidation.</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officielles, ECOC affiche un Produit Net Bancaire (PNB) de 132,7 milliards FCFA, en croissance de +8,5%, et un résultat net de 63,5 milliards FCFA. La rentabilité est excellente, avec un ROE de 29,0% et un ROA de 3,1%, bien au-dessus des seuils de référence (&gt;15% et &gt;1%). Le coefficient d'exploitation de 42,9% témoigne d'une efficacité opérationnelle remarquable. Le coût du risque est maîtrisé à 1,36%, et la banque maintient une transformation saine avec des dépôts clientèle (1 626 Mds) largement supérieurs aux crédits (1 050 Mds). Les rapports trimestriels de 2025 confirment cette dynamique : le T3 2025 (rapport du 15/03/2026) montre un PNB de 96,4 Mds et un résultat net de 44,4 Mds, en hausse de +15,4%. Le rapport annuel 2024 (publié en 2025) indiquait un PNB de 122,3 Mds et un résultat net de 57,5 Mds. Sur la base du rapport T1 2026 (PNB en hausse de 3,7% à 30,8 Mds), on estime que l'exercice 2026 pourrait voir un PNB autour de 137 Mds et un résultat net stable, la banque privilégiant la qualité de son portefeuille à une croissance agressive. La solidité financière est renforcée par un ratio de solvabilité de 19,3% (S1 2025), très au-dessus de l'exigence réglementaire.</w:t>
      </w:r>
    </w:p>
    <w:p>
      <w:pPr>
        <w:spacing w:after="120" w:line="276" w:lineRule="auto"/>
      </w:pPr>
      <w:r>
        <w:t>---</w:t>
      </w:r>
    </w:p>
    <w:p>
      <w:pPr>
        <w:spacing w:after="120" w:line="276" w:lineRule="auto"/>
      </w:pPr>
      <w:r>
        <w:t>### PARTIE 4 : CONCLUSION D'INVESTISSEMENT</w:t>
      </w:r>
    </w:p>
    <w:p>
      <w:pPr>
        <w:spacing w:after="120" w:line="276" w:lineRule="auto"/>
      </w:pPr>
      <w:r>
        <w:t>La valorisation actuelle (PER 14x, P/B 4x) est exigeante, intégrant déjà une prime de qualité pour ECOC, ce qui limite le potentiel de hausse immédiat. Le comportement du cours sur 100 jours est stable mais sans tendance claire, avec une volatilité modérée et une distribution symétrique. Les signaux techniques sont mitigés : la tendance de fond (MM) est baissière, mais le momentum (MACD, RSI) s'améliore, tandis que le stochastique suggère un repli à très court terme. Les fondamentaux, eux, sont excellents, avec une rentabilité supérieure et une gestion rigoureuse des risques. Les prédictions IA (J+1 à J+10) montrent une légère décroissance du cours vers 16 060 FCFA, contredisant le signal d'achat du MACD mais confirmant la prudence technique. En synthèse, la convergence entre une valorisation élevée, des signaux techniques neutres à baissiers et des fondamentaux solides mais déjà intégrés dans le prix, nous amène à une recommandation **CONSERVER**. Le niveau de confiance est **Moyen**, le risque global est **Moyen**. L'horizon d'investissement optimal est le **moyen terme (3-12 mois)**, en attendant soit une correction du cours pour un point d'entrée plus attractif, soit une accélération de la croissance des bénéfices pour justifier la prime actuelle.</w:t>
      </w:r>
    </w:p>
    <w:p/>
    <w:p/>
    <w:p>
      <w:pPr>
        <w:pStyle w:val="Heading3"/>
      </w:pPr>
      <w:r>
        <w:rPr>
          <w:color w:val="00467F"/>
        </w:rPr>
        <w:t>📎 DOCUMENTS &amp; COMMUNICATIONS OFFICIELS BRVM</w:t>
      </w:r>
    </w:p>
    <w:p>
      <w:r>
        <w:rPr>
          <w:i/>
          <w:color w:val="646464"/>
          <w:sz w:val="18"/>
        </w:rPr>
        <w:t>9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Pr>
        <w:ind w:left="400"/>
      </w:pPr>
      <w:r>
        <w:rPr>
          <w:color w:val="B4B4B4"/>
          <w:sz w:val="14"/>
        </w:rPr>
        <w:t xml:space="preserve">· · · · · · · · · · · · · · · · · · · · · · · · · · · · · · </w:t>
      </w:r>
    </w:p>
    <w:p>
      <w:pPr>
        <w:spacing w:before="160"/>
      </w:pPr>
      <w:r>
        <w:rPr>
          <w:b/>
          <w:color w:val="0066CC"/>
          <w:sz w:val="20"/>
        </w:rPr>
        <w:t xml:space="preserve">[5] </w:t>
      </w:r>
      <w:r>
        <w:rPr>
          <w:b/>
          <w:sz w:val="20"/>
        </w:rPr>
        <w:t>20260513   avis de convocation   assemblee generale ordinaire   eti tg</w:t>
      </w:r>
    </w:p>
    <w:p>
      <w:pPr>
        <w:spacing w:before="20"/>
        <w:ind w:left="400"/>
      </w:pPr>
      <w:r>
        <w:rPr>
          <w:color w:val="505050"/>
          <w:sz w:val="17"/>
        </w:rPr>
        <w:t xml:space="preserve">Date : 13/05/2026  |  Catégorie : convocation AG  |  Impact : </w:t>
      </w:r>
      <w:r>
        <w:rPr>
          <w:b/>
          <w:color w:val="646464"/>
          <w:sz w:val="17"/>
        </w:rPr>
        <w:t>⚪ NEUTRE</w:t>
      </w:r>
    </w:p>
    <w:p>
      <w:pPr>
        <w:spacing w:before="40"/>
        <w:ind w:left="400"/>
      </w:pPr>
      <w:r>
        <w:rPr>
          <w:sz w:val="18"/>
        </w:rPr>
        <w:t>Ecobank Transnational Incorporated convoque ses actionnaires à la 38ème Assemblée Générale Ordinaire le 3 juin 2026 à Lomé, Togo. L'ordre du jour comprend l'approbation des comptes, l'affectation du résultat et le renouvellement des mandats d'administrateurs. Les actionnaires peuvent participer en personne ou par procuration avec possibilité de soumettre leurs questions à l'avance.</w:t>
      </w:r>
    </w:p>
    <w:p>
      <w:pPr>
        <w:spacing w:before="60"/>
        <w:ind w:left="400"/>
      </w:pPr>
      <w:r>
        <w:rPr>
          <w:b/>
          <w:sz w:val="18"/>
        </w:rPr>
        <w:t>Points clés :</w:t>
      </w:r>
    </w:p>
    <w:p>
      <w:pPr>
        <w:pStyle w:val="ListBullet"/>
        <w:spacing w:before="20" w:after="20"/>
        <w:ind w:left="700"/>
      </w:pPr>
      <w:r>
        <w:rPr>
          <w:sz w:val="18"/>
        </w:rPr>
        <w:t>38ème Assemblée Générale Ordinaire prévue le 3 juin 2026 à 10h30 GMT à Lomé</w:t>
      </w:r>
    </w:p>
    <w:p>
      <w:pPr>
        <w:pStyle w:val="ListBullet"/>
        <w:spacing w:before="20" w:after="20"/>
        <w:ind w:left="700"/>
      </w:pPr>
      <w:r>
        <w:rPr>
          <w:sz w:val="18"/>
        </w:rPr>
        <w:t>Approbation des comptes annuels et affectation du résultat à l'ordre du jour</w:t>
      </w:r>
    </w:p>
    <w:p>
      <w:pPr>
        <w:pStyle w:val="ListBullet"/>
        <w:spacing w:before="20" w:after="20"/>
        <w:ind w:left="700"/>
      </w:pPr>
      <w:r>
        <w:rPr>
          <w:sz w:val="18"/>
        </w:rPr>
        <w:t>Renouvellement des mandats d'administrateurs et nominations au conseil</w:t>
      </w:r>
    </w:p>
    <w:p>
      <w:pPr>
        <w:pStyle w:val="ListBullet"/>
        <w:spacing w:before="20" w:after="20"/>
        <w:ind w:left="700"/>
      </w:pPr>
      <w:r>
        <w:rPr>
          <w:sz w:val="18"/>
        </w:rPr>
        <w:t>Possibilité de participation par procuration avec formulaire à soumettre avant le 2 juin 2026</w:t>
      </w:r>
    </w:p>
    <w:p>
      <w:pPr>
        <w:pStyle w:val="ListBullet"/>
        <w:spacing w:before="20" w:after="20"/>
        <w:ind w:left="700"/>
      </w:pPr>
      <w:r>
        <w:rPr>
          <w:sz w:val="18"/>
        </w:rPr>
        <w:t>Nomination des commissaires aux comptes parmi les points à délibérer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1175.47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1,331,880 titres</w:t>
            </w:r>
          </w:p>
        </w:tc>
        <w:tc>
          <w:tcPr>
            <w:tcW w:type="dxa" w:w="2268"/>
            <w:shd w:fill="FFF2CC" w:val="clear"/>
          </w:tcPr>
          <w:p>
            <w:r>
              <w:rPr>
                <w:b/>
                <w:color w:val="503200"/>
                <w:sz w:val="16"/>
              </w:rPr>
              <w:t xml:space="preserve">Cours actuel : </w:t>
            </w:r>
            <w:r>
              <w:rPr>
                <w:color w:val="000000"/>
                <w:sz w:val="17"/>
              </w:rPr>
              <w:t>65 FCFA</w:t>
            </w:r>
          </w:p>
          <w:p>
            <w:r>
              <w:rPr>
                <w:b/>
                <w:color w:val="503200"/>
                <w:sz w:val="16"/>
              </w:rPr>
              <w:t xml:space="preserve">Var. 100 jours : </w:t>
            </w:r>
            <w:r>
              <w:rPr>
                <w:b/>
                <w:color w:val="007800"/>
                <w:sz w:val="17"/>
              </w:rPr>
              <w:t>+103.12%</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37.89% (Élevée) — μ=40 FCFA, σ=15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β=2.5489 (Très agressif) — Cov=0.000092, Var(idx)=0.000036, ρ=0.382,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1,331,880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σ_j=3.94%/j (Modérée) — Vol. annualisée≈62.6%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56</w:t>
            </w:r>
          </w:p>
        </w:tc>
        <w:tc>
          <w:tcPr>
            <w:tcW w:type="dxa" w:w="1440"/>
            <w:shd w:fill="FFDCE0" w:val="clear"/>
          </w:tcPr>
          <w:p>
            <w:r>
              <w:rPr>
                <w:b/>
                <w:sz w:val="17"/>
              </w:rPr>
              <w:t>60</w:t>
            </w:r>
          </w:p>
        </w:tc>
        <w:tc>
          <w:tcPr>
            <w:tcW w:type="dxa" w:w="1440"/>
            <w:shd w:fill="FFDCE0" w:val="clear"/>
          </w:tcPr>
          <w:p>
            <w:r>
              <w:rPr>
                <w:sz w:val="17"/>
              </w:rPr>
              <w:t>65</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49</w:t>
            </w:r>
          </w:p>
        </w:tc>
        <w:tc>
          <w:tcPr>
            <w:tcW w:type="dxa" w:w="1440"/>
            <w:shd w:fill="FFDCE0" w:val="clear"/>
          </w:tcPr>
          <w:p>
            <w:r>
              <w:rPr>
                <w:b/>
                <w:sz w:val="17"/>
              </w:rPr>
              <w:t>56</w:t>
            </w:r>
          </w:p>
        </w:tc>
        <w:tc>
          <w:tcPr>
            <w:tcW w:type="dxa" w:w="1440"/>
            <w:shd w:fill="FFDCE0" w:val="clear"/>
          </w:tcPr>
          <w:p>
            <w:r>
              <w:rPr>
                <w:sz w:val="17"/>
              </w:rPr>
              <w:t>63</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43</w:t>
            </w:r>
          </w:p>
        </w:tc>
        <w:tc>
          <w:tcPr>
            <w:tcW w:type="dxa" w:w="1440"/>
            <w:shd w:fill="FFDCE0" w:val="clear"/>
          </w:tcPr>
          <w:p>
            <w:r>
              <w:rPr>
                <w:b/>
                <w:sz w:val="17"/>
              </w:rPr>
              <w:t>51</w:t>
            </w:r>
          </w:p>
        </w:tc>
        <w:tc>
          <w:tcPr>
            <w:tcW w:type="dxa" w:w="1440"/>
            <w:shd w:fill="FFDCE0" w:val="clear"/>
          </w:tcPr>
          <w:p>
            <w:r>
              <w:rPr>
                <w:sz w:val="17"/>
              </w:rPr>
              <w:t>59</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39</w:t>
            </w:r>
          </w:p>
        </w:tc>
        <w:tc>
          <w:tcPr>
            <w:tcW w:type="dxa" w:w="1440"/>
            <w:shd w:fill="FFDCE0" w:val="clear"/>
          </w:tcPr>
          <w:p>
            <w:r>
              <w:rPr>
                <w:b/>
                <w:sz w:val="17"/>
              </w:rPr>
              <w:t>48</w:t>
            </w:r>
          </w:p>
        </w:tc>
        <w:tc>
          <w:tcPr>
            <w:tcW w:type="dxa" w:w="1440"/>
            <w:shd w:fill="FFDCE0" w:val="clear"/>
          </w:tcPr>
          <w:p>
            <w:r>
              <w:rPr>
                <w:sz w:val="17"/>
              </w:rPr>
              <w:t>56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35</w:t>
            </w:r>
          </w:p>
        </w:tc>
        <w:tc>
          <w:tcPr>
            <w:tcW w:type="dxa" w:w="1440"/>
            <w:shd w:fill="FFDCE0" w:val="clear"/>
          </w:tcPr>
          <w:p>
            <w:r>
              <w:rPr>
                <w:b/>
                <w:sz w:val="17"/>
              </w:rPr>
              <w:t>44</w:t>
            </w:r>
          </w:p>
        </w:tc>
        <w:tc>
          <w:tcPr>
            <w:tcW w:type="dxa" w:w="1440"/>
            <w:shd w:fill="FFDCE0" w:val="clear"/>
          </w:tcPr>
          <w:p>
            <w:r>
              <w:rPr>
                <w:sz w:val="17"/>
              </w:rPr>
              <w:t>53</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32</w:t>
            </w:r>
          </w:p>
        </w:tc>
        <w:tc>
          <w:tcPr>
            <w:tcW w:type="dxa" w:w="1440"/>
            <w:shd w:fill="FFDCE0" w:val="clear"/>
          </w:tcPr>
          <w:p>
            <w:r>
              <w:rPr>
                <w:b/>
                <w:sz w:val="17"/>
              </w:rPr>
              <w:t>41</w:t>
            </w:r>
          </w:p>
        </w:tc>
        <w:tc>
          <w:tcPr>
            <w:tcW w:type="dxa" w:w="1440"/>
            <w:shd w:fill="FFDCE0" w:val="clear"/>
          </w:tcPr>
          <w:p>
            <w:r>
              <w:rPr>
                <w:sz w:val="17"/>
              </w:rPr>
              <w:t>50</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29</w:t>
            </w:r>
          </w:p>
        </w:tc>
        <w:tc>
          <w:tcPr>
            <w:tcW w:type="dxa" w:w="1440"/>
            <w:shd w:fill="FFDCE0" w:val="clear"/>
          </w:tcPr>
          <w:p>
            <w:r>
              <w:rPr>
                <w:b/>
                <w:sz w:val="17"/>
              </w:rPr>
              <w:t>38</w:t>
            </w:r>
          </w:p>
        </w:tc>
        <w:tc>
          <w:tcPr>
            <w:tcW w:type="dxa" w:w="1440"/>
            <w:shd w:fill="FFDCE0" w:val="clear"/>
          </w:tcPr>
          <w:p>
            <w:r>
              <w:rPr>
                <w:sz w:val="17"/>
              </w:rPr>
              <w:t>47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26</w:t>
            </w:r>
          </w:p>
        </w:tc>
        <w:tc>
          <w:tcPr>
            <w:tcW w:type="dxa" w:w="1440"/>
            <w:shd w:fill="FFDCE0" w:val="clear"/>
          </w:tcPr>
          <w:p>
            <w:r>
              <w:rPr>
                <w:b/>
                <w:sz w:val="17"/>
              </w:rPr>
              <w:t>35</w:t>
            </w:r>
          </w:p>
        </w:tc>
        <w:tc>
          <w:tcPr>
            <w:tcW w:type="dxa" w:w="1440"/>
            <w:shd w:fill="FFDCE0" w:val="clear"/>
          </w:tcPr>
          <w:p>
            <w:r>
              <w:rPr>
                <w:sz w:val="17"/>
              </w:rPr>
              <w:t>44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24</w:t>
            </w:r>
          </w:p>
        </w:tc>
        <w:tc>
          <w:tcPr>
            <w:tcW w:type="dxa" w:w="1440"/>
            <w:shd w:fill="FFDCE0" w:val="clear"/>
          </w:tcPr>
          <w:p>
            <w:r>
              <w:rPr>
                <w:b/>
                <w:sz w:val="17"/>
              </w:rPr>
              <w:t>32</w:t>
            </w:r>
          </w:p>
        </w:tc>
        <w:tc>
          <w:tcPr>
            <w:tcW w:type="dxa" w:w="1440"/>
            <w:shd w:fill="FFDCE0" w:val="clear"/>
          </w:tcPr>
          <w:p>
            <w:r>
              <w:rPr>
                <w:sz w:val="17"/>
              </w:rPr>
              <w:t>41</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21</w:t>
            </w:r>
          </w:p>
        </w:tc>
        <w:tc>
          <w:tcPr>
            <w:tcW w:type="dxa" w:w="1440"/>
            <w:shd w:fill="FFDCE0" w:val="clear"/>
          </w:tcPr>
          <w:p>
            <w:r>
              <w:rPr>
                <w:b/>
                <w:sz w:val="17"/>
              </w:rPr>
              <w:t>30</w:t>
            </w:r>
          </w:p>
        </w:tc>
        <w:tc>
          <w:tcPr>
            <w:tcW w:type="dxa" w:w="1440"/>
            <w:shd w:fill="FFDCE0" w:val="clear"/>
          </w:tcPr>
          <w:p>
            <w:r>
              <w:rPr>
                <w:sz w:val="17"/>
              </w:rPr>
              <w:t>38</w:t>
            </w:r>
          </w:p>
        </w:tc>
        <w:tc>
          <w:tcPr>
            <w:tcW w:type="dxa" w:w="1440"/>
            <w:shd w:fill="FFDCE0" w:val="clear"/>
          </w:tcPr>
          <w:p>
            <w:r>
              <w:rPr>
                <w:b/>
                <w:color w:val="C00000"/>
                <w:sz w:val="17"/>
              </w:rPr>
              <w:t>-54.0%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d'ETIT s'établit à 1 175,47 milliards FCFA, ce qui en fait l'une des plus importantes capitalisations de la BRVM, reflétant le statut de leader panafricain du groupe. Avec un BPA de 19 FCFA, le titre se négocie à un PER de 3,4x, très inférieur à la moyenne historique de la BRVM (8-12x), signalant une sous-évaluation potentielle significative. Le P/B de 0,74x indique que le marché valorise le titre en dessous de sa valeur comptable, ce qui suggère une décote par rapport aux actifs nets. Enfin, l'EV/EBITDA de 4,9x, inférieur à 5x, confirme que la valeur totale de l'entreprise reste très raisonnable par rapport à sa capacité bénéficiaire opérationnelle. Ces ratios combinés suggèrent que le marché n'intègre pas pleinement la solidité financière et les perspectives de croissance du groupe.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ETIT a enregistré une progression spectaculaire de +103,12%, passant d'un plus bas de 26 FCFA à un plus haut de 78 FCFA, avant de se stabiliser à 65 FCFA à la dernière séance, en hausse de +1,56% sur la journée. Cette tendance fortement haussière s'accompagne d'une moyenne de 40 FCFA et d'une médiane de 32 FCFA, l'écart entre ces deux valeurs révélant une distribution asymétrique positive (skewness de 1,229), ce qui signifie que le cours a passé la majorité du temps sous sa moyenne, avec des pics récents exceptionnels. L'écart-type de 15 FCFA (CV = 38,1%) indique une dispersion élevée des prix, tandis que le kurtosis de -0,159 (mésokurtique) suggère une distribution proche de la normale, sans risque de pics extrêmes particuliers. La volatilité annualisée de 62,6% classe le titre comme très volatil, reflétant un intérêt spéculatif marqué et des mouvements de prix amples sur la période.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de 65 FCFA se positionne sous la MM20 (68,7 FCFA) mais nettement au-dessus de la MM50 (49,98 FCFA), indiquant une dynamique haussière à moyen terme avec un repli récent à court terme. La décision globale d'achat se justifie par la tendance positive de fond, la MM50 servant de support solide.</w:t>
      </w:r>
    </w:p>
    <w:p>
      <w:pPr>
        <w:spacing w:after="120" w:line="276" w:lineRule="auto"/>
      </w:pPr>
      <w:r>
        <w:t>**Bandes de Bollinger** : Le prix se situe à 65 FCFA, dans la partie médiane de l'intervalle entre la borne supérieure (77,43 FCFA) et la borne inférieure (59,97 FCFA). Cette position neutre suggère une volatilité modérée après la forte hausse, le marché cherchant un nouvel équilibre.</w:t>
      </w:r>
    </w:p>
    <w:p>
      <w:pPr>
        <w:spacing w:after="120" w:line="276" w:lineRule="auto"/>
      </w:pPr>
      <w:r>
        <w:t>**MACD** : La valeur du MACD (4,113) est inférieure à son signal (6,006), indiquant un momentum baissier à court terme malgré une tendance positive globale. Cette divergence signale une possible consolidation ou correction technique après la forte progression.</w:t>
      </w:r>
    </w:p>
    <w:p>
      <w:pPr>
        <w:spacing w:after="120" w:line="276" w:lineRule="auto"/>
      </w:pPr>
      <w:r>
        <w:t>**RSI** : À 46,667, le RSI se situe en zone neutre, sans surachat ni survente. Cette valeur indique que le titre dispose d'une marge de manœuvre dans les deux sens, sans pression directionnelle forte.</w:t>
      </w:r>
    </w:p>
    <w:p>
      <w:pPr>
        <w:spacing w:after="120" w:line="276" w:lineRule="auto"/>
      </w:pPr>
      <w:r>
        <w:t>**Stochastique** : Le %K (16,667) est inférieur au %D (11,111), tous deux en zone de survente, suggérant un potentiel de rebond technique à court terme. Cette configuration indique que le titre pourrait être proche d'un point bas cyclique.</w:t>
      </w:r>
    </w:p>
    <w:p>
      <w:pPr>
        <w:spacing w:after="120" w:line="276" w:lineRule="auto"/>
      </w:pPr>
      <w:r>
        <w:t>**Conclusion technique** : Les indicateurs sont mitigés, avec une tendance de fond haussière (MM50, MM20) mais des signaux de court terme baissiers (MACD, position sous MM20). Le stochastique en survente suggère un possible rebond technique. La configuration globale reste positive à moyen terme, avec une prudence nécessaire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d'ETIT (secteur banque) font état d'un Produit Net Bancaire (PNB) de 1 424,26 milliards FCFA, en croissance de 12,45%, et d'un résultat net de 345,52 milliards FCFA. La rentabilité est excellente avec un ROE de 21,62% et un ROA de 1,80%, tandis que le coefficient d'exploitation de 27,35% témoigne d'une efficacité opérationnelle remarquable, bien en dessous du seuil de 60%. Le coût du risque de 18,97% reste élevé, reflétant un environnement de crédit difficile. Les rapports trimestriels 2025 (S1 et 9 mois) confirment cette dynamique : le PNB progresse de 12% au S1 et de 15% sur 9 mois, avec un résultat net en hausse de 23% puis 30% respectivement. Les rapports S1 2026 (datés du 30 juin 2026) montrent une poursuite de la croissance avec un PNB en hausse de 15% à 721,3 milliards FCFA et un résultat net consolidé de 166,68 milliards FCFA (+6%), malgré une hausse de 40% du coût du risque. Sur la base de ces tendances, on estime que l'exercice 2026 devrait afficher un PNB supérieur à 1 600 milliards FCFA et un résultat net autour de 370-380 milliards FCFA, confirmant la solidité du modèle économique.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d'ETIT (PER 3,4x, P/B 0,74x, EV/EBITDA 4,9x) indique une nette sous-évaluation du titre par rapport à ses fondamentaux, malgré une hausse de +103% sur 100 jours. Le comportement du cours montre une tendance haussière puissante avec une volatilité élevée (62,6%) et une asymétrie positive, suggérant un potentiel de poursuite mais avec des risques de corrections. Les signaux techniques sont mitigés : tendance de fond positive (MM50) mais momentum court terme négatif (MACD), avec un stochastique en survente suggérant un rebond possible. Les fondamentaux sont excellents avec un ROE de 21,6%, un coefficient d'exploitation de 27,3% et une croissance soutenue du PNB (+12,45% en 2025, +15% au S1 2026). Les prédictions IA (60 FCFA à J+1, 44 FCFA à J+10) suggèrent une correction à court terme, contredisant les signaux fondamentaux positifs mais cohérents avec les signaux techniques baissiers. En synthèse, la sous-évaluation marquée et la solidité financière justifient une recommandation **ACHAT** avec un niveau de confiance **Moyen**, un risque global **Élevé** (volatilité et coût du risque), et un horizon d'investissement optimal à **moyen terme (3-12 mois)** pour capitaliser sur la convergence entre les fondamentaux solides et une éventuelle correction technique.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28.21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3,772 titres</w:t>
            </w:r>
          </w:p>
        </w:tc>
        <w:tc>
          <w:tcPr>
            <w:tcW w:type="dxa" w:w="2268"/>
            <w:shd w:fill="FFF2CC" w:val="clear"/>
          </w:tcPr>
          <w:p>
            <w:r>
              <w:rPr>
                <w:b/>
                <w:color w:val="503200"/>
                <w:sz w:val="16"/>
              </w:rPr>
              <w:t xml:space="preserve">Cours actuel : </w:t>
            </w:r>
            <w:r>
              <w:rPr>
                <w:color w:val="000000"/>
                <w:sz w:val="17"/>
              </w:rPr>
              <w:t>2,000 FCFA</w:t>
            </w:r>
          </w:p>
          <w:p>
            <w:r>
              <w:rPr>
                <w:b/>
                <w:color w:val="503200"/>
                <w:sz w:val="16"/>
              </w:rPr>
              <w:t xml:space="preserve">Var. 100 jours : </w:t>
            </w:r>
            <w:r>
              <w:rPr>
                <w:b/>
                <w:color w:val="B40000"/>
                <w:sz w:val="17"/>
              </w:rPr>
              <w:t>-17.01%</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35.1%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7.02% (Moyenne) — μ=2,179 FCFA, σ=153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β=0.8138 (Neutre (suit le marché)) — Cov=0.000029, Var(idx)=0.000036, ρ=0.218,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3,772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σ_j=2.21%/j (Stable) — Vol. annualisée≈35.1%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1,961</w:t>
            </w:r>
          </w:p>
        </w:tc>
        <w:tc>
          <w:tcPr>
            <w:tcW w:type="dxa" w:w="1440"/>
            <w:shd w:fill="FAFAFA" w:val="clear"/>
          </w:tcPr>
          <w:p>
            <w:r>
              <w:rPr>
                <w:b/>
                <w:sz w:val="17"/>
              </w:rPr>
              <w:t>2,008</w:t>
            </w:r>
          </w:p>
        </w:tc>
        <w:tc>
          <w:tcPr>
            <w:tcW w:type="dxa" w:w="1440"/>
            <w:shd w:fill="FAFAFA" w:val="clear"/>
          </w:tcPr>
          <w:p>
            <w:r>
              <w:rPr>
                <w:sz w:val="17"/>
              </w:rPr>
              <w:t>2,056</w:t>
            </w:r>
          </w:p>
        </w:tc>
        <w:tc>
          <w:tcPr>
            <w:tcW w:type="dxa" w:w="1440"/>
            <w:shd w:fill="FAFAFA" w:val="clear"/>
          </w:tcPr>
          <w:p>
            <w:r>
              <w:rPr>
                <w:b/>
                <w:color w:val="008000"/>
                <w:sz w:val="17"/>
              </w:rPr>
              <w:t>+0.4%</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1,949</w:t>
            </w:r>
          </w:p>
        </w:tc>
        <w:tc>
          <w:tcPr>
            <w:tcW w:type="dxa" w:w="1440"/>
            <w:shd w:fill="FAFAFA" w:val="clear"/>
          </w:tcPr>
          <w:p>
            <w:r>
              <w:rPr>
                <w:b/>
                <w:sz w:val="17"/>
              </w:rPr>
              <w:t>2,016</w:t>
            </w:r>
          </w:p>
        </w:tc>
        <w:tc>
          <w:tcPr>
            <w:tcW w:type="dxa" w:w="1440"/>
            <w:shd w:fill="FAFAFA" w:val="clear"/>
          </w:tcPr>
          <w:p>
            <w:r>
              <w:rPr>
                <w:sz w:val="17"/>
              </w:rPr>
              <w:t>2,084</w:t>
            </w:r>
          </w:p>
        </w:tc>
        <w:tc>
          <w:tcPr>
            <w:tcW w:type="dxa" w:w="1440"/>
            <w:shd w:fill="FAFAFA" w:val="clear"/>
          </w:tcPr>
          <w:p>
            <w:r>
              <w:rPr>
                <w:b/>
                <w:color w:val="008000"/>
                <w:sz w:val="17"/>
              </w:rPr>
              <w:t>+0.8%</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1,941</w:t>
            </w:r>
          </w:p>
        </w:tc>
        <w:tc>
          <w:tcPr>
            <w:tcW w:type="dxa" w:w="1440"/>
            <w:shd w:fill="FAFAFA" w:val="clear"/>
          </w:tcPr>
          <w:p>
            <w:r>
              <w:rPr>
                <w:b/>
                <w:sz w:val="17"/>
              </w:rPr>
              <w:t>2,024</w:t>
            </w:r>
          </w:p>
        </w:tc>
        <w:tc>
          <w:tcPr>
            <w:tcW w:type="dxa" w:w="1440"/>
            <w:shd w:fill="FAFAFA" w:val="clear"/>
          </w:tcPr>
          <w:p>
            <w:r>
              <w:rPr>
                <w:sz w:val="17"/>
              </w:rPr>
              <w:t>2,107</w:t>
            </w:r>
          </w:p>
        </w:tc>
        <w:tc>
          <w:tcPr>
            <w:tcW w:type="dxa" w:w="1440"/>
            <w:shd w:fill="FAFAFA" w:val="clear"/>
          </w:tcPr>
          <w:p>
            <w:r>
              <w:rPr>
                <w:b/>
                <w:color w:val="008000"/>
                <w:sz w:val="17"/>
              </w:rPr>
              <w:t>+1.2%</w:t>
            </w:r>
          </w:p>
        </w:tc>
      </w:tr>
      <w:tr>
        <w:tc>
          <w:tcPr>
            <w:tcW w:type="dxa" w:w="1440"/>
            <w:shd w:fill="FAFAFA" w:val="clear"/>
          </w:tcPr>
          <w:p>
            <w:r>
              <w:rPr>
                <w:sz w:val="17"/>
              </w:rPr>
              <w:t>J+4  Moyenne</w:t>
            </w:r>
          </w:p>
        </w:tc>
        <w:tc>
          <w:tcPr>
            <w:tcW w:type="dxa" w:w="1440"/>
            <w:shd w:fill="FAFAFA" w:val="clear"/>
          </w:tcPr>
          <w:p>
            <w:r>
              <w:rPr>
                <w:sz w:val="17"/>
              </w:rPr>
              <w:t>2026-08-13</w:t>
            </w:r>
          </w:p>
        </w:tc>
        <w:tc>
          <w:tcPr>
            <w:tcW w:type="dxa" w:w="1440"/>
            <w:shd w:fill="FAFAFA" w:val="clear"/>
          </w:tcPr>
          <w:p>
            <w:r>
              <w:rPr>
                <w:sz w:val="17"/>
              </w:rPr>
              <w:t>1,937</w:t>
            </w:r>
          </w:p>
        </w:tc>
        <w:tc>
          <w:tcPr>
            <w:tcW w:type="dxa" w:w="1440"/>
            <w:shd w:fill="FAFAFA" w:val="clear"/>
          </w:tcPr>
          <w:p>
            <w:r>
              <w:rPr>
                <w:b/>
                <w:sz w:val="17"/>
              </w:rPr>
              <w:t>2,033</w:t>
            </w:r>
          </w:p>
        </w:tc>
        <w:tc>
          <w:tcPr>
            <w:tcW w:type="dxa" w:w="1440"/>
            <w:shd w:fill="FAFAFA" w:val="clear"/>
          </w:tcPr>
          <w:p>
            <w:r>
              <w:rPr>
                <w:sz w:val="17"/>
              </w:rPr>
              <w:t>2,129</w:t>
            </w:r>
          </w:p>
        </w:tc>
        <w:tc>
          <w:tcPr>
            <w:tcW w:type="dxa" w:w="1440"/>
            <w:shd w:fill="FAFAFA" w:val="clear"/>
          </w:tcPr>
          <w:p>
            <w:r>
              <w:rPr>
                <w:b/>
                <w:color w:val="008000"/>
                <w:sz w:val="17"/>
              </w:rPr>
              <w:t>+1.6%</w:t>
            </w:r>
          </w:p>
        </w:tc>
      </w:tr>
      <w:tr>
        <w:tc>
          <w:tcPr>
            <w:tcW w:type="dxa" w:w="1440"/>
            <w:shd w:fill="C6EFCE" w:val="clear"/>
          </w:tcPr>
          <w:p>
            <w:r>
              <w:rPr>
                <w:sz w:val="17"/>
              </w:rPr>
              <w:t>J+5  Moyenne</w:t>
            </w:r>
          </w:p>
        </w:tc>
        <w:tc>
          <w:tcPr>
            <w:tcW w:type="dxa" w:w="1440"/>
            <w:shd w:fill="C6EFCE" w:val="clear"/>
          </w:tcPr>
          <w:p>
            <w:r>
              <w:rPr>
                <w:sz w:val="17"/>
              </w:rPr>
              <w:t>2026-08-14</w:t>
            </w:r>
          </w:p>
        </w:tc>
        <w:tc>
          <w:tcPr>
            <w:tcW w:type="dxa" w:w="1440"/>
            <w:shd w:fill="C6EFCE" w:val="clear"/>
          </w:tcPr>
          <w:p>
            <w:r>
              <w:rPr>
                <w:sz w:val="17"/>
              </w:rPr>
              <w:t>1,933</w:t>
            </w:r>
          </w:p>
        </w:tc>
        <w:tc>
          <w:tcPr>
            <w:tcW w:type="dxa" w:w="1440"/>
            <w:shd w:fill="C6EFCE" w:val="clear"/>
          </w:tcPr>
          <w:p>
            <w:r>
              <w:rPr>
                <w:b/>
                <w:sz w:val="17"/>
              </w:rPr>
              <w:t>2,041</w:t>
            </w:r>
          </w:p>
        </w:tc>
        <w:tc>
          <w:tcPr>
            <w:tcW w:type="dxa" w:w="1440"/>
            <w:shd w:fill="C6EFCE" w:val="clear"/>
          </w:tcPr>
          <w:p>
            <w:r>
              <w:rPr>
                <w:sz w:val="17"/>
              </w:rPr>
              <w:t>2,149</w:t>
            </w:r>
          </w:p>
        </w:tc>
        <w:tc>
          <w:tcPr>
            <w:tcW w:type="dxa" w:w="1440"/>
            <w:shd w:fill="C6EFCE" w:val="clear"/>
          </w:tcPr>
          <w:p>
            <w:r>
              <w:rPr>
                <w:b/>
                <w:color w:val="008000"/>
                <w:sz w:val="17"/>
              </w:rPr>
              <w:t>+2.1%</w:t>
            </w:r>
          </w:p>
        </w:tc>
      </w:tr>
      <w:tr>
        <w:tc>
          <w:tcPr>
            <w:tcW w:type="dxa" w:w="1440"/>
            <w:shd w:fill="C6EFCE" w:val="clear"/>
          </w:tcPr>
          <w:p>
            <w:r>
              <w:rPr>
                <w:sz w:val="17"/>
              </w:rPr>
              <w:t>J+6  Moyenne</w:t>
            </w:r>
          </w:p>
        </w:tc>
        <w:tc>
          <w:tcPr>
            <w:tcW w:type="dxa" w:w="1440"/>
            <w:shd w:fill="C6EFCE" w:val="clear"/>
          </w:tcPr>
          <w:p>
            <w:r>
              <w:rPr>
                <w:sz w:val="17"/>
              </w:rPr>
              <w:t>2026-08-17</w:t>
            </w:r>
          </w:p>
        </w:tc>
        <w:tc>
          <w:tcPr>
            <w:tcW w:type="dxa" w:w="1440"/>
            <w:shd w:fill="C6EFCE" w:val="clear"/>
          </w:tcPr>
          <w:p>
            <w:r>
              <w:rPr>
                <w:sz w:val="17"/>
              </w:rPr>
              <w:t>1,931</w:t>
            </w:r>
          </w:p>
        </w:tc>
        <w:tc>
          <w:tcPr>
            <w:tcW w:type="dxa" w:w="1440"/>
            <w:shd w:fill="C6EFCE" w:val="clear"/>
          </w:tcPr>
          <w:p>
            <w:r>
              <w:rPr>
                <w:b/>
                <w:sz w:val="17"/>
              </w:rPr>
              <w:t>2,050</w:t>
            </w:r>
          </w:p>
        </w:tc>
        <w:tc>
          <w:tcPr>
            <w:tcW w:type="dxa" w:w="1440"/>
            <w:shd w:fill="C6EFCE" w:val="clear"/>
          </w:tcPr>
          <w:p>
            <w:r>
              <w:rPr>
                <w:sz w:val="17"/>
              </w:rPr>
              <w:t>2,169</w:t>
            </w:r>
          </w:p>
        </w:tc>
        <w:tc>
          <w:tcPr>
            <w:tcW w:type="dxa" w:w="1440"/>
            <w:shd w:fill="C6EFCE" w:val="clear"/>
          </w:tcPr>
          <w:p>
            <w:r>
              <w:rPr>
                <w:b/>
                <w:color w:val="008000"/>
                <w:sz w:val="17"/>
              </w:rPr>
              <w:t>+2.5%</w:t>
            </w:r>
          </w:p>
        </w:tc>
      </w:tr>
      <w:tr>
        <w:tc>
          <w:tcPr>
            <w:tcW w:type="dxa" w:w="1440"/>
            <w:shd w:fill="C6EFCE" w:val="clear"/>
          </w:tcPr>
          <w:p>
            <w:r>
              <w:rPr>
                <w:sz w:val="17"/>
              </w:rPr>
              <w:t>J+7  Moyenne</w:t>
            </w:r>
          </w:p>
        </w:tc>
        <w:tc>
          <w:tcPr>
            <w:tcW w:type="dxa" w:w="1440"/>
            <w:shd w:fill="C6EFCE" w:val="clear"/>
          </w:tcPr>
          <w:p>
            <w:r>
              <w:rPr>
                <w:sz w:val="17"/>
              </w:rPr>
              <w:t>2026-08-18</w:t>
            </w:r>
          </w:p>
        </w:tc>
        <w:tc>
          <w:tcPr>
            <w:tcW w:type="dxa" w:w="1440"/>
            <w:shd w:fill="C6EFCE" w:val="clear"/>
          </w:tcPr>
          <w:p>
            <w:r>
              <w:rPr>
                <w:sz w:val="17"/>
              </w:rPr>
              <w:t>1,930</w:t>
            </w:r>
          </w:p>
        </w:tc>
        <w:tc>
          <w:tcPr>
            <w:tcW w:type="dxa" w:w="1440"/>
            <w:shd w:fill="C6EFCE" w:val="clear"/>
          </w:tcPr>
          <w:p>
            <w:r>
              <w:rPr>
                <w:b/>
                <w:sz w:val="17"/>
              </w:rPr>
              <w:t>2,059</w:t>
            </w:r>
          </w:p>
        </w:tc>
        <w:tc>
          <w:tcPr>
            <w:tcW w:type="dxa" w:w="1440"/>
            <w:shd w:fill="C6EFCE" w:val="clear"/>
          </w:tcPr>
          <w:p>
            <w:r>
              <w:rPr>
                <w:sz w:val="17"/>
              </w:rPr>
              <w:t>2,187</w:t>
            </w:r>
          </w:p>
        </w:tc>
        <w:tc>
          <w:tcPr>
            <w:tcW w:type="dxa" w:w="1440"/>
            <w:shd w:fill="C6EFCE" w:val="clear"/>
          </w:tcPr>
          <w:p>
            <w:r>
              <w:rPr>
                <w:b/>
                <w:color w:val="008000"/>
                <w:sz w:val="17"/>
              </w:rPr>
              <w:t>+2.9%</w:t>
            </w:r>
          </w:p>
        </w:tc>
      </w:tr>
      <w:tr>
        <w:tc>
          <w:tcPr>
            <w:tcW w:type="dxa" w:w="1440"/>
            <w:shd w:fill="C6EFCE" w:val="clear"/>
          </w:tcPr>
          <w:p>
            <w:r>
              <w:rPr>
                <w:sz w:val="17"/>
              </w:rPr>
              <w:t>J+8  Moyenne</w:t>
            </w:r>
          </w:p>
        </w:tc>
        <w:tc>
          <w:tcPr>
            <w:tcW w:type="dxa" w:w="1440"/>
            <w:shd w:fill="C6EFCE" w:val="clear"/>
          </w:tcPr>
          <w:p>
            <w:r>
              <w:rPr>
                <w:sz w:val="17"/>
              </w:rPr>
              <w:t>2026-08-19</w:t>
            </w:r>
          </w:p>
        </w:tc>
        <w:tc>
          <w:tcPr>
            <w:tcW w:type="dxa" w:w="1440"/>
            <w:shd w:fill="C6EFCE" w:val="clear"/>
          </w:tcPr>
          <w:p>
            <w:r>
              <w:rPr>
                <w:sz w:val="17"/>
              </w:rPr>
              <w:t>1,929</w:t>
            </w:r>
          </w:p>
        </w:tc>
        <w:tc>
          <w:tcPr>
            <w:tcW w:type="dxa" w:w="1440"/>
            <w:shd w:fill="C6EFCE" w:val="clear"/>
          </w:tcPr>
          <w:p>
            <w:r>
              <w:rPr>
                <w:b/>
                <w:sz w:val="17"/>
              </w:rPr>
              <w:t>2,067</w:t>
            </w:r>
          </w:p>
        </w:tc>
        <w:tc>
          <w:tcPr>
            <w:tcW w:type="dxa" w:w="1440"/>
            <w:shd w:fill="C6EFCE" w:val="clear"/>
          </w:tcPr>
          <w:p>
            <w:r>
              <w:rPr>
                <w:sz w:val="17"/>
              </w:rPr>
              <w:t>2,206</w:t>
            </w:r>
          </w:p>
        </w:tc>
        <w:tc>
          <w:tcPr>
            <w:tcW w:type="dxa" w:w="1440"/>
            <w:shd w:fill="C6EFCE" w:val="clear"/>
          </w:tcPr>
          <w:p>
            <w:r>
              <w:rPr>
                <w:b/>
                <w:color w:val="008000"/>
                <w:sz w:val="17"/>
              </w:rPr>
              <w:t>+3.4%</w:t>
            </w:r>
          </w:p>
        </w:tc>
      </w:tr>
      <w:tr>
        <w:tc>
          <w:tcPr>
            <w:tcW w:type="dxa" w:w="1440"/>
            <w:shd w:fill="C6EFCE" w:val="clear"/>
          </w:tcPr>
          <w:p>
            <w:r>
              <w:rPr>
                <w:sz w:val="17"/>
              </w:rPr>
              <w:t>J+9  Moyenne</w:t>
            </w:r>
          </w:p>
        </w:tc>
        <w:tc>
          <w:tcPr>
            <w:tcW w:type="dxa" w:w="1440"/>
            <w:shd w:fill="C6EFCE" w:val="clear"/>
          </w:tcPr>
          <w:p>
            <w:r>
              <w:rPr>
                <w:sz w:val="17"/>
              </w:rPr>
              <w:t>2026-08-20</w:t>
            </w:r>
          </w:p>
        </w:tc>
        <w:tc>
          <w:tcPr>
            <w:tcW w:type="dxa" w:w="1440"/>
            <w:shd w:fill="C6EFCE" w:val="clear"/>
          </w:tcPr>
          <w:p>
            <w:r>
              <w:rPr>
                <w:sz w:val="17"/>
              </w:rPr>
              <w:t>1,929</w:t>
            </w:r>
          </w:p>
        </w:tc>
        <w:tc>
          <w:tcPr>
            <w:tcW w:type="dxa" w:w="1440"/>
            <w:shd w:fill="C6EFCE" w:val="clear"/>
          </w:tcPr>
          <w:p>
            <w:r>
              <w:rPr>
                <w:b/>
                <w:sz w:val="17"/>
              </w:rPr>
              <w:t>2,076</w:t>
            </w:r>
          </w:p>
        </w:tc>
        <w:tc>
          <w:tcPr>
            <w:tcW w:type="dxa" w:w="1440"/>
            <w:shd w:fill="C6EFCE" w:val="clear"/>
          </w:tcPr>
          <w:p>
            <w:r>
              <w:rPr>
                <w:sz w:val="17"/>
              </w:rPr>
              <w:t>2,224</w:t>
            </w:r>
          </w:p>
        </w:tc>
        <w:tc>
          <w:tcPr>
            <w:tcW w:type="dxa" w:w="1440"/>
            <w:shd w:fill="C6EFCE" w:val="clear"/>
          </w:tcPr>
          <w:p>
            <w:r>
              <w:rPr>
                <w:b/>
                <w:color w:val="008000"/>
                <w:sz w:val="17"/>
              </w:rPr>
              <w:t>+3.8%</w:t>
            </w:r>
          </w:p>
        </w:tc>
      </w:tr>
      <w:tr>
        <w:tc>
          <w:tcPr>
            <w:tcW w:type="dxa" w:w="1440"/>
            <w:shd w:fill="C6EFCE" w:val="clear"/>
          </w:tcPr>
          <w:p>
            <w:r>
              <w:rPr>
                <w:sz w:val="17"/>
              </w:rPr>
              <w:t>J+10  Moyenne</w:t>
            </w:r>
          </w:p>
        </w:tc>
        <w:tc>
          <w:tcPr>
            <w:tcW w:type="dxa" w:w="1440"/>
            <w:shd w:fill="C6EFCE" w:val="clear"/>
          </w:tcPr>
          <w:p>
            <w:r>
              <w:rPr>
                <w:sz w:val="17"/>
              </w:rPr>
              <w:t>2026-08-21</w:t>
            </w:r>
          </w:p>
        </w:tc>
        <w:tc>
          <w:tcPr>
            <w:tcW w:type="dxa" w:w="1440"/>
            <w:shd w:fill="C6EFCE" w:val="clear"/>
          </w:tcPr>
          <w:p>
            <w:r>
              <w:rPr>
                <w:sz w:val="17"/>
              </w:rPr>
              <w:t>1,929</w:t>
            </w:r>
          </w:p>
        </w:tc>
        <w:tc>
          <w:tcPr>
            <w:tcW w:type="dxa" w:w="1440"/>
            <w:shd w:fill="C6EFCE" w:val="clear"/>
          </w:tcPr>
          <w:p>
            <w:r>
              <w:rPr>
                <w:b/>
                <w:sz w:val="17"/>
              </w:rPr>
              <w:t>2,085</w:t>
            </w:r>
          </w:p>
        </w:tc>
        <w:tc>
          <w:tcPr>
            <w:tcW w:type="dxa" w:w="1440"/>
            <w:shd w:fill="C6EFCE" w:val="clear"/>
          </w:tcPr>
          <w:p>
            <w:r>
              <w:rPr>
                <w:sz w:val="17"/>
              </w:rPr>
              <w:t>2,241</w:t>
            </w:r>
          </w:p>
        </w:tc>
        <w:tc>
          <w:tcPr>
            <w:tcW w:type="dxa" w:w="1440"/>
            <w:shd w:fill="C6EFCE" w:val="clear"/>
          </w:tcPr>
          <w:p>
            <w:r>
              <w:rPr>
                <w:b/>
                <w:color w:val="008000"/>
                <w:sz w:val="17"/>
              </w:rPr>
              <w:t>+4.2%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Absolument. Voici un rapport d'analyse structuré et professionnel pour l'action FTSC (FILTISAC CI)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FTSC s'établit à 28,21 milliards FCFA, un niveau modeste qui la classe parmi les valeurs de taille moyenne sur la BRVM. Le BPA de 33 FCFA par action est faible, ce qui explique un PER de 60,5x, extrêmement élevé par rapport à la moyenne du marché (8-12x). Les investisseurs paient donc un prix très élevé pour chaque franc de bénéfice, signe d'une valorisation très exigeante. Le P/B de 1,80x est plus raisonnable, indiquant que le marché valorise la société à 1,8 fois ses capitaux propres. Enfin, l'EV/EBITDA de 36,7x confirme cette cherté, la valeur de l'entreprise (dette incluse) représentant plus de 36 fois son potentiel opérationnel brut. Ces ratios suggèrent une valorisation boursière nettement supérieure à la réalité économique actuelle de l'entreprise.</w:t>
      </w:r>
    </w:p>
    <w:p>
      <w:pPr>
        <w:spacing w:after="120" w:line="276" w:lineRule="auto"/>
      </w:pPr>
      <w:r>
        <w:t>### PARTIE 1 : ANALYSE DU COURS — STATISTIQUES ET ÉVOLUTION (100 derniers jours)</w:t>
      </w:r>
    </w:p>
    <w:p>
      <w:pPr>
        <w:spacing w:after="120" w:line="276" w:lineRule="auto"/>
      </w:pPr>
      <w:r>
        <w:t>Sur les 100 derniers jours, l'action FTSC a enregistré une baisse significative de -17,01%, bien que la dernière séance ait clôturé en légère hausse de +0,50% à 2 000 FCFA. Le titre a évolué dans une fourchette de 1 910 à 2 430 FCFA, montrant une amplitude de trading non négligeable. La tendance générale est clairement baissière sur la période. Les statistiques descriptives confirment cette faiblesse : la moyenne (2 179 FCFA) est inférieure à la médiane (2 220 FCFA), indiquant une distribution asymétrique avec une concentration des prix vers le bas. L'écart-type de 154 FCFA (CV=7,1%) révèle une dispersion modérée. Le kurtosis négatif (-1.306) signale une distribution "aplatie" avec peu de pics de prix extrêmes, tandis que le skewness légèrement négatif (-0.238) confirme une asymétrie vers les valeurs basses. Enfin, la volatilité annualisée de 35,1% est élevée (&gt;30%), indiquant un risque de marché important pour les investisseurs.</w:t>
      </w:r>
    </w:p>
    <w:p>
      <w:pPr>
        <w:spacing w:after="120" w:line="276" w:lineRule="auto"/>
      </w:pPr>
      <w:r>
        <w:t>### PARTIE 2 : ANALYSE TECHNIQUE DÉTAILLÉE</w:t>
      </w:r>
    </w:p>
    <w:p>
      <w:pPr>
        <w:spacing w:after="120" w:line="276" w:lineRule="auto"/>
      </w:pPr>
      <w:r>
        <w:t>**Moyennes Mobiles**: Le cours actuel (2 000 FCFA) est inférieur à la MM20 (1 973,75 FCFA) mais supérieur à la MM50 (2 080 FCFA). Cette configuration, avec un prix sous la MM50, signale une tendance de fond baissière. La décision de "Vente" est justifiée par cette position sous la moyenne mobile à moyen terme, indiquant que la dynamique récente reste négative malgré un léger rebond à court terme.</w:t>
      </w:r>
    </w:p>
    <w:p>
      <w:pPr>
        <w:spacing w:after="120" w:line="276" w:lineRule="auto"/>
      </w:pPr>
      <w:r>
        <w:t>**Bandes de Bollinger**: Le prix (2 000 FCFA) se situe entre la borne supérieure (2 023,15 FCFA) et la borne inférieure (1 924,35 FCFA), proche de la moyenne. La décision "Neutre" est cohérente : le cours n'est pas en zone de surachat ni de survente. La largeur des bandes suggère une volatilité modérée, et le prix évolue sans direction claire à court terme.</w:t>
      </w:r>
    </w:p>
    <w:p>
      <w:pPr>
        <w:spacing w:after="120" w:line="276" w:lineRule="auto"/>
      </w:pPr>
      <w:r>
        <w:t>**MACD**: La valeur du MACD (-24,0) est supérieure à son signal (-33,7), ce qui constitue un croisement haussier. Bien que les deux soient en territoire négatif, cette divergence positive indique un ralentissement de la dynamique baissière et un potentiel de retournement à la hausse. La décision "Achat" est donc un signal précoce de momentum haussier.</w:t>
      </w:r>
    </w:p>
    <w:p>
      <w:pPr>
        <w:spacing w:after="120" w:line="276" w:lineRule="auto"/>
      </w:pPr>
      <w:r>
        <w:t>**RSI**: Le RSI est à 51,35, une valeur parfaitement neutre, située entre les zones de surachat (70) et de survente (30). Cela indique que la pression acheteuse et vendeuse est équilibrée, sans signal directionnel fort. La décision "Neutre" est appropriée, le marché semblant indécis après la baisse récente.</w:t>
      </w:r>
    </w:p>
    <w:p>
      <w:pPr>
        <w:spacing w:after="120" w:line="276" w:lineRule="auto"/>
      </w:pPr>
      <w:r>
        <w:t>**Stochastique**: Le %K (100,0) est très supérieur au %D (90,2), tous deux en zone de surachat (&gt;80). Cette configuration signale que le titre est temporairement suracheté à très court terme, ce qui pourrait précéder un repli technique. La décision "Vente" est donc justifiée pour anticiper une possible correction après ce mouvement haussier rapide.</w:t>
      </w:r>
    </w:p>
    <w:p>
      <w:pPr>
        <w:spacing w:after="120" w:line="276" w:lineRule="auto"/>
      </w:pPr>
      <w:r>
        <w:t>**Conclusion technique**: Les signaux sont mitigés. La tendance de fond (MM50) est baissière, mais le MACD montre un potentiel de retournement haussier. Le RSI est neutre, tandis que le stochastique suggère un essoufflement à court terme. Cette divergence indique une phase de consolidation incertaine, où le titre pourrait évoluer latéralement avant de choisir une direction.</w:t>
      </w:r>
    </w:p>
    <w:p>
      <w:pPr>
        <w:spacing w:after="120" w:line="276" w:lineRule="auto"/>
      </w:pPr>
      <w:r>
        <w:t>### PARTIE 3 : ANALYSE FONDAMENTALE (SECTION CRITIQUE)</w:t>
      </w:r>
    </w:p>
    <w:p>
      <w:pPr>
        <w:spacing w:after="120" w:line="276" w:lineRule="auto"/>
      </w:pPr>
      <w:r>
        <w:t>En 2025, FILTISAC CI a réalisé un chiffre d'affaires de 32,109 Mds FCFA, en hausse de 5% par rapport à 2024 (30,695 Mds FCFA), mais le résultat net s'effondre à 465,98 M FCFA contre 18,595 Mds FCFA en 2024. Cette chute s'explique par l'absence de produits exceptionnels liés à la cession de filiales en 2024. La marge nette est ainsi retombée à 1,45%, et le ROE est faible à 2,97%, tout comme le ROA à 1,19%. La structure financière s'est dégradée : la trésorerie nette est fortement négative à -11,528 Mds FCFA, et le ratio d'endettement atteint 97,6%. Les délais de paiement clients sont très élevés (213,7 jours), ce qui pèse sur le BFR (11,529 Mds FCFA). Les rapports trimestriels de 2025 montrent une amélioration progressive de l'exploitation, avec un résultat d'exploitation passant de -78 M FCFA au T1 à -230 M FCFA sur 9 mois, mais la rentabilité nette reste fragile. Le rapport du T1 2026, publié en 2026, est plus encourageant avec un CA en hausse de 55% à 8,901 Mds FCFA et un résultat d'exploitation positif de 75 M FCFA, mais le résultat net reste déficitaire à -154 M FCFA. On estime que l'exercice 2026 pourrait bénéficier de cette dynamique commerciale, mais la rentabilité nette pourrait rester sous pression.</w:t>
      </w:r>
    </w:p>
    <w:p>
      <w:pPr>
        <w:spacing w:after="120" w:line="276" w:lineRule="auto"/>
      </w:pPr>
      <w:r>
        <w:t>### PARTIE 4 : CONCLUSION D'INVESTISSEMENT</w:t>
      </w:r>
    </w:p>
    <w:p>
      <w:pPr>
        <w:spacing w:after="120" w:line="276" w:lineRule="auto"/>
      </w:pPr>
      <w:r>
        <w:t>La valorisation de FTSC est très exigeante (PER 60,5x, EV/EBITDA 36,7x) et ne reflète pas la faiblesse des fondamentaux actuels. Le comportement du cours est baissier sur 100 jours, avec une volatilité élevée et des statistiques montrant une distribution des prix vers le bas. Les signaux techniques sont mitigés, avec une tendance de fond négative mais des indicateurs à court terme (MACD) suggérant un potentiel de rebond. Fondamentalement, l'entreprise a vu son résultat net s'effondrer en 2025 et sa trésorerie se dégrader fortement, bien que les perspectives pour 2026 semblent meilleures grâce à une forte croissance du CA. Les prédictions IA pour les 10 prochains jours (2 008 à 2 041 FCFA) suggèrent une légère hausse, ce qui contredit la tendance baissière de fond mais pourrait matérialiser le rebond technique. En synthèse, la convergence entre une valorisation élevée, des fondamentaux fragiles et une tendance baissière l'emporte sur les signaux techniques et les prédictions à court terme. La recommandation finale est **VENTE**, avec un niveau de confiance **Moyen** et un risque global **Élevé**. L'horizon d'investissement optimal serait le **court terme (&lt;3 mois)** pour les investisseurs cherchant à profiter d'un éventuel rebond technique, mais la prudence est de mise pour le moyen et long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86.00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2,702 titres</w:t>
            </w:r>
          </w:p>
        </w:tc>
        <w:tc>
          <w:tcPr>
            <w:tcW w:type="dxa" w:w="2268"/>
            <w:shd w:fill="FFF2CC" w:val="clear"/>
          </w:tcPr>
          <w:p>
            <w:r>
              <w:rPr>
                <w:b/>
                <w:color w:val="503200"/>
                <w:sz w:val="16"/>
              </w:rPr>
              <w:t xml:space="preserve">Cours actuel : </w:t>
            </w:r>
            <w:r>
              <w:rPr>
                <w:color w:val="000000"/>
                <w:sz w:val="17"/>
              </w:rPr>
              <w:t>4,300 FCFA</w:t>
            </w:r>
          </w:p>
          <w:p>
            <w:r>
              <w:rPr>
                <w:b/>
                <w:color w:val="503200"/>
                <w:sz w:val="16"/>
              </w:rPr>
              <w:t xml:space="preserve">Var. 100 jours : </w:t>
            </w:r>
            <w:r>
              <w:rPr>
                <w:b/>
                <w:color w:val="007800"/>
                <w:sz w:val="17"/>
              </w:rPr>
              <w:t>+10.26%</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35.0%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5.19% (Moyenne) — μ=4,018 FCFA, σ=208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β=0.3037 (Défensif) — Cov=0.000011, Var(idx)=0.000036, ρ=0.082,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2,702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σ_j=2.20%/j (Stable) — Vol. annualisée≈35.0%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3,967</w:t>
            </w:r>
          </w:p>
        </w:tc>
        <w:tc>
          <w:tcPr>
            <w:tcW w:type="dxa" w:w="1440"/>
            <w:shd w:fill="FFDCE0" w:val="clear"/>
          </w:tcPr>
          <w:p>
            <w:r>
              <w:rPr>
                <w:b/>
                <w:sz w:val="17"/>
              </w:rPr>
              <w:t>4,195</w:t>
            </w:r>
          </w:p>
        </w:tc>
        <w:tc>
          <w:tcPr>
            <w:tcW w:type="dxa" w:w="1440"/>
            <w:shd w:fill="FFDCE0" w:val="clear"/>
          </w:tcPr>
          <w:p>
            <w:r>
              <w:rPr>
                <w:sz w:val="17"/>
              </w:rPr>
              <w:t>4,423</w:t>
            </w:r>
          </w:p>
        </w:tc>
        <w:tc>
          <w:tcPr>
            <w:tcW w:type="dxa" w:w="1440"/>
            <w:shd w:fill="FFDCE0" w:val="clear"/>
          </w:tcPr>
          <w:p>
            <w:r>
              <w:rPr>
                <w:b/>
                <w:color w:val="C00000"/>
                <w:sz w:val="17"/>
              </w:rPr>
              <w:t>-2.4%</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3,857</w:t>
            </w:r>
          </w:p>
        </w:tc>
        <w:tc>
          <w:tcPr>
            <w:tcW w:type="dxa" w:w="1440"/>
            <w:shd w:fill="FFDCE0" w:val="clear"/>
          </w:tcPr>
          <w:p>
            <w:r>
              <w:rPr>
                <w:b/>
                <w:sz w:val="17"/>
              </w:rPr>
              <w:t>4,177</w:t>
            </w:r>
          </w:p>
        </w:tc>
        <w:tc>
          <w:tcPr>
            <w:tcW w:type="dxa" w:w="1440"/>
            <w:shd w:fill="FFDCE0" w:val="clear"/>
          </w:tcPr>
          <w:p>
            <w:r>
              <w:rPr>
                <w:sz w:val="17"/>
              </w:rPr>
              <w:t>4,498</w:t>
            </w:r>
          </w:p>
        </w:tc>
        <w:tc>
          <w:tcPr>
            <w:tcW w:type="dxa" w:w="1440"/>
            <w:shd w:fill="FFDCE0" w:val="clear"/>
          </w:tcPr>
          <w:p>
            <w:r>
              <w:rPr>
                <w:b/>
                <w:color w:val="C00000"/>
                <w:sz w:val="17"/>
              </w:rPr>
              <w:t>-2.9%</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3,765</w:t>
            </w:r>
          </w:p>
        </w:tc>
        <w:tc>
          <w:tcPr>
            <w:tcW w:type="dxa" w:w="1440"/>
            <w:shd w:fill="FFDCE0" w:val="clear"/>
          </w:tcPr>
          <w:p>
            <w:r>
              <w:rPr>
                <w:b/>
                <w:sz w:val="17"/>
              </w:rPr>
              <w:t>4,156</w:t>
            </w:r>
          </w:p>
        </w:tc>
        <w:tc>
          <w:tcPr>
            <w:tcW w:type="dxa" w:w="1440"/>
            <w:shd w:fill="FFDCE0" w:val="clear"/>
          </w:tcPr>
          <w:p>
            <w:r>
              <w:rPr>
                <w:sz w:val="17"/>
              </w:rPr>
              <w:t>4,547</w:t>
            </w:r>
          </w:p>
        </w:tc>
        <w:tc>
          <w:tcPr>
            <w:tcW w:type="dxa" w:w="1440"/>
            <w:shd w:fill="FFDCE0" w:val="clear"/>
          </w:tcPr>
          <w:p>
            <w:r>
              <w:rPr>
                <w:b/>
                <w:color w:val="C00000"/>
                <w:sz w:val="17"/>
              </w:rPr>
              <w:t>-3.3%</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3,687</w:t>
            </w:r>
          </w:p>
        </w:tc>
        <w:tc>
          <w:tcPr>
            <w:tcW w:type="dxa" w:w="1440"/>
            <w:shd w:fill="FFDCE0" w:val="clear"/>
          </w:tcPr>
          <w:p>
            <w:r>
              <w:rPr>
                <w:b/>
                <w:sz w:val="17"/>
              </w:rPr>
              <w:t>4,136</w:t>
            </w:r>
          </w:p>
        </w:tc>
        <w:tc>
          <w:tcPr>
            <w:tcW w:type="dxa" w:w="1440"/>
            <w:shd w:fill="FFDCE0" w:val="clear"/>
          </w:tcPr>
          <w:p>
            <w:r>
              <w:rPr>
                <w:sz w:val="17"/>
              </w:rPr>
              <w:t>4,585</w:t>
            </w:r>
          </w:p>
        </w:tc>
        <w:tc>
          <w:tcPr>
            <w:tcW w:type="dxa" w:w="1440"/>
            <w:shd w:fill="FFDCE0" w:val="clear"/>
          </w:tcPr>
          <w:p>
            <w:r>
              <w:rPr>
                <w:b/>
                <w:color w:val="C00000"/>
                <w:sz w:val="17"/>
              </w:rPr>
              <w:t>-3.8%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3,618</w:t>
            </w:r>
          </w:p>
        </w:tc>
        <w:tc>
          <w:tcPr>
            <w:tcW w:type="dxa" w:w="1440"/>
            <w:shd w:fill="FFDCE0" w:val="clear"/>
          </w:tcPr>
          <w:p>
            <w:r>
              <w:rPr>
                <w:b/>
                <w:sz w:val="17"/>
              </w:rPr>
              <w:t>4,118</w:t>
            </w:r>
          </w:p>
        </w:tc>
        <w:tc>
          <w:tcPr>
            <w:tcW w:type="dxa" w:w="1440"/>
            <w:shd w:fill="FFDCE0" w:val="clear"/>
          </w:tcPr>
          <w:p>
            <w:r>
              <w:rPr>
                <w:sz w:val="17"/>
              </w:rPr>
              <w:t>4,618</w:t>
            </w:r>
          </w:p>
        </w:tc>
        <w:tc>
          <w:tcPr>
            <w:tcW w:type="dxa" w:w="1440"/>
            <w:shd w:fill="FFDCE0" w:val="clear"/>
          </w:tcPr>
          <w:p>
            <w:r>
              <w:rPr>
                <w:b/>
                <w:color w:val="C00000"/>
                <w:sz w:val="17"/>
              </w:rPr>
              <w:t>-4.2%</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3,547</w:t>
            </w:r>
          </w:p>
        </w:tc>
        <w:tc>
          <w:tcPr>
            <w:tcW w:type="dxa" w:w="1440"/>
            <w:shd w:fill="FFDCE0" w:val="clear"/>
          </w:tcPr>
          <w:p>
            <w:r>
              <w:rPr>
                <w:b/>
                <w:sz w:val="17"/>
              </w:rPr>
              <w:t>4,091</w:t>
            </w:r>
          </w:p>
        </w:tc>
        <w:tc>
          <w:tcPr>
            <w:tcW w:type="dxa" w:w="1440"/>
            <w:shd w:fill="FFDCE0" w:val="clear"/>
          </w:tcPr>
          <w:p>
            <w:r>
              <w:rPr>
                <w:sz w:val="17"/>
              </w:rPr>
              <w:t>4,635</w:t>
            </w:r>
          </w:p>
        </w:tc>
        <w:tc>
          <w:tcPr>
            <w:tcW w:type="dxa" w:w="1440"/>
            <w:shd w:fill="FFDCE0" w:val="clear"/>
          </w:tcPr>
          <w:p>
            <w:r>
              <w:rPr>
                <w:b/>
                <w:color w:val="C00000"/>
                <w:sz w:val="17"/>
              </w:rPr>
              <w:t>-4.9%</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3,480</w:t>
            </w:r>
          </w:p>
        </w:tc>
        <w:tc>
          <w:tcPr>
            <w:tcW w:type="dxa" w:w="1440"/>
            <w:shd w:fill="FFDCE0" w:val="clear"/>
          </w:tcPr>
          <w:p>
            <w:r>
              <w:rPr>
                <w:b/>
                <w:sz w:val="17"/>
              </w:rPr>
              <w:t>4,064</w:t>
            </w:r>
          </w:p>
        </w:tc>
        <w:tc>
          <w:tcPr>
            <w:tcW w:type="dxa" w:w="1440"/>
            <w:shd w:fill="FFDCE0" w:val="clear"/>
          </w:tcPr>
          <w:p>
            <w:r>
              <w:rPr>
                <w:sz w:val="17"/>
              </w:rPr>
              <w:t>4,648</w:t>
            </w:r>
          </w:p>
        </w:tc>
        <w:tc>
          <w:tcPr>
            <w:tcW w:type="dxa" w:w="1440"/>
            <w:shd w:fill="FFDCE0" w:val="clear"/>
          </w:tcPr>
          <w:p>
            <w:r>
              <w:rPr>
                <w:b/>
                <w:color w:val="C00000"/>
                <w:sz w:val="17"/>
              </w:rPr>
              <w:t>-5.5%</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3,426</w:t>
            </w:r>
          </w:p>
        </w:tc>
        <w:tc>
          <w:tcPr>
            <w:tcW w:type="dxa" w:w="1440"/>
            <w:shd w:fill="FFDCE0" w:val="clear"/>
          </w:tcPr>
          <w:p>
            <w:r>
              <w:rPr>
                <w:b/>
                <w:sz w:val="17"/>
              </w:rPr>
              <w:t>4,048</w:t>
            </w:r>
          </w:p>
        </w:tc>
        <w:tc>
          <w:tcPr>
            <w:tcW w:type="dxa" w:w="1440"/>
            <w:shd w:fill="FFDCE0" w:val="clear"/>
          </w:tcPr>
          <w:p>
            <w:r>
              <w:rPr>
                <w:sz w:val="17"/>
              </w:rPr>
              <w:t>4,669</w:t>
            </w:r>
          </w:p>
        </w:tc>
        <w:tc>
          <w:tcPr>
            <w:tcW w:type="dxa" w:w="1440"/>
            <w:shd w:fill="FFDCE0" w:val="clear"/>
          </w:tcPr>
          <w:p>
            <w:r>
              <w:rPr>
                <w:b/>
                <w:color w:val="C00000"/>
                <w:sz w:val="17"/>
              </w:rPr>
              <w:t>-5.9%</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3,375</w:t>
            </w:r>
          </w:p>
        </w:tc>
        <w:tc>
          <w:tcPr>
            <w:tcW w:type="dxa" w:w="1440"/>
            <w:shd w:fill="FFDCE0" w:val="clear"/>
          </w:tcPr>
          <w:p>
            <w:r>
              <w:rPr>
                <w:b/>
                <w:sz w:val="17"/>
              </w:rPr>
              <w:t>4,032</w:t>
            </w:r>
          </w:p>
        </w:tc>
        <w:tc>
          <w:tcPr>
            <w:tcW w:type="dxa" w:w="1440"/>
            <w:shd w:fill="FFDCE0" w:val="clear"/>
          </w:tcPr>
          <w:p>
            <w:r>
              <w:rPr>
                <w:sz w:val="17"/>
              </w:rPr>
              <w:t>4,689</w:t>
            </w:r>
          </w:p>
        </w:tc>
        <w:tc>
          <w:tcPr>
            <w:tcW w:type="dxa" w:w="1440"/>
            <w:shd w:fill="FFDCE0" w:val="clear"/>
          </w:tcPr>
          <w:p>
            <w:r>
              <w:rPr>
                <w:b/>
                <w:color w:val="C00000"/>
                <w:sz w:val="17"/>
              </w:rPr>
              <w:t>-6.2%</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3,318</w:t>
            </w:r>
          </w:p>
        </w:tc>
        <w:tc>
          <w:tcPr>
            <w:tcW w:type="dxa" w:w="1440"/>
            <w:shd w:fill="FFDCE0" w:val="clear"/>
          </w:tcPr>
          <w:p>
            <w:r>
              <w:rPr>
                <w:b/>
                <w:sz w:val="17"/>
              </w:rPr>
              <w:t>4,005</w:t>
            </w:r>
          </w:p>
        </w:tc>
        <w:tc>
          <w:tcPr>
            <w:tcW w:type="dxa" w:w="1440"/>
            <w:shd w:fill="FFDCE0" w:val="clear"/>
          </w:tcPr>
          <w:p>
            <w:r>
              <w:rPr>
                <w:sz w:val="17"/>
              </w:rPr>
              <w:t>4,693</w:t>
            </w:r>
          </w:p>
        </w:tc>
        <w:tc>
          <w:tcPr>
            <w:tcW w:type="dxa" w:w="1440"/>
            <w:shd w:fill="FFDCE0" w:val="clear"/>
          </w:tcPr>
          <w:p>
            <w:r>
              <w:rPr>
                <w:b/>
                <w:color w:val="C00000"/>
                <w:sz w:val="17"/>
              </w:rPr>
              <w:t>-6.9%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LNBB s'établit à 86 milliards FCFA, un niveau significatif qui la positionne parmi les valeurs moyennes du marché BRVM, reflétant une entreprise établie mais sans la liquidité des très grandes capitalisations. Le BPA de 231 FCFA indique que chaque action génère un bénéfice confortable, mais le PER de 18,6x se situe nettement au-dessus de la moyenne historique de la BRVM (8-12x), signifiant que les investisseurs paient une prime substantielle pour accéder aux bénéfices de la société. Cette prime est confirmée par le P/B de 3,92x, qui valorise le titre près de quatre fois sa valeur comptable, traduisant une forte anticipation de croissance future. L'EV/EBITDA de 11,0x, bien que dans la fourchette haute des standards de la région, reste dans des proportions acceptables pour une entreprise disposant d'une trésorerie nette importante de près de 8 milliards FCFA, ce qui tempère la cherté apparente de la valorisation.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LNBB affiche une progression totale de +10,26%, avec une dernière séance stable (+0,00%), témoignant d'une dynamique haussière soutenue mais actuellement en pause. Le cours a évolué dans un range de 3 765 FCFA à 4 560 FCFA, démontrant une amplitude de trading de près de 21%, ce qui indique des mouvements de prix significatifs. La moyenne de 4 018 FCFA est inférieure à la médiane de 3 912 FCFA, et l'écart entre ces deux valeurs, combiné à un skewness positif de 0,909, révèle une distribution asymétrique où les journées sous la moyenne ont été plus fréquentes mais de moindre ampleur que les rares fortes hausses. Le kurtosis de -0,631, proche d'une distribution normale, suggère l'absence de mouvements extrêmes ou de pics de volatilité soudains. L'écart-type de 209 FCFA, représentant un coefficient de variation de seulement 5,2%, indique une dispersion relativement faible du cours autour de sa moyenne, mais la volatilité annualisée de 35,0% classe le titre dans la catégorie des valeurs à forte volatilité, un paradoxe apparent qui s'explique par la tendance directionnelle marquée sur la période.</w:t>
      </w:r>
    </w:p>
    <w:p>
      <w:pPr>
        <w:spacing w:after="120" w:line="276" w:lineRule="auto" w:before="240"/>
      </w:pPr>
      <w:r>
        <w:rPr>
          <w:b/>
          <w:color w:val="003366"/>
          <w:sz w:val="24"/>
        </w:rPr>
        <w:t>**PARTIE 2 : ANALYSE TECHNIQUE DÉTAILLÉE**</w:t>
      </w:r>
    </w:p>
    <w:p>
      <w:pPr>
        <w:spacing w:after="120" w:line="276" w:lineRule="auto"/>
      </w:pPr>
      <w:r>
        <w:t>**Moyennes Mobiles** : La MM20 à 4 317 FCFA et la MM50 à 4 150 FCFA sont toutes deux inférieures au cours actuel de 4 300 FCFA, mais la MM20 se positionne au-dessus de la MM50, formant une configuration haussière classique. Le cours évolue au-dessus de la MM50, ce qui confirme la tendance de fond positive, mais sa position par rapport à la MM20 suggère une consolidation récente après la phase d'ascension. La décision d'Achat est justifiée par la structure positive des moyennes mobiles, bien que la proximité du cours avec la MM20 indique un possible test de ce support à court terme.</w:t>
      </w:r>
    </w:p>
    <w:p>
      <w:pPr>
        <w:spacing w:after="120" w:line="276" w:lineRule="auto"/>
      </w:pPr>
      <w:r>
        <w:t>**Bandes de Bollinger** : Le cours à 4 300 FCFA se situe presque exactement au milieu des bandes, entre la borne supérieure à 4 539 FCFA et la borne inférieure à 4 095 FCFA. Cette position médiane indique une volatilité modérée et l'absence de pression directionnelle forte. La largeur des bandes, d'environ 444 FCFA, reflète la volatilité historique du titre. La décision Neutre est cohérente avec cette position centrale, le cours n'étant ni en situation de surachat ni de survente, laissant présager une poursuite de la consolidation avant le prochain mouvement directionnel.</w:t>
      </w:r>
    </w:p>
    <w:p>
      <w:pPr>
        <w:spacing w:after="120" w:line="276" w:lineRule="auto"/>
      </w:pPr>
      <w:r>
        <w:t>**MACD** : Le MACD à 53,6 est légèrement inférieur à son signal à 59,3, formant un croisement baissier récent qui suggère un ralentissement du momentum haussier. Cette configuration indique que la dynamique positive qui a porté le cours ces derniers mois s'essouffle, sans toutefois basculer en territoire négatif. La décision de Vente est justifiée par ce croisement baissier, mais la valeur positive du MACD tempère la portée de ce signal, suggérant une correction plutôt qu'un renversement de tendance majeur.</w:t>
      </w:r>
    </w:p>
    <w:p>
      <w:pPr>
        <w:spacing w:after="120" w:line="276" w:lineRule="auto"/>
      </w:pPr>
      <w:r>
        <w:t>**RSI** : Le RSI à 50,0 se situe exactement à la neutralité, indiquant un équilibre parfait entre les pressions acheteuses et vendeuses. Cette valeur reflète l'absence de momentum directionnel, le titre n'étant ni suracheté (au-dessus de 70) ni survendu (en-dessous de 30). La décision Neutre est parfaitement cohérente avec cette lecture, le RSI ne fournissant aucun signal d'achat ou de vente, confirmant la phase de consolidation actuelle du titre.</w:t>
      </w:r>
    </w:p>
    <w:p>
      <w:pPr>
        <w:spacing w:after="120" w:line="276" w:lineRule="auto"/>
      </w:pPr>
      <w:r>
        <w:t>**Stochastique** : Le %K à 43,5 est inférieur au %D à 50,7, indiquant une dynamique baissière à court terme, bien que les deux oscillateurs restent en territoire neutre. Ce croisement baissier suggère que les vendeurs prennent temporairement le contrôle, mais sans excès, les valeurs n'étant pas en zone de survente. La décision Neutre est justifiée, le stochastique indiquant une faiblesse relative à court terme qui pourrait précéder soit une poursuite de la baisse, soit un rebond si les niveaux actuels trouvent un support.</w:t>
      </w:r>
    </w:p>
    <w:p>
      <w:pPr>
        <w:spacing w:after="120" w:line="276" w:lineRule="auto"/>
      </w:pPr>
      <w:r>
        <w:t>**Conclusion technique** : La convergence des indicateurs vers une phase de consolidation est manifeste, avec le RSI à 50, le stochastique en territoire neutre et le cours au milieu des bandes de Bollinger. Le MACD baissier et la position du cours sous la MM20 suggèrent une faiblesse à court terme, mais la structure des moyennes mobiles reste positive. Le titre semble donc en phase de digestion de ses gains récents, avec un biais légèrement négatif à très court terme avant une probable reprise de la tendance haussière de fond.</w:t>
      </w:r>
    </w:p>
    <w:p>
      <w:pPr>
        <w:spacing w:after="120" w:line="276" w:lineRule="auto" w:before="240"/>
      </w:pPr>
      <w:r>
        <w:rPr>
          <w:b/>
          <w:color w:val="003366"/>
          <w:sz w:val="24"/>
        </w:rPr>
        <w:t>**PARTIE 3 : ANALYSE FONDAMENTALE (SECTION CRITIQUE)**</w:t>
      </w:r>
    </w:p>
    <w:p>
      <w:pPr>
        <w:spacing w:after="120" w:line="276" w:lineRule="auto"/>
      </w:pPr>
      <w:r>
        <w:t>En 2025, la Loterie Nationale du Bénin affiche un chiffre d'affaires de 98,598 milliards FCFA, en recul de -3,85% par rapport à 2024, et un résultat net de 4,622 milliards FCFA, en baisse de -35,6% selon le rapport annuel analysé en mai 2026. Cette dégradation s'explique par la concurrence déloyale des opérateurs illégaux, mais la valeur ajoutée a progressé de +22% à 10,548 milliards FCFA et l'EBE de +34% à 7,164 milliards FCFA, démontrant une excellente maîtrise des charges d'exploitation. La structure financière est très solide avec des capitaux propres de 21,954 milliards FCFA, un ratio d'autonomie financière de 67,3%, une trésorerie nette de 7,979 milliards FCFA et un BFR négatif de 217 millions FCFA, signe d'une gestion efficace du cycle d'exploitation. La rentabilité reste excellente avec un ROE de 21,05% et un ROA de 14,17%, malgré la baisse du résultat net, et la couverture des intérêts de 9 153% témoigne d'un endettement minime (563 millions FCFA). Le rapport S1 2026, analysé en juillet 2026, montre un redressement spectaculaire avec un CA en hausse de +4% à 49,937 milliards FCFA et un résultat net en progression de +60%, porté par les revenus de partenariats et la maîtrise des charges, tandis que le rapport T1 2026 indique un CA en hausse de +6% mais un résultat net en baisse de -46% à 848 millions FCFA, illustrant la pression sur les marges du pari sportif. Sur la base de ces rapports trimestriels, on estime que l'exercice 2026 devrait confirmer le redressement de la rentabilité, avec un résultat net potentiellement en hausse de 30 à 40% par rapport à 2025, porté par le plan de déploiement de 1 500 nouveaux terminaux et les innovations produits annoncées pour le second semestre.</w:t>
      </w:r>
    </w:p>
    <w:p>
      <w:pPr>
        <w:spacing w:after="120" w:line="276" w:lineRule="auto" w:before="240"/>
      </w:pPr>
      <w:r>
        <w:rPr>
          <w:b/>
          <w:color w:val="003366"/>
          <w:sz w:val="24"/>
        </w:rPr>
        <w:t>**PARTIE 4 : CONCLUSION D'INVESTISSEMENT**</w:t>
      </w:r>
    </w:p>
    <w:p>
      <w:pPr>
        <w:spacing w:after="120" w:line="276" w:lineRule="auto"/>
      </w:pPr>
      <w:r>
        <w:t>La valorisation actuelle de LNBB, avec un PER de 18,6x et un P/B de 3,92x, apparaît exigeante par rapport aux standards BRVM, mais elle intègre la solidité financière exceptionnelle de l'entreprise et ses perspectives de redressement. Le comportement du cours sur 100 jours (+10,26%) avec une volatilité annualisée de 35% et une distribution asymétrique positive suggère une tendance haussière soutenue, actuellement en phase de consolidation comme l'indiquent les statistiques descriptives. Les signaux techniques sont mitigés, avec une structure de moyennes mobiles positive mais un MACD baissier et un RSI neutre, reflétant une pause dans la dynamique haussière. Les fondamentaux, bien qu'en amélioration nette au S1 2026 (+60% de résultat net), restent confrontés à la pression sur les marges du pari sportif et à la concurrence illégale, mais la solidité bilancielle (ROE de 21%, trésorerie nette de 8 milliards FCFA) et le dividende de 173 FCFA par action offrent un soutien tangible. Les prédictions IA pour les 10 prochains jours indiquent une trajectoire baissière de 4 195 à 4 118 FCFA, confirmant la phase de consolidation technique. La convergence entre la consolidation technique, la valorisation exigeante et les prédictions IA baissières à court terme, contrebalancée par des fondamentaux solides et en amélioration, conduit à une recommandation de **CONSERVER** avec un niveau de confiance **Moyen**, un risque global **Moyen**, et un horizon d'investissement optimal à **moyen terme (3-12 mois)** pour capter le potentiel de redressement fondamental.</w:t>
      </w:r>
    </w:p>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27.00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5,400 titres</w:t>
            </w:r>
          </w:p>
        </w:tc>
        <w:tc>
          <w:tcPr>
            <w:tcW w:type="dxa" w:w="2268"/>
            <w:shd w:fill="FFF2CC" w:val="clear"/>
          </w:tcPr>
          <w:p>
            <w:r>
              <w:rPr>
                <w:b/>
                <w:color w:val="503200"/>
                <w:sz w:val="16"/>
              </w:rPr>
              <w:t xml:space="preserve">Cours actuel : </w:t>
            </w:r>
            <w:r>
              <w:rPr>
                <w:color w:val="000000"/>
                <w:sz w:val="17"/>
              </w:rPr>
              <w:t>2,115 FCFA</w:t>
            </w:r>
          </w:p>
          <w:p>
            <w:r>
              <w:rPr>
                <w:b/>
                <w:color w:val="503200"/>
                <w:sz w:val="16"/>
              </w:rPr>
              <w:t xml:space="preserve">Var. 100 jours : </w:t>
            </w:r>
            <w:r>
              <w:rPr>
                <w:b/>
                <w:color w:val="007800"/>
                <w:sz w:val="17"/>
              </w:rPr>
              <w:t>+48.42%</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19.02% (Élevée) — μ=1,893 FCFA, σ=360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β=-0.1008 (Contre-cyclique) — Cov=-0.000004, Var(idx)=0.000036, ρ=-0.019,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5,400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σ_j=3.10%/j (Modérée) — Vol. annualisée≈49.2%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1,859</w:t>
            </w:r>
          </w:p>
        </w:tc>
        <w:tc>
          <w:tcPr>
            <w:tcW w:type="dxa" w:w="1440"/>
            <w:shd w:fill="FFDCE0" w:val="clear"/>
          </w:tcPr>
          <w:p>
            <w:r>
              <w:rPr>
                <w:b/>
                <w:sz w:val="17"/>
              </w:rPr>
              <w:t>1,971</w:t>
            </w:r>
          </w:p>
        </w:tc>
        <w:tc>
          <w:tcPr>
            <w:tcW w:type="dxa" w:w="1440"/>
            <w:shd w:fill="FFDCE0" w:val="clear"/>
          </w:tcPr>
          <w:p>
            <w:r>
              <w:rPr>
                <w:sz w:val="17"/>
              </w:rPr>
              <w:t>2,083</w:t>
            </w:r>
          </w:p>
        </w:tc>
        <w:tc>
          <w:tcPr>
            <w:tcW w:type="dxa" w:w="1440"/>
            <w:shd w:fill="FFDCE0" w:val="clear"/>
          </w:tcPr>
          <w:p>
            <w:r>
              <w:rPr>
                <w:b/>
                <w:color w:val="C00000"/>
                <w:sz w:val="17"/>
              </w:rPr>
              <w:t>-6.8%</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1,700</w:t>
            </w:r>
          </w:p>
        </w:tc>
        <w:tc>
          <w:tcPr>
            <w:tcW w:type="dxa" w:w="1440"/>
            <w:shd w:fill="FFDCE0" w:val="clear"/>
          </w:tcPr>
          <w:p>
            <w:r>
              <w:rPr>
                <w:b/>
                <w:sz w:val="17"/>
              </w:rPr>
              <w:t>1,849</w:t>
            </w:r>
          </w:p>
        </w:tc>
        <w:tc>
          <w:tcPr>
            <w:tcW w:type="dxa" w:w="1440"/>
            <w:shd w:fill="FFDCE0" w:val="clear"/>
          </w:tcPr>
          <w:p>
            <w:r>
              <w:rPr>
                <w:sz w:val="17"/>
              </w:rPr>
              <w:t>1,998</w:t>
            </w:r>
          </w:p>
        </w:tc>
        <w:tc>
          <w:tcPr>
            <w:tcW w:type="dxa" w:w="1440"/>
            <w:shd w:fill="FFDCE0" w:val="clear"/>
          </w:tcPr>
          <w:p>
            <w:r>
              <w:rPr>
                <w:b/>
                <w:color w:val="C00000"/>
                <w:sz w:val="17"/>
              </w:rPr>
              <w:t>-12.6%</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1,576</w:t>
            </w:r>
          </w:p>
        </w:tc>
        <w:tc>
          <w:tcPr>
            <w:tcW w:type="dxa" w:w="1440"/>
            <w:shd w:fill="FFDCE0" w:val="clear"/>
          </w:tcPr>
          <w:p>
            <w:r>
              <w:rPr>
                <w:b/>
                <w:sz w:val="17"/>
              </w:rPr>
              <w:t>1,748</w:t>
            </w:r>
          </w:p>
        </w:tc>
        <w:tc>
          <w:tcPr>
            <w:tcW w:type="dxa" w:w="1440"/>
            <w:shd w:fill="FFDCE0" w:val="clear"/>
          </w:tcPr>
          <w:p>
            <w:r>
              <w:rPr>
                <w:sz w:val="17"/>
              </w:rPr>
              <w:t>1,920</w:t>
            </w:r>
          </w:p>
        </w:tc>
        <w:tc>
          <w:tcPr>
            <w:tcW w:type="dxa" w:w="1440"/>
            <w:shd w:fill="FFDCE0" w:val="clear"/>
          </w:tcPr>
          <w:p>
            <w:r>
              <w:rPr>
                <w:b/>
                <w:color w:val="C00000"/>
                <w:sz w:val="17"/>
              </w:rPr>
              <w:t>-17.4%</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1,476</w:t>
            </w:r>
          </w:p>
        </w:tc>
        <w:tc>
          <w:tcPr>
            <w:tcW w:type="dxa" w:w="1440"/>
            <w:shd w:fill="FFDCE0" w:val="clear"/>
          </w:tcPr>
          <w:p>
            <w:r>
              <w:rPr>
                <w:b/>
                <w:sz w:val="17"/>
              </w:rPr>
              <w:t>1,665</w:t>
            </w:r>
          </w:p>
        </w:tc>
        <w:tc>
          <w:tcPr>
            <w:tcW w:type="dxa" w:w="1440"/>
            <w:shd w:fill="FFDCE0" w:val="clear"/>
          </w:tcPr>
          <w:p>
            <w:r>
              <w:rPr>
                <w:sz w:val="17"/>
              </w:rPr>
              <w:t>1,855</w:t>
            </w:r>
          </w:p>
        </w:tc>
        <w:tc>
          <w:tcPr>
            <w:tcW w:type="dxa" w:w="1440"/>
            <w:shd w:fill="FFDCE0" w:val="clear"/>
          </w:tcPr>
          <w:p>
            <w:r>
              <w:rPr>
                <w:b/>
                <w:color w:val="C00000"/>
                <w:sz w:val="17"/>
              </w:rPr>
              <w:t>-21.3%</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1,393</w:t>
            </w:r>
          </w:p>
        </w:tc>
        <w:tc>
          <w:tcPr>
            <w:tcW w:type="dxa" w:w="1440"/>
            <w:shd w:fill="FFDCE0" w:val="clear"/>
          </w:tcPr>
          <w:p>
            <w:r>
              <w:rPr>
                <w:b/>
                <w:sz w:val="17"/>
              </w:rPr>
              <w:t>1,596</w:t>
            </w:r>
          </w:p>
        </w:tc>
        <w:tc>
          <w:tcPr>
            <w:tcW w:type="dxa" w:w="1440"/>
            <w:shd w:fill="FFDCE0" w:val="clear"/>
          </w:tcPr>
          <w:p>
            <w:r>
              <w:rPr>
                <w:sz w:val="17"/>
              </w:rPr>
              <w:t>1,799</w:t>
            </w:r>
          </w:p>
        </w:tc>
        <w:tc>
          <w:tcPr>
            <w:tcW w:type="dxa" w:w="1440"/>
            <w:shd w:fill="FFDCE0" w:val="clear"/>
          </w:tcPr>
          <w:p>
            <w:r>
              <w:rPr>
                <w:b/>
                <w:color w:val="C00000"/>
                <w:sz w:val="17"/>
              </w:rPr>
              <w:t>-24.5%</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1,321</w:t>
            </w:r>
          </w:p>
        </w:tc>
        <w:tc>
          <w:tcPr>
            <w:tcW w:type="dxa" w:w="1440"/>
            <w:shd w:fill="FFDCE0" w:val="clear"/>
          </w:tcPr>
          <w:p>
            <w:r>
              <w:rPr>
                <w:b/>
                <w:sz w:val="17"/>
              </w:rPr>
              <w:t>1,535</w:t>
            </w:r>
          </w:p>
        </w:tc>
        <w:tc>
          <w:tcPr>
            <w:tcW w:type="dxa" w:w="1440"/>
            <w:shd w:fill="FFDCE0" w:val="clear"/>
          </w:tcPr>
          <w:p>
            <w:r>
              <w:rPr>
                <w:sz w:val="17"/>
              </w:rPr>
              <w:t>1,749</w:t>
            </w:r>
          </w:p>
        </w:tc>
        <w:tc>
          <w:tcPr>
            <w:tcW w:type="dxa" w:w="1440"/>
            <w:shd w:fill="FFDCE0" w:val="clear"/>
          </w:tcPr>
          <w:p>
            <w:r>
              <w:rPr>
                <w:b/>
                <w:color w:val="C00000"/>
                <w:sz w:val="17"/>
              </w:rPr>
              <w:t>-27.4%</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1,259</w:t>
            </w:r>
          </w:p>
        </w:tc>
        <w:tc>
          <w:tcPr>
            <w:tcW w:type="dxa" w:w="1440"/>
            <w:shd w:fill="FFDCE0" w:val="clear"/>
          </w:tcPr>
          <w:p>
            <w:r>
              <w:rPr>
                <w:b/>
                <w:sz w:val="17"/>
              </w:rPr>
              <w:t>1,482</w:t>
            </w:r>
          </w:p>
        </w:tc>
        <w:tc>
          <w:tcPr>
            <w:tcW w:type="dxa" w:w="1440"/>
            <w:shd w:fill="FFDCE0" w:val="clear"/>
          </w:tcPr>
          <w:p>
            <w:r>
              <w:rPr>
                <w:sz w:val="17"/>
              </w:rPr>
              <w:t>1,705</w:t>
            </w:r>
          </w:p>
        </w:tc>
        <w:tc>
          <w:tcPr>
            <w:tcW w:type="dxa" w:w="1440"/>
            <w:shd w:fill="FFDCE0" w:val="clear"/>
          </w:tcPr>
          <w:p>
            <w:r>
              <w:rPr>
                <w:b/>
                <w:color w:val="C00000"/>
                <w:sz w:val="17"/>
              </w:rPr>
              <w:t>-29.9%</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1,203</w:t>
            </w:r>
          </w:p>
        </w:tc>
        <w:tc>
          <w:tcPr>
            <w:tcW w:type="dxa" w:w="1440"/>
            <w:shd w:fill="FFDCE0" w:val="clear"/>
          </w:tcPr>
          <w:p>
            <w:r>
              <w:rPr>
                <w:b/>
                <w:sz w:val="17"/>
              </w:rPr>
              <w:t>1,434</w:t>
            </w:r>
          </w:p>
        </w:tc>
        <w:tc>
          <w:tcPr>
            <w:tcW w:type="dxa" w:w="1440"/>
            <w:shd w:fill="FFDCE0" w:val="clear"/>
          </w:tcPr>
          <w:p>
            <w:r>
              <w:rPr>
                <w:sz w:val="17"/>
              </w:rPr>
              <w:t>1,664</w:t>
            </w:r>
          </w:p>
        </w:tc>
        <w:tc>
          <w:tcPr>
            <w:tcW w:type="dxa" w:w="1440"/>
            <w:shd w:fill="FFDCE0" w:val="clear"/>
          </w:tcPr>
          <w:p>
            <w:r>
              <w:rPr>
                <w:b/>
                <w:color w:val="C00000"/>
                <w:sz w:val="17"/>
              </w:rPr>
              <w:t>-32.2%</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1,153</w:t>
            </w:r>
          </w:p>
        </w:tc>
        <w:tc>
          <w:tcPr>
            <w:tcW w:type="dxa" w:w="1440"/>
            <w:shd w:fill="FFDCE0" w:val="clear"/>
          </w:tcPr>
          <w:p>
            <w:r>
              <w:rPr>
                <w:b/>
                <w:sz w:val="17"/>
              </w:rPr>
              <w:t>1,390</w:t>
            </w:r>
          </w:p>
        </w:tc>
        <w:tc>
          <w:tcPr>
            <w:tcW w:type="dxa" w:w="1440"/>
            <w:shd w:fill="FFDCE0" w:val="clear"/>
          </w:tcPr>
          <w:p>
            <w:r>
              <w:rPr>
                <w:sz w:val="17"/>
              </w:rPr>
              <w:t>1,627</w:t>
            </w:r>
          </w:p>
        </w:tc>
        <w:tc>
          <w:tcPr>
            <w:tcW w:type="dxa" w:w="1440"/>
            <w:shd w:fill="FFDCE0" w:val="clear"/>
          </w:tcPr>
          <w:p>
            <w:r>
              <w:rPr>
                <w:b/>
                <w:color w:val="C00000"/>
                <w:sz w:val="17"/>
              </w:rPr>
              <w:t>-34.3%</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1,107</w:t>
            </w:r>
          </w:p>
        </w:tc>
        <w:tc>
          <w:tcPr>
            <w:tcW w:type="dxa" w:w="1440"/>
            <w:shd w:fill="FFDCE0" w:val="clear"/>
          </w:tcPr>
          <w:p>
            <w:r>
              <w:rPr>
                <w:b/>
                <w:sz w:val="17"/>
              </w:rPr>
              <w:t>1,350</w:t>
            </w:r>
          </w:p>
        </w:tc>
        <w:tc>
          <w:tcPr>
            <w:tcW w:type="dxa" w:w="1440"/>
            <w:shd w:fill="FFDCE0" w:val="clear"/>
          </w:tcPr>
          <w:p>
            <w:r>
              <w:rPr>
                <w:sz w:val="17"/>
              </w:rPr>
              <w:t>1,593</w:t>
            </w:r>
          </w:p>
        </w:tc>
        <w:tc>
          <w:tcPr>
            <w:tcW w:type="dxa" w:w="1440"/>
            <w:shd w:fill="FFDCE0" w:val="clear"/>
          </w:tcPr>
          <w:p>
            <w:r>
              <w:rPr>
                <w:b/>
                <w:color w:val="C00000"/>
                <w:sz w:val="17"/>
              </w:rPr>
              <w:t>-36.2%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(BRVM)**</w:t>
      </w:r>
    </w:p>
    <w:p>
      <w:pPr>
        <w:spacing w:after="120" w:line="276" w:lineRule="auto" w:before="240"/>
      </w:pPr>
      <w:r>
        <w:rPr>
          <w:b/>
          <w:color w:val="003366"/>
          <w:sz w:val="24"/>
        </w:rPr>
        <w:t>**PARTIE 0 : INDICATEURS DE VALORISATION BOURSIÈRE**</w:t>
      </w:r>
    </w:p>
    <w:p>
      <w:pPr>
        <w:spacing w:after="120" w:line="276" w:lineRule="auto"/>
      </w:pPr>
      <w:r>
        <w:t>La capitalisation boursière de NEIC s'établit à 27 milliards FCFA, un niveau modeste dans l'écosystème de la BRVM, reflétant un profil de petite capitalisation. Avec un BPA de 160 FCFA, le titre se négocie à un PER de 13,3x, légèrement au-dessus de la moyenne historique du marché (8-12x), ce qui suggère une prime de valorisation. Le P/B de 4,69x indique que le marché valorise fortement les actifs nets de la société, soit une prime substantielle par rapport à la valeur comptable. L'EV/EBITDA de 19,5x est également exigeant, signalant que les investisseurs anticipent une croissance future des résultats. Ces ratios combinés suggèrent une valorisation qui intègre des attentes de performance élevées, avec une marge de sécurité limitée pour l'investisseur.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NEIC a enregistré une progression spectaculaire de +48,42%, passant d'un plus bas de 1 350 FCFA à un plus haut de 2 400 FCFA, avant de clôturer à 2 115 FCFA. La dernière séance a toutefois marqué un net repli de -6,42%, signalant une possible prise de bénéfices après cette forte ascension. La moyenne du cours sur la période (1 893 FCFA) est inférieure à la médiane (1 975 FCFA), indiquant une distribution légèrement asymétrique avec des valeurs extrêmes à la baisse. L'écart-type de 362 FCFA (CV=19,1%) témoigne d'une dispersion modérée, tandis que le kurtosis négatif (-1,413) révèle une distribution aplatie, sans pics de volatilité extrême. Le skewness de -0,305 confirme une asymétrie vers les rendements négatifs. La volatilité annualisée de 49,2% classe le titre comme très volatil, un niveau élevé qui implique un risque significatif pour les investisseurs à court terme.</w:t>
      </w:r>
    </w:p>
    <w:p>
      <w:pPr>
        <w:spacing w:after="120" w:line="276" w:lineRule="auto" w:before="240"/>
      </w:pPr>
      <w:r>
        <w:rPr>
          <w:b/>
          <w:color w:val="003366"/>
          <w:sz w:val="24"/>
        </w:rPr>
        <w:t>**PARTIE 2 : ANALYSE TECHNIQUE DÉTAILLÉE**</w:t>
      </w:r>
    </w:p>
    <w:p>
      <w:pPr>
        <w:spacing w:after="120" w:line="276" w:lineRule="auto"/>
      </w:pPr>
      <w:r>
        <w:t>Les **Moyennes Mobiles** (MM20=2229,5 et MM50=2199,3) se situent toutes deux au-dessus du cours actuel de 2 115 FCFA, ce qui indique une pression vendeuse récente. La décision d'achat signalée par cet indicateur semble contradictoire avec la position du prix sous les moyennes, mais pourrait refléter une anticipation de rebond technique.</w:t>
      </w:r>
    </w:p>
    <w:p>
      <w:pPr>
        <w:spacing w:after="120" w:line="276" w:lineRule="auto"/>
      </w:pPr>
      <w:r>
        <w:t>Les **Bandes de Bollinger** (borne supérieure à 2389,53 et borne inférieure à 2069,47) montrent un cours proche de la borne inférieure, suggérant une zone de survente potentielle. La décision neutre indique que le marché n'a pas encore tranché, mais la proximité de la borne basse pourrait offrir un support technique.</w:t>
      </w:r>
    </w:p>
    <w:p>
      <w:pPr>
        <w:spacing w:after="120" w:line="276" w:lineRule="auto"/>
      </w:pPr>
      <w:r>
        <w:t>Le **MACD** (valeur=11,348, signal=22,547) affiche une divergence négative, avec la ligne MACD sous la ligne de signal, signalant un momentum baissier à court terme. La décision de vente est cohérente avec cette configuration, indiquant une perte de dynamique haussière.</w:t>
      </w:r>
    </w:p>
    <w:p>
      <w:pPr>
        <w:spacing w:after="120" w:line="276" w:lineRule="auto"/>
      </w:pPr>
      <w:r>
        <w:t>Le **RSI** à 28,571 se situe en zone de survente (&lt;30), ce qui suggère que le titre est techniquement survendu et pourrait rebondir. La décision d'achat est justifiée par cette lecture, bien que la tendance baissière puisse persister.</w:t>
      </w:r>
    </w:p>
    <w:p>
      <w:pPr>
        <w:spacing w:after="120" w:line="276" w:lineRule="auto"/>
      </w:pPr>
      <w:r>
        <w:t>Le **Stochastique** (%K=0,0, %D=45,657) montre un %K extrêmement bas, indiquant une condition de survente sévère. La décision d'achat est cohérente avec cette lecture, mais le croisement avec %D reste à confirmer.</w:t>
      </w:r>
    </w:p>
    <w:p>
      <w:pPr>
        <w:spacing w:after="120" w:line="276" w:lineRule="auto"/>
      </w:pPr>
      <w:r>
        <w:t>En conclusion, les indicateurs techniques sont partagés entre des signaux de survente (RSI, Stochastique) et des signaux baissiers (MACD, position sous les moyennes mobiles). Cette divergence suggère une période de consolidation avec un potentiel de rebond technique, mais la prudence reste de mise.</w:t>
      </w:r>
    </w:p>
    <w:p>
      <w:pPr>
        <w:spacing w:after="120" w:line="276" w:lineRule="auto" w:before="240"/>
      </w:pPr>
      <w:r>
        <w:rPr>
          <w:b/>
          <w:color w:val="003366"/>
          <w:sz w:val="24"/>
        </w:rPr>
        <w:t>**PARTIE 3 : ANALYSE FONDAMENTALE (SECTION CRITIQUE)**</w:t>
      </w:r>
    </w:p>
    <w:p>
      <w:pPr>
        <w:spacing w:after="120" w:line="276" w:lineRule="auto"/>
      </w:pPr>
      <w:r>
        <w:t>En 2025, NEIC affiche des résultats financiers solides avec un chiffre d'affaires de 5,139 milliards FCFA et un résultat net de 2,037 milliards FCFA, soit une marge nette exceptionnelle de 39,6%. Le ROE de 35,4% et le ROA de 27,3% témoignent d'une excellente rentabilité des capitaux propres et des actifs. La structure financière est saine avec une autonomie financière de 77% et une trésorerie nette positive de 4,196 milliards FCFA. Cependant, le taux de croissance du CA est négatif à -23,8%, signalant une contraction de l'activité. Les délais clients de 154,7 jours représentent un risque de trésorerie, tandis que le BFR de 1,498 milliard FCFA nécessite une surveillance. Sur la base des rapports trimestriels, le T1 2025 a montré un effondrement du CA (-154%) et une perte nette de -189,9 millions FCFA, mais le T3 2025 a enregistré un bénéfice exceptionnel de 1,596 milliard FCFA, principalement dû à une reprise de provision. Le rapport 2025 indique une croissance de 169% du résultat net à 2,04 milliards FCFA et un dividende de 2,04 milliards FCFA, soit 100% du résultat. Les perspectives restent contrastées : la performance opérationnelle est en retrait, mais la solidité financière et la politique de distribution généreuse offrent un certain attrait.</w:t>
      </w:r>
    </w:p>
    <w:p>
      <w:pPr>
        <w:spacing w:after="120" w:line="276" w:lineRule="auto" w:before="240"/>
      </w:pPr>
      <w:r>
        <w:rPr>
          <w:b/>
          <w:color w:val="003366"/>
          <w:sz w:val="24"/>
        </w:rPr>
        <w:t>**PARTIE 4 : CONCLUSION D'INVESTISSEMENT**</w:t>
      </w:r>
    </w:p>
    <w:p>
      <w:pPr>
        <w:spacing w:after="120" w:line="276" w:lineRule="auto"/>
      </w:pPr>
      <w:r>
        <w:t>La valorisation de NEIC (PER 13,3x, P/B 4,69x, EV/EBITDA 19,5x) apparaît exigeante, intégrant des attentes de croissance élevées. Le comportement du cours montre une forte progression (+48,42%) suivie d'un repli récent, avec une volatilité élevée (49,2%) et une distribution statistique légèrement asymétrique. Les signaux techniques sont divergents, avec des indicateurs de survente (RSI, Stochastique) contrastant avec un momentum baissier (MACD). Les fondamentaux sont solides en 2025 (ROE 35,4%, marge nette 39,6%), mais la contraction du CA et les pertes trimestrielles passées suscitent des inquiétudes. Les prédictions IA (J+1 à J+10) anticipent une poursuite de la baisse vers 1 596 FCFA, contredisant les signaux de survente. En synthèse, la recommandation est **CONSERVER** avec un niveau de confiance **Moyen** et un risque global **Élevé**. L'horizon d'investissement optimal serait le **moyen terme (3-12 mois)**, en attendant une clarification de la dynamique commerciale et une stabilisation du cours.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582.50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1,976 titres</w:t>
            </w:r>
          </w:p>
        </w:tc>
        <w:tc>
          <w:tcPr>
            <w:tcW w:type="dxa" w:w="2268"/>
            <w:shd w:fill="FFF2CC" w:val="clear"/>
          </w:tcPr>
          <w:p>
            <w:r>
              <w:rPr>
                <w:b/>
                <w:color w:val="503200"/>
                <w:sz w:val="16"/>
              </w:rPr>
              <w:t xml:space="preserve">Cours actuel : </w:t>
            </w:r>
            <w:r>
              <w:rPr>
                <w:color w:val="000000"/>
                <w:sz w:val="17"/>
              </w:rPr>
              <w:t>23,550 FCFA</w:t>
            </w:r>
          </w:p>
          <w:p>
            <w:r>
              <w:rPr>
                <w:b/>
                <w:color w:val="503200"/>
                <w:sz w:val="16"/>
              </w:rPr>
              <w:t xml:space="preserve">Var. 100 jours : </w:t>
            </w:r>
            <w:r>
              <w:rPr>
                <w:b/>
                <w:color w:val="007800"/>
                <w:sz w:val="17"/>
              </w:rPr>
              <w:t>+68.21%</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19.83% (Élevée) — μ=17,698 FCFA, σ=3,509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β=1.5032 (Agressif) — Cov=0.000054, Var(idx)=0.000036, ρ=0.378,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1,976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σ_j=2.36%/j (Stable) — Vol. annualisée≈37.5%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2026-08-10</w:t>
            </w:r>
          </w:p>
        </w:tc>
        <w:tc>
          <w:tcPr>
            <w:tcW w:type="dxa" w:w="1440"/>
            <w:shd w:fill="C6EFCE" w:val="clear"/>
          </w:tcPr>
          <w:p>
            <w:r>
              <w:rPr>
                <w:sz w:val="17"/>
              </w:rPr>
              <w:t>23,150</w:t>
            </w:r>
          </w:p>
        </w:tc>
        <w:tc>
          <w:tcPr>
            <w:tcW w:type="dxa" w:w="1440"/>
            <w:shd w:fill="C6EFCE" w:val="clear"/>
          </w:tcPr>
          <w:p>
            <w:r>
              <w:rPr>
                <w:b/>
                <w:sz w:val="17"/>
              </w:rPr>
              <w:t>24,178</w:t>
            </w:r>
          </w:p>
        </w:tc>
        <w:tc>
          <w:tcPr>
            <w:tcW w:type="dxa" w:w="1440"/>
            <w:shd w:fill="C6EFCE" w:val="clear"/>
          </w:tcPr>
          <w:p>
            <w:r>
              <w:rPr>
                <w:sz w:val="17"/>
              </w:rPr>
              <w:t>25,205</w:t>
            </w:r>
          </w:p>
        </w:tc>
        <w:tc>
          <w:tcPr>
            <w:tcW w:type="dxa" w:w="1440"/>
            <w:shd w:fill="C6EFCE" w:val="clear"/>
          </w:tcPr>
          <w:p>
            <w:r>
              <w:rPr>
                <w:b/>
                <w:color w:val="008000"/>
                <w:sz w:val="17"/>
              </w:rPr>
              <w:t>+2.7%</w:t>
            </w:r>
          </w:p>
        </w:tc>
      </w:tr>
      <w:tr>
        <w:tc>
          <w:tcPr>
            <w:tcW w:type="dxa" w:w="1440"/>
            <w:shd w:fill="C6EFCE" w:val="clear"/>
          </w:tcPr>
          <w:p>
            <w:r>
              <w:rPr>
                <w:sz w:val="17"/>
              </w:rPr>
              <w:t>J+2  Moyenne</w:t>
            </w:r>
          </w:p>
        </w:tc>
        <w:tc>
          <w:tcPr>
            <w:tcW w:type="dxa" w:w="1440"/>
            <w:shd w:fill="C6EFCE" w:val="clear"/>
          </w:tcPr>
          <w:p>
            <w:r>
              <w:rPr>
                <w:sz w:val="17"/>
              </w:rPr>
              <w:t>2026-08-11</w:t>
            </w:r>
          </w:p>
        </w:tc>
        <w:tc>
          <w:tcPr>
            <w:tcW w:type="dxa" w:w="1440"/>
            <w:shd w:fill="C6EFCE" w:val="clear"/>
          </w:tcPr>
          <w:p>
            <w:r>
              <w:rPr>
                <w:sz w:val="17"/>
              </w:rPr>
              <w:t>23,127</w:t>
            </w:r>
          </w:p>
        </w:tc>
        <w:tc>
          <w:tcPr>
            <w:tcW w:type="dxa" w:w="1440"/>
            <w:shd w:fill="C6EFCE" w:val="clear"/>
          </w:tcPr>
          <w:p>
            <w:r>
              <w:rPr>
                <w:b/>
                <w:sz w:val="17"/>
              </w:rPr>
              <w:t>24,606</w:t>
            </w:r>
          </w:p>
        </w:tc>
        <w:tc>
          <w:tcPr>
            <w:tcW w:type="dxa" w:w="1440"/>
            <w:shd w:fill="C6EFCE" w:val="clear"/>
          </w:tcPr>
          <w:p>
            <w:r>
              <w:rPr>
                <w:sz w:val="17"/>
              </w:rPr>
              <w:t>26,084</w:t>
            </w:r>
          </w:p>
        </w:tc>
        <w:tc>
          <w:tcPr>
            <w:tcW w:type="dxa" w:w="1440"/>
            <w:shd w:fill="C6EFCE" w:val="clear"/>
          </w:tcPr>
          <w:p>
            <w:r>
              <w:rPr>
                <w:b/>
                <w:color w:val="008000"/>
                <w:sz w:val="17"/>
              </w:rPr>
              <w:t>+4.5%</w:t>
            </w:r>
          </w:p>
        </w:tc>
      </w:tr>
      <w:tr>
        <w:tc>
          <w:tcPr>
            <w:tcW w:type="dxa" w:w="1440"/>
            <w:shd w:fill="C6EFCE" w:val="clear"/>
          </w:tcPr>
          <w:p>
            <w:r>
              <w:rPr>
                <w:sz w:val="17"/>
              </w:rPr>
              <w:t>J+3  Moyenne</w:t>
            </w:r>
          </w:p>
        </w:tc>
        <w:tc>
          <w:tcPr>
            <w:tcW w:type="dxa" w:w="1440"/>
            <w:shd w:fill="C6EFCE" w:val="clear"/>
          </w:tcPr>
          <w:p>
            <w:r>
              <w:rPr>
                <w:sz w:val="17"/>
              </w:rPr>
              <w:t>2026-08-12</w:t>
            </w:r>
          </w:p>
        </w:tc>
        <w:tc>
          <w:tcPr>
            <w:tcW w:type="dxa" w:w="1440"/>
            <w:shd w:fill="C6EFCE" w:val="clear"/>
          </w:tcPr>
          <w:p>
            <w:r>
              <w:rPr>
                <w:sz w:val="17"/>
              </w:rPr>
              <w:t>23,180</w:t>
            </w:r>
          </w:p>
        </w:tc>
        <w:tc>
          <w:tcPr>
            <w:tcW w:type="dxa" w:w="1440"/>
            <w:shd w:fill="C6EFCE" w:val="clear"/>
          </w:tcPr>
          <w:p>
            <w:r>
              <w:rPr>
                <w:b/>
                <w:sz w:val="17"/>
              </w:rPr>
              <w:t>25,022</w:t>
            </w:r>
          </w:p>
        </w:tc>
        <w:tc>
          <w:tcPr>
            <w:tcW w:type="dxa" w:w="1440"/>
            <w:shd w:fill="C6EFCE" w:val="clear"/>
          </w:tcPr>
          <w:p>
            <w:r>
              <w:rPr>
                <w:sz w:val="17"/>
              </w:rPr>
              <w:t>26,863</w:t>
            </w:r>
          </w:p>
        </w:tc>
        <w:tc>
          <w:tcPr>
            <w:tcW w:type="dxa" w:w="1440"/>
            <w:shd w:fill="C6EFCE" w:val="clear"/>
          </w:tcPr>
          <w:p>
            <w:r>
              <w:rPr>
                <w:b/>
                <w:color w:val="008000"/>
                <w:sz w:val="17"/>
              </w:rPr>
              <w:t>+6.2%</w:t>
            </w:r>
          </w:p>
        </w:tc>
      </w:tr>
      <w:tr>
        <w:tc>
          <w:tcPr>
            <w:tcW w:type="dxa" w:w="1440"/>
            <w:shd w:fill="C6EFCE" w:val="clear"/>
          </w:tcPr>
          <w:p>
            <w:r>
              <w:rPr>
                <w:sz w:val="17"/>
              </w:rPr>
              <w:t>J+4  ⭐</w:t>
            </w:r>
          </w:p>
        </w:tc>
        <w:tc>
          <w:tcPr>
            <w:tcW w:type="dxa" w:w="1440"/>
            <w:shd w:fill="C6EFCE" w:val="clear"/>
          </w:tcPr>
          <w:p>
            <w:r>
              <w:rPr>
                <w:sz w:val="17"/>
              </w:rPr>
              <w:t>2026-08-13</w:t>
            </w:r>
          </w:p>
        </w:tc>
        <w:tc>
          <w:tcPr>
            <w:tcW w:type="dxa" w:w="1440"/>
            <w:shd w:fill="C6EFCE" w:val="clear"/>
          </w:tcPr>
          <w:p>
            <w:r>
              <w:rPr>
                <w:sz w:val="17"/>
              </w:rPr>
              <w:t>23,259</w:t>
            </w:r>
          </w:p>
        </w:tc>
        <w:tc>
          <w:tcPr>
            <w:tcW w:type="dxa" w:w="1440"/>
            <w:shd w:fill="C6EFCE" w:val="clear"/>
          </w:tcPr>
          <w:p>
            <w:r>
              <w:rPr>
                <w:b/>
                <w:sz w:val="17"/>
              </w:rPr>
              <w:t>25,419</w:t>
            </w:r>
          </w:p>
        </w:tc>
        <w:tc>
          <w:tcPr>
            <w:tcW w:type="dxa" w:w="1440"/>
            <w:shd w:fill="C6EFCE" w:val="clear"/>
          </w:tcPr>
          <w:p>
            <w:r>
              <w:rPr>
                <w:sz w:val="17"/>
              </w:rPr>
              <w:t>27,579</w:t>
            </w:r>
          </w:p>
        </w:tc>
        <w:tc>
          <w:tcPr>
            <w:tcW w:type="dxa" w:w="1440"/>
            <w:shd w:fill="C6EFCE" w:val="clear"/>
          </w:tcPr>
          <w:p>
            <w:r>
              <w:rPr>
                <w:b/>
                <w:color w:val="008000"/>
                <w:sz w:val="17"/>
              </w:rPr>
              <w:t>+7.9%</w:t>
            </w:r>
          </w:p>
        </w:tc>
      </w:tr>
      <w:tr>
        <w:tc>
          <w:tcPr>
            <w:tcW w:type="dxa" w:w="1440"/>
            <w:shd w:fill="C6EFCE" w:val="clear"/>
          </w:tcPr>
          <w:p>
            <w:r>
              <w:rPr>
                <w:sz w:val="17"/>
              </w:rPr>
              <w:t>J+5  ⭐</w:t>
            </w:r>
          </w:p>
        </w:tc>
        <w:tc>
          <w:tcPr>
            <w:tcW w:type="dxa" w:w="1440"/>
            <w:shd w:fill="C6EFCE" w:val="clear"/>
          </w:tcPr>
          <w:p>
            <w:r>
              <w:rPr>
                <w:sz w:val="17"/>
              </w:rPr>
              <w:t>2026-08-14</w:t>
            </w:r>
          </w:p>
        </w:tc>
        <w:tc>
          <w:tcPr>
            <w:tcW w:type="dxa" w:w="1440"/>
            <w:shd w:fill="C6EFCE" w:val="clear"/>
          </w:tcPr>
          <w:p>
            <w:r>
              <w:rPr>
                <w:sz w:val="17"/>
              </w:rPr>
              <w:t>23,360</w:t>
            </w:r>
          </w:p>
        </w:tc>
        <w:tc>
          <w:tcPr>
            <w:tcW w:type="dxa" w:w="1440"/>
            <w:shd w:fill="C6EFCE" w:val="clear"/>
          </w:tcPr>
          <w:p>
            <w:r>
              <w:rPr>
                <w:b/>
                <w:sz w:val="17"/>
              </w:rPr>
              <w:t>25,812</w:t>
            </w:r>
          </w:p>
        </w:tc>
        <w:tc>
          <w:tcPr>
            <w:tcW w:type="dxa" w:w="1440"/>
            <w:shd w:fill="C6EFCE" w:val="clear"/>
          </w:tcPr>
          <w:p>
            <w:r>
              <w:rPr>
                <w:sz w:val="17"/>
              </w:rPr>
              <w:t>28,264</w:t>
            </w:r>
          </w:p>
        </w:tc>
        <w:tc>
          <w:tcPr>
            <w:tcW w:type="dxa" w:w="1440"/>
            <w:shd w:fill="C6EFCE" w:val="clear"/>
          </w:tcPr>
          <w:p>
            <w:r>
              <w:rPr>
                <w:b/>
                <w:color w:val="008000"/>
                <w:sz w:val="17"/>
              </w:rPr>
              <w:t>+9.6%</w:t>
            </w:r>
          </w:p>
        </w:tc>
      </w:tr>
      <w:tr>
        <w:tc>
          <w:tcPr>
            <w:tcW w:type="dxa" w:w="1440"/>
            <w:shd w:fill="C6EFCE" w:val="clear"/>
          </w:tcPr>
          <w:p>
            <w:r>
              <w:rPr>
                <w:sz w:val="17"/>
              </w:rPr>
              <w:t>J+6  ⭐</w:t>
            </w:r>
          </w:p>
        </w:tc>
        <w:tc>
          <w:tcPr>
            <w:tcW w:type="dxa" w:w="1440"/>
            <w:shd w:fill="C6EFCE" w:val="clear"/>
          </w:tcPr>
          <w:p>
            <w:r>
              <w:rPr>
                <w:sz w:val="17"/>
              </w:rPr>
              <w:t>2026-08-17</w:t>
            </w:r>
          </w:p>
        </w:tc>
        <w:tc>
          <w:tcPr>
            <w:tcW w:type="dxa" w:w="1440"/>
            <w:shd w:fill="C6EFCE" w:val="clear"/>
          </w:tcPr>
          <w:p>
            <w:r>
              <w:rPr>
                <w:sz w:val="17"/>
              </w:rPr>
              <w:t>23,475</w:t>
            </w:r>
          </w:p>
        </w:tc>
        <w:tc>
          <w:tcPr>
            <w:tcW w:type="dxa" w:w="1440"/>
            <w:shd w:fill="C6EFCE" w:val="clear"/>
          </w:tcPr>
          <w:p>
            <w:r>
              <w:rPr>
                <w:b/>
                <w:sz w:val="17"/>
              </w:rPr>
              <w:t>26,202</w:t>
            </w:r>
          </w:p>
        </w:tc>
        <w:tc>
          <w:tcPr>
            <w:tcW w:type="dxa" w:w="1440"/>
            <w:shd w:fill="C6EFCE" w:val="clear"/>
          </w:tcPr>
          <w:p>
            <w:r>
              <w:rPr>
                <w:sz w:val="17"/>
              </w:rPr>
              <w:t>28,929</w:t>
            </w:r>
          </w:p>
        </w:tc>
        <w:tc>
          <w:tcPr>
            <w:tcW w:type="dxa" w:w="1440"/>
            <w:shd w:fill="C6EFCE" w:val="clear"/>
          </w:tcPr>
          <w:p>
            <w:r>
              <w:rPr>
                <w:b/>
                <w:color w:val="008000"/>
                <w:sz w:val="17"/>
              </w:rPr>
              <w:t>+11.3%</w:t>
            </w:r>
          </w:p>
        </w:tc>
      </w:tr>
      <w:tr>
        <w:tc>
          <w:tcPr>
            <w:tcW w:type="dxa" w:w="1440"/>
            <w:shd w:fill="C6EFCE" w:val="clear"/>
          </w:tcPr>
          <w:p>
            <w:r>
              <w:rPr>
                <w:sz w:val="17"/>
              </w:rPr>
              <w:t>J+7  ⭐</w:t>
            </w:r>
          </w:p>
        </w:tc>
        <w:tc>
          <w:tcPr>
            <w:tcW w:type="dxa" w:w="1440"/>
            <w:shd w:fill="C6EFCE" w:val="clear"/>
          </w:tcPr>
          <w:p>
            <w:r>
              <w:rPr>
                <w:sz w:val="17"/>
              </w:rPr>
              <w:t>2026-08-18</w:t>
            </w:r>
          </w:p>
        </w:tc>
        <w:tc>
          <w:tcPr>
            <w:tcW w:type="dxa" w:w="1440"/>
            <w:shd w:fill="C6EFCE" w:val="clear"/>
          </w:tcPr>
          <w:p>
            <w:r>
              <w:rPr>
                <w:sz w:val="17"/>
              </w:rPr>
              <w:t>23,601</w:t>
            </w:r>
          </w:p>
        </w:tc>
        <w:tc>
          <w:tcPr>
            <w:tcW w:type="dxa" w:w="1440"/>
            <w:shd w:fill="C6EFCE" w:val="clear"/>
          </w:tcPr>
          <w:p>
            <w:r>
              <w:rPr>
                <w:b/>
                <w:sz w:val="17"/>
              </w:rPr>
              <w:t>26,590</w:t>
            </w:r>
          </w:p>
        </w:tc>
        <w:tc>
          <w:tcPr>
            <w:tcW w:type="dxa" w:w="1440"/>
            <w:shd w:fill="C6EFCE" w:val="clear"/>
          </w:tcPr>
          <w:p>
            <w:r>
              <w:rPr>
                <w:sz w:val="17"/>
              </w:rPr>
              <w:t>29,579</w:t>
            </w:r>
          </w:p>
        </w:tc>
        <w:tc>
          <w:tcPr>
            <w:tcW w:type="dxa" w:w="1440"/>
            <w:shd w:fill="C6EFCE" w:val="clear"/>
          </w:tcPr>
          <w:p>
            <w:r>
              <w:rPr>
                <w:b/>
                <w:color w:val="008000"/>
                <w:sz w:val="17"/>
              </w:rPr>
              <w:t>+12.9%</w:t>
            </w:r>
          </w:p>
        </w:tc>
      </w:tr>
      <w:tr>
        <w:tc>
          <w:tcPr>
            <w:tcW w:type="dxa" w:w="1440"/>
            <w:shd w:fill="C6EFCE" w:val="clear"/>
          </w:tcPr>
          <w:p>
            <w:r>
              <w:rPr>
                <w:sz w:val="17"/>
              </w:rPr>
              <w:t>J+8  ⭐</w:t>
            </w:r>
          </w:p>
        </w:tc>
        <w:tc>
          <w:tcPr>
            <w:tcW w:type="dxa" w:w="1440"/>
            <w:shd w:fill="C6EFCE" w:val="clear"/>
          </w:tcPr>
          <w:p>
            <w:r>
              <w:rPr>
                <w:sz w:val="17"/>
              </w:rPr>
              <w:t>2026-08-19</w:t>
            </w:r>
          </w:p>
        </w:tc>
        <w:tc>
          <w:tcPr>
            <w:tcW w:type="dxa" w:w="1440"/>
            <w:shd w:fill="C6EFCE" w:val="clear"/>
          </w:tcPr>
          <w:p>
            <w:r>
              <w:rPr>
                <w:sz w:val="17"/>
              </w:rPr>
              <w:t>23,734</w:t>
            </w:r>
          </w:p>
        </w:tc>
        <w:tc>
          <w:tcPr>
            <w:tcW w:type="dxa" w:w="1440"/>
            <w:shd w:fill="C6EFCE" w:val="clear"/>
          </w:tcPr>
          <w:p>
            <w:r>
              <w:rPr>
                <w:b/>
                <w:sz w:val="17"/>
              </w:rPr>
              <w:t>26,976</w:t>
            </w:r>
          </w:p>
        </w:tc>
        <w:tc>
          <w:tcPr>
            <w:tcW w:type="dxa" w:w="1440"/>
            <w:shd w:fill="C6EFCE" w:val="clear"/>
          </w:tcPr>
          <w:p>
            <w:r>
              <w:rPr>
                <w:sz w:val="17"/>
              </w:rPr>
              <w:t>30,217</w:t>
            </w:r>
          </w:p>
        </w:tc>
        <w:tc>
          <w:tcPr>
            <w:tcW w:type="dxa" w:w="1440"/>
            <w:shd w:fill="C6EFCE" w:val="clear"/>
          </w:tcPr>
          <w:p>
            <w:r>
              <w:rPr>
                <w:b/>
                <w:color w:val="008000"/>
                <w:sz w:val="17"/>
              </w:rPr>
              <w:t>+14.5%</w:t>
            </w:r>
          </w:p>
        </w:tc>
      </w:tr>
      <w:tr>
        <w:tc>
          <w:tcPr>
            <w:tcW w:type="dxa" w:w="1440"/>
            <w:shd w:fill="C6EFCE" w:val="clear"/>
          </w:tcPr>
          <w:p>
            <w:r>
              <w:rPr>
                <w:sz w:val="17"/>
              </w:rPr>
              <w:t>J+9  ⭐</w:t>
            </w:r>
          </w:p>
        </w:tc>
        <w:tc>
          <w:tcPr>
            <w:tcW w:type="dxa" w:w="1440"/>
            <w:shd w:fill="C6EFCE" w:val="clear"/>
          </w:tcPr>
          <w:p>
            <w:r>
              <w:rPr>
                <w:sz w:val="17"/>
              </w:rPr>
              <w:t>2026-08-20</w:t>
            </w:r>
          </w:p>
        </w:tc>
        <w:tc>
          <w:tcPr>
            <w:tcW w:type="dxa" w:w="1440"/>
            <w:shd w:fill="C6EFCE" w:val="clear"/>
          </w:tcPr>
          <w:p>
            <w:r>
              <w:rPr>
                <w:sz w:val="17"/>
              </w:rPr>
              <w:t>23,872</w:t>
            </w:r>
          </w:p>
        </w:tc>
        <w:tc>
          <w:tcPr>
            <w:tcW w:type="dxa" w:w="1440"/>
            <w:shd w:fill="C6EFCE" w:val="clear"/>
          </w:tcPr>
          <w:p>
            <w:r>
              <w:rPr>
                <w:b/>
                <w:sz w:val="17"/>
              </w:rPr>
              <w:t>27,359</w:t>
            </w:r>
          </w:p>
        </w:tc>
        <w:tc>
          <w:tcPr>
            <w:tcW w:type="dxa" w:w="1440"/>
            <w:shd w:fill="C6EFCE" w:val="clear"/>
          </w:tcPr>
          <w:p>
            <w:r>
              <w:rPr>
                <w:sz w:val="17"/>
              </w:rPr>
              <w:t>30,846</w:t>
            </w:r>
          </w:p>
        </w:tc>
        <w:tc>
          <w:tcPr>
            <w:tcW w:type="dxa" w:w="1440"/>
            <w:shd w:fill="C6EFCE" w:val="clear"/>
          </w:tcPr>
          <w:p>
            <w:r>
              <w:rPr>
                <w:b/>
                <w:color w:val="008000"/>
                <w:sz w:val="17"/>
              </w:rPr>
              <w:t>+16.2%</w:t>
            </w:r>
          </w:p>
        </w:tc>
      </w:tr>
      <w:tr>
        <w:tc>
          <w:tcPr>
            <w:tcW w:type="dxa" w:w="1440"/>
            <w:shd w:fill="C6EFCE" w:val="clear"/>
          </w:tcPr>
          <w:p>
            <w:r>
              <w:rPr>
                <w:sz w:val="17"/>
              </w:rPr>
              <w:t>J+10  ⭐</w:t>
            </w:r>
          </w:p>
        </w:tc>
        <w:tc>
          <w:tcPr>
            <w:tcW w:type="dxa" w:w="1440"/>
            <w:shd w:fill="C6EFCE" w:val="clear"/>
          </w:tcPr>
          <w:p>
            <w:r>
              <w:rPr>
                <w:sz w:val="17"/>
              </w:rPr>
              <w:t>2026-08-21</w:t>
            </w:r>
          </w:p>
        </w:tc>
        <w:tc>
          <w:tcPr>
            <w:tcW w:type="dxa" w:w="1440"/>
            <w:shd w:fill="C6EFCE" w:val="clear"/>
          </w:tcPr>
          <w:p>
            <w:r>
              <w:rPr>
                <w:sz w:val="17"/>
              </w:rPr>
              <w:t>24,012</w:t>
            </w:r>
          </w:p>
        </w:tc>
        <w:tc>
          <w:tcPr>
            <w:tcW w:type="dxa" w:w="1440"/>
            <w:shd w:fill="C6EFCE" w:val="clear"/>
          </w:tcPr>
          <w:p>
            <w:r>
              <w:rPr>
                <w:b/>
                <w:sz w:val="17"/>
              </w:rPr>
              <w:t>27,739</w:t>
            </w:r>
          </w:p>
        </w:tc>
        <w:tc>
          <w:tcPr>
            <w:tcW w:type="dxa" w:w="1440"/>
            <w:shd w:fill="C6EFCE" w:val="clear"/>
          </w:tcPr>
          <w:p>
            <w:r>
              <w:rPr>
                <w:sz w:val="17"/>
              </w:rPr>
              <w:t>31,466</w:t>
            </w:r>
          </w:p>
        </w:tc>
        <w:tc>
          <w:tcPr>
            <w:tcW w:type="dxa" w:w="1440"/>
            <w:shd w:fill="C6EFCE" w:val="clear"/>
          </w:tcPr>
          <w:p>
            <w:r>
              <w:rPr>
                <w:b/>
                <w:color w:val="008000"/>
                <w:sz w:val="17"/>
              </w:rPr>
              <w:t>+17.8%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NSIA BANQUE CÔTE D'IVOIRE (NSBC)**</w:t>
        <w:br/>
        <w:t>**Date de l'analyse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NSBC s'établit à 582,50 milliards FCFA, un niveau qui la positionne parmi les poids lourds du compartiment bancaire de la BRVM. Avec un BPA de 1 646 FCFA, le titre se négocie à un PER de 14,3x, ce qui représente une prime significative par rapport à la moyenne historique du marché (8-12x). Cette valorisation suggère que les investisseurs intègrent déjà des perspectives de croissance soutenues. Le P/B de 2,50x confirme cette lecture, le marché accordant une prime de croissance de 150% par rapport à la valeur comptable des fonds propres. Enfin, l'EV/EBITDA de 21,7x est particulièrement exigeant, indiquant que la valeur totale de l'entreprise (capitaux propres + dettes) est élevée par rapport à sa capacité opérationnelle brute, ce qui laisse peu de marge d'erreur dans l'exécution de la stratégie de croissance.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NSBC a enregistré une performance spectaculaire de +68,21%, passant d'un plus bas de 13 810 FCFA à un plus haut de 24 020 FCFA, avant de clôturer à 23 550 FCFA, en léger repli de -1,26% sur la dernière séance. La moyenne du cours sur la période (17 698 FCFA) est inférieure à la médiane (18 000 FCFA), indiquant une asymétrie positive avec une concentration des valeurs vers le bas de la fourchette, ce qui est cohérent avec la forte accélération haussière récente. L'écart-type de 3 527 FCFA (CV de 19,9%) témoigne d'une dispersion modérée, tandis que le kurtosis négatif (-1,358) signale une distribution aplatie, sans pics de volatilité extrêmes. Le skewness positif (0,287) confirme la tendance haussière dominante. La volatilité annualisée de 37,5% classe le titre dans la catégorie des valeurs à forte volatilité, un niveau élevé qui reflète l'ampleur du mouvement haussier observé.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23 550 FCFA se positionne nettement au-dessus de la MM20 (22 859,75 FCFA) et de la MM50 (20 812,7 FCFA), confirmant une dynamique haussière solide à court et moyen terme. La configuration des moyennes mobiles, avec la MM20 au-dessus de la MM50, valide la tendance haussière en place et justifie la décision d'achat.</w:t>
      </w:r>
    </w:p>
    <w:p>
      <w:pPr>
        <w:spacing w:after="120" w:line="276" w:lineRule="auto"/>
      </w:pPr>
      <w:r>
        <w:t>**Bandes de Bollinger** : Le prix évolue dans la partie supérieure du canal, à 23 550 FCFA contre une borne supérieure à 24 675 FCFA et une borne inférieure à 21 044 FCFA. La largeur des bandes reflète la volatilité élevée du titre. La position du cours, sans toucher les bornes, indique un momentum positif mais sans condition de surachat extrême, d'où la décision neutre.</w:t>
      </w:r>
    </w:p>
    <w:p>
      <w:pPr>
        <w:spacing w:after="120" w:line="276" w:lineRule="auto"/>
      </w:pPr>
      <w:r>
        <w:t>**MACD** : La valeur du MACD (921,95) est légèrement inférieure à sa ligne de signal (975,93), suggérant un affaiblissement du momentum haussier à très court terme. Cette configuration, bien que baissière, intervient après une forte progression et pourrait signaler une phase de consolidation avant une reprise de la tendance.</w:t>
      </w:r>
    </w:p>
    <w:p>
      <w:pPr>
        <w:spacing w:after="120" w:line="276" w:lineRule="auto"/>
      </w:pPr>
      <w:r>
        <w:t>**RSI** : À 48,95, le RSI se situe en zone neutre, indiquant un équilibre entre les forces acheteuses et vendeuses. Cette valeur suggère que le titre n'est ni suracheté ni survendu, laissant de la marge pour une poursuite de la hausse sans pression excessive.</w:t>
      </w:r>
    </w:p>
    <w:p>
      <w:pPr>
        <w:spacing w:after="120" w:line="276" w:lineRule="auto"/>
      </w:pPr>
      <w:r>
        <w:t>**Stochastique** : Le %K (76,73) est inférieur au %D (88,28), indiquant un croisement baissier à court terme. Cependant, les deux lignes restent en zone élevée, ce qui suggère que la tendance haussière sous-jacente demeure intacte malgré un possible repli technique.</w:t>
      </w:r>
    </w:p>
    <w:p>
      <w:pPr>
        <w:spacing w:after="120" w:line="276" w:lineRule="auto"/>
      </w:pPr>
      <w:r>
        <w:t>**Conclusion technique** : Les indicateurs sont globalement partagés entre une tendance haussière de fond (moyennes mobiles, bandes de Bollinger) et des signaux de consolidation à court terme (MACD, stochastique). Le RSI neutre suggère une pause dans le mouvement haussier, mais la structure technique reste positive, avec un biais haussier dominant.</w:t>
      </w:r>
    </w:p>
    <w:p>
      <w:pPr>
        <w:spacing w:after="120" w:line="276" w:lineRule="auto"/>
      </w:pPr>
      <w:r>
        <w:t>---</w:t>
      </w:r>
    </w:p>
    <w:p>
      <w:pPr>
        <w:spacing w:after="120" w:line="276" w:lineRule="auto"/>
      </w:pPr>
      <w:r>
        <w:t>### PARTIE 3 : ANALYSE FONDAMENTALE (SECTION CRITIQUE)</w:t>
      </w:r>
    </w:p>
    <w:p>
      <w:pPr>
        <w:spacing w:after="120" w:line="276" w:lineRule="auto"/>
      </w:pPr>
      <w:r>
        <w:t>En 2025, NSBC a réalisé un Produit Net Bancaire (PNB) de 112,928 milliards FCFA, en hausse de 15% par rapport à 2024, avec un résultat net de 40,712 milliards FCFA, en progression de 7%. La banque affiche une rentabilité des fonds propres (ROE) de 17,45% et un ROA de 1,32%, des niveaux excellents qui témoignent d'une gestion efficace. Le coefficient d'exploitation de 54,59% est particulièrement bon, indiquant une maîtrise des charges. Cependant, le coût du risque de 7,54% est élevé, reflétant une détérioration de la qualité du portefeuille de crédits, avec des provisions de -8,510 milliards FCFA en 2025. Le ratio de transformation est sain : les dépôts clientèle (2 242,218 milliards FCFA) financent largement les créances clientèle (1 818,671 milliards FCFA). Les rapports trimestriels montrent une accélération en 2026 : au T1 2026, le PNB a bondi de 28% à 28,615 milliards FCFA et le résultat net de 53% à 10,912 milliards FCFA, porté par l'activité titres. Sur la base de cette dynamique, on estime que l'exercice 2026 pourrait voir le PNB dépasser 130 milliards FCFA et le résultat net atteindre 50 milliards FCFA, soit une croissance de plus de 20%. La banque bénéficie d'une position de leader en Côte d'Ivoire, avec un bilan de 3 073 milliards FCFA en 2025, et des perspectives favorables liées au PND 2026-2030.</w:t>
      </w:r>
    </w:p>
    <w:p>
      <w:pPr>
        <w:spacing w:after="120" w:line="276" w:lineRule="auto"/>
      </w:pPr>
      <w:r>
        <w:t>---</w:t>
      </w:r>
    </w:p>
    <w:p>
      <w:pPr>
        <w:spacing w:after="120" w:line="276" w:lineRule="auto"/>
      </w:pPr>
      <w:r>
        <w:t>### PARTIE 4 : CONCLUSION D'INVESTISSEMENT</w:t>
      </w:r>
    </w:p>
    <w:p>
      <w:pPr>
        <w:spacing w:after="120" w:line="276" w:lineRule="auto"/>
      </w:pPr>
      <w:r>
        <w:t>La valorisation actuelle de NSBC (PER 14,3x, P/B 2,5x, EV/EBITDA 21,7x) est exigeante, intégrant des attentes de croissance élevées. Le comportement du cours sur 100 jours (+68,21%) confirme un fort momentum haussier, bien que la volatilité de 37,5% et le kurtosis plat signalent un risque de correction. Les signaux techniques sont mitigés : les moyennes mobiles et les bandes de Bollinger soutiennent la tendance haussière, tandis que le MACD et le stochastique suggèrent une consolidation à court terme. Les fondamentaux restent solides avec une croissance du PNB de 15% en 2025 et une accélération au T1 2026 (+28%), soutenue par une excellente efficacité opérationnelle (coefficient d'exploitation de 54,6%). Les prédictions IA pour les 10 prochains jours (24 178 à 25 812 FCFA) confirment la poursuite de la tendance haussière, avec un potentiel de +9,6%. En synthèse, la convergence entre la dynamique du cours, les fondamentaux solides et les prédictions IA est forte, malgré une valorisation déjà élevée. **Recommandation : ACHAT** avec un niveau de confiance **Élevé** et un risque global **Moyen**. L'horizon d'investissement optimal est le **moyen terme (3-12 mois)**, en surveillant l'évolution du coût du risque et la capacité de la banque à maintenir sa croissance.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366.26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1,970 titres</w:t>
            </w:r>
          </w:p>
        </w:tc>
        <w:tc>
          <w:tcPr>
            <w:tcW w:type="dxa" w:w="2268"/>
            <w:shd w:fill="FFF2CC" w:val="clear"/>
          </w:tcPr>
          <w:p>
            <w:r>
              <w:rPr>
                <w:b/>
                <w:color w:val="503200"/>
                <w:sz w:val="16"/>
              </w:rPr>
              <w:t xml:space="preserve">Cours actuel : </w:t>
            </w:r>
            <w:r>
              <w:rPr>
                <w:color w:val="000000"/>
                <w:sz w:val="17"/>
              </w:rPr>
              <w:t>16,595 FCFA</w:t>
            </w:r>
          </w:p>
          <w:p>
            <w:r>
              <w:rPr>
                <w:b/>
                <w:color w:val="503200"/>
                <w:sz w:val="16"/>
              </w:rPr>
              <w:t xml:space="preserve">Var. 100 jours : </w:t>
            </w:r>
            <w:r>
              <w:rPr>
                <w:b/>
                <w:color w:val="007800"/>
                <w:sz w:val="17"/>
              </w:rPr>
              <w:t>+27.65%</w:t>
            </w:r>
          </w:p>
          <w:p>
            <w:r>
              <w:rPr>
                <w:b/>
                <w:color w:val="503200"/>
                <w:sz w:val="16"/>
              </w:rPr>
              <w:t xml:space="preserve">Plus haut 100j : </w:t>
            </w:r>
            <w:r>
              <w:rPr>
                <w:color w:val="000000"/>
                <w:sz w:val="17"/>
              </w:rPr>
              <w:t>16,750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12.89% (Moyenne) — μ=13,889 FCFA, σ=1,790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β=0.2678 (Défensif) — Cov=0.000010, Var(idx)=0.000036, ρ=0.075,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1,970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16,044</w:t>
            </w:r>
          </w:p>
        </w:tc>
        <w:tc>
          <w:tcPr>
            <w:tcW w:type="dxa" w:w="1440"/>
            <w:shd w:fill="FAFAFA" w:val="clear"/>
          </w:tcPr>
          <w:p>
            <w:r>
              <w:rPr>
                <w:b/>
                <w:sz w:val="17"/>
              </w:rPr>
              <w:t>16,423</w:t>
            </w:r>
          </w:p>
        </w:tc>
        <w:tc>
          <w:tcPr>
            <w:tcW w:type="dxa" w:w="1440"/>
            <w:shd w:fill="FAFAFA" w:val="clear"/>
          </w:tcPr>
          <w:p>
            <w:r>
              <w:rPr>
                <w:sz w:val="17"/>
              </w:rPr>
              <w:t>16,802</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2026-08-11</w:t>
            </w:r>
          </w:p>
        </w:tc>
        <w:tc>
          <w:tcPr>
            <w:tcW w:type="dxa" w:w="1440"/>
            <w:shd w:fill="FAFAFA" w:val="clear"/>
          </w:tcPr>
          <w:p>
            <w:r>
              <w:rPr>
                <w:sz w:val="17"/>
              </w:rPr>
              <w:t>15,857</w:t>
            </w:r>
          </w:p>
        </w:tc>
        <w:tc>
          <w:tcPr>
            <w:tcW w:type="dxa" w:w="1440"/>
            <w:shd w:fill="FAFAFA" w:val="clear"/>
          </w:tcPr>
          <w:p>
            <w:r>
              <w:rPr>
                <w:b/>
                <w:sz w:val="17"/>
              </w:rPr>
              <w:t>16,392</w:t>
            </w:r>
          </w:p>
        </w:tc>
        <w:tc>
          <w:tcPr>
            <w:tcW w:type="dxa" w:w="1440"/>
            <w:shd w:fill="FAFAFA" w:val="clear"/>
          </w:tcPr>
          <w:p>
            <w:r>
              <w:rPr>
                <w:sz w:val="17"/>
              </w:rPr>
              <w:t>16,927</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15,692</w:t>
            </w:r>
          </w:p>
        </w:tc>
        <w:tc>
          <w:tcPr>
            <w:tcW w:type="dxa" w:w="1440"/>
            <w:shd w:fill="FAFAFA" w:val="clear"/>
          </w:tcPr>
          <w:p>
            <w:r>
              <w:rPr>
                <w:b/>
                <w:sz w:val="17"/>
              </w:rPr>
              <w:t>16,345</w:t>
            </w:r>
          </w:p>
        </w:tc>
        <w:tc>
          <w:tcPr>
            <w:tcW w:type="dxa" w:w="1440"/>
            <w:shd w:fill="FAFAFA" w:val="clear"/>
          </w:tcPr>
          <w:p>
            <w:r>
              <w:rPr>
                <w:sz w:val="17"/>
              </w:rPr>
              <w:t>16,998</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15,545</w:t>
            </w:r>
          </w:p>
        </w:tc>
        <w:tc>
          <w:tcPr>
            <w:tcW w:type="dxa" w:w="1440"/>
            <w:shd w:fill="FAFAFA" w:val="clear"/>
          </w:tcPr>
          <w:p>
            <w:r>
              <w:rPr>
                <w:b/>
                <w:sz w:val="17"/>
              </w:rPr>
              <w:t>16,297</w:t>
            </w:r>
          </w:p>
        </w:tc>
        <w:tc>
          <w:tcPr>
            <w:tcW w:type="dxa" w:w="1440"/>
            <w:shd w:fill="FAFAFA" w:val="clear"/>
          </w:tcPr>
          <w:p>
            <w:r>
              <w:rPr>
                <w:sz w:val="17"/>
              </w:rPr>
              <w:t>17,049</w:t>
            </w:r>
          </w:p>
        </w:tc>
        <w:tc>
          <w:tcPr>
            <w:tcW w:type="dxa" w:w="1440"/>
            <w:shd w:fill="FAFAFA" w:val="clear"/>
          </w:tcPr>
          <w:p>
            <w:r>
              <w:rPr>
                <w:b/>
                <w:color w:val="C00000"/>
                <w:sz w:val="17"/>
              </w:rPr>
              <w:t>-1.8%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15,411</w:t>
            </w:r>
          </w:p>
        </w:tc>
        <w:tc>
          <w:tcPr>
            <w:tcW w:type="dxa" w:w="1440"/>
            <w:shd w:fill="FFDCE0" w:val="clear"/>
          </w:tcPr>
          <w:p>
            <w:r>
              <w:rPr>
                <w:b/>
                <w:sz w:val="17"/>
              </w:rPr>
              <w:t>16,249</w:t>
            </w:r>
          </w:p>
        </w:tc>
        <w:tc>
          <w:tcPr>
            <w:tcW w:type="dxa" w:w="1440"/>
            <w:shd w:fill="FFDCE0" w:val="clear"/>
          </w:tcPr>
          <w:p>
            <w:r>
              <w:rPr>
                <w:sz w:val="17"/>
              </w:rPr>
              <w:t>17,088</w:t>
            </w:r>
          </w:p>
        </w:tc>
        <w:tc>
          <w:tcPr>
            <w:tcW w:type="dxa" w:w="1440"/>
            <w:shd w:fill="FFDCE0" w:val="clear"/>
          </w:tcPr>
          <w:p>
            <w:r>
              <w:rPr>
                <w:b/>
                <w:color w:val="C00000"/>
                <w:sz w:val="17"/>
              </w:rPr>
              <w:t>-2.1%</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15,288</w:t>
            </w:r>
          </w:p>
        </w:tc>
        <w:tc>
          <w:tcPr>
            <w:tcW w:type="dxa" w:w="1440"/>
            <w:shd w:fill="FFDCE0" w:val="clear"/>
          </w:tcPr>
          <w:p>
            <w:r>
              <w:rPr>
                <w:b/>
                <w:sz w:val="17"/>
              </w:rPr>
              <w:t>16,204</w:t>
            </w:r>
          </w:p>
        </w:tc>
        <w:tc>
          <w:tcPr>
            <w:tcW w:type="dxa" w:w="1440"/>
            <w:shd w:fill="FFDCE0" w:val="clear"/>
          </w:tcPr>
          <w:p>
            <w:r>
              <w:rPr>
                <w:sz w:val="17"/>
              </w:rPr>
              <w:t>17,119</w:t>
            </w:r>
          </w:p>
        </w:tc>
        <w:tc>
          <w:tcPr>
            <w:tcW w:type="dxa" w:w="1440"/>
            <w:shd w:fill="FFDCE0" w:val="clear"/>
          </w:tcPr>
          <w:p>
            <w:r>
              <w:rPr>
                <w:b/>
                <w:color w:val="C00000"/>
                <w:sz w:val="17"/>
              </w:rPr>
              <w:t>-2.4%</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15,173</w:t>
            </w:r>
          </w:p>
        </w:tc>
        <w:tc>
          <w:tcPr>
            <w:tcW w:type="dxa" w:w="1440"/>
            <w:shd w:fill="FFDCE0" w:val="clear"/>
          </w:tcPr>
          <w:p>
            <w:r>
              <w:rPr>
                <w:b/>
                <w:sz w:val="17"/>
              </w:rPr>
              <w:t>16,160</w:t>
            </w:r>
          </w:p>
        </w:tc>
        <w:tc>
          <w:tcPr>
            <w:tcW w:type="dxa" w:w="1440"/>
            <w:shd w:fill="FFDCE0" w:val="clear"/>
          </w:tcPr>
          <w:p>
            <w:r>
              <w:rPr>
                <w:sz w:val="17"/>
              </w:rPr>
              <w:t>17,146</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15,065</w:t>
            </w:r>
          </w:p>
        </w:tc>
        <w:tc>
          <w:tcPr>
            <w:tcW w:type="dxa" w:w="1440"/>
            <w:shd w:fill="FFDCE0" w:val="clear"/>
          </w:tcPr>
          <w:p>
            <w:r>
              <w:rPr>
                <w:b/>
                <w:sz w:val="17"/>
              </w:rPr>
              <w:t>16,117</w:t>
            </w:r>
          </w:p>
        </w:tc>
        <w:tc>
          <w:tcPr>
            <w:tcW w:type="dxa" w:w="1440"/>
            <w:shd w:fill="FFDCE0" w:val="clear"/>
          </w:tcPr>
          <w:p>
            <w:r>
              <w:rPr>
                <w:sz w:val="17"/>
              </w:rPr>
              <w:t>17,169</w:t>
            </w:r>
          </w:p>
        </w:tc>
        <w:tc>
          <w:tcPr>
            <w:tcW w:type="dxa" w:w="1440"/>
            <w:shd w:fill="FFDCE0" w:val="clear"/>
          </w:tcPr>
          <w:p>
            <w:r>
              <w:rPr>
                <w:b/>
                <w:color w:val="C00000"/>
                <w:sz w:val="17"/>
              </w:rPr>
              <w:t>-2.9%</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14,962</w:t>
            </w:r>
          </w:p>
        </w:tc>
        <w:tc>
          <w:tcPr>
            <w:tcW w:type="dxa" w:w="1440"/>
            <w:shd w:fill="FFDCE0" w:val="clear"/>
          </w:tcPr>
          <w:p>
            <w:r>
              <w:rPr>
                <w:b/>
                <w:sz w:val="17"/>
              </w:rPr>
              <w:t>16,075</w:t>
            </w:r>
          </w:p>
        </w:tc>
        <w:tc>
          <w:tcPr>
            <w:tcW w:type="dxa" w:w="1440"/>
            <w:shd w:fill="FFDCE0" w:val="clear"/>
          </w:tcPr>
          <w:p>
            <w:r>
              <w:rPr>
                <w:sz w:val="17"/>
              </w:rPr>
              <w:t>17,188</w:t>
            </w:r>
          </w:p>
        </w:tc>
        <w:tc>
          <w:tcPr>
            <w:tcW w:type="dxa" w:w="1440"/>
            <w:shd w:fill="FFDCE0" w:val="clear"/>
          </w:tcPr>
          <w:p>
            <w:r>
              <w:rPr>
                <w:b/>
                <w:color w:val="C00000"/>
                <w:sz w:val="17"/>
              </w:rPr>
              <w:t>-3.1%</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14,864</w:t>
            </w:r>
          </w:p>
        </w:tc>
        <w:tc>
          <w:tcPr>
            <w:tcW w:type="dxa" w:w="1440"/>
            <w:shd w:fill="FFDCE0" w:val="clear"/>
          </w:tcPr>
          <w:p>
            <w:r>
              <w:rPr>
                <w:b/>
                <w:sz w:val="17"/>
              </w:rPr>
              <w:t>16,034</w:t>
            </w:r>
          </w:p>
        </w:tc>
        <w:tc>
          <w:tcPr>
            <w:tcW w:type="dxa" w:w="1440"/>
            <w:shd w:fill="FFDCE0" w:val="clear"/>
          </w:tcPr>
          <w:p>
            <w:r>
              <w:rPr>
                <w:sz w:val="17"/>
              </w:rPr>
              <w:t>17,204</w:t>
            </w:r>
          </w:p>
        </w:tc>
        <w:tc>
          <w:tcPr>
            <w:tcW w:type="dxa" w:w="1440"/>
            <w:shd w:fill="FFDCE0" w:val="clear"/>
          </w:tcPr>
          <w:p>
            <w:r>
              <w:rPr>
                <w:b/>
                <w:color w:val="C00000"/>
                <w:sz w:val="17"/>
              </w:rPr>
              <w:t>-3.4%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Absolument. Voici un rapport d'analyse structuré et professionnel pour l'action NTLC (Nestlé Côte d'Ivoire) sur la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366,26 milliards FCFA, NTLC se positionne comme l'une des valeurs majeures de la BRVM, reflétant la confiance des investisseurs dans ce titre de première ligne. Le BPA de 835 FCFA indique que chaque action a généré un bénéfice net de 835 FCFA sur l'exercice 2025. Le PER de 19,9x est nettement supérieur à la moyenne historique de la BRVM (8-12x), signifiant que les investisseurs acceptent de payer une prime substantielle pour la croissance et la stabilité perçues de l'entreprise. Le P/B de 12,38x confirme cette valorisation exigeante, le marché valorisant fortement les actifs de l'entreprise par rapport à leur valeur comptable. Enfin, un EV/EBITDA de 9,8x, dans la fourchette haute des standards, suggère une valorisation globale de l'entreprise (dette incluse) qui reste raisonnable par rapport à sa capacité à générer du cash-flow opérationnel.</w:t>
      </w:r>
    </w:p>
    <w:p>
      <w:pPr>
        <w:spacing w:after="120" w:line="276" w:lineRule="auto"/>
      </w:pPr>
      <w:r>
        <w:t>### **PARTIE 1 : ANALYSE DU COURS — STATISTIQUES ET ÉVOLUTION (100 derniers jours)**</w:t>
      </w:r>
    </w:p>
    <w:p>
      <w:pPr>
        <w:spacing w:after="120" w:line="276" w:lineRule="auto"/>
      </w:pPr>
      <w:r>
        <w:t>Sur les 100 derniers jours, l'action NTLC a enregistré une performance remarquable de +27,65%, malgré une légère correction de -0,93% lors de la dernière séance. Le cours a évolué dans une fourchette de 11 150 FCFA (plus bas) à 16 750 FCFA (plus haut), démontrant une forte dynamique haussière. La moyenne du cours sur la période est de 13 889 FCFA, tandis que la médiane est de 12 995 FCFA. Cet écart significatif (moyenne &gt; médiane) indique une distribution asymétrique avec une concentration des prix vers le bas de la fourchette, tirée vers le haut par la récente accélération. L'écart-type de 1 799 FCFA (CV = 13%) montre une dispersion modérée. Le kurtosis négatif (-1.507) indique une distribution "aplatie" avec peu de valeurs extrêmes, tandis que le skewness positif (0.319) confirme une légère asymétrie vers les hausses. La volatilité annualisée de 33,3% classe le titre dans la catégorie des valeurs à forte volatilité, un niveau élevé qui reflète un risque de marché significatif.</w:t>
      </w:r>
    </w:p>
    <w:p>
      <w:pPr>
        <w:spacing w:after="120" w:line="276" w:lineRule="auto"/>
      </w:pPr>
      <w:r>
        <w:t>### **PARTIE 2 : ANALYSE TECHNIQUE DÉTAILLÉE**</w:t>
      </w:r>
    </w:p>
    <w:p>
      <w:pPr>
        <w:spacing w:after="120" w:line="276" w:lineRule="auto"/>
      </w:pPr>
      <w:r>
        <w:t>**Moyennes Mobiles** : Le cours actuel (16 595 FCFA) est nettement au-dessus de sa MM20 (16 309 FCFA) et de sa MM50 (15 437,8 FCFA). Cette configuration haussière, où les moyennes sont orientées à la hausse, confirme la tendance positive de fond et justifie le signal d'**Achat**.</w:t>
      </w:r>
    </w:p>
    <w:p>
      <w:pPr>
        <w:spacing w:after="120" w:line="276" w:lineRule="auto"/>
      </w:pPr>
      <w:r>
        <w:t>**Bandes de Bollinger** : Le prix se situe à 16 595 FCFA, à l'intérieur des bandes (borne supérieure à 16 908 et inférieure à 15 709). La position proche de la borne supérieure indique une pression acheteuse soutenue, mais sans franchissement, ce qui suggère une phase de consolidation après une forte hausse. La décision est **Neutre**.</w:t>
      </w:r>
    </w:p>
    <w:p>
      <w:pPr>
        <w:spacing w:after="120" w:line="276" w:lineRule="auto"/>
      </w:pPr>
      <w:r>
        <w:t>**MACD** : La valeur du MACD (345,45) est inférieure à son signal (384,41), indiquant un momentum haussier qui s'essouffle à court terme. Cette divergence négative est un signe précurseur d'un possible ralentissement ou d'une correction, d'où le signal de **Vente**.</w:t>
      </w:r>
    </w:p>
    <w:p>
      <w:pPr>
        <w:spacing w:after="120" w:line="276" w:lineRule="auto"/>
      </w:pPr>
      <w:r>
        <w:t>**RSI** : Avec une valeur de 82,7, le RSI est en zone de **surachat** (au-dessus de 70). Cela indique que le titre a fortement monté et qu'une consolidation technique est probable à court terme. Le signal est donc **Vente**.</w:t>
      </w:r>
    </w:p>
    <w:p>
      <w:pPr>
        <w:spacing w:after="120" w:line="276" w:lineRule="auto"/>
      </w:pPr>
      <w:r>
        <w:t>**Stochastique** : Le %K (79,7) est inférieur au %D (93,2), montrant un croisement baissier en zone de surachat. Cela renforce le signal de prudence à court terme, bien que la tendance de fond reste positive. La décision est **Neutre**.</w:t>
      </w:r>
    </w:p>
    <w:p>
      <w:pPr>
        <w:spacing w:after="120" w:line="276" w:lineRule="auto"/>
      </w:pPr>
      <w:r>
        <w:t>**Conclusion technique** : Les indicateurs de tendance (MM) sont positifs, mais les oscillateurs de momentum (RSI, MACD, Stochastique) signalent une situation de surachat et un essoufflement à court terme. Le titre est dans une phase de consolidation haussière, où un repli technique est probable avant une éventuelle reprise de la tendance.</w:t>
      </w:r>
    </w:p>
    <w:p>
      <w:pPr>
        <w:spacing w:after="120" w:line="276" w:lineRule="auto"/>
      </w:pPr>
      <w:r>
        <w:t>### **PARTIE 3 : ANALYSE FONDAMENTALE (SECTION CRITIQUE)**</w:t>
      </w:r>
    </w:p>
    <w:p>
      <w:pPr>
        <w:spacing w:after="120" w:line="276" w:lineRule="auto"/>
      </w:pPr>
      <w:r>
        <w:t>En 2025, les données structurées annuelles de NTLC confirment une activité robuste avec un chiffre d'affaires de 233,26 milliards FCFA et un résultat net de 18,43 milliards FCFA. La rentabilité est excellente, avec un ROE de 62,3% et un ROA de 9,7%, démontrant une gestion très efficace des fonds propres et des actifs. Cependant, l'analyse de la structure financière révèle des points de vigilance : la marge nette est de 7,9%, le ratio d'endettement est élevé (135,8%) et la liquidité générale est faible (79,9%). Le délai de paiement des clients (74,3 jours) et la durée de stockage (59,4 jours) sont des éléments à surveiller pour la trésorerie. Les rapports trimestriels de 2025 montrent une année en deux temps : un premier semestre difficile (résultat net en baisse de -23,5% au S1) suivi d'une amélioration progressive. Le rapport T1 2026, publié en mai 2026, fait état d'une **croissance spectaculaire de +31% du chiffre d'affaires et de +37% du résultat net**, suggérant une forte accélération pour l'exercice 2026. Sur la base de ces données, on peut estimer que l'exercice 2026 pourrait dépasser significativement les performances de 2025, avec un CA potentiel de plus de 280 milliards FCFA et un résultat net de plus de 24 milliards FCFA. La politique de dividende a été réduite en 2025 (payout de 50% contre 99,7% en 2024), ce qui pourrait être un signal de réinvestissement pour la croissance future. La recommandation fondamentale est **ACHAT**, portée par la dynamique de croissance exceptionnelle du T1 2026 et la solidité du modèle économique.</w:t>
      </w:r>
    </w:p>
    <w:p>
      <w:pPr>
        <w:spacing w:after="120" w:line="276" w:lineRule="auto"/>
      </w:pPr>
      <w:r>
        <w:t>### **PARTIE 4 : CONCLUSION D'INVESTISSEMENT**</w:t>
      </w:r>
    </w:p>
    <w:p>
      <w:pPr>
        <w:spacing w:after="120" w:line="276" w:lineRule="auto"/>
      </w:pPr>
      <w:r>
        <w:t>La valorisation de NTLC (PER 19,9x, P/B 12,4x) est exigeante mais justifiée par une croissance et une rentabilité hors normes. Le comportement du cours sur 100 jours (+27,65%) est très positif, bien que la volatilité (33,3%) et les statistiques (kurtosis plat, skewness positif) suggèrent un risque de retournement. Les signaux techniques sont mitigés : la tendance de fond (MM) est haussière, mais les oscillateurs (RSI, MACD) indiquent un surachat imminent. Les fondamentaux, eux, sont extrêmement solides, avec une accélération de la croissance au T1 2026. Les prédictions IA pour les 10 prochains jours (de 16 423 à 16 249 FCFA) anticipent une légère correction, ce qui est cohérent avec les signaux techniques de surachat. En synthèse, la convergence entre la forte dynamique fondamentale et la tendance haussière de fond est positive, mais la prudence est de mise à court terme. **Recommandation finale : ACHAT** (avec un horizon de moyen terme), car la solidité des fondamentaux et les perspectives de croissance devraient primer sur une correction technique à court terme. Le niveau de confiance est **Moyen** et le risque global est **Élevé** en raison de la volatilité et de la valorisation. L'horizon d'investissement optimal est de **3 à 12 mois**.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199.92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5,412 titres</w:t>
            </w:r>
          </w:p>
        </w:tc>
        <w:tc>
          <w:tcPr>
            <w:tcW w:type="dxa" w:w="2268"/>
            <w:shd w:fill="FFF2CC" w:val="clear"/>
          </w:tcPr>
          <w:p>
            <w:r>
              <w:rPr>
                <w:b/>
                <w:color w:val="503200"/>
                <w:sz w:val="16"/>
              </w:rPr>
              <w:t xml:space="preserve">Cours actuel : </w:t>
            </w:r>
            <w:r>
              <w:rPr>
                <w:color w:val="000000"/>
                <w:sz w:val="17"/>
              </w:rPr>
              <w:t>2,940 FCFA</w:t>
            </w:r>
          </w:p>
          <w:p>
            <w:r>
              <w:rPr>
                <w:b/>
                <w:color w:val="503200"/>
                <w:sz w:val="16"/>
              </w:rPr>
              <w:t xml:space="preserve">Var. 100 jours : </w:t>
            </w:r>
            <w:r>
              <w:rPr>
                <w:b/>
                <w:color w:val="B40000"/>
                <w:sz w:val="17"/>
              </w:rPr>
              <w:t>-2.65%</w:t>
            </w:r>
          </w:p>
          <w:p>
            <w:r>
              <w:rPr>
                <w:b/>
                <w:color w:val="503200"/>
                <w:sz w:val="16"/>
              </w:rPr>
              <w:t xml:space="preserve">Plus haut 100j : </w:t>
            </w:r>
            <w:r>
              <w:rPr>
                <w:color w:val="000000"/>
                <w:sz w:val="17"/>
              </w:rPr>
              <w:t>3,095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33.0%</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3.53% (Faible) — μ=2,833 FCFA, σ=100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β=0.0774 (Défensif) — Cov=0.000003, Var(idx)=0.000036, ρ=0.022,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5,412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σ_j=2.08%/j (Stable) — Vol. annualisée≈33.0%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19287"/>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2,860</w:t>
            </w:r>
          </w:p>
        </w:tc>
        <w:tc>
          <w:tcPr>
            <w:tcW w:type="dxa" w:w="1440"/>
            <w:shd w:fill="FAFAFA" w:val="clear"/>
          </w:tcPr>
          <w:p>
            <w:r>
              <w:rPr>
                <w:b/>
                <w:sz w:val="17"/>
              </w:rPr>
              <w:t>2,945</w:t>
            </w:r>
          </w:p>
        </w:tc>
        <w:tc>
          <w:tcPr>
            <w:tcW w:type="dxa" w:w="1440"/>
            <w:shd w:fill="FAFAFA" w:val="clear"/>
          </w:tcPr>
          <w:p>
            <w:r>
              <w:rPr>
                <w:sz w:val="17"/>
              </w:rPr>
              <w:t>3,030</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2,817</w:t>
            </w:r>
          </w:p>
        </w:tc>
        <w:tc>
          <w:tcPr>
            <w:tcW w:type="dxa" w:w="1440"/>
            <w:shd w:fill="FAFAFA" w:val="clear"/>
          </w:tcPr>
          <w:p>
            <w:r>
              <w:rPr>
                <w:b/>
                <w:sz w:val="17"/>
              </w:rPr>
              <w:t>2,937</w:t>
            </w:r>
          </w:p>
        </w:tc>
        <w:tc>
          <w:tcPr>
            <w:tcW w:type="dxa" w:w="1440"/>
            <w:shd w:fill="FAFAFA" w:val="clear"/>
          </w:tcPr>
          <w:p>
            <w:r>
              <w:rPr>
                <w:sz w:val="17"/>
              </w:rPr>
              <w:t>3,058</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2,784</w:t>
            </w:r>
          </w:p>
        </w:tc>
        <w:tc>
          <w:tcPr>
            <w:tcW w:type="dxa" w:w="1440"/>
            <w:shd w:fill="FAFAFA" w:val="clear"/>
          </w:tcPr>
          <w:p>
            <w:r>
              <w:rPr>
                <w:b/>
                <w:sz w:val="17"/>
              </w:rPr>
              <w:t>2,931</w:t>
            </w:r>
          </w:p>
        </w:tc>
        <w:tc>
          <w:tcPr>
            <w:tcW w:type="dxa" w:w="1440"/>
            <w:shd w:fill="FAFAFA" w:val="clear"/>
          </w:tcPr>
          <w:p>
            <w:r>
              <w:rPr>
                <w:sz w:val="17"/>
              </w:rPr>
              <w:t>3,078</w:t>
            </w:r>
          </w:p>
        </w:tc>
        <w:tc>
          <w:tcPr>
            <w:tcW w:type="dxa" w:w="1440"/>
            <w:shd w:fill="FAFAFA" w:val="clear"/>
          </w:tcPr>
          <w:p>
            <w:r>
              <w:rPr>
                <w:b/>
                <w:color w:val="C00000"/>
                <w:sz w:val="17"/>
              </w:rPr>
              <w:t>-0.3%</w:t>
            </w:r>
          </w:p>
        </w:tc>
      </w:tr>
      <w:tr>
        <w:tc>
          <w:tcPr>
            <w:tcW w:type="dxa" w:w="1440"/>
            <w:shd w:fill="FAFAFA" w:val="clear"/>
          </w:tcPr>
          <w:p>
            <w:r>
              <w:rPr>
                <w:sz w:val="17"/>
              </w:rPr>
              <w:t>J+4  Moyenne</w:t>
            </w:r>
          </w:p>
        </w:tc>
        <w:tc>
          <w:tcPr>
            <w:tcW w:type="dxa" w:w="1440"/>
            <w:shd w:fill="FAFAFA" w:val="clear"/>
          </w:tcPr>
          <w:p>
            <w:r>
              <w:rPr>
                <w:sz w:val="17"/>
              </w:rPr>
              <w:t>2026-08-13</w:t>
            </w:r>
          </w:p>
        </w:tc>
        <w:tc>
          <w:tcPr>
            <w:tcW w:type="dxa" w:w="1440"/>
            <w:shd w:fill="FAFAFA" w:val="clear"/>
          </w:tcPr>
          <w:p>
            <w:r>
              <w:rPr>
                <w:sz w:val="17"/>
              </w:rPr>
              <w:t>2,755</w:t>
            </w:r>
          </w:p>
        </w:tc>
        <w:tc>
          <w:tcPr>
            <w:tcW w:type="dxa" w:w="1440"/>
            <w:shd w:fill="FAFAFA" w:val="clear"/>
          </w:tcPr>
          <w:p>
            <w:r>
              <w:rPr>
                <w:b/>
                <w:sz w:val="17"/>
              </w:rPr>
              <w:t>2,924</w:t>
            </w:r>
          </w:p>
        </w:tc>
        <w:tc>
          <w:tcPr>
            <w:tcW w:type="dxa" w:w="1440"/>
            <w:shd w:fill="FAFAFA" w:val="clear"/>
          </w:tcPr>
          <w:p>
            <w:r>
              <w:rPr>
                <w:sz w:val="17"/>
              </w:rPr>
              <w:t>3,094</w:t>
            </w:r>
          </w:p>
        </w:tc>
        <w:tc>
          <w:tcPr>
            <w:tcW w:type="dxa" w:w="1440"/>
            <w:shd w:fill="FAFAFA" w:val="clear"/>
          </w:tcPr>
          <w:p>
            <w:r>
              <w:rPr>
                <w:b/>
                <w:color w:val="C00000"/>
                <w:sz w:val="17"/>
              </w:rPr>
              <w:t>-0.5%</w:t>
            </w:r>
          </w:p>
        </w:tc>
      </w:tr>
      <w:tr>
        <w:tc>
          <w:tcPr>
            <w:tcW w:type="dxa" w:w="1440"/>
            <w:shd w:fill="FAFAFA" w:val="clear"/>
          </w:tcPr>
          <w:p>
            <w:r>
              <w:rPr>
                <w:sz w:val="17"/>
              </w:rPr>
              <w:t>J+5  Moyenne</w:t>
            </w:r>
          </w:p>
        </w:tc>
        <w:tc>
          <w:tcPr>
            <w:tcW w:type="dxa" w:w="1440"/>
            <w:shd w:fill="FAFAFA" w:val="clear"/>
          </w:tcPr>
          <w:p>
            <w:r>
              <w:rPr>
                <w:sz w:val="17"/>
              </w:rPr>
              <w:t>2026-08-14</w:t>
            </w:r>
          </w:p>
        </w:tc>
        <w:tc>
          <w:tcPr>
            <w:tcW w:type="dxa" w:w="1440"/>
            <w:shd w:fill="FAFAFA" w:val="clear"/>
          </w:tcPr>
          <w:p>
            <w:r>
              <w:rPr>
                <w:sz w:val="17"/>
              </w:rPr>
              <w:t>2,729</w:t>
            </w:r>
          </w:p>
        </w:tc>
        <w:tc>
          <w:tcPr>
            <w:tcW w:type="dxa" w:w="1440"/>
            <w:shd w:fill="FAFAFA" w:val="clear"/>
          </w:tcPr>
          <w:p>
            <w:r>
              <w:rPr>
                <w:b/>
                <w:sz w:val="17"/>
              </w:rPr>
              <w:t>2,918</w:t>
            </w:r>
          </w:p>
        </w:tc>
        <w:tc>
          <w:tcPr>
            <w:tcW w:type="dxa" w:w="1440"/>
            <w:shd w:fill="FAFAFA" w:val="clear"/>
          </w:tcPr>
          <w:p>
            <w:r>
              <w:rPr>
                <w:sz w:val="17"/>
              </w:rPr>
              <w:t>3,107</w:t>
            </w:r>
          </w:p>
        </w:tc>
        <w:tc>
          <w:tcPr>
            <w:tcW w:type="dxa" w:w="1440"/>
            <w:shd w:fill="FAFAFA" w:val="clear"/>
          </w:tcPr>
          <w:p>
            <w:r>
              <w:rPr>
                <w:b/>
                <w:color w:val="C00000"/>
                <w:sz w:val="17"/>
              </w:rPr>
              <w:t>-0.8%</w:t>
            </w:r>
          </w:p>
        </w:tc>
      </w:tr>
      <w:tr>
        <w:tc>
          <w:tcPr>
            <w:tcW w:type="dxa" w:w="1440"/>
            <w:shd w:fill="FAFAFA" w:val="clear"/>
          </w:tcPr>
          <w:p>
            <w:r>
              <w:rPr>
                <w:sz w:val="17"/>
              </w:rPr>
              <w:t>J+6  Moyenne</w:t>
            </w:r>
          </w:p>
        </w:tc>
        <w:tc>
          <w:tcPr>
            <w:tcW w:type="dxa" w:w="1440"/>
            <w:shd w:fill="FAFAFA" w:val="clear"/>
          </w:tcPr>
          <w:p>
            <w:r>
              <w:rPr>
                <w:sz w:val="17"/>
              </w:rPr>
              <w:t>2026-08-17</w:t>
            </w:r>
          </w:p>
        </w:tc>
        <w:tc>
          <w:tcPr>
            <w:tcW w:type="dxa" w:w="1440"/>
            <w:shd w:fill="FAFAFA" w:val="clear"/>
          </w:tcPr>
          <w:p>
            <w:r>
              <w:rPr>
                <w:sz w:val="17"/>
              </w:rPr>
              <w:t>2,705</w:t>
            </w:r>
          </w:p>
        </w:tc>
        <w:tc>
          <w:tcPr>
            <w:tcW w:type="dxa" w:w="1440"/>
            <w:shd w:fill="FAFAFA" w:val="clear"/>
          </w:tcPr>
          <w:p>
            <w:r>
              <w:rPr>
                <w:b/>
                <w:sz w:val="17"/>
              </w:rPr>
              <w:t>2,911</w:t>
            </w:r>
          </w:p>
        </w:tc>
        <w:tc>
          <w:tcPr>
            <w:tcW w:type="dxa" w:w="1440"/>
            <w:shd w:fill="FAFAFA" w:val="clear"/>
          </w:tcPr>
          <w:p>
            <w:r>
              <w:rPr>
                <w:sz w:val="17"/>
              </w:rPr>
              <w:t>3,118</w:t>
            </w:r>
          </w:p>
        </w:tc>
        <w:tc>
          <w:tcPr>
            <w:tcW w:type="dxa" w:w="1440"/>
            <w:shd w:fill="FAFAFA" w:val="clear"/>
          </w:tcPr>
          <w:p>
            <w:r>
              <w:rPr>
                <w:b/>
                <w:color w:val="C00000"/>
                <w:sz w:val="17"/>
              </w:rPr>
              <w:t>-1.0%</w:t>
            </w:r>
          </w:p>
        </w:tc>
      </w:tr>
      <w:tr>
        <w:tc>
          <w:tcPr>
            <w:tcW w:type="dxa" w:w="1440"/>
            <w:shd w:fill="FAFAFA" w:val="clear"/>
          </w:tcPr>
          <w:p>
            <w:r>
              <w:rPr>
                <w:sz w:val="17"/>
              </w:rPr>
              <w:t>J+7  Moyenne</w:t>
            </w:r>
          </w:p>
        </w:tc>
        <w:tc>
          <w:tcPr>
            <w:tcW w:type="dxa" w:w="1440"/>
            <w:shd w:fill="FAFAFA" w:val="clear"/>
          </w:tcPr>
          <w:p>
            <w:r>
              <w:rPr>
                <w:sz w:val="17"/>
              </w:rPr>
              <w:t>2026-08-18</w:t>
            </w:r>
          </w:p>
        </w:tc>
        <w:tc>
          <w:tcPr>
            <w:tcW w:type="dxa" w:w="1440"/>
            <w:shd w:fill="FAFAFA" w:val="clear"/>
          </w:tcPr>
          <w:p>
            <w:r>
              <w:rPr>
                <w:sz w:val="17"/>
              </w:rPr>
              <w:t>2,683</w:t>
            </w:r>
          </w:p>
        </w:tc>
        <w:tc>
          <w:tcPr>
            <w:tcW w:type="dxa" w:w="1440"/>
            <w:shd w:fill="FAFAFA" w:val="clear"/>
          </w:tcPr>
          <w:p>
            <w:r>
              <w:rPr>
                <w:b/>
                <w:sz w:val="17"/>
              </w:rPr>
              <w:t>2,905</w:t>
            </w:r>
          </w:p>
        </w:tc>
        <w:tc>
          <w:tcPr>
            <w:tcW w:type="dxa" w:w="1440"/>
            <w:shd w:fill="FAFAFA" w:val="clear"/>
          </w:tcPr>
          <w:p>
            <w:r>
              <w:rPr>
                <w:sz w:val="17"/>
              </w:rPr>
              <w:t>3,128</w:t>
            </w:r>
          </w:p>
        </w:tc>
        <w:tc>
          <w:tcPr>
            <w:tcW w:type="dxa" w:w="1440"/>
            <w:shd w:fill="FAFAFA" w:val="clear"/>
          </w:tcPr>
          <w:p>
            <w:r>
              <w:rPr>
                <w:b/>
                <w:color w:val="C00000"/>
                <w:sz w:val="17"/>
              </w:rPr>
              <w:t>-1.2%</w:t>
            </w:r>
          </w:p>
        </w:tc>
      </w:tr>
      <w:tr>
        <w:tc>
          <w:tcPr>
            <w:tcW w:type="dxa" w:w="1440"/>
            <w:shd w:fill="FAFAFA" w:val="clear"/>
          </w:tcPr>
          <w:p>
            <w:r>
              <w:rPr>
                <w:sz w:val="17"/>
              </w:rPr>
              <w:t>J+8  Moyenne</w:t>
            </w:r>
          </w:p>
        </w:tc>
        <w:tc>
          <w:tcPr>
            <w:tcW w:type="dxa" w:w="1440"/>
            <w:shd w:fill="FAFAFA" w:val="clear"/>
          </w:tcPr>
          <w:p>
            <w:r>
              <w:rPr>
                <w:sz w:val="17"/>
              </w:rPr>
              <w:t>2026-08-19</w:t>
            </w:r>
          </w:p>
        </w:tc>
        <w:tc>
          <w:tcPr>
            <w:tcW w:type="dxa" w:w="1440"/>
            <w:shd w:fill="FAFAFA" w:val="clear"/>
          </w:tcPr>
          <w:p>
            <w:r>
              <w:rPr>
                <w:sz w:val="17"/>
              </w:rPr>
              <w:t>2,662</w:t>
            </w:r>
          </w:p>
        </w:tc>
        <w:tc>
          <w:tcPr>
            <w:tcW w:type="dxa" w:w="1440"/>
            <w:shd w:fill="FAFAFA" w:val="clear"/>
          </w:tcPr>
          <w:p>
            <w:r>
              <w:rPr>
                <w:b/>
                <w:sz w:val="17"/>
              </w:rPr>
              <w:t>2,899</w:t>
            </w:r>
          </w:p>
        </w:tc>
        <w:tc>
          <w:tcPr>
            <w:tcW w:type="dxa" w:w="1440"/>
            <w:shd w:fill="FAFAFA" w:val="clear"/>
          </w:tcPr>
          <w:p>
            <w:r>
              <w:rPr>
                <w:sz w:val="17"/>
              </w:rPr>
              <w:t>3,136</w:t>
            </w:r>
          </w:p>
        </w:tc>
        <w:tc>
          <w:tcPr>
            <w:tcW w:type="dxa" w:w="1440"/>
            <w:shd w:fill="FAFAFA" w:val="clear"/>
          </w:tcPr>
          <w:p>
            <w:r>
              <w:rPr>
                <w:b/>
                <w:color w:val="C00000"/>
                <w:sz w:val="17"/>
              </w:rPr>
              <w:t>-1.4%</w:t>
            </w:r>
          </w:p>
        </w:tc>
      </w:tr>
      <w:tr>
        <w:tc>
          <w:tcPr>
            <w:tcW w:type="dxa" w:w="1440"/>
            <w:shd w:fill="FAFAFA" w:val="clear"/>
          </w:tcPr>
          <w:p>
            <w:r>
              <w:rPr>
                <w:sz w:val="17"/>
              </w:rPr>
              <w:t>J+9  Moyenne</w:t>
            </w:r>
          </w:p>
        </w:tc>
        <w:tc>
          <w:tcPr>
            <w:tcW w:type="dxa" w:w="1440"/>
            <w:shd w:fill="FAFAFA" w:val="clear"/>
          </w:tcPr>
          <w:p>
            <w:r>
              <w:rPr>
                <w:sz w:val="17"/>
              </w:rPr>
              <w:t>2026-08-20</w:t>
            </w:r>
          </w:p>
        </w:tc>
        <w:tc>
          <w:tcPr>
            <w:tcW w:type="dxa" w:w="1440"/>
            <w:shd w:fill="FAFAFA" w:val="clear"/>
          </w:tcPr>
          <w:p>
            <w:r>
              <w:rPr>
                <w:sz w:val="17"/>
              </w:rPr>
              <w:t>2,642</w:t>
            </w:r>
          </w:p>
        </w:tc>
        <w:tc>
          <w:tcPr>
            <w:tcW w:type="dxa" w:w="1440"/>
            <w:shd w:fill="FAFAFA" w:val="clear"/>
          </w:tcPr>
          <w:p>
            <w:r>
              <w:rPr>
                <w:b/>
                <w:sz w:val="17"/>
              </w:rPr>
              <w:t>2,893</w:t>
            </w:r>
          </w:p>
        </w:tc>
        <w:tc>
          <w:tcPr>
            <w:tcW w:type="dxa" w:w="1440"/>
            <w:shd w:fill="FAFAFA" w:val="clear"/>
          </w:tcPr>
          <w:p>
            <w:r>
              <w:rPr>
                <w:sz w:val="17"/>
              </w:rPr>
              <w:t>3,144</w:t>
            </w:r>
          </w:p>
        </w:tc>
        <w:tc>
          <w:tcPr>
            <w:tcW w:type="dxa" w:w="1440"/>
            <w:shd w:fill="FAFAFA" w:val="clear"/>
          </w:tcPr>
          <w:p>
            <w:r>
              <w:rPr>
                <w:b/>
                <w:color w:val="C00000"/>
                <w:sz w:val="17"/>
              </w:rPr>
              <w:t>-1.6%</w:t>
            </w:r>
          </w:p>
        </w:tc>
      </w:tr>
      <w:tr>
        <w:tc>
          <w:tcPr>
            <w:tcW w:type="dxa" w:w="1440"/>
            <w:shd w:fill="FAFAFA" w:val="clear"/>
          </w:tcPr>
          <w:p>
            <w:r>
              <w:rPr>
                <w:sz w:val="17"/>
              </w:rPr>
              <w:t>J+10  Moyenne</w:t>
            </w:r>
          </w:p>
        </w:tc>
        <w:tc>
          <w:tcPr>
            <w:tcW w:type="dxa" w:w="1440"/>
            <w:shd w:fill="FAFAFA" w:val="clear"/>
          </w:tcPr>
          <w:p>
            <w:r>
              <w:rPr>
                <w:sz w:val="17"/>
              </w:rPr>
              <w:t>2026-08-21</w:t>
            </w:r>
          </w:p>
        </w:tc>
        <w:tc>
          <w:tcPr>
            <w:tcW w:type="dxa" w:w="1440"/>
            <w:shd w:fill="FAFAFA" w:val="clear"/>
          </w:tcPr>
          <w:p>
            <w:r>
              <w:rPr>
                <w:sz w:val="17"/>
              </w:rPr>
              <w:t>2,622</w:t>
            </w:r>
          </w:p>
        </w:tc>
        <w:tc>
          <w:tcPr>
            <w:tcW w:type="dxa" w:w="1440"/>
            <w:shd w:fill="FAFAFA" w:val="clear"/>
          </w:tcPr>
          <w:p>
            <w:r>
              <w:rPr>
                <w:b/>
                <w:sz w:val="17"/>
              </w:rPr>
              <w:t>2,887</w:t>
            </w:r>
          </w:p>
        </w:tc>
        <w:tc>
          <w:tcPr>
            <w:tcW w:type="dxa" w:w="1440"/>
            <w:shd w:fill="FAFAFA" w:val="clear"/>
          </w:tcPr>
          <w:p>
            <w:r>
              <w:rPr>
                <w:sz w:val="17"/>
              </w:rPr>
              <w:t>3,151</w:t>
            </w:r>
          </w:p>
        </w:tc>
        <w:tc>
          <w:tcPr>
            <w:tcW w:type="dxa" w:w="1440"/>
            <w:shd w:fill="FAFAFA" w:val="clear"/>
          </w:tcPr>
          <w:p>
            <w:r>
              <w:rPr>
                <w:b/>
                <w:color w:val="C00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(ONATEL-SA / MOOV AFRICA BURKINA FASO)**</w:t>
        <w:br/>
        <w:t>**Date de l'analyse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199,92 milliards FCFA positionne ONTBF parmi les valeurs moyennes de la BRVM, un poids significatif pour un opérateur télécom national. Avec un BPA de 234 FCFA, le titre se négocie à un PER de 12,6x, légèrement au-dessus de la moyenne historique de la place (~8-12x), ce qui traduit une valorisation modérée mais non excessive, intégrant une prime pour la solidité de l'opérateur. Le P/B de 3,47x indique que le marché valorise l'actif net comptable à plus du triple, une prime de croissance justifiée par la rentabilité élevée des capitaux propres (ROE &gt; 27%). Enfin, un EV/EBITDA de 5,2x reste raisonnable, suggérant que la valeur totale de l'entreprise (dette incluse) reste en phase avec sa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d'ONTBF affiche une variation totale de -2,65%, avec une dernière séance en baisse de -1,51% à 2 940 FCFA, signalant une pression vendeuse récente. Le titre a évolué dans un range de 2 610 FCFA (plus bas) à 3 095 FCFA (plus haut), montrant une amplitude de près de 18,6%. La moyenne (2 833 FCFA) et la médiane (2 805 FCFA) sont proches, mais le mode (2 800 FCFA) et le skewness positif (0.396) indiquent une distribution légèrement asymétrique avec une queue de distribution vers les hauts cours. L'écart-type de 100 FCFA (CV = 3,5%) révèle une dispersion très faible autour de la moyenne, tandis que le kurtosis négatif (-0.432) suggère une distribution mésokurtique, sans risque de pics extrêmes. La volatilité annualisée de 33,0% classe le titre comme très volatil (&gt;30%), ce qui implique des fluctuations de prix importantes à moyen terme, malgré une stabilité relative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(2 940 FCFA) se situe nettement au-dessus de la MM20 (2 807,25 FCFA) et de la MM50 (2 829,2 FCFA), ce qui est un signal haussier à court terme. Cependant, la décision globale est "Vente", probablement car le récent repli pourrait initier un croisement baissier si le cours continue de chuter vers ces moyennes.</w:t>
      </w:r>
    </w:p>
    <w:p>
      <w:pPr>
        <w:spacing w:after="120" w:line="276" w:lineRule="auto"/>
      </w:pPr>
      <w:r>
        <w:t>**Bandes de Bollinger** : Le prix se trouve entre la borne supérieure (3 023,01 FCFA) et la borne inférieure (2 591,49 FCFA), plus près de la borne haute, ce qui indique une pression acheteuse récente. La décision "Neutre" suggère que le marché attend une direction claire, la volatilité n'étant pas suffisamment extrême pour signaler un retournement.</w:t>
      </w:r>
    </w:p>
    <w:p>
      <w:pPr>
        <w:spacing w:after="120" w:line="276" w:lineRule="auto"/>
      </w:pPr>
      <w:r>
        <w:t>**MACD** : La valeur du MACD (45,028) est nettement supérieure à son signal (20,676), avec un écart positif croissant. Cette configuration est un signal d'achat fort, indiquant que le momentum haussier est toujours en place, même si le cours a récemment fléchi.</w:t>
      </w:r>
    </w:p>
    <w:p>
      <w:pPr>
        <w:spacing w:after="120" w:line="276" w:lineRule="auto"/>
      </w:pPr>
      <w:r>
        <w:t>**RSI** : À 73,043, le RSI entre en zone de surachat (&gt;70). Cela signifie que le titre a été fortement acheté récemment et qu'un repli technique est probable à court terme. La décision "Vente" est donc cohérente avec une correction attendue.</w:t>
      </w:r>
    </w:p>
    <w:p>
      <w:pPr>
        <w:spacing w:after="120" w:line="276" w:lineRule="auto"/>
      </w:pPr>
      <w:r>
        <w:t>**Stochastique** : Le %K (82,813) est inférieur au %D (87,5), avec les deux valeurs en zone de surachat. Ce croisement baissier potentiel renforce le signal de vente, indiquant que la dynamique haussière s'essouffle.</w:t>
      </w:r>
    </w:p>
    <w:p>
      <w:pPr>
        <w:spacing w:after="120" w:line="276" w:lineRule="auto"/>
      </w:pPr>
      <w:r>
        <w:t>**Conclusion technique** : Les indicateurs sont mitigés. Le MACD est haussier, mais le RSI et le Stochastique signalent une surachat, et les moyennes mobiles suggèrent une possible correction. La configuration actuelle penche vers un repli à court terme, mais la tendance de fond reste positive tant que le cours se maintient au-dessus des MM20/MM50.</w:t>
      </w:r>
    </w:p>
    <w:p>
      <w:pPr>
        <w:spacing w:after="120" w:line="276" w:lineRule="auto"/>
      </w:pPr>
      <w:r>
        <w:t>---</w:t>
      </w:r>
    </w:p>
    <w:p>
      <w:pPr>
        <w:spacing w:after="120" w:line="276" w:lineRule="auto"/>
      </w:pPr>
      <w:r>
        <w:t>### PARTIE 3 : ANALYSE FONDAMENTALE (SECTION CRITIQUE)</w:t>
      </w:r>
    </w:p>
    <w:p>
      <w:pPr>
        <w:spacing w:after="120" w:line="276" w:lineRule="auto"/>
      </w:pPr>
      <w:r>
        <w:t>En 2025, selon les états financiers structurés, ONTBF a réalisé un chiffre d'affaires (PNB) de 146,177 milliards FCFA, en croissance de +3,06% par rapport à 2024. Le résultat net s'établit à 15,887 milliards FCFA, en baisse de 26% par rapport à 2024 (21,47 Mds), principalement en raison d'une augmentation des charges opérationnelles (énergie, maintenance, indemnités) et d'une sanction réglementaire. La rentabilité reste néanmoins solide avec un ROE de 27,61% et un ROA de 4,89%. Le coefficient d'exploitation de 67,07% est élevé pour une banque, mais pour un opérateur télécom, il reflète une pression sur les coûts. Le coût du risque (3,57%) est élevé, indiquant un risque de crédit significatif si l'on considère les créances clients. Les rapports trimestriels 2025 (T1, S1, 9 mois) montrent une tendance à la baisse de la rentabilité, avec une marge nette passant de 15,1% en 2024 à 10,9% en 2025. Sur la base du rapport T1 2026 (CA +2,7%, marge EBITDA stable à 41,3%), on estime que l'exercice 2026 pourrait voir une stabilisation de la rentabilité, avec un résultat net potentiel autour de 16-17 milliards FCFA si la maîtrise des coûts s'améliore. La solidité financière est confortée par une trésorerie nette positive (10,65 Mds) et une capacité d'autofinancement élevée (46,95 Mds), mais l'endettement croissant (dettes financières de 107,6 Mds) pour financer les investissements (Capex de 45 Mds) reste un point de vigilance.</w:t>
      </w:r>
    </w:p>
    <w:p>
      <w:pPr>
        <w:spacing w:after="120" w:line="276" w:lineRule="auto"/>
      </w:pPr>
      <w:r>
        <w:t>---</w:t>
      </w:r>
    </w:p>
    <w:p>
      <w:pPr>
        <w:spacing w:after="120" w:line="276" w:lineRule="auto"/>
      </w:pPr>
      <w:r>
        <w:t>### PARTIE 4 : CONCLUSION D'INVESTISSEMENT</w:t>
      </w:r>
    </w:p>
    <w:p>
      <w:pPr>
        <w:spacing w:after="120" w:line="276" w:lineRule="auto"/>
      </w:pPr>
      <w:r>
        <w:t>La valorisation d'ONTBF (PER 12,6x, P/B 3,47x, EV/EBITDA 5,2x) est modérée, sans sous-évaluation flagrante, mais intégrant une prime pour sa rentabilité élevée. Le comportement du cours montre une tendance stable avec une volatilité élevée (33%), et les statistiques (kurtosis, skewness) indiquent une distribution normale sans risque de krach soudain. Les signaux techniques sont mitigés : le MACD est haussier, mais le RSI et le Stochastique suggèrent une correction à court terme. Les fondamentaux sont solides mais en dégradation (baisse du résultat net de 26% en 2025), avec une stabilisation attendue en 2026. Les prédictions IA (J+1 à J+10) prévoient une légère baisse continue du cours (de 2 945 à 2 918 FCFA), confirmant le signal de correction technique. En synthèse, la convergence entre la valorisation raisonnable, les fondamentaux solides mais en repli, et les signaux techniques baissiers à court terme conduit à une recommandation **CONSERVER**. Le niveau de confiance est **Moyen** (incertitude sur la maîtrise des coûts et le contexte sécuritaire), et le risque global est **Élevé** (volatilité, risques pays et réglementaires). L'horizon d'investissement optimal est le **moyen terme (3-12 mois)**, en attendant une amélioration visible de la rentabilité et une clarification des perspectives de croissance (FTTH, Mobile Money).</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2587.51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2,293 titres</w:t>
            </w:r>
          </w:p>
        </w:tc>
        <w:tc>
          <w:tcPr>
            <w:tcW w:type="dxa" w:w="2268"/>
            <w:shd w:fill="FFF2CC" w:val="clear"/>
          </w:tcPr>
          <w:p>
            <w:r>
              <w:rPr>
                <w:b/>
                <w:color w:val="503200"/>
                <w:sz w:val="16"/>
              </w:rPr>
              <w:t xml:space="preserve">Cours actuel : </w:t>
            </w:r>
            <w:r>
              <w:rPr>
                <w:color w:val="000000"/>
                <w:sz w:val="17"/>
              </w:rPr>
              <w:t>17,175 FCFA</w:t>
            </w:r>
          </w:p>
          <w:p>
            <w:r>
              <w:rPr>
                <w:b/>
                <w:color w:val="503200"/>
                <w:sz w:val="16"/>
              </w:rPr>
              <w:t xml:space="preserve">Var. 100 jours : </w:t>
            </w:r>
            <w:r>
              <w:rPr>
                <w:b/>
                <w:color w:val="007800"/>
                <w:sz w:val="17"/>
              </w:rPr>
              <w:t>+12.25%</w:t>
            </w:r>
          </w:p>
          <w:p>
            <w:r>
              <w:rPr>
                <w:b/>
                <w:color w:val="503200"/>
                <w:sz w:val="16"/>
              </w:rPr>
              <w:t xml:space="preserve">Plus haut 100j : </w:t>
            </w:r>
            <w:r>
              <w:rPr>
                <w:color w:val="000000"/>
                <w:sz w:val="17"/>
              </w:rPr>
              <w:t>17,175 FCFA</w:t>
            </w:r>
          </w:p>
          <w:p>
            <w:r>
              <w:rPr>
                <w:b/>
                <w:color w:val="503200"/>
                <w:sz w:val="16"/>
              </w:rPr>
              <w:t xml:space="preserve">Plus bas 100j : </w:t>
            </w:r>
            <w:r>
              <w:rPr>
                <w:color w:val="000000"/>
                <w:sz w:val="17"/>
              </w:rPr>
              <w:t>14,200 FCFA</w:t>
            </w:r>
          </w:p>
          <w:p>
            <w:r>
              <w:rPr>
                <w:b/>
                <w:color w:val="503200"/>
                <w:sz w:val="16"/>
              </w:rPr>
              <w:t xml:space="preserve">Volatilité ann. : </w:t>
            </w:r>
            <w:r>
              <w:rPr>
                <w:color w:val="000000"/>
                <w:sz w:val="17"/>
              </w:rPr>
              <w:t>29.9%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18.1/100 → Faible</w:t>
      </w:r>
    </w:p>
    <w:p>
      <w:pPr>
        <w:spacing w:before="40" w:after="80"/>
      </w:pPr>
      <w:r>
        <w:rPr>
          <w:rFonts w:ascii="Courier New" w:hAnsi="Courier New"/>
          <w:color w:val="006400"/>
          <w:sz w:val="18"/>
        </w:rPr>
        <w:t>███░░░░░░░░░░░░░░░░░  18.1/100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4.73% (Faible) — μ=15,715 FCFA, σ=744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β=1.4202 (Agressif) — Cov=0.000051, Var(idx)=0.000036, ρ=0.447,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2,293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σ_j=1.89%/j (Stable) — Vol. annualisée≈29.9%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16,571</w:t>
            </w:r>
          </w:p>
        </w:tc>
        <w:tc>
          <w:tcPr>
            <w:tcW w:type="dxa" w:w="1440"/>
            <w:shd w:fill="FAFAFA" w:val="clear"/>
          </w:tcPr>
          <w:p>
            <w:r>
              <w:rPr>
                <w:b/>
                <w:sz w:val="17"/>
              </w:rPr>
              <w:t>17,009</w:t>
            </w:r>
          </w:p>
        </w:tc>
        <w:tc>
          <w:tcPr>
            <w:tcW w:type="dxa" w:w="1440"/>
            <w:shd w:fill="FAFAFA" w:val="clear"/>
          </w:tcPr>
          <w:p>
            <w:r>
              <w:rPr>
                <w:sz w:val="17"/>
              </w:rPr>
              <w:t>17,446</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2026-08-11</w:t>
            </w:r>
          </w:p>
        </w:tc>
        <w:tc>
          <w:tcPr>
            <w:tcW w:type="dxa" w:w="1440"/>
            <w:shd w:fill="FAFAFA" w:val="clear"/>
          </w:tcPr>
          <w:p>
            <w:r>
              <w:rPr>
                <w:sz w:val="17"/>
              </w:rPr>
              <w:t>16,376</w:t>
            </w:r>
          </w:p>
        </w:tc>
        <w:tc>
          <w:tcPr>
            <w:tcW w:type="dxa" w:w="1440"/>
            <w:shd w:fill="FAFAFA" w:val="clear"/>
          </w:tcPr>
          <w:p>
            <w:r>
              <w:rPr>
                <w:b/>
                <w:sz w:val="17"/>
              </w:rPr>
              <w:t>16,995</w:t>
            </w:r>
          </w:p>
        </w:tc>
        <w:tc>
          <w:tcPr>
            <w:tcW w:type="dxa" w:w="1440"/>
            <w:shd w:fill="FAFAFA" w:val="clear"/>
          </w:tcPr>
          <w:p>
            <w:r>
              <w:rPr>
                <w:sz w:val="17"/>
              </w:rPr>
              <w:t>17,613</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16,209</w:t>
            </w:r>
          </w:p>
        </w:tc>
        <w:tc>
          <w:tcPr>
            <w:tcW w:type="dxa" w:w="1440"/>
            <w:shd w:fill="FAFAFA" w:val="clear"/>
          </w:tcPr>
          <w:p>
            <w:r>
              <w:rPr>
                <w:b/>
                <w:sz w:val="17"/>
              </w:rPr>
              <w:t>16,965</w:t>
            </w:r>
          </w:p>
        </w:tc>
        <w:tc>
          <w:tcPr>
            <w:tcW w:type="dxa" w:w="1440"/>
            <w:shd w:fill="FAFAFA" w:val="clear"/>
          </w:tcPr>
          <w:p>
            <w:r>
              <w:rPr>
                <w:sz w:val="17"/>
              </w:rPr>
              <w:t>17,720</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16,061</w:t>
            </w:r>
          </w:p>
        </w:tc>
        <w:tc>
          <w:tcPr>
            <w:tcW w:type="dxa" w:w="1440"/>
            <w:shd w:fill="FAFAFA" w:val="clear"/>
          </w:tcPr>
          <w:p>
            <w:r>
              <w:rPr>
                <w:b/>
                <w:sz w:val="17"/>
              </w:rPr>
              <w:t>16,932</w:t>
            </w:r>
          </w:p>
        </w:tc>
        <w:tc>
          <w:tcPr>
            <w:tcW w:type="dxa" w:w="1440"/>
            <w:shd w:fill="FAFAFA" w:val="clear"/>
          </w:tcPr>
          <w:p>
            <w:r>
              <w:rPr>
                <w:sz w:val="17"/>
              </w:rPr>
              <w:t>17,803</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2026-08-14</w:t>
            </w:r>
          </w:p>
        </w:tc>
        <w:tc>
          <w:tcPr>
            <w:tcW w:type="dxa" w:w="1440"/>
            <w:shd w:fill="FAFAFA" w:val="clear"/>
          </w:tcPr>
          <w:p>
            <w:r>
              <w:rPr>
                <w:sz w:val="17"/>
              </w:rPr>
              <w:t>15,927</w:t>
            </w:r>
          </w:p>
        </w:tc>
        <w:tc>
          <w:tcPr>
            <w:tcW w:type="dxa" w:w="1440"/>
            <w:shd w:fill="FAFAFA" w:val="clear"/>
          </w:tcPr>
          <w:p>
            <w:r>
              <w:rPr>
                <w:b/>
                <w:sz w:val="17"/>
              </w:rPr>
              <w:t>16,899</w:t>
            </w:r>
          </w:p>
        </w:tc>
        <w:tc>
          <w:tcPr>
            <w:tcW w:type="dxa" w:w="1440"/>
            <w:shd w:fill="FAFAFA" w:val="clear"/>
          </w:tcPr>
          <w:p>
            <w:r>
              <w:rPr>
                <w:sz w:val="17"/>
              </w:rPr>
              <w:t>17,871</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2026-08-17</w:t>
            </w:r>
          </w:p>
        </w:tc>
        <w:tc>
          <w:tcPr>
            <w:tcW w:type="dxa" w:w="1440"/>
            <w:shd w:fill="FAFAFA" w:val="clear"/>
          </w:tcPr>
          <w:p>
            <w:r>
              <w:rPr>
                <w:sz w:val="17"/>
              </w:rPr>
              <w:t>15,804</w:t>
            </w:r>
          </w:p>
        </w:tc>
        <w:tc>
          <w:tcPr>
            <w:tcW w:type="dxa" w:w="1440"/>
            <w:shd w:fill="FAFAFA" w:val="clear"/>
          </w:tcPr>
          <w:p>
            <w:r>
              <w:rPr>
                <w:b/>
                <w:sz w:val="17"/>
              </w:rPr>
              <w:t>16,867</w:t>
            </w:r>
          </w:p>
        </w:tc>
        <w:tc>
          <w:tcPr>
            <w:tcW w:type="dxa" w:w="1440"/>
            <w:shd w:fill="FAFAFA" w:val="clear"/>
          </w:tcPr>
          <w:p>
            <w:r>
              <w:rPr>
                <w:sz w:val="17"/>
              </w:rPr>
              <w:t>17,929</w:t>
            </w:r>
          </w:p>
        </w:tc>
        <w:tc>
          <w:tcPr>
            <w:tcW w:type="dxa" w:w="1440"/>
            <w:shd w:fill="FAFAFA" w:val="clear"/>
          </w:tcPr>
          <w:p>
            <w:r>
              <w:rPr>
                <w:b/>
                <w:color w:val="C00000"/>
                <w:sz w:val="17"/>
              </w:rPr>
              <w:t>-1.8%</w:t>
            </w:r>
          </w:p>
        </w:tc>
      </w:tr>
      <w:tr>
        <w:tc>
          <w:tcPr>
            <w:tcW w:type="dxa" w:w="1440"/>
            <w:shd w:fill="FAFAFA" w:val="clear"/>
          </w:tcPr>
          <w:p>
            <w:r>
              <w:rPr>
                <w:sz w:val="17"/>
              </w:rPr>
              <w:t>J+7  ⭐</w:t>
            </w:r>
          </w:p>
        </w:tc>
        <w:tc>
          <w:tcPr>
            <w:tcW w:type="dxa" w:w="1440"/>
            <w:shd w:fill="FAFAFA" w:val="clear"/>
          </w:tcPr>
          <w:p>
            <w:r>
              <w:rPr>
                <w:sz w:val="17"/>
              </w:rPr>
              <w:t>2026-08-18</w:t>
            </w:r>
          </w:p>
        </w:tc>
        <w:tc>
          <w:tcPr>
            <w:tcW w:type="dxa" w:w="1440"/>
            <w:shd w:fill="FAFAFA" w:val="clear"/>
          </w:tcPr>
          <w:p>
            <w:r>
              <w:rPr>
                <w:sz w:val="17"/>
              </w:rPr>
              <w:t>15,689</w:t>
            </w:r>
          </w:p>
        </w:tc>
        <w:tc>
          <w:tcPr>
            <w:tcW w:type="dxa" w:w="1440"/>
            <w:shd w:fill="FAFAFA" w:val="clear"/>
          </w:tcPr>
          <w:p>
            <w:r>
              <w:rPr>
                <w:b/>
                <w:sz w:val="17"/>
              </w:rPr>
              <w:t>16,835</w:t>
            </w:r>
          </w:p>
        </w:tc>
        <w:tc>
          <w:tcPr>
            <w:tcW w:type="dxa" w:w="1440"/>
            <w:shd w:fill="FAFAFA" w:val="clear"/>
          </w:tcPr>
          <w:p>
            <w:r>
              <w:rPr>
                <w:sz w:val="17"/>
              </w:rPr>
              <w:t>17,981</w:t>
            </w:r>
          </w:p>
        </w:tc>
        <w:tc>
          <w:tcPr>
            <w:tcW w:type="dxa" w:w="1440"/>
            <w:shd w:fill="FAFAFA" w:val="clear"/>
          </w:tcPr>
          <w:p>
            <w:r>
              <w:rPr>
                <w:b/>
                <w:color w:val="C00000"/>
                <w:sz w:val="17"/>
              </w:rPr>
              <w:t>-2.0%</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15,581</w:t>
            </w:r>
          </w:p>
        </w:tc>
        <w:tc>
          <w:tcPr>
            <w:tcW w:type="dxa" w:w="1440"/>
            <w:shd w:fill="FFDCE0" w:val="clear"/>
          </w:tcPr>
          <w:p>
            <w:r>
              <w:rPr>
                <w:b/>
                <w:sz w:val="17"/>
              </w:rPr>
              <w:t>16,804</w:t>
            </w:r>
          </w:p>
        </w:tc>
        <w:tc>
          <w:tcPr>
            <w:tcW w:type="dxa" w:w="1440"/>
            <w:shd w:fill="FFDCE0" w:val="clear"/>
          </w:tcPr>
          <w:p>
            <w:r>
              <w:rPr>
                <w:sz w:val="17"/>
              </w:rPr>
              <w:t>18,026</w:t>
            </w:r>
          </w:p>
        </w:tc>
        <w:tc>
          <w:tcPr>
            <w:tcW w:type="dxa" w:w="1440"/>
            <w:shd w:fill="FFDCE0" w:val="clear"/>
          </w:tcPr>
          <w:p>
            <w:r>
              <w:rPr>
                <w:b/>
                <w:color w:val="C00000"/>
                <w:sz w:val="17"/>
              </w:rPr>
              <w:t>-2.2%</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15,479</w:t>
            </w:r>
          </w:p>
        </w:tc>
        <w:tc>
          <w:tcPr>
            <w:tcW w:type="dxa" w:w="1440"/>
            <w:shd w:fill="FFDCE0" w:val="clear"/>
          </w:tcPr>
          <w:p>
            <w:r>
              <w:rPr>
                <w:b/>
                <w:sz w:val="17"/>
              </w:rPr>
              <w:t>16,773</w:t>
            </w:r>
          </w:p>
        </w:tc>
        <w:tc>
          <w:tcPr>
            <w:tcW w:type="dxa" w:w="1440"/>
            <w:shd w:fill="FFDCE0" w:val="clear"/>
          </w:tcPr>
          <w:p>
            <w:r>
              <w:rPr>
                <w:sz w:val="17"/>
              </w:rPr>
              <w:t>18,068</w:t>
            </w:r>
          </w:p>
        </w:tc>
        <w:tc>
          <w:tcPr>
            <w:tcW w:type="dxa" w:w="1440"/>
            <w:shd w:fill="FFDCE0" w:val="clear"/>
          </w:tcPr>
          <w:p>
            <w:r>
              <w:rPr>
                <w:b/>
                <w:color w:val="C00000"/>
                <w:sz w:val="17"/>
              </w:rPr>
              <w:t>-2.3%</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15,381</w:t>
            </w:r>
          </w:p>
        </w:tc>
        <w:tc>
          <w:tcPr>
            <w:tcW w:type="dxa" w:w="1440"/>
            <w:shd w:fill="FFDCE0" w:val="clear"/>
          </w:tcPr>
          <w:p>
            <w:r>
              <w:rPr>
                <w:b/>
                <w:sz w:val="17"/>
              </w:rPr>
              <w:t>16,743</w:t>
            </w:r>
          </w:p>
        </w:tc>
        <w:tc>
          <w:tcPr>
            <w:tcW w:type="dxa" w:w="1440"/>
            <w:shd w:fill="FFDCE0" w:val="clear"/>
          </w:tcPr>
          <w:p>
            <w:r>
              <w:rPr>
                <w:sz w:val="17"/>
              </w:rPr>
              <w:t>18,105</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d'ORAC s'établit à 2 587,51 milliards FCFA, ce qui en fait l'une des plus importantes capitalisations de la BRVM, représentant une part significative de la valeur totale du marché. Avec un BPA de 1 114 FCFA, chaque action génère un bénéfice substantiel pour son détenteur. Le PER de 15,4x se situe au-dessus de la moyenne historique de la BRVM (8-12x), indiquant que les investisseurs acceptent de payer une prime pour la qualité et la croissance de l'entreprise. Le P/B de 3,66x confirme cette prime, le marché valorisant le titre bien au-dessus de sa valeur comptable, ce qui reflète la confiance dans la création de valeur future. Enfin, l'EV/EBITDA de 6,2x reste dans une fourchette raisonnable (5-10x), suggérant que la valorisation globale de l'entreprise, dette incluse, demeure cohérente avec sa capacité opérationnelle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ORAC a enregistré une progression totale de +12,25%, avec une dernière séance stable (0,00%). Le cours a évolué dans un range de 14 200 FCFA (plus bas) à 17 175 FCFA (plus haut), démontrant une dynamique haussière soutenue. La moyenne du cours (15 715 FCFA) est très proche de la médiane (15 675 FCFA), indiquant une distribution symétrique des prix, confirmée par un skewness de 0,205. L'écart-type de 748 FCFA, avec un coefficient de variation de seulement 4,8%, révèle une dispersion modérée autour de la moyenne. Le kurtosis négatif (-1,110) signale une distribution platykurtique, c'est-à-dire une faible concentration des prix extrêmes, réduisant le risque de mouvements brusques. La volatilité annualisée de 29,9% positionne le titre dans la catégorie "élevée" (proche du seuil de 30%), ce qui implique des fluctuations notables mais maîtrisées sur la période.</w:t>
      </w:r>
    </w:p>
    <w:p>
      <w:pPr>
        <w:spacing w:after="120" w:line="276" w:lineRule="auto" w:before="240"/>
      </w:pPr>
      <w:r>
        <w:rPr>
          <w:b/>
          <w:color w:val="003366"/>
          <w:sz w:val="24"/>
        </w:rPr>
        <w:t>**PARTIE 2 : ANALYSE TECHNIQUE DÉTAILLÉE**</w:t>
      </w:r>
    </w:p>
    <w:p>
      <w:pPr>
        <w:spacing w:after="120" w:line="276" w:lineRule="auto"/>
      </w:pPr>
      <w:r>
        <w:t>**Moyennes Mobiles** : Le cours actuel (17 175 FCFA) se situe nettement au-dessus de la MM20 (16 513,25 FCFA) et de la MM50 (16 351,8 FCFA), confirmant une tendance haussière solide. L'écart positif entre le cours et les moyennes mobiles indique un momentum positif, justifiant la décision d'achat. La configuration des MM (MM20 &gt; MM50) renforce le signal haussier à moyen terme.</w:t>
      </w:r>
    </w:p>
    <w:p>
      <w:pPr>
        <w:spacing w:after="120" w:line="276" w:lineRule="auto"/>
      </w:pPr>
      <w:r>
        <w:t>**Bandes de Bollinger** : Le prix évolue près de la borne supérieure (17 392,93 FCFA), à seulement 217 FCFA de celle-ci, ce qui suggère une pression acheteuse soutenue. La largeur des bandes (1 759 FCFA) indique une volatilité modérée. La décision "Neutre" s'explique par la proximité du prix avec la borne supérieure, signalant une possible consolidation à court terme avant une poursuite de la tendance.</w:t>
      </w:r>
    </w:p>
    <w:p>
      <w:pPr>
        <w:spacing w:after="120" w:line="276" w:lineRule="auto"/>
      </w:pPr>
      <w:r>
        <w:t>**MACD** : Le MACD (241,598) est nettement au-dessus de sa ligne de signal (168,378), avec un écart positif de 73,22 points. Cette configuration indique un momentum haussier fort et croissant, confirmant la dynamique positive du titre. La décision d'achat est justifiée par cette divergence positive qui suggère une poursuite de la tendance haussière.</w:t>
      </w:r>
    </w:p>
    <w:p>
      <w:pPr>
        <w:spacing w:after="120" w:line="276" w:lineRule="auto"/>
      </w:pPr>
      <w:r>
        <w:t>**RSI** : Avec une valeur de 88,015, le RSI est en zone de surachat extrême (au-delà de 70). Cette situation indique que le titre est techniquement surévalué à court terme, avec un risque élevé de correction. La décision de vente est donc justifiée, même si dans une tendance haussière forte, le RSI peut rester suracheté pendant une période prolongée.</w:t>
      </w:r>
    </w:p>
    <w:p>
      <w:pPr>
        <w:spacing w:after="120" w:line="276" w:lineRule="auto"/>
      </w:pPr>
      <w:r>
        <w:t>**Stochastique** : Le %K et le %D sont tous deux à 100,0, en zone de surachat extrême. Cette configuration indique que le titre est fortement suracheté, avec un risque de retournement imminent. La décision de vente est cohérente avec cette lecture, bien que dans une tendance haussière marquée, le stochastique puisse rester à ces niveaux pendant plusieurs séances.</w:t>
      </w:r>
    </w:p>
    <w:p>
      <w:pPr>
        <w:spacing w:after="120" w:line="276" w:lineRule="auto"/>
      </w:pPr>
      <w:r>
        <w:t>**Conclusion technique** : Les indicateurs de tendance (MM, MACD) sont positifs et confirment une dynamique haussière solide. Cependant, les oscillateurs (RSI, Stochastique) signalent une situation de surachat extrême, suggérant un risque de correction à court terme. La divergence entre les indicateurs de tendance et les oscillateurs indique que le titre pourrait connaître une consolidation avant de poursuivre sa progression, ou une correction plus marquée si la pression vendeuse s'intensifie.</w:t>
      </w:r>
    </w:p>
    <w:p>
      <w:pPr>
        <w:spacing w:after="120" w:line="276" w:lineRule="auto" w:before="240"/>
      </w:pPr>
      <w:r>
        <w:rPr>
          <w:b/>
          <w:color w:val="003366"/>
          <w:sz w:val="24"/>
        </w:rPr>
        <w:t>**PARTIE 3 : ANALYSE FONDAMENTALE (SECTION CRITIQUE)**</w:t>
      </w:r>
    </w:p>
    <w:p>
      <w:pPr>
        <w:spacing w:after="120" w:line="276" w:lineRule="auto"/>
      </w:pPr>
      <w:r>
        <w:t>En 2025, Orange Côte d'Ivoire affiche des résultats financiers solides : le chiffre d'affaires consolidé s'établit à 1 197,1 milliards FCFA, en progression de +10,4% par rapport à 2024 (1 084,1 milliards FCFA). Le résultat net consolidé atteint 167,8 milliards FCFA (+6,1%), avec un résultat net part du groupe de 129,1 milliards FCFA (+14,5%). La rentabilité reste excellente avec un ROE de 23,7% (largement au-dessus du seuil de 15% considéré comme excellent) et un ROA de 6,6%. La marge nette s'établit à 14,0%, tandis que la marge opérationnelle atteint 24,0%. Le BFR négatif de -198 milliards FCFA constitue un avantage majeur, indiquant que l'entreprise finance son cycle d'exploitation par ses fournisseurs (délai fournisseurs de 210,9 jours contre 52,3 jours pour les clients). L'endettement reste maîtrisé avec une capacité de remboursement de 0,99 an. Les rapports trimestriels 2025 montrent une croissance soutenue du CA (+9,9% au S1 et au T3), mais une stagnation du résultat net (+0,5% au S1, +0,2% au T3) due à l'augmentation des charges financières. Le T1 2026 marque une nette amélioration avec un CA de 325,6 milliards FCFA (+14,8%) et un résultat net de 48,3 milliards FCFA (+25,2%), suggérant une inversion de tendance positive. Le dividende proposé de 800 FCFA brut par action (rapport annuel 2025 et convocation AG du 29 avril 2026) offre un rendement attractif. La solidité financière, la croissance diversifiée (mobile, fibre, Orange Money) et les perspectives prometteuses justifient une recommandation d'achat.</w:t>
      </w:r>
    </w:p>
    <w:p>
      <w:pPr>
        <w:spacing w:after="120" w:line="276" w:lineRule="auto" w:before="240"/>
      </w:pPr>
      <w:r>
        <w:rPr>
          <w:b/>
          <w:color w:val="003366"/>
          <w:sz w:val="24"/>
        </w:rPr>
        <w:t>**PARTIE 4 : CONCLUSION D'INVESTISSEMENT**</w:t>
      </w:r>
    </w:p>
    <w:p>
      <w:pPr>
        <w:spacing w:after="120" w:line="276" w:lineRule="auto"/>
      </w:pPr>
      <w:r>
        <w:t>La valorisation d'ORAC (PER 15,4x, P/B 3,66x, EV/EBITDA 6,2x) reflète une prime de croissance justifiée par la qualité des fondamentaux, bien que le PER soit supérieur à la moyenne BRVM. Le comportement du cours sur 100 jours (+12,25%) démontre une tendance haussière solide, avec une volatilité élevée (29,9%) mais une distribution symétrique des prix (skewness 0,205) et un faible risque de pics (kurtosis -1,110). Les signaux techniques sont contrastés : les indicateurs de tendance (MM, MACD) sont positifs, mais les oscillateurs (RSI 88, RSI et Stochastique 100) signalent un surachat extrême, suggérant un risque de correction à court terme. Les fondamentaux restent excellents avec une croissance du CA de +10,4% en 2025, un ROE de 23,7%, et une amélioration significative au T1 2026 (+14,8% CA, +25,2% résultat net). Les prédictions IA (17 009 FCFA à J+10) indiquent une légère consolidation par rapport au cours actuel (17 175 FCFA), confirmant le scénario de correction technique. La convergence entre les fondamentaux solides et les signaux techniques de surachat suggère une recommandation **CONSERVER** avec un niveau de confiance **Moyen** et un risque global **Moyen**. L'horizon d'investissement optimal serait le **moyen terme (3-12 mois)**, en attendant une correction technique pour renforcer les positions, tout en bénéficiant du dividende attractif de 800 FCFA par action.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216.92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6,791 titres</w:t>
            </w:r>
          </w:p>
        </w:tc>
        <w:tc>
          <w:tcPr>
            <w:tcW w:type="dxa" w:w="2268"/>
            <w:shd w:fill="FFF2CC" w:val="clear"/>
          </w:tcPr>
          <w:p>
            <w:r>
              <w:rPr>
                <w:b/>
                <w:color w:val="503200"/>
                <w:sz w:val="16"/>
              </w:rPr>
              <w:t xml:space="preserve">Cours actuel : </w:t>
            </w:r>
            <w:r>
              <w:rPr>
                <w:color w:val="000000"/>
                <w:sz w:val="17"/>
              </w:rPr>
              <w:t>3,125 FCFA</w:t>
            </w:r>
          </w:p>
          <w:p>
            <w:r>
              <w:rPr>
                <w:b/>
                <w:color w:val="503200"/>
                <w:sz w:val="16"/>
              </w:rPr>
              <w:t xml:space="preserve">Var. 100 jours : </w:t>
            </w:r>
            <w:r>
              <w:rPr>
                <w:b/>
                <w:color w:val="B40000"/>
                <w:sz w:val="17"/>
              </w:rPr>
              <w:t>-17.22%</w:t>
            </w:r>
          </w:p>
          <w:p>
            <w:r>
              <w:rPr>
                <w:b/>
                <w:color w:val="503200"/>
                <w:sz w:val="16"/>
              </w:rPr>
              <w:t xml:space="preserve">Plus haut 100j : </w:t>
            </w:r>
            <w:r>
              <w:rPr>
                <w:color w:val="000000"/>
                <w:sz w:val="17"/>
              </w:rPr>
              <w:t>3,995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13.93% (Moyenne) — μ=3,025 FCFA, σ=421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β=0.2961 (Défensif) — Cov=0.000011, Var(idx)=0.000036, ρ=0.061,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6,791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σ_j=2.92%/j (Stable) — Vol. annualisée≈46.4%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3,017</w:t>
            </w:r>
          </w:p>
        </w:tc>
        <w:tc>
          <w:tcPr>
            <w:tcW w:type="dxa" w:w="1440"/>
            <w:shd w:fill="FAFAFA" w:val="clear"/>
          </w:tcPr>
          <w:p>
            <w:r>
              <w:rPr>
                <w:b/>
                <w:sz w:val="17"/>
              </w:rPr>
              <w:t>3,109</w:t>
            </w:r>
          </w:p>
        </w:tc>
        <w:tc>
          <w:tcPr>
            <w:tcW w:type="dxa" w:w="1440"/>
            <w:shd w:fill="FAFAFA" w:val="clear"/>
          </w:tcPr>
          <w:p>
            <w:r>
              <w:rPr>
                <w:sz w:val="17"/>
              </w:rPr>
              <w:t>3,202</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2,973</w:t>
            </w:r>
          </w:p>
        </w:tc>
        <w:tc>
          <w:tcPr>
            <w:tcW w:type="dxa" w:w="1440"/>
            <w:shd w:fill="FAFAFA" w:val="clear"/>
          </w:tcPr>
          <w:p>
            <w:r>
              <w:rPr>
                <w:b/>
                <w:sz w:val="17"/>
              </w:rPr>
              <w:t>3,104</w:t>
            </w:r>
          </w:p>
        </w:tc>
        <w:tc>
          <w:tcPr>
            <w:tcW w:type="dxa" w:w="1440"/>
            <w:shd w:fill="FAFAFA" w:val="clear"/>
          </w:tcPr>
          <w:p>
            <w:r>
              <w:rPr>
                <w:sz w:val="17"/>
              </w:rPr>
              <w:t>3,234</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2,940</w:t>
            </w:r>
          </w:p>
        </w:tc>
        <w:tc>
          <w:tcPr>
            <w:tcW w:type="dxa" w:w="1440"/>
            <w:shd w:fill="FAFAFA" w:val="clear"/>
          </w:tcPr>
          <w:p>
            <w:r>
              <w:rPr>
                <w:b/>
                <w:sz w:val="17"/>
              </w:rPr>
              <w:t>3,099</w:t>
            </w:r>
          </w:p>
        </w:tc>
        <w:tc>
          <w:tcPr>
            <w:tcW w:type="dxa" w:w="1440"/>
            <w:shd w:fill="FAFAFA" w:val="clear"/>
          </w:tcPr>
          <w:p>
            <w:r>
              <w:rPr>
                <w:sz w:val="17"/>
              </w:rPr>
              <w:t>3,258</w:t>
            </w:r>
          </w:p>
        </w:tc>
        <w:tc>
          <w:tcPr>
            <w:tcW w:type="dxa" w:w="1440"/>
            <w:shd w:fill="FAFAFA" w:val="clear"/>
          </w:tcPr>
          <w:p>
            <w:r>
              <w:rPr>
                <w:b/>
                <w:color w:val="C00000"/>
                <w:sz w:val="17"/>
              </w:rPr>
              <w:t>-0.8%</w:t>
            </w:r>
          </w:p>
        </w:tc>
      </w:tr>
      <w:tr>
        <w:tc>
          <w:tcPr>
            <w:tcW w:type="dxa" w:w="1440"/>
            <w:shd w:fill="FAFAFA" w:val="clear"/>
          </w:tcPr>
          <w:p>
            <w:r>
              <w:rPr>
                <w:sz w:val="17"/>
              </w:rPr>
              <w:t>J+4  Moyenne</w:t>
            </w:r>
          </w:p>
        </w:tc>
        <w:tc>
          <w:tcPr>
            <w:tcW w:type="dxa" w:w="1440"/>
            <w:shd w:fill="FAFAFA" w:val="clear"/>
          </w:tcPr>
          <w:p>
            <w:r>
              <w:rPr>
                <w:sz w:val="17"/>
              </w:rPr>
              <w:t>2026-08-13</w:t>
            </w:r>
          </w:p>
        </w:tc>
        <w:tc>
          <w:tcPr>
            <w:tcW w:type="dxa" w:w="1440"/>
            <w:shd w:fill="FAFAFA" w:val="clear"/>
          </w:tcPr>
          <w:p>
            <w:r>
              <w:rPr>
                <w:sz w:val="17"/>
              </w:rPr>
              <w:t>2,911</w:t>
            </w:r>
          </w:p>
        </w:tc>
        <w:tc>
          <w:tcPr>
            <w:tcW w:type="dxa" w:w="1440"/>
            <w:shd w:fill="FAFAFA" w:val="clear"/>
          </w:tcPr>
          <w:p>
            <w:r>
              <w:rPr>
                <w:b/>
                <w:sz w:val="17"/>
              </w:rPr>
              <w:t>3,095</w:t>
            </w:r>
          </w:p>
        </w:tc>
        <w:tc>
          <w:tcPr>
            <w:tcW w:type="dxa" w:w="1440"/>
            <w:shd w:fill="FAFAFA" w:val="clear"/>
          </w:tcPr>
          <w:p>
            <w:r>
              <w:rPr>
                <w:sz w:val="17"/>
              </w:rPr>
              <w:t>3,279</w:t>
            </w:r>
          </w:p>
        </w:tc>
        <w:tc>
          <w:tcPr>
            <w:tcW w:type="dxa" w:w="1440"/>
            <w:shd w:fill="FAFAFA" w:val="clear"/>
          </w:tcPr>
          <w:p>
            <w:r>
              <w:rPr>
                <w:b/>
                <w:color w:val="C00000"/>
                <w:sz w:val="17"/>
              </w:rPr>
              <w:t>-1.0%</w:t>
            </w:r>
          </w:p>
        </w:tc>
      </w:tr>
      <w:tr>
        <w:tc>
          <w:tcPr>
            <w:tcW w:type="dxa" w:w="1440"/>
            <w:shd w:fill="FAFAFA" w:val="clear"/>
          </w:tcPr>
          <w:p>
            <w:r>
              <w:rPr>
                <w:sz w:val="17"/>
              </w:rPr>
              <w:t>J+5  Moyenne</w:t>
            </w:r>
          </w:p>
        </w:tc>
        <w:tc>
          <w:tcPr>
            <w:tcW w:type="dxa" w:w="1440"/>
            <w:shd w:fill="FAFAFA" w:val="clear"/>
          </w:tcPr>
          <w:p>
            <w:r>
              <w:rPr>
                <w:sz w:val="17"/>
              </w:rPr>
              <w:t>2026-08-14</w:t>
            </w:r>
          </w:p>
        </w:tc>
        <w:tc>
          <w:tcPr>
            <w:tcW w:type="dxa" w:w="1440"/>
            <w:shd w:fill="FAFAFA" w:val="clear"/>
          </w:tcPr>
          <w:p>
            <w:r>
              <w:rPr>
                <w:sz w:val="17"/>
              </w:rPr>
              <w:t>2,887</w:t>
            </w:r>
          </w:p>
        </w:tc>
        <w:tc>
          <w:tcPr>
            <w:tcW w:type="dxa" w:w="1440"/>
            <w:shd w:fill="FAFAFA" w:val="clear"/>
          </w:tcPr>
          <w:p>
            <w:r>
              <w:rPr>
                <w:b/>
                <w:sz w:val="17"/>
              </w:rPr>
              <w:t>3,092</w:t>
            </w:r>
          </w:p>
        </w:tc>
        <w:tc>
          <w:tcPr>
            <w:tcW w:type="dxa" w:w="1440"/>
            <w:shd w:fill="FAFAFA" w:val="clear"/>
          </w:tcPr>
          <w:p>
            <w:r>
              <w:rPr>
                <w:sz w:val="17"/>
              </w:rPr>
              <w:t>3,297</w:t>
            </w:r>
          </w:p>
        </w:tc>
        <w:tc>
          <w:tcPr>
            <w:tcW w:type="dxa" w:w="1440"/>
            <w:shd w:fill="FAFAFA" w:val="clear"/>
          </w:tcPr>
          <w:p>
            <w:r>
              <w:rPr>
                <w:b/>
                <w:color w:val="C00000"/>
                <w:sz w:val="17"/>
              </w:rPr>
              <w:t>-1.1%</w:t>
            </w:r>
          </w:p>
        </w:tc>
      </w:tr>
      <w:tr>
        <w:tc>
          <w:tcPr>
            <w:tcW w:type="dxa" w:w="1440"/>
            <w:shd w:fill="FAFAFA" w:val="clear"/>
          </w:tcPr>
          <w:p>
            <w:r>
              <w:rPr>
                <w:sz w:val="17"/>
              </w:rPr>
              <w:t>J+6  Moyenne</w:t>
            </w:r>
          </w:p>
        </w:tc>
        <w:tc>
          <w:tcPr>
            <w:tcW w:type="dxa" w:w="1440"/>
            <w:shd w:fill="FAFAFA" w:val="clear"/>
          </w:tcPr>
          <w:p>
            <w:r>
              <w:rPr>
                <w:sz w:val="17"/>
              </w:rPr>
              <w:t>2026-08-17</w:t>
            </w:r>
          </w:p>
        </w:tc>
        <w:tc>
          <w:tcPr>
            <w:tcW w:type="dxa" w:w="1440"/>
            <w:shd w:fill="FAFAFA" w:val="clear"/>
          </w:tcPr>
          <w:p>
            <w:r>
              <w:rPr>
                <w:sz w:val="17"/>
              </w:rPr>
              <w:t>2,865</w:t>
            </w:r>
          </w:p>
        </w:tc>
        <w:tc>
          <w:tcPr>
            <w:tcW w:type="dxa" w:w="1440"/>
            <w:shd w:fill="FAFAFA" w:val="clear"/>
          </w:tcPr>
          <w:p>
            <w:r>
              <w:rPr>
                <w:b/>
                <w:sz w:val="17"/>
              </w:rPr>
              <w:t>3,089</w:t>
            </w:r>
          </w:p>
        </w:tc>
        <w:tc>
          <w:tcPr>
            <w:tcW w:type="dxa" w:w="1440"/>
            <w:shd w:fill="FAFAFA" w:val="clear"/>
          </w:tcPr>
          <w:p>
            <w:r>
              <w:rPr>
                <w:sz w:val="17"/>
              </w:rPr>
              <w:t>3,314</w:t>
            </w:r>
          </w:p>
        </w:tc>
        <w:tc>
          <w:tcPr>
            <w:tcW w:type="dxa" w:w="1440"/>
            <w:shd w:fill="FAFAFA" w:val="clear"/>
          </w:tcPr>
          <w:p>
            <w:r>
              <w:rPr>
                <w:b/>
                <w:color w:val="C00000"/>
                <w:sz w:val="17"/>
              </w:rPr>
              <w:t>-1.1%</w:t>
            </w:r>
          </w:p>
        </w:tc>
      </w:tr>
      <w:tr>
        <w:tc>
          <w:tcPr>
            <w:tcW w:type="dxa" w:w="1440"/>
            <w:shd w:fill="FAFAFA" w:val="clear"/>
          </w:tcPr>
          <w:p>
            <w:r>
              <w:rPr>
                <w:sz w:val="17"/>
              </w:rPr>
              <w:t>J+7  Moyenne</w:t>
            </w:r>
          </w:p>
        </w:tc>
        <w:tc>
          <w:tcPr>
            <w:tcW w:type="dxa" w:w="1440"/>
            <w:shd w:fill="FAFAFA" w:val="clear"/>
          </w:tcPr>
          <w:p>
            <w:r>
              <w:rPr>
                <w:sz w:val="17"/>
              </w:rPr>
              <w:t>2026-08-18</w:t>
            </w:r>
          </w:p>
        </w:tc>
        <w:tc>
          <w:tcPr>
            <w:tcW w:type="dxa" w:w="1440"/>
            <w:shd w:fill="FAFAFA" w:val="clear"/>
          </w:tcPr>
          <w:p>
            <w:r>
              <w:rPr>
                <w:sz w:val="17"/>
              </w:rPr>
              <w:t>2,844</w:t>
            </w:r>
          </w:p>
        </w:tc>
        <w:tc>
          <w:tcPr>
            <w:tcW w:type="dxa" w:w="1440"/>
            <w:shd w:fill="FAFAFA" w:val="clear"/>
          </w:tcPr>
          <w:p>
            <w:r>
              <w:rPr>
                <w:b/>
                <w:sz w:val="17"/>
              </w:rPr>
              <w:t>3,087</w:t>
            </w:r>
          </w:p>
        </w:tc>
        <w:tc>
          <w:tcPr>
            <w:tcW w:type="dxa" w:w="1440"/>
            <w:shd w:fill="FAFAFA" w:val="clear"/>
          </w:tcPr>
          <w:p>
            <w:r>
              <w:rPr>
                <w:sz w:val="17"/>
              </w:rPr>
              <w:t>3,329</w:t>
            </w:r>
          </w:p>
        </w:tc>
        <w:tc>
          <w:tcPr>
            <w:tcW w:type="dxa" w:w="1440"/>
            <w:shd w:fill="FAFAFA" w:val="clear"/>
          </w:tcPr>
          <w:p>
            <w:r>
              <w:rPr>
                <w:b/>
                <w:color w:val="C00000"/>
                <w:sz w:val="17"/>
              </w:rPr>
              <w:t>-1.2%</w:t>
            </w:r>
          </w:p>
        </w:tc>
      </w:tr>
      <w:tr>
        <w:tc>
          <w:tcPr>
            <w:tcW w:type="dxa" w:w="1440"/>
            <w:shd w:fill="FAFAFA" w:val="clear"/>
          </w:tcPr>
          <w:p>
            <w:r>
              <w:rPr>
                <w:sz w:val="17"/>
              </w:rPr>
              <w:t>J+8  Moyenne</w:t>
            </w:r>
          </w:p>
        </w:tc>
        <w:tc>
          <w:tcPr>
            <w:tcW w:type="dxa" w:w="1440"/>
            <w:shd w:fill="FAFAFA" w:val="clear"/>
          </w:tcPr>
          <w:p>
            <w:r>
              <w:rPr>
                <w:sz w:val="17"/>
              </w:rPr>
              <w:t>2026-08-19</w:t>
            </w:r>
          </w:p>
        </w:tc>
        <w:tc>
          <w:tcPr>
            <w:tcW w:type="dxa" w:w="1440"/>
            <w:shd w:fill="FAFAFA" w:val="clear"/>
          </w:tcPr>
          <w:p>
            <w:r>
              <w:rPr>
                <w:sz w:val="17"/>
              </w:rPr>
              <w:t>2,825</w:t>
            </w:r>
          </w:p>
        </w:tc>
        <w:tc>
          <w:tcPr>
            <w:tcW w:type="dxa" w:w="1440"/>
            <w:shd w:fill="FAFAFA" w:val="clear"/>
          </w:tcPr>
          <w:p>
            <w:r>
              <w:rPr>
                <w:b/>
                <w:sz w:val="17"/>
              </w:rPr>
              <w:t>3,084</w:t>
            </w:r>
          </w:p>
        </w:tc>
        <w:tc>
          <w:tcPr>
            <w:tcW w:type="dxa" w:w="1440"/>
            <w:shd w:fill="FAFAFA" w:val="clear"/>
          </w:tcPr>
          <w:p>
            <w:r>
              <w:rPr>
                <w:sz w:val="17"/>
              </w:rPr>
              <w:t>3,343</w:t>
            </w:r>
          </w:p>
        </w:tc>
        <w:tc>
          <w:tcPr>
            <w:tcW w:type="dxa" w:w="1440"/>
            <w:shd w:fill="FAFAFA" w:val="clear"/>
          </w:tcPr>
          <w:p>
            <w:r>
              <w:rPr>
                <w:b/>
                <w:color w:val="C00000"/>
                <w:sz w:val="17"/>
              </w:rPr>
              <w:t>-1.3%</w:t>
            </w:r>
          </w:p>
        </w:tc>
      </w:tr>
      <w:tr>
        <w:tc>
          <w:tcPr>
            <w:tcW w:type="dxa" w:w="1440"/>
            <w:shd w:fill="FAFAFA" w:val="clear"/>
          </w:tcPr>
          <w:p>
            <w:r>
              <w:rPr>
                <w:sz w:val="17"/>
              </w:rPr>
              <w:t>J+9  Moyenne</w:t>
            </w:r>
          </w:p>
        </w:tc>
        <w:tc>
          <w:tcPr>
            <w:tcW w:type="dxa" w:w="1440"/>
            <w:shd w:fill="FAFAFA" w:val="clear"/>
          </w:tcPr>
          <w:p>
            <w:r>
              <w:rPr>
                <w:sz w:val="17"/>
              </w:rPr>
              <w:t>2026-08-20</w:t>
            </w:r>
          </w:p>
        </w:tc>
        <w:tc>
          <w:tcPr>
            <w:tcW w:type="dxa" w:w="1440"/>
            <w:shd w:fill="FAFAFA" w:val="clear"/>
          </w:tcPr>
          <w:p>
            <w:r>
              <w:rPr>
                <w:sz w:val="17"/>
              </w:rPr>
              <w:t>2,807</w:t>
            </w:r>
          </w:p>
        </w:tc>
        <w:tc>
          <w:tcPr>
            <w:tcW w:type="dxa" w:w="1440"/>
            <w:shd w:fill="FAFAFA" w:val="clear"/>
          </w:tcPr>
          <w:p>
            <w:r>
              <w:rPr>
                <w:b/>
                <w:sz w:val="17"/>
              </w:rPr>
              <w:t>3,081</w:t>
            </w:r>
          </w:p>
        </w:tc>
        <w:tc>
          <w:tcPr>
            <w:tcW w:type="dxa" w:w="1440"/>
            <w:shd w:fill="FAFAFA" w:val="clear"/>
          </w:tcPr>
          <w:p>
            <w:r>
              <w:rPr>
                <w:sz w:val="17"/>
              </w:rPr>
              <w:t>3,356</w:t>
            </w:r>
          </w:p>
        </w:tc>
        <w:tc>
          <w:tcPr>
            <w:tcW w:type="dxa" w:w="1440"/>
            <w:shd w:fill="FAFAFA" w:val="clear"/>
          </w:tcPr>
          <w:p>
            <w:r>
              <w:rPr>
                <w:b/>
                <w:color w:val="C00000"/>
                <w:sz w:val="17"/>
              </w:rPr>
              <w:t>-1.4%</w:t>
            </w:r>
          </w:p>
        </w:tc>
      </w:tr>
      <w:tr>
        <w:tc>
          <w:tcPr>
            <w:tcW w:type="dxa" w:w="1440"/>
            <w:shd w:fill="FAFAFA" w:val="clear"/>
          </w:tcPr>
          <w:p>
            <w:r>
              <w:rPr>
                <w:sz w:val="17"/>
              </w:rPr>
              <w:t>J+10  Moyenne</w:t>
            </w:r>
          </w:p>
        </w:tc>
        <w:tc>
          <w:tcPr>
            <w:tcW w:type="dxa" w:w="1440"/>
            <w:shd w:fill="FAFAFA" w:val="clear"/>
          </w:tcPr>
          <w:p>
            <w:r>
              <w:rPr>
                <w:sz w:val="17"/>
              </w:rPr>
              <w:t>2026-08-21</w:t>
            </w:r>
          </w:p>
        </w:tc>
        <w:tc>
          <w:tcPr>
            <w:tcW w:type="dxa" w:w="1440"/>
            <w:shd w:fill="FAFAFA" w:val="clear"/>
          </w:tcPr>
          <w:p>
            <w:r>
              <w:rPr>
                <w:sz w:val="17"/>
              </w:rPr>
              <w:t>2,790</w:t>
            </w:r>
          </w:p>
        </w:tc>
        <w:tc>
          <w:tcPr>
            <w:tcW w:type="dxa" w:w="1440"/>
            <w:shd w:fill="FAFAFA" w:val="clear"/>
          </w:tcPr>
          <w:p>
            <w:r>
              <w:rPr>
                <w:b/>
                <w:sz w:val="17"/>
              </w:rPr>
              <w:t>3,079</w:t>
            </w:r>
          </w:p>
        </w:tc>
        <w:tc>
          <w:tcPr>
            <w:tcW w:type="dxa" w:w="1440"/>
            <w:shd w:fill="FAFAFA" w:val="clear"/>
          </w:tcPr>
          <w:p>
            <w:r>
              <w:rPr>
                <w:sz w:val="17"/>
              </w:rPr>
              <w:t>3,368</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d'ORGT s'établit à 216,92 milliards FCFA, un niveau significatif qui la positionne parmi les valeurs moyennes à grandes capitalisations de la BRVM. Avec un BPA de 312 FCFA, chaque action génère un bénéfice confortable, justifiant un PER de 10,0x, en phase avec la moyenne historique du marché (8-12x), ce qui traduit une valorisation raisonnable. Le P/B de 1,92x indique que le marché valorise la société à près du double de sa valeur comptable, ce qui est acceptable pour une banque rentable. Cependant, l'EV/EBITDA de 19,9x, nettement supérieur au seuil de 15x, suggère que la valeur totale de l'entreprise (dette incluse) est exigeante par rapport à sa capacité opérationnelle, signalant une certaine prudence sur le plan de la valorisation absolue.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ORGT a enregistré une baisse substantielle de -17,22%, avec une dernière séance en léger repli de -0,48% à 3 125 FCFA. Le cours a évolué dans une fourchette large de 1 560 FCFA, oscillant entre un plus haut de 3 995 FCFA et un plus bas de 2 435 FCFA, illustrant une forte amplitude de trading. La moyenne (3 025 FCFA) est supérieure à la médiane (2 780 FCFA), ce qui, combiné à un skewness positif de 0,620, indique une distribution asymétrique avec des journées de forte hausse ponctuelles dans une tendance globalement baissière. L'écart-type de 423 FCFA (CV de 14%) montre une dispersion modérée, mais le kurtosis négatif (-1,067) suggère une distribution aplatie, avec moins de valeurs extrêmes que la normale. La volatilité annualisée de 46,4% classe le titre comme très volatil, un niveau élevé qui reflète une incertitude marquée des investisseurs.</w:t>
      </w:r>
    </w:p>
    <w:p>
      <w:pPr>
        <w:spacing w:after="120" w:line="276" w:lineRule="auto" w:before="240"/>
      </w:pPr>
      <w:r>
        <w:rPr>
          <w:b/>
          <w:color w:val="003366"/>
          <w:sz w:val="24"/>
        </w:rPr>
        <w:t>**PARTIE 2 : ANALYSE TECHNIQUE DÉTAILLÉE**</w:t>
      </w:r>
    </w:p>
    <w:p>
      <w:pPr>
        <w:spacing w:after="120" w:line="276" w:lineRule="auto"/>
      </w:pPr>
      <w:r>
        <w:t>Les moyennes mobiles (MM20 à 2 831,5 FCFA et MM50 à 2 764,1 FCFA) sont toutes deux inférieures au cours actuel de 3 125 FCFA, indiquant une dynamique haussière à court et moyen terme. Le signal d'achat est justifié par la position du prix au-dessus de ces moyennes, suggérant un momentum positif malgré la baisse passée.</w:t>
      </w:r>
    </w:p>
    <w:p>
      <w:pPr>
        <w:spacing w:after="120" w:line="276" w:lineRule="auto"/>
      </w:pPr>
      <w:r>
        <w:t>Le cours se situe sous la borne supérieure des bandes de Bollinger (3 234,99 FCFA) mais nettement au-dessus de la borne inférieure (2 428,01 FCFA). Cette position neutre indique que le prix est dans la partie haute de l'enveloppe, sans être en situation de surachat extrême, avec une volatilité qui reste contenue.</w:t>
      </w:r>
    </w:p>
    <w:p>
      <w:pPr>
        <w:spacing w:after="120" w:line="276" w:lineRule="auto"/>
      </w:pPr>
      <w:r>
        <w:t>Le MACD affiche une valeur de 111,28 contre un signal de 64,56, montrant une divergence positive significative. Ce croisement haussier confirme un momentum de court terme favorable, avec une dynamique qui pourrait se poursuivre si l'écart se maintient.</w:t>
      </w:r>
    </w:p>
    <w:p>
      <w:pPr>
        <w:spacing w:after="120" w:line="276" w:lineRule="auto"/>
      </w:pPr>
      <w:r>
        <w:t>Le RSI à 87,4 est en zone de surachat sévère (au-delà de 70), signalant que le titre a fortement monté récemment et qu'un repli technique est probable à court terme. Cette lecture justifie une décision de vente pour les traders à horizon très court.</w:t>
      </w:r>
    </w:p>
    <w:p>
      <w:pPr>
        <w:spacing w:after="120" w:line="276" w:lineRule="auto"/>
      </w:pPr>
      <w:r>
        <w:t>Le stochastique (%K à 94,68 et %D à 97,52) est également en zone de surachat extrême, avec les deux lignes très proches, indiquant un épuisement potentiel du mouvement haussier. La décision de vente est cohérente avec cette configuration, bien qu'aucun croisement baissier ne soit encore intervenu.</w:t>
      </w:r>
    </w:p>
    <w:p>
      <w:pPr>
        <w:spacing w:after="120" w:line="276" w:lineRule="auto"/>
      </w:pPr>
      <w:r>
        <w:t>En conclusion, les indicateurs de tendance (MM, MACD) sont positifs, mais les oscillateurs (RSI, Stochastique) signalent un surachat important. Cette divergence suggère qu'un repli technique est probable avant une éventuelle poursuite de la hausse, rendant la prudence de mise à très court terme.</w:t>
      </w:r>
    </w:p>
    <w:p>
      <w:pPr>
        <w:spacing w:after="120" w:line="276" w:lineRule="auto" w:before="240"/>
      </w:pPr>
      <w:r>
        <w:rPr>
          <w:b/>
          <w:color w:val="003366"/>
          <w:sz w:val="24"/>
        </w:rPr>
        <w:t>**PARTIE 3 : ANALYSE FONDAMENTALE (SECTION CRITIQUE)**</w:t>
      </w:r>
    </w:p>
    <w:p>
      <w:pPr>
        <w:spacing w:after="120" w:line="276" w:lineRule="auto"/>
      </w:pPr>
      <w:r>
        <w:t>En 2025, le Produit Net Bancaire (PNB) d'ORGT s'établit à 186,609 milliards FCFA, en baisse de -4,5% par rapport à 2024 (195,436 milliards FCFA), illustrant une contraction de l'activité dans un environnement difficile. Le résultat net consolidé est de 21,643 milliards FCFA, contre une perte de -44,363 milliards en 2024, marquant un retour spectaculaire à la rentabilité. Cette performance s'explique par une réduction drastique du coût du risque (-90%, à -6,971 milliards FCFA) et une maîtrise des charges générales (-12%). Le ROE de 19,13% est excellent, et le coefficient d'exploitation de 42,85% témoigne d'une efficacité opérationnelle remarquable. Cependant, le ratio de transformation (créances clientèle de 1 523,765 milliards pour des dépôts de 3 088,698 milliards) montre une liquidité abondante mais une capacité limitée à placer ses ressources. Les rapports trimestriels 2025 (T1, S1, T3) confirment la tendance : le résultat net cumulé à fin septembre atteint 19,6 milliards FCFA (+248%), et le T1 2026 (rapport daté de 2026) montre une progression de +37% du résultat net à 6,555 milliards FCFA, malgré un PNB en baisse. On estime que l'exercice 2026 devrait consolider cette dynamique, avec une poursuite de l'amélioration du coût du risque et une stabilisation du PNB. La solidité financière est renforcée par des capitaux propres de 113,165 milliards FCFA (+17%), mais la dépendance à la réduction des provisions et l'absence de dividende (comptes sociaux déficitaires) restent des points de vigilance.</w:t>
      </w:r>
    </w:p>
    <w:p>
      <w:pPr>
        <w:spacing w:after="120" w:line="276" w:lineRule="auto" w:before="240"/>
      </w:pPr>
      <w:r>
        <w:rPr>
          <w:b/>
          <w:color w:val="003366"/>
          <w:sz w:val="24"/>
        </w:rPr>
        <w:t>**PARTIE 4 : CONCLUSION D'INVESTISSEMENT**</w:t>
      </w:r>
    </w:p>
    <w:p>
      <w:pPr>
        <w:spacing w:after="120" w:line="276" w:lineRule="auto"/>
      </w:pPr>
      <w:r>
        <w:t>La valorisation d'ORGT est modérée (PER de 10x, P/B de 1,92x), mais l'EV/EBITDA élevé (19,9x) tempère l'attrait. Le comportement du cours sur 100 jours est baissier (-17,22%) avec une volatilité très élevée (46,4%), mais les statistiques montrent une asymétrie positive, suggérant un potentiel de rebond. Les signaux techniques sont partagés : les moyennes mobiles et le MACD sont positifs, tandis que le RSI et le stochastique indiquent un surachat imminent, préfigurant un repli à court terme. Les fondamentaux sont solides, avec un retour à la rentabilité en 2025, un ROE de 19,1% et une gestion rigoureuse des coûts, mais la baisse du PNB et l'absence de dividende limitent l'enthousiasme. Les prédictions IA (J+1 à J+10) montrent une légère érosion du cours (de 3 109 à 3 092 FCFA), contredisant les signaux techniques haussiers et suggérant une consolidation. En synthèse, les fondamentaux solides et la valorisation raisonnable plaident pour une position de long terme, mais les signaux techniques de surachat et la faiblesse commerciale incitent à la prudence. La recommandation est de **CONSERVER** avec un niveau de confiance **Moyen**, un risque global **Élevé** (volatilité et dépendance au coût du risque), et un horizon d'investissement optimal à **moyen terme (3-12 mois)** pour observer la relance de la croissance du PNB et une éventuelle politique de distribution.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138.82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3,660 titres</w:t>
            </w:r>
          </w:p>
        </w:tc>
        <w:tc>
          <w:tcPr>
            <w:tcW w:type="dxa" w:w="2268"/>
            <w:shd w:fill="FFF2CC" w:val="clear"/>
          </w:tcPr>
          <w:p>
            <w:r>
              <w:rPr>
                <w:b/>
                <w:color w:val="503200"/>
                <w:sz w:val="16"/>
              </w:rPr>
              <w:t xml:space="preserve">Cours actuel : </w:t>
            </w:r>
            <w:r>
              <w:rPr>
                <w:color w:val="000000"/>
                <w:sz w:val="17"/>
              </w:rPr>
              <w:t>8,980 FCFA</w:t>
            </w:r>
          </w:p>
          <w:p>
            <w:r>
              <w:rPr>
                <w:b/>
                <w:color w:val="503200"/>
                <w:sz w:val="16"/>
              </w:rPr>
              <w:t xml:space="preserve">Var. 100 jours : </w:t>
            </w:r>
            <w:r>
              <w:rPr>
                <w:b/>
                <w:color w:val="B40000"/>
                <w:sz w:val="17"/>
              </w:rPr>
              <w:t>-4.52%</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40.7%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6.25% (Moyenne) — μ=8,413 FCFA, σ=526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β=-0.1126 (Contre-cyclique) — Cov=-0.000004, Var(idx)=0.000036, ρ=-0.026,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3,660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σ_j=2.57%/j (Stable) — Vol. annualisée≈40.7%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8,738</w:t>
            </w:r>
          </w:p>
        </w:tc>
        <w:tc>
          <w:tcPr>
            <w:tcW w:type="dxa" w:w="1440"/>
            <w:shd w:fill="FAFAFA" w:val="clear"/>
          </w:tcPr>
          <w:p>
            <w:r>
              <w:rPr>
                <w:b/>
                <w:sz w:val="17"/>
              </w:rPr>
              <w:t>9,026</w:t>
            </w:r>
          </w:p>
        </w:tc>
        <w:tc>
          <w:tcPr>
            <w:tcW w:type="dxa" w:w="1440"/>
            <w:shd w:fill="FAFAFA" w:val="clear"/>
          </w:tcPr>
          <w:p>
            <w:r>
              <w:rPr>
                <w:sz w:val="17"/>
              </w:rPr>
              <w:t>9,314</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8,641</w:t>
            </w:r>
          </w:p>
        </w:tc>
        <w:tc>
          <w:tcPr>
            <w:tcW w:type="dxa" w:w="1440"/>
            <w:shd w:fill="FAFAFA" w:val="clear"/>
          </w:tcPr>
          <w:p>
            <w:r>
              <w:rPr>
                <w:b/>
                <w:sz w:val="17"/>
              </w:rPr>
              <w:t>9,050</w:t>
            </w:r>
          </w:p>
        </w:tc>
        <w:tc>
          <w:tcPr>
            <w:tcW w:type="dxa" w:w="1440"/>
            <w:shd w:fill="FAFAFA" w:val="clear"/>
          </w:tcPr>
          <w:p>
            <w:r>
              <w:rPr>
                <w:sz w:val="17"/>
              </w:rPr>
              <w:t>9,458</w:t>
            </w:r>
          </w:p>
        </w:tc>
        <w:tc>
          <w:tcPr>
            <w:tcW w:type="dxa" w:w="1440"/>
            <w:shd w:fill="FAFAFA" w:val="clear"/>
          </w:tcPr>
          <w:p>
            <w:r>
              <w:rPr>
                <w:b/>
                <w:color w:val="008000"/>
                <w:sz w:val="17"/>
              </w:rPr>
              <w:t>+0.8%</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8,575</w:t>
            </w:r>
          </w:p>
        </w:tc>
        <w:tc>
          <w:tcPr>
            <w:tcW w:type="dxa" w:w="1440"/>
            <w:shd w:fill="FAFAFA" w:val="clear"/>
          </w:tcPr>
          <w:p>
            <w:r>
              <w:rPr>
                <w:b/>
                <w:sz w:val="17"/>
              </w:rPr>
              <w:t>9,077</w:t>
            </w:r>
          </w:p>
        </w:tc>
        <w:tc>
          <w:tcPr>
            <w:tcW w:type="dxa" w:w="1440"/>
            <w:shd w:fill="FAFAFA" w:val="clear"/>
          </w:tcPr>
          <w:p>
            <w:r>
              <w:rPr>
                <w:sz w:val="17"/>
              </w:rPr>
              <w:t>9,579</w:t>
            </w:r>
          </w:p>
        </w:tc>
        <w:tc>
          <w:tcPr>
            <w:tcW w:type="dxa" w:w="1440"/>
            <w:shd w:fill="FAFAFA" w:val="clear"/>
          </w:tcPr>
          <w:p>
            <w:r>
              <w:rPr>
                <w:b/>
                <w:color w:val="008000"/>
                <w:sz w:val="17"/>
              </w:rPr>
              <w:t>+1.1%</w:t>
            </w:r>
          </w:p>
        </w:tc>
      </w:tr>
      <w:tr>
        <w:tc>
          <w:tcPr>
            <w:tcW w:type="dxa" w:w="1440"/>
            <w:shd w:fill="FAFAFA" w:val="clear"/>
          </w:tcPr>
          <w:p>
            <w:r>
              <w:rPr>
                <w:sz w:val="17"/>
              </w:rPr>
              <w:t>J+4  Moyenne</w:t>
            </w:r>
          </w:p>
        </w:tc>
        <w:tc>
          <w:tcPr>
            <w:tcW w:type="dxa" w:w="1440"/>
            <w:shd w:fill="FAFAFA" w:val="clear"/>
          </w:tcPr>
          <w:p>
            <w:r>
              <w:rPr>
                <w:sz w:val="17"/>
              </w:rPr>
              <w:t>2026-08-13</w:t>
            </w:r>
          </w:p>
        </w:tc>
        <w:tc>
          <w:tcPr>
            <w:tcW w:type="dxa" w:w="1440"/>
            <w:shd w:fill="FAFAFA" w:val="clear"/>
          </w:tcPr>
          <w:p>
            <w:r>
              <w:rPr>
                <w:sz w:val="17"/>
              </w:rPr>
              <w:t>8,523</w:t>
            </w:r>
          </w:p>
        </w:tc>
        <w:tc>
          <w:tcPr>
            <w:tcW w:type="dxa" w:w="1440"/>
            <w:shd w:fill="FAFAFA" w:val="clear"/>
          </w:tcPr>
          <w:p>
            <w:r>
              <w:rPr>
                <w:b/>
                <w:sz w:val="17"/>
              </w:rPr>
              <w:t>9,104</w:t>
            </w:r>
          </w:p>
        </w:tc>
        <w:tc>
          <w:tcPr>
            <w:tcW w:type="dxa" w:w="1440"/>
            <w:shd w:fill="FAFAFA" w:val="clear"/>
          </w:tcPr>
          <w:p>
            <w:r>
              <w:rPr>
                <w:sz w:val="17"/>
              </w:rPr>
              <w:t>9,685</w:t>
            </w:r>
          </w:p>
        </w:tc>
        <w:tc>
          <w:tcPr>
            <w:tcW w:type="dxa" w:w="1440"/>
            <w:shd w:fill="FAFAFA" w:val="clear"/>
          </w:tcPr>
          <w:p>
            <w:r>
              <w:rPr>
                <w:b/>
                <w:color w:val="008000"/>
                <w:sz w:val="17"/>
              </w:rPr>
              <w:t>+1.4%</w:t>
            </w:r>
          </w:p>
        </w:tc>
      </w:tr>
      <w:tr>
        <w:tc>
          <w:tcPr>
            <w:tcW w:type="dxa" w:w="1440"/>
            <w:shd w:fill="FAFAFA" w:val="clear"/>
          </w:tcPr>
          <w:p>
            <w:r>
              <w:rPr>
                <w:sz w:val="17"/>
              </w:rPr>
              <w:t>J+5  Moyenne</w:t>
            </w:r>
          </w:p>
        </w:tc>
        <w:tc>
          <w:tcPr>
            <w:tcW w:type="dxa" w:w="1440"/>
            <w:shd w:fill="FAFAFA" w:val="clear"/>
          </w:tcPr>
          <w:p>
            <w:r>
              <w:rPr>
                <w:sz w:val="17"/>
              </w:rPr>
              <w:t>2026-08-14</w:t>
            </w:r>
          </w:p>
        </w:tc>
        <w:tc>
          <w:tcPr>
            <w:tcW w:type="dxa" w:w="1440"/>
            <w:shd w:fill="FAFAFA" w:val="clear"/>
          </w:tcPr>
          <w:p>
            <w:r>
              <w:rPr>
                <w:sz w:val="17"/>
              </w:rPr>
              <w:t>8,480</w:t>
            </w:r>
          </w:p>
        </w:tc>
        <w:tc>
          <w:tcPr>
            <w:tcW w:type="dxa" w:w="1440"/>
            <w:shd w:fill="FAFAFA" w:val="clear"/>
          </w:tcPr>
          <w:p>
            <w:r>
              <w:rPr>
                <w:b/>
                <w:sz w:val="17"/>
              </w:rPr>
              <w:t>9,131</w:t>
            </w:r>
          </w:p>
        </w:tc>
        <w:tc>
          <w:tcPr>
            <w:tcW w:type="dxa" w:w="1440"/>
            <w:shd w:fill="FAFAFA" w:val="clear"/>
          </w:tcPr>
          <w:p>
            <w:r>
              <w:rPr>
                <w:sz w:val="17"/>
              </w:rPr>
              <w:t>9,783</w:t>
            </w:r>
          </w:p>
        </w:tc>
        <w:tc>
          <w:tcPr>
            <w:tcW w:type="dxa" w:w="1440"/>
            <w:shd w:fill="FAFAFA" w:val="clear"/>
          </w:tcPr>
          <w:p>
            <w:r>
              <w:rPr>
                <w:b/>
                <w:color w:val="008000"/>
                <w:sz w:val="17"/>
              </w:rPr>
              <w:t>+1.7%</w:t>
            </w:r>
          </w:p>
        </w:tc>
      </w:tr>
      <w:tr>
        <w:tc>
          <w:tcPr>
            <w:tcW w:type="dxa" w:w="1440"/>
            <w:shd w:fill="FAFAFA" w:val="clear"/>
          </w:tcPr>
          <w:p>
            <w:r>
              <w:rPr>
                <w:sz w:val="17"/>
              </w:rPr>
              <w:t>J+6  Moyenne</w:t>
            </w:r>
          </w:p>
        </w:tc>
        <w:tc>
          <w:tcPr>
            <w:tcW w:type="dxa" w:w="1440"/>
            <w:shd w:fill="FAFAFA" w:val="clear"/>
          </w:tcPr>
          <w:p>
            <w:r>
              <w:rPr>
                <w:sz w:val="17"/>
              </w:rPr>
              <w:t>2026-08-17</w:t>
            </w:r>
          </w:p>
        </w:tc>
        <w:tc>
          <w:tcPr>
            <w:tcW w:type="dxa" w:w="1440"/>
            <w:shd w:fill="FAFAFA" w:val="clear"/>
          </w:tcPr>
          <w:p>
            <w:r>
              <w:rPr>
                <w:sz w:val="17"/>
              </w:rPr>
              <w:t>8,442</w:t>
            </w:r>
          </w:p>
        </w:tc>
        <w:tc>
          <w:tcPr>
            <w:tcW w:type="dxa" w:w="1440"/>
            <w:shd w:fill="FAFAFA" w:val="clear"/>
          </w:tcPr>
          <w:p>
            <w:r>
              <w:rPr>
                <w:b/>
                <w:sz w:val="17"/>
              </w:rPr>
              <w:t>9,158</w:t>
            </w:r>
          </w:p>
        </w:tc>
        <w:tc>
          <w:tcPr>
            <w:tcW w:type="dxa" w:w="1440"/>
            <w:shd w:fill="FAFAFA" w:val="clear"/>
          </w:tcPr>
          <w:p>
            <w:r>
              <w:rPr>
                <w:sz w:val="17"/>
              </w:rPr>
              <w:t>9,874</w:t>
            </w:r>
          </w:p>
        </w:tc>
        <w:tc>
          <w:tcPr>
            <w:tcW w:type="dxa" w:w="1440"/>
            <w:shd w:fill="FAFAFA" w:val="clear"/>
          </w:tcPr>
          <w:p>
            <w:r>
              <w:rPr>
                <w:b/>
                <w:color w:val="008000"/>
                <w:sz w:val="17"/>
              </w:rPr>
              <w:t>+2.0%</w:t>
            </w:r>
          </w:p>
        </w:tc>
      </w:tr>
      <w:tr>
        <w:tc>
          <w:tcPr>
            <w:tcW w:type="dxa" w:w="1440"/>
            <w:shd w:fill="C6EFCE" w:val="clear"/>
          </w:tcPr>
          <w:p>
            <w:r>
              <w:rPr>
                <w:sz w:val="17"/>
              </w:rPr>
              <w:t>J+7  Moyenne</w:t>
            </w:r>
          </w:p>
        </w:tc>
        <w:tc>
          <w:tcPr>
            <w:tcW w:type="dxa" w:w="1440"/>
            <w:shd w:fill="C6EFCE" w:val="clear"/>
          </w:tcPr>
          <w:p>
            <w:r>
              <w:rPr>
                <w:sz w:val="17"/>
              </w:rPr>
              <w:t>2026-08-18</w:t>
            </w:r>
          </w:p>
        </w:tc>
        <w:tc>
          <w:tcPr>
            <w:tcW w:type="dxa" w:w="1440"/>
            <w:shd w:fill="C6EFCE" w:val="clear"/>
          </w:tcPr>
          <w:p>
            <w:r>
              <w:rPr>
                <w:sz w:val="17"/>
              </w:rPr>
              <w:t>8,409</w:t>
            </w:r>
          </w:p>
        </w:tc>
        <w:tc>
          <w:tcPr>
            <w:tcW w:type="dxa" w:w="1440"/>
            <w:shd w:fill="C6EFCE" w:val="clear"/>
          </w:tcPr>
          <w:p>
            <w:r>
              <w:rPr>
                <w:b/>
                <w:sz w:val="17"/>
              </w:rPr>
              <w:t>9,185</w:t>
            </w:r>
          </w:p>
        </w:tc>
        <w:tc>
          <w:tcPr>
            <w:tcW w:type="dxa" w:w="1440"/>
            <w:shd w:fill="C6EFCE" w:val="clear"/>
          </w:tcPr>
          <w:p>
            <w:r>
              <w:rPr>
                <w:sz w:val="17"/>
              </w:rPr>
              <w:t>9,960</w:t>
            </w:r>
          </w:p>
        </w:tc>
        <w:tc>
          <w:tcPr>
            <w:tcW w:type="dxa" w:w="1440"/>
            <w:shd w:fill="C6EFCE" w:val="clear"/>
          </w:tcPr>
          <w:p>
            <w:r>
              <w:rPr>
                <w:b/>
                <w:color w:val="008000"/>
                <w:sz w:val="17"/>
              </w:rPr>
              <w:t>+2.3%</w:t>
            </w:r>
          </w:p>
        </w:tc>
      </w:tr>
      <w:tr>
        <w:tc>
          <w:tcPr>
            <w:tcW w:type="dxa" w:w="1440"/>
            <w:shd w:fill="C6EFCE" w:val="clear"/>
          </w:tcPr>
          <w:p>
            <w:r>
              <w:rPr>
                <w:sz w:val="17"/>
              </w:rPr>
              <w:t>J+8  Moyenne</w:t>
            </w:r>
          </w:p>
        </w:tc>
        <w:tc>
          <w:tcPr>
            <w:tcW w:type="dxa" w:w="1440"/>
            <w:shd w:fill="C6EFCE" w:val="clear"/>
          </w:tcPr>
          <w:p>
            <w:r>
              <w:rPr>
                <w:sz w:val="17"/>
              </w:rPr>
              <w:t>2026-08-19</w:t>
            </w:r>
          </w:p>
        </w:tc>
        <w:tc>
          <w:tcPr>
            <w:tcW w:type="dxa" w:w="1440"/>
            <w:shd w:fill="C6EFCE" w:val="clear"/>
          </w:tcPr>
          <w:p>
            <w:r>
              <w:rPr>
                <w:sz w:val="17"/>
              </w:rPr>
              <w:t>8,380</w:t>
            </w:r>
          </w:p>
        </w:tc>
        <w:tc>
          <w:tcPr>
            <w:tcW w:type="dxa" w:w="1440"/>
            <w:shd w:fill="C6EFCE" w:val="clear"/>
          </w:tcPr>
          <w:p>
            <w:r>
              <w:rPr>
                <w:b/>
                <w:sz w:val="17"/>
              </w:rPr>
              <w:t>9,211</w:t>
            </w:r>
          </w:p>
        </w:tc>
        <w:tc>
          <w:tcPr>
            <w:tcW w:type="dxa" w:w="1440"/>
            <w:shd w:fill="C6EFCE" w:val="clear"/>
          </w:tcPr>
          <w:p>
            <w:r>
              <w:rPr>
                <w:sz w:val="17"/>
              </w:rPr>
              <w:t>10,043</w:t>
            </w:r>
          </w:p>
        </w:tc>
        <w:tc>
          <w:tcPr>
            <w:tcW w:type="dxa" w:w="1440"/>
            <w:shd w:fill="C6EFCE" w:val="clear"/>
          </w:tcPr>
          <w:p>
            <w:r>
              <w:rPr>
                <w:b/>
                <w:color w:val="008000"/>
                <w:sz w:val="17"/>
              </w:rPr>
              <w:t>+2.6%</w:t>
            </w:r>
          </w:p>
        </w:tc>
      </w:tr>
      <w:tr>
        <w:tc>
          <w:tcPr>
            <w:tcW w:type="dxa" w:w="1440"/>
            <w:shd w:fill="C6EFCE" w:val="clear"/>
          </w:tcPr>
          <w:p>
            <w:r>
              <w:rPr>
                <w:sz w:val="17"/>
              </w:rPr>
              <w:t>J+9  Moyenne</w:t>
            </w:r>
          </w:p>
        </w:tc>
        <w:tc>
          <w:tcPr>
            <w:tcW w:type="dxa" w:w="1440"/>
            <w:shd w:fill="C6EFCE" w:val="clear"/>
          </w:tcPr>
          <w:p>
            <w:r>
              <w:rPr>
                <w:sz w:val="17"/>
              </w:rPr>
              <w:t>2026-08-20</w:t>
            </w:r>
          </w:p>
        </w:tc>
        <w:tc>
          <w:tcPr>
            <w:tcW w:type="dxa" w:w="1440"/>
            <w:shd w:fill="C6EFCE" w:val="clear"/>
          </w:tcPr>
          <w:p>
            <w:r>
              <w:rPr>
                <w:sz w:val="17"/>
              </w:rPr>
              <w:t>8,354</w:t>
            </w:r>
          </w:p>
        </w:tc>
        <w:tc>
          <w:tcPr>
            <w:tcW w:type="dxa" w:w="1440"/>
            <w:shd w:fill="C6EFCE" w:val="clear"/>
          </w:tcPr>
          <w:p>
            <w:r>
              <w:rPr>
                <w:b/>
                <w:sz w:val="17"/>
              </w:rPr>
              <w:t>9,238</w:t>
            </w:r>
          </w:p>
        </w:tc>
        <w:tc>
          <w:tcPr>
            <w:tcW w:type="dxa" w:w="1440"/>
            <w:shd w:fill="C6EFCE" w:val="clear"/>
          </w:tcPr>
          <w:p>
            <w:r>
              <w:rPr>
                <w:sz w:val="17"/>
              </w:rPr>
              <w:t>10,122</w:t>
            </w:r>
          </w:p>
        </w:tc>
        <w:tc>
          <w:tcPr>
            <w:tcW w:type="dxa" w:w="1440"/>
            <w:shd w:fill="C6EFCE" w:val="clear"/>
          </w:tcPr>
          <w:p>
            <w:r>
              <w:rPr>
                <w:b/>
                <w:color w:val="008000"/>
                <w:sz w:val="17"/>
              </w:rPr>
              <w:t>+2.9%</w:t>
            </w:r>
          </w:p>
        </w:tc>
      </w:tr>
      <w:tr>
        <w:tc>
          <w:tcPr>
            <w:tcW w:type="dxa" w:w="1440"/>
            <w:shd w:fill="C6EFCE" w:val="clear"/>
          </w:tcPr>
          <w:p>
            <w:r>
              <w:rPr>
                <w:sz w:val="17"/>
              </w:rPr>
              <w:t>J+10  Moyenne</w:t>
            </w:r>
          </w:p>
        </w:tc>
        <w:tc>
          <w:tcPr>
            <w:tcW w:type="dxa" w:w="1440"/>
            <w:shd w:fill="C6EFCE" w:val="clear"/>
          </w:tcPr>
          <w:p>
            <w:r>
              <w:rPr>
                <w:sz w:val="17"/>
              </w:rPr>
              <w:t>2026-08-21</w:t>
            </w:r>
          </w:p>
        </w:tc>
        <w:tc>
          <w:tcPr>
            <w:tcW w:type="dxa" w:w="1440"/>
            <w:shd w:fill="C6EFCE" w:val="clear"/>
          </w:tcPr>
          <w:p>
            <w:r>
              <w:rPr>
                <w:sz w:val="17"/>
              </w:rPr>
              <w:t>8,330</w:t>
            </w:r>
          </w:p>
        </w:tc>
        <w:tc>
          <w:tcPr>
            <w:tcW w:type="dxa" w:w="1440"/>
            <w:shd w:fill="C6EFCE" w:val="clear"/>
          </w:tcPr>
          <w:p>
            <w:r>
              <w:rPr>
                <w:b/>
                <w:sz w:val="17"/>
              </w:rPr>
              <w:t>9,264</w:t>
            </w:r>
          </w:p>
        </w:tc>
        <w:tc>
          <w:tcPr>
            <w:tcW w:type="dxa" w:w="1440"/>
            <w:shd w:fill="C6EFCE" w:val="clear"/>
          </w:tcPr>
          <w:p>
            <w:r>
              <w:rPr>
                <w:sz w:val="17"/>
              </w:rPr>
              <w:t>10,199</w:t>
            </w:r>
          </w:p>
        </w:tc>
        <w:tc>
          <w:tcPr>
            <w:tcW w:type="dxa" w:w="1440"/>
            <w:shd w:fill="C6EFCE" w:val="clear"/>
          </w:tcPr>
          <w:p>
            <w:r>
              <w:rPr>
                <w:b/>
                <w:color w:val="008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**Date de l'analyse : 10 août 2026**</w:t>
        <w:br/>
        <w:t>**Cours de référence : 8,980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PALC s'établit à 138,82 milliards FCFA, ce qui en fait une valeur de taille moyenne sur la BRVM, représentative d'un acteur industriel majeur de la zone UEMOA. Avec un BPA de 1 003 FCFA, le titre se négocie à un PER de 9,0x, légèrement sous la moyenne historique de la place (~8-12x), ce qui suggère une décote relative et un potentiel de revalorisation si les bénéfices se maintiennent. Le P/B de 0,97x est particulièrement intéressant : le marché valorise l'action sous sa valeur comptable, signalant une défiance ou une sous-évaluation de l'actif net. Enfin, un EV/EBITDA de 4,4x (inférieur à 5x) confirme une valorisation très bon marché, la valeur d'entreprise étant faible par rapport à la capacité bénéficiaire opérationnelle. L'ensemble de ces ratios indique une décote marquée, offrant une marge de sécurité pour un investisseur de long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PALC affiche une variation totale de -4,52%, avec un cours actuel de 8 980 FCFA, stable sur la dernière séance (+0,00%). Le titre a évolué dans un range de 7 000 FCFA (plus bas) à 9 500 FCFA (plus haut), montrant une amplitude de 2 500 FCFA. La moyenne sur la période est de 8 413 FCFA, légèrement inférieure à la médiane de 8 600 FCFA, indiquant une distribution quasi symétrique, confirmée par un skewness de -0,120. L'écart-type de 529 FCFA (CV=6,3%) révèle une dispersion modérée autour de la moyenne. Le kurtosis de -0,520 (mésokurtique) suggère une absence de pics extrêmes, avec une distribution proche de la normale. La volatilité annualisée de 40,7% classe le titre dans la catégorie des valeurs à forte volatilité (&gt;30%), ce qui implique un risque élevé mais aussi des opportunités de rendement. La tendance générale sur la période est légèrement baissière, mais le cours se maintient au-dessus de la moyenne mobile à 50 jours, suggérant une consolidation.</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(8 980 FCFA) est supérieur à la MM20 (8 796,75 FCFA) et à la MM50 (8 664,7 FCFA), avec un écart croissant. Cette configuration haussière (courtes moyennes au-dessus des longues) confirme une dynamique positive à court et moyen terme. La décision est à l'**Achat**.</w:t>
      </w:r>
    </w:p>
    <w:p>
      <w:pPr>
        <w:spacing w:after="120" w:line="276" w:lineRule="auto"/>
      </w:pPr>
      <w:r>
        <w:t>**Bandes de Bollinger** : Le prix se situe à 8 980 FCFA, entre la borne supérieure (9 101,84 FCFA) et la borne inférieure (8 491,67 FCFA), proche de la partie haute. La largeur des bandes indique une volatilité modérée. Le cours n'étant pas en zone de surachat extrême, la décision est **Neutre**, mais un test de la borne supérieure est possible.</w:t>
      </w:r>
    </w:p>
    <w:p>
      <w:pPr>
        <w:spacing w:after="120" w:line="276" w:lineRule="auto"/>
      </w:pPr>
      <w:r>
        <w:t>**MACD** : La valeur du MACD (98,99) est supérieure à son signal (88,94), avec un histogramme positif. Cette configuration haussière indique un momentum positif et une accélération de la tendance. La décision est à l'**Achat**.</w:t>
      </w:r>
    </w:p>
    <w:p>
      <w:pPr>
        <w:spacing w:after="120" w:line="276" w:lineRule="auto"/>
      </w:pPr>
      <w:r>
        <w:t>**RSI** : Le RSI s'établit à 59,24, dans la zone neutre (30-70), sans signal de surachat ni de survente. Il y a encore de la marge avant une zone de surachat (&gt;70), ce qui laisse un potentiel haussier. La décision est **Neutre**.</w:t>
      </w:r>
    </w:p>
    <w:p>
      <w:pPr>
        <w:spacing w:after="120" w:line="276" w:lineRule="auto"/>
      </w:pPr>
      <w:r>
        <w:t>**Stochastique** : Le %K et le %D sont tous deux à 90,48, en zone de surachat (&gt;80). Ce niveau extrême suggère un essoufflement possible à court terme et un risque de correction. La décision est à la **Vente**.</w:t>
      </w:r>
    </w:p>
    <w:p>
      <w:pPr>
        <w:spacing w:after="120" w:line="276" w:lineRule="auto"/>
      </w:pPr>
      <w:r>
        <w:t>**Conclusion technique** : Les indicateurs de tendance (MM, MACD) sont positifs, mais les oscillateurs de momentum (RSI, Stochastique) montrent des signes de surachat, notamment le Stochastique. Le titre est dans une dynamique haussière à moyen terme, mais un repli technique est probable à très court terme avant une poursuite de la hausse. Le signal global est donc un **Achat sur repli**.</w:t>
      </w:r>
    </w:p>
    <w:p>
      <w:pPr>
        <w:spacing w:after="120" w:line="276" w:lineRule="auto"/>
      </w:pPr>
      <w:r>
        <w:t>---</w:t>
      </w:r>
    </w:p>
    <w:p>
      <w:pPr>
        <w:spacing w:after="120" w:line="276" w:lineRule="auto"/>
      </w:pPr>
      <w:r>
        <w:t>### PARTIE 3 : ANALYSE FONDAMENTALE (SECTION CRITIQUE)</w:t>
      </w:r>
    </w:p>
    <w:p>
      <w:pPr>
        <w:spacing w:after="120" w:line="276" w:lineRule="auto"/>
      </w:pPr>
      <w:r>
        <w:t>**En 2025**, PALC a réalisé un chiffre d'affaires de 197,63 milliards FCFA, en croissance de +14,8% par rapport à 2024 (172,2 milliards FCFA), porté par la hausse des prix et des volumes. Le résultat net s'établit à 15,51 milliards FCFA, en léger repli de -2,2% vs 2024 (15,9 milliards FCFA), avec une marge nette de 7,85%. La rentabilité des capitaux propres (ROE) est de 10,87%, et le ROA de 7,79%, reflétant une utilisation correcte mais perfectible des actifs. La structure financière est très saine avec une autonomie financière de 71,6% et un endettement faible (0,56%). Le BFR est positif à 44,6 milliards FCFA, avec un délai clients élevé de 142,6 jours, un point de vigilance pour la trésorerie. **Sur la base du rapport T1 2026** (CA en baisse de -27% à 49,4 milliards FCFA et résultat net en chute de -86% à 1,6 milliard FCFA), on estime que l'exercice 2026 sera difficile, mais la direction évoque un décalage temporel des ventes et anticipe un redressement avec l'écoulement des stocks à l'export. Les fondamentaux restent solides, mais la rentabilité est sous pression.</w:t>
      </w:r>
    </w:p>
    <w:p>
      <w:pPr>
        <w:spacing w:after="120" w:line="276" w:lineRule="auto"/>
      </w:pPr>
      <w:r>
        <w:t>---</w:t>
      </w:r>
    </w:p>
    <w:p>
      <w:pPr>
        <w:spacing w:after="120" w:line="276" w:lineRule="auto"/>
      </w:pPr>
      <w:r>
        <w:t>### PARTIE 4 : CONCLUSION D'INVESTISSEMENT</w:t>
      </w:r>
    </w:p>
    <w:p>
      <w:pPr>
        <w:spacing w:after="120" w:line="276" w:lineRule="auto"/>
      </w:pPr>
      <w:r>
        <w:t>La valorisation de PALC est **attractive** (PER 9,0x, P/B 0,97x, EV/EBITDA 4,4x), indiquant une sous-évaluation par rapport aux fondamentaux. Le comportement du cours sur 100 jours est **mitigé** (-4,52%), mais la volatilité élevée (40,7%) et la distribution symétrique suggèrent un potentiel de rebond. Les signaux techniques sont **contrastés** : tendance haussière (MM, MACD) mais surachat à court terme (Stochastique). Les fondamentaux sont **solides** à moyen terme (croissance du CA 2025, structure financière saine), mais les perspectives 2026 sont incertaines (T1 2026 en forte baisse). Les prédictions IA (9 026 à 9 131 FCFA sur J+1 à J+10) confirment une trajectoire haussière modérée, en ligne avec les signaux techniques de fond. En synthèse, la convergence entre la sous-évaluation, la solidité bilancielle et les prédictions IA plaide pour une **recommandation ACHAT**, malgré les risques opérationnels. Le niveau de confiance est **Moyen**, le risque global **Élevé** (volatilité et dépendance aux matières premières). L'horizon d'investissement optimal est le **moyen terme (6-12 mois)**, en attendant la confirmation du redressement de l'activité au T2/T3 2026.</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45.88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1,106 titres</w:t>
            </w:r>
          </w:p>
        </w:tc>
        <w:tc>
          <w:tcPr>
            <w:tcW w:type="dxa" w:w="2268"/>
            <w:shd w:fill="FFF2CC" w:val="clear"/>
          </w:tcPr>
          <w:p>
            <w:r>
              <w:rPr>
                <w:b/>
                <w:color w:val="503200"/>
                <w:sz w:val="16"/>
              </w:rPr>
              <w:t xml:space="preserve">Cours actuel : </w:t>
            </w:r>
            <w:r>
              <w:rPr>
                <w:color w:val="000000"/>
                <w:sz w:val="17"/>
              </w:rPr>
              <w:t>4,480 FCFA</w:t>
            </w:r>
          </w:p>
          <w:p>
            <w:r>
              <w:rPr>
                <w:b/>
                <w:color w:val="503200"/>
                <w:sz w:val="16"/>
              </w:rPr>
              <w:t xml:space="preserve">Var. 100 jours : </w:t>
            </w:r>
            <w:r>
              <w:rPr>
                <w:b/>
                <w:color w:val="B40000"/>
                <w:sz w:val="17"/>
              </w:rPr>
              <w:t>-18.55%</w:t>
            </w:r>
          </w:p>
          <w:p>
            <w:r>
              <w:rPr>
                <w:b/>
                <w:color w:val="503200"/>
                <w:sz w:val="16"/>
              </w:rPr>
              <w:t xml:space="preserve">Plus haut 100j : </w:t>
            </w:r>
            <w:r>
              <w:rPr>
                <w:color w:val="000000"/>
                <w:sz w:val="17"/>
              </w:rPr>
              <w:t>5,500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8.85% (Moyenne) — μ=4,516 FCFA, σ=400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β=-0.4096 (Contre-cyclique) — Cov=-0.000015, Var(idx)=0.000036, ρ=-0.095,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1,106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σ_j=2.64%/j (Stable) — Vol. annualisée≈42.0%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4,318</w:t>
            </w:r>
          </w:p>
        </w:tc>
        <w:tc>
          <w:tcPr>
            <w:tcW w:type="dxa" w:w="1440"/>
            <w:shd w:fill="FAFAFA" w:val="clear"/>
          </w:tcPr>
          <w:p>
            <w:r>
              <w:rPr>
                <w:b/>
                <w:sz w:val="17"/>
              </w:rPr>
              <w:t>4,434</w:t>
            </w:r>
          </w:p>
        </w:tc>
        <w:tc>
          <w:tcPr>
            <w:tcW w:type="dxa" w:w="1440"/>
            <w:shd w:fill="FAFAFA" w:val="clear"/>
          </w:tcPr>
          <w:p>
            <w:r>
              <w:rPr>
                <w:sz w:val="17"/>
              </w:rPr>
              <w:t>4,550</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4,254</w:t>
            </w:r>
          </w:p>
        </w:tc>
        <w:tc>
          <w:tcPr>
            <w:tcW w:type="dxa" w:w="1440"/>
            <w:shd w:fill="FAFAFA" w:val="clear"/>
          </w:tcPr>
          <w:p>
            <w:r>
              <w:rPr>
                <w:b/>
                <w:sz w:val="17"/>
              </w:rPr>
              <w:t>4,417</w:t>
            </w:r>
          </w:p>
        </w:tc>
        <w:tc>
          <w:tcPr>
            <w:tcW w:type="dxa" w:w="1440"/>
            <w:shd w:fill="FAFAFA" w:val="clear"/>
          </w:tcPr>
          <w:p>
            <w:r>
              <w:rPr>
                <w:sz w:val="17"/>
              </w:rPr>
              <w:t>4,581</w:t>
            </w:r>
          </w:p>
        </w:tc>
        <w:tc>
          <w:tcPr>
            <w:tcW w:type="dxa" w:w="1440"/>
            <w:shd w:fill="FAFAFA" w:val="clear"/>
          </w:tcPr>
          <w:p>
            <w:r>
              <w:rPr>
                <w:b/>
                <w:color w:val="C00000"/>
                <w:sz w:val="17"/>
              </w:rPr>
              <w:t>-1.4%</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4,195</w:t>
            </w:r>
          </w:p>
        </w:tc>
        <w:tc>
          <w:tcPr>
            <w:tcW w:type="dxa" w:w="1440"/>
            <w:shd w:fill="FAFAFA" w:val="clear"/>
          </w:tcPr>
          <w:p>
            <w:r>
              <w:rPr>
                <w:b/>
                <w:sz w:val="17"/>
              </w:rPr>
              <w:t>4,394</w:t>
            </w:r>
          </w:p>
        </w:tc>
        <w:tc>
          <w:tcPr>
            <w:tcW w:type="dxa" w:w="1440"/>
            <w:shd w:fill="FAFAFA" w:val="clear"/>
          </w:tcPr>
          <w:p>
            <w:r>
              <w:rPr>
                <w:sz w:val="17"/>
              </w:rPr>
              <w:t>4,594</w:t>
            </w:r>
          </w:p>
        </w:tc>
        <w:tc>
          <w:tcPr>
            <w:tcW w:type="dxa" w:w="1440"/>
            <w:shd w:fill="FAFAFA" w:val="clear"/>
          </w:tcPr>
          <w:p>
            <w:r>
              <w:rPr>
                <w:b/>
                <w:color w:val="C00000"/>
                <w:sz w:val="17"/>
              </w:rPr>
              <w:t>-1.9%</w:t>
            </w:r>
          </w:p>
        </w:tc>
      </w:tr>
      <w:tr>
        <w:tc>
          <w:tcPr>
            <w:tcW w:type="dxa" w:w="1440"/>
            <w:shd w:fill="FFDCE0" w:val="clear"/>
          </w:tcPr>
          <w:p>
            <w:r>
              <w:rPr>
                <w:sz w:val="17"/>
              </w:rPr>
              <w:t>J+4  Moyenne</w:t>
            </w:r>
          </w:p>
        </w:tc>
        <w:tc>
          <w:tcPr>
            <w:tcW w:type="dxa" w:w="1440"/>
            <w:shd w:fill="FFDCE0" w:val="clear"/>
          </w:tcPr>
          <w:p>
            <w:r>
              <w:rPr>
                <w:sz w:val="17"/>
              </w:rPr>
              <w:t>2026-08-13</w:t>
            </w:r>
          </w:p>
        </w:tc>
        <w:tc>
          <w:tcPr>
            <w:tcW w:type="dxa" w:w="1440"/>
            <w:shd w:fill="FFDCE0" w:val="clear"/>
          </w:tcPr>
          <w:p>
            <w:r>
              <w:rPr>
                <w:sz w:val="17"/>
              </w:rPr>
              <w:t>4,144</w:t>
            </w:r>
          </w:p>
        </w:tc>
        <w:tc>
          <w:tcPr>
            <w:tcW w:type="dxa" w:w="1440"/>
            <w:shd w:fill="FFDCE0" w:val="clear"/>
          </w:tcPr>
          <w:p>
            <w:r>
              <w:rPr>
                <w:b/>
                <w:sz w:val="17"/>
              </w:rPr>
              <w:t>4,372</w:t>
            </w:r>
          </w:p>
        </w:tc>
        <w:tc>
          <w:tcPr>
            <w:tcW w:type="dxa" w:w="1440"/>
            <w:shd w:fill="FFDCE0" w:val="clear"/>
          </w:tcPr>
          <w:p>
            <w:r>
              <w:rPr>
                <w:sz w:val="17"/>
              </w:rPr>
              <w:t>4,601</w:t>
            </w:r>
          </w:p>
        </w:tc>
        <w:tc>
          <w:tcPr>
            <w:tcW w:type="dxa" w:w="1440"/>
            <w:shd w:fill="FFDCE0" w:val="clear"/>
          </w:tcPr>
          <w:p>
            <w:r>
              <w:rPr>
                <w:b/>
                <w:color w:val="C00000"/>
                <w:sz w:val="17"/>
              </w:rPr>
              <w:t>-2.4%</w:t>
            </w:r>
          </w:p>
        </w:tc>
      </w:tr>
      <w:tr>
        <w:tc>
          <w:tcPr>
            <w:tcW w:type="dxa" w:w="1440"/>
            <w:shd w:fill="FFDCE0" w:val="clear"/>
          </w:tcPr>
          <w:p>
            <w:r>
              <w:rPr>
                <w:sz w:val="17"/>
              </w:rPr>
              <w:t>J+5  Moyenne</w:t>
            </w:r>
          </w:p>
        </w:tc>
        <w:tc>
          <w:tcPr>
            <w:tcW w:type="dxa" w:w="1440"/>
            <w:shd w:fill="FFDCE0" w:val="clear"/>
          </w:tcPr>
          <w:p>
            <w:r>
              <w:rPr>
                <w:sz w:val="17"/>
              </w:rPr>
              <w:t>2026-08-14</w:t>
            </w:r>
          </w:p>
        </w:tc>
        <w:tc>
          <w:tcPr>
            <w:tcW w:type="dxa" w:w="1440"/>
            <w:shd w:fill="FFDCE0" w:val="clear"/>
          </w:tcPr>
          <w:p>
            <w:r>
              <w:rPr>
                <w:sz w:val="17"/>
              </w:rPr>
              <w:t>4,097</w:t>
            </w:r>
          </w:p>
        </w:tc>
        <w:tc>
          <w:tcPr>
            <w:tcW w:type="dxa" w:w="1440"/>
            <w:shd w:fill="FFDCE0" w:val="clear"/>
          </w:tcPr>
          <w:p>
            <w:r>
              <w:rPr>
                <w:b/>
                <w:sz w:val="17"/>
              </w:rPr>
              <w:t>4,351</w:t>
            </w:r>
          </w:p>
        </w:tc>
        <w:tc>
          <w:tcPr>
            <w:tcW w:type="dxa" w:w="1440"/>
            <w:shd w:fill="FFDCE0" w:val="clear"/>
          </w:tcPr>
          <w:p>
            <w:r>
              <w:rPr>
                <w:sz w:val="17"/>
              </w:rPr>
              <w:t>4,606</w:t>
            </w:r>
          </w:p>
        </w:tc>
        <w:tc>
          <w:tcPr>
            <w:tcW w:type="dxa" w:w="1440"/>
            <w:shd w:fill="FFDCE0" w:val="clear"/>
          </w:tcPr>
          <w:p>
            <w:r>
              <w:rPr>
                <w:b/>
                <w:color w:val="C00000"/>
                <w:sz w:val="17"/>
              </w:rPr>
              <w:t>-2.9%</w:t>
            </w:r>
          </w:p>
        </w:tc>
      </w:tr>
      <w:tr>
        <w:tc>
          <w:tcPr>
            <w:tcW w:type="dxa" w:w="1440"/>
            <w:shd w:fill="FFDCE0" w:val="clear"/>
          </w:tcPr>
          <w:p>
            <w:r>
              <w:rPr>
                <w:sz w:val="17"/>
              </w:rPr>
              <w:t>J+6  Moyenne</w:t>
            </w:r>
          </w:p>
        </w:tc>
        <w:tc>
          <w:tcPr>
            <w:tcW w:type="dxa" w:w="1440"/>
            <w:shd w:fill="FFDCE0" w:val="clear"/>
          </w:tcPr>
          <w:p>
            <w:r>
              <w:rPr>
                <w:sz w:val="17"/>
              </w:rPr>
              <w:t>2026-08-17</w:t>
            </w:r>
          </w:p>
        </w:tc>
        <w:tc>
          <w:tcPr>
            <w:tcW w:type="dxa" w:w="1440"/>
            <w:shd w:fill="FFDCE0" w:val="clear"/>
          </w:tcPr>
          <w:p>
            <w:r>
              <w:rPr>
                <w:sz w:val="17"/>
              </w:rPr>
              <w:t>4,053</w:t>
            </w:r>
          </w:p>
        </w:tc>
        <w:tc>
          <w:tcPr>
            <w:tcW w:type="dxa" w:w="1440"/>
            <w:shd w:fill="FFDCE0" w:val="clear"/>
          </w:tcPr>
          <w:p>
            <w:r>
              <w:rPr>
                <w:b/>
                <w:sz w:val="17"/>
              </w:rPr>
              <w:t>4,331</w:t>
            </w:r>
          </w:p>
        </w:tc>
        <w:tc>
          <w:tcPr>
            <w:tcW w:type="dxa" w:w="1440"/>
            <w:shd w:fill="FFDCE0" w:val="clear"/>
          </w:tcPr>
          <w:p>
            <w:r>
              <w:rPr>
                <w:sz w:val="17"/>
              </w:rPr>
              <w:t>4,608</w:t>
            </w:r>
          </w:p>
        </w:tc>
        <w:tc>
          <w:tcPr>
            <w:tcW w:type="dxa" w:w="1440"/>
            <w:shd w:fill="FFDCE0" w:val="clear"/>
          </w:tcPr>
          <w:p>
            <w:r>
              <w:rPr>
                <w:b/>
                <w:color w:val="C00000"/>
                <w:sz w:val="17"/>
              </w:rPr>
              <w:t>-3.3%</w:t>
            </w:r>
          </w:p>
        </w:tc>
      </w:tr>
      <w:tr>
        <w:tc>
          <w:tcPr>
            <w:tcW w:type="dxa" w:w="1440"/>
            <w:shd w:fill="FFDCE0" w:val="clear"/>
          </w:tcPr>
          <w:p>
            <w:r>
              <w:rPr>
                <w:sz w:val="17"/>
              </w:rPr>
              <w:t>J+7  Moyenne</w:t>
            </w:r>
          </w:p>
        </w:tc>
        <w:tc>
          <w:tcPr>
            <w:tcW w:type="dxa" w:w="1440"/>
            <w:shd w:fill="FFDCE0" w:val="clear"/>
          </w:tcPr>
          <w:p>
            <w:r>
              <w:rPr>
                <w:sz w:val="17"/>
              </w:rPr>
              <w:t>2026-08-18</w:t>
            </w:r>
          </w:p>
        </w:tc>
        <w:tc>
          <w:tcPr>
            <w:tcW w:type="dxa" w:w="1440"/>
            <w:shd w:fill="FFDCE0" w:val="clear"/>
          </w:tcPr>
          <w:p>
            <w:r>
              <w:rPr>
                <w:sz w:val="17"/>
              </w:rPr>
              <w:t>4,012</w:t>
            </w:r>
          </w:p>
        </w:tc>
        <w:tc>
          <w:tcPr>
            <w:tcW w:type="dxa" w:w="1440"/>
            <w:shd w:fill="FFDCE0" w:val="clear"/>
          </w:tcPr>
          <w:p>
            <w:r>
              <w:rPr>
                <w:b/>
                <w:sz w:val="17"/>
              </w:rPr>
              <w:t>4,311</w:t>
            </w:r>
          </w:p>
        </w:tc>
        <w:tc>
          <w:tcPr>
            <w:tcW w:type="dxa" w:w="1440"/>
            <w:shd w:fill="FFDCE0" w:val="clear"/>
          </w:tcPr>
          <w:p>
            <w:r>
              <w:rPr>
                <w:sz w:val="17"/>
              </w:rPr>
              <w:t>4,609</w:t>
            </w:r>
          </w:p>
        </w:tc>
        <w:tc>
          <w:tcPr>
            <w:tcW w:type="dxa" w:w="1440"/>
            <w:shd w:fill="FFDCE0" w:val="clear"/>
          </w:tcPr>
          <w:p>
            <w:r>
              <w:rPr>
                <w:b/>
                <w:color w:val="C00000"/>
                <w:sz w:val="17"/>
              </w:rPr>
              <w:t>-3.8%</w:t>
            </w:r>
          </w:p>
        </w:tc>
      </w:tr>
      <w:tr>
        <w:tc>
          <w:tcPr>
            <w:tcW w:type="dxa" w:w="1440"/>
            <w:shd w:fill="FFDCE0" w:val="clear"/>
          </w:tcPr>
          <w:p>
            <w:r>
              <w:rPr>
                <w:sz w:val="17"/>
              </w:rPr>
              <w:t>J+8  Moyenne</w:t>
            </w:r>
          </w:p>
        </w:tc>
        <w:tc>
          <w:tcPr>
            <w:tcW w:type="dxa" w:w="1440"/>
            <w:shd w:fill="FFDCE0" w:val="clear"/>
          </w:tcPr>
          <w:p>
            <w:r>
              <w:rPr>
                <w:sz w:val="17"/>
              </w:rPr>
              <w:t>2026-08-19</w:t>
            </w:r>
          </w:p>
        </w:tc>
        <w:tc>
          <w:tcPr>
            <w:tcW w:type="dxa" w:w="1440"/>
            <w:shd w:fill="FFDCE0" w:val="clear"/>
          </w:tcPr>
          <w:p>
            <w:r>
              <w:rPr>
                <w:sz w:val="17"/>
              </w:rPr>
              <w:t>3,973</w:t>
            </w:r>
          </w:p>
        </w:tc>
        <w:tc>
          <w:tcPr>
            <w:tcW w:type="dxa" w:w="1440"/>
            <w:shd w:fill="FFDCE0" w:val="clear"/>
          </w:tcPr>
          <w:p>
            <w:r>
              <w:rPr>
                <w:b/>
                <w:sz w:val="17"/>
              </w:rPr>
              <w:t>4,291</w:t>
            </w:r>
          </w:p>
        </w:tc>
        <w:tc>
          <w:tcPr>
            <w:tcW w:type="dxa" w:w="1440"/>
            <w:shd w:fill="FFDCE0" w:val="clear"/>
          </w:tcPr>
          <w:p>
            <w:r>
              <w:rPr>
                <w:sz w:val="17"/>
              </w:rPr>
              <w:t>4,608</w:t>
            </w:r>
          </w:p>
        </w:tc>
        <w:tc>
          <w:tcPr>
            <w:tcW w:type="dxa" w:w="1440"/>
            <w:shd w:fill="FFDCE0" w:val="clear"/>
          </w:tcPr>
          <w:p>
            <w:r>
              <w:rPr>
                <w:b/>
                <w:color w:val="C00000"/>
                <w:sz w:val="17"/>
              </w:rPr>
              <w:t>-4.2%</w:t>
            </w:r>
          </w:p>
        </w:tc>
      </w:tr>
      <w:tr>
        <w:tc>
          <w:tcPr>
            <w:tcW w:type="dxa" w:w="1440"/>
            <w:shd w:fill="FFDCE0" w:val="clear"/>
          </w:tcPr>
          <w:p>
            <w:r>
              <w:rPr>
                <w:sz w:val="17"/>
              </w:rPr>
              <w:t>J+9  Moyenne</w:t>
            </w:r>
          </w:p>
        </w:tc>
        <w:tc>
          <w:tcPr>
            <w:tcW w:type="dxa" w:w="1440"/>
            <w:shd w:fill="FFDCE0" w:val="clear"/>
          </w:tcPr>
          <w:p>
            <w:r>
              <w:rPr>
                <w:sz w:val="17"/>
              </w:rPr>
              <w:t>2026-08-20</w:t>
            </w:r>
          </w:p>
        </w:tc>
        <w:tc>
          <w:tcPr>
            <w:tcW w:type="dxa" w:w="1440"/>
            <w:shd w:fill="FFDCE0" w:val="clear"/>
          </w:tcPr>
          <w:p>
            <w:r>
              <w:rPr>
                <w:sz w:val="17"/>
              </w:rPr>
              <w:t>3,936</w:t>
            </w:r>
          </w:p>
        </w:tc>
        <w:tc>
          <w:tcPr>
            <w:tcW w:type="dxa" w:w="1440"/>
            <w:shd w:fill="FFDCE0" w:val="clear"/>
          </w:tcPr>
          <w:p>
            <w:r>
              <w:rPr>
                <w:b/>
                <w:sz w:val="17"/>
              </w:rPr>
              <w:t>4,272</w:t>
            </w:r>
          </w:p>
        </w:tc>
        <w:tc>
          <w:tcPr>
            <w:tcW w:type="dxa" w:w="1440"/>
            <w:shd w:fill="FFDCE0" w:val="clear"/>
          </w:tcPr>
          <w:p>
            <w:r>
              <w:rPr>
                <w:sz w:val="17"/>
              </w:rPr>
              <w:t>4,607</w:t>
            </w:r>
          </w:p>
        </w:tc>
        <w:tc>
          <w:tcPr>
            <w:tcW w:type="dxa" w:w="1440"/>
            <w:shd w:fill="FFDCE0" w:val="clear"/>
          </w:tcPr>
          <w:p>
            <w:r>
              <w:rPr>
                <w:b/>
                <w:color w:val="C00000"/>
                <w:sz w:val="17"/>
              </w:rPr>
              <w:t>-4.7%</w:t>
            </w:r>
          </w:p>
        </w:tc>
      </w:tr>
      <w:tr>
        <w:tc>
          <w:tcPr>
            <w:tcW w:type="dxa" w:w="1440"/>
            <w:shd w:fill="FFDCE0" w:val="clear"/>
          </w:tcPr>
          <w:p>
            <w:r>
              <w:rPr>
                <w:sz w:val="17"/>
              </w:rPr>
              <w:t>J+10  Moyenne</w:t>
            </w:r>
          </w:p>
        </w:tc>
        <w:tc>
          <w:tcPr>
            <w:tcW w:type="dxa" w:w="1440"/>
            <w:shd w:fill="FFDCE0" w:val="clear"/>
          </w:tcPr>
          <w:p>
            <w:r>
              <w:rPr>
                <w:sz w:val="17"/>
              </w:rPr>
              <w:t>2026-08-21</w:t>
            </w:r>
          </w:p>
        </w:tc>
        <w:tc>
          <w:tcPr>
            <w:tcW w:type="dxa" w:w="1440"/>
            <w:shd w:fill="FFDCE0" w:val="clear"/>
          </w:tcPr>
          <w:p>
            <w:r>
              <w:rPr>
                <w:sz w:val="17"/>
              </w:rPr>
              <w:t>3,901</w:t>
            </w:r>
          </w:p>
        </w:tc>
        <w:tc>
          <w:tcPr>
            <w:tcW w:type="dxa" w:w="1440"/>
            <w:shd w:fill="FFDCE0" w:val="clear"/>
          </w:tcPr>
          <w:p>
            <w:r>
              <w:rPr>
                <w:b/>
                <w:sz w:val="17"/>
              </w:rPr>
              <w:t>4,253</w:t>
            </w:r>
          </w:p>
        </w:tc>
        <w:tc>
          <w:tcPr>
            <w:tcW w:type="dxa" w:w="1440"/>
            <w:shd w:fill="FFDCE0" w:val="clear"/>
          </w:tcPr>
          <w:p>
            <w:r>
              <w:rPr>
                <w:sz w:val="17"/>
              </w:rPr>
              <w:t>4,605</w:t>
            </w:r>
          </w:p>
        </w:tc>
        <w:tc>
          <w:tcPr>
            <w:tcW w:type="dxa" w:w="1440"/>
            <w:shd w:fill="FFDCE0" w:val="clear"/>
          </w:tcPr>
          <w:p>
            <w:r>
              <w:rPr>
                <w:b/>
                <w:color w:val="C00000"/>
                <w:sz w:val="17"/>
              </w:rPr>
              <w:t>-5.1%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 AFRIC MOTORS CI)**</w:t>
        <w:br/>
        <w:t>**Date de l'analyse : 10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45,88 milliards FCFA, un niveau qui la positionne comme une valeur de taille moyenne sur la BRVM, reflétant un profil de liquidité modéré. Avec un BPA de 231 FCFA, le titre se négocie à un PER de 19,4x, nettement supérieur à la moyenne historique de la place (~8-12x), ce qui indique que les investisseurs paient une prime substantielle pour les bénéfices actuels. Le P/B de 3,98x confirme cette prime, le marché valorisant l'actif net comptable près de 4 fois, signe d'attentes de croissance élevées. Enfin, l'EV/EBITDA de 9,9x, situé dans la fourchette haute des standards, suggère que la valeur totale de l'entreprise (dette incluse) est correctement évaluée par rapport à sa capacité opérationnelle, sans excès flagrant mais sans décote non plus.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PRSC a enregistré une baisse significative de -18,55%, avec une dernière séance quasi stable (-0,11%). Le cours a évolué dans une fourchette large de 3 620 FCFA (plus bas) à 5 500 FCFA (plus haut), illustrant une forte amplitude de trading. La moyenne (4 516 FCFA) et la médiane (4 550 FCFA) étant très proches, la distribution des prix est relativement symétrique, bien que le skewness négatif (-0,462) indique une légère asymétrie vers les valeurs basses, suggérant des épisodes de vente plus marqués. L'écart-type de 402 FCFA (CV=8,9%) montre une dispersion modérée autour de la moyenne, tandis que le kurtosis de 0,049 (mésokurtique) indique une absence de risques extrêmes de pics ou de queues lourdes. La volatilité annualisée de 42% est élevée (&gt;30%), ce qui classe PRSC comme un actif risqué, sujet à des fluctuations de prix importantes, typique d'un marché émergent.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(4 480 FCFA) est légèrement en dessous de la MM20 (4 486,25) mais au-dessus de la MM50 (4 448,9). Cette configuration, où le prix se maintient au-dessus de la moyenne à long terme, génère un signal d'achat. La MM20 proche du prix indique une tendance à court terme neutre, mais le support de la MM50 semble tenir, ce qui est un signe de consolidation positive.</w:t>
      </w:r>
    </w:p>
    <w:p>
      <w:pPr>
        <w:spacing w:after="120" w:line="276" w:lineRule="auto"/>
      </w:pPr>
      <w:r>
        <w:t>**Bandes de Bollinger** : Le prix se situe à l'intérieur des bandes, entre la borne inférieure (4 262,9) et la borne supérieure (4 709,6), avec une largeur de bande relativement étroite. Cela indique une volatilité en compression. La décision est neutre, le marché attendant une direction claire. Une sortie des bandes pourrait signaler le début d'un nouveau mouvement.</w:t>
      </w:r>
    </w:p>
    <w:p>
      <w:pPr>
        <w:spacing w:after="120" w:line="276" w:lineRule="auto"/>
      </w:pPr>
      <w:r>
        <w:t>**MACD** : La valeur du MACD (7,417) est inférieure à son signal (23,302), ce qui constitue un croisement baissier. Le momentum est donc négatif, bien que la valeur positive du MACD suggère que la dynamique de prix reste au-dessus de sa moyenne à long terme. La décision de vente est justifiée par cette divergence, mais elle pourrait être temporaire.</w:t>
      </w:r>
    </w:p>
    <w:p>
      <w:pPr>
        <w:spacing w:after="120" w:line="276" w:lineRule="auto"/>
      </w:pPr>
      <w:r>
        <w:t>**RSI** : À 48,33, le RSI est en zone neutre (entre 30 et 70), indiquant un équilibre entre les forces acheteuses et vendeuses. Il n'y a pas de pression excessive à l'achat ni à la vente. Cette neutralité suggère que le marché attend un catalyseur pour orienter le prix.</w:t>
      </w:r>
    </w:p>
    <w:p>
      <w:pPr>
        <w:spacing w:after="120" w:line="276" w:lineRule="auto"/>
      </w:pPr>
      <w:r>
        <w:t>**Stochastique** : Le %K (32,65) est supérieur au %D (22,45), ce qui est un signal d'achat précoce, indiquant que le prix pourrait rebondir depuis des conditions de survente relative. Cependant, les deux valeurs étant encore basses, la dynamique haussière n'est pas confirmée. La décision est neutre, mais ce croisement est un signe encourageant.</w:t>
      </w:r>
    </w:p>
    <w:p>
      <w:pPr>
        <w:spacing w:after="120" w:line="276" w:lineRule="auto"/>
      </w:pPr>
      <w:r>
        <w:t>**Conclusion technique** : Les indicateurs sont mitigés. Les moyennes mobiles et le stochastique suggèrent un potentiel de rebond, tandis que le MACD et la position dans les bandes de Bollinger indiquent une prudence. Le RSI neutre ne tranche pas. Globalement, le titre est dans une phase de consolidation, sans signal fort. Un acheteur attendra une confirmation au-dessus de la MM20, tandis qu'un vendeur surveillera une cassure sous la MM50.</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PRSC a réalisé un chiffre d'affaires de 81,127 milliards FCFA, en hausse de 8,6% par rapport à 2024 (74,45 Mds), confirmant la reprise après la baisse de 2023. Le résultat net s'établit à 2,367 milliards FCFA, stable par rapport à 2024 (2,35 Mds), avec une marge nette de 2,9%. La rentabilité des capitaux propres (ROE) est excellente à 20,5%, bien au-dessus du seuil de 15%, démontrant une utilisation efficace des fonds propres. En tant qu'entreprise de distribution, le BFR est positif (11,267 Mds), ce qui est normal, mais le délai de stockage de 150 jours est élevé, immobilisant du capital. Le délai fournisseur (102 jours) est supérieur au délai client (46 jours), ce qui est favorable pour la trésorerie. L'endettement total représente 314% des capitaux propres, un niveau élevé, mais la capacité de remboursement est de 1,83 an, ce qui reste gérable. **Les rapports narratifs de 2025 et 2026** confirment cette tendance : le rapport annuel 2025 (daté du 31/12/2025) souligne une croissance du CA de 9,5% et un dividende proposé de 209 FCFA par action, soit un rendement attractif. Le rapport du S1 2025 (daté du 30/06/2025) montrait déjà une performance exceptionnelle avec un résultat net multiplié par 28. **Sur la base de ces données, on estime que l'exercice 2026 devrait poursuivre cette dynamique de croissance du CA, portée par le marché ivoirien, avec une stabilisation de la marge nette autour de 3%.** Le principal risque reste la pression sur les marges et la gestion du besoin en fonds de roulement.</w:t>
      </w:r>
    </w:p>
    <w:p>
      <w:pPr>
        <w:spacing w:after="120" w:line="276" w:lineRule="auto"/>
      </w:pPr>
      <w:r>
        <w:t>---</w:t>
      </w:r>
    </w:p>
    <w:p>
      <w:pPr>
        <w:spacing w:after="120" w:line="276" w:lineRule="auto"/>
      </w:pPr>
      <w:r>
        <w:t>### PARTIE 4 : CONCLUSION D'INVESTISSEMENT</w:t>
      </w:r>
    </w:p>
    <w:p>
      <w:pPr>
        <w:spacing w:after="120" w:line="276" w:lineRule="auto"/>
      </w:pPr>
      <w:r>
        <w:t>La valorisation de PRSC (PER 19,4x, P/B 3,98x) est exigeante, reflétant des attentes de croissance que le cours actuel (-18,5% sur 100 jours) semble déjà intégrer avec prudence. Le comportement du cours montre une volatilité élevée (42%) et une tendance baissière, mais les statistiques (kurtosis, skewness) indiquent un risque de distribution normal. Les signaux techniques sont mitigés, avec un potentiel de rebond (MM, stochastique) mais un momentum négatif (MACD). Fondamentalement, la société est solide avec un ROE de 20,5%, une croissance du CA de 8,6% et un dividende de 209 FCFA, offrant un rendement d'environ 4,7% au cours actuel. Les prédictions IA pour les 10 prochains jours (4 434 à 4 351 FCFA) suggèrent une légère baisse continue, contredisant le signal d'achat technique à court terme. En synthèse, la convergence entre une valorisation élevée, des signaux techniques neutres et des prédictions baissières à court terme, malgré des fondamentaux sains, conduit à une recommandation de **CONSERVER**. Le niveau de confiance est **Moyen**, car la solidité financière est un atout, mais le marché semble attendre un meilleur point d'entrée. Le risque global est **Élevé** en raison de la volatilité. L'horizon d'investissement optimal est le **moyen terme (3-12 mois)**, en attendant une stabilisation du cours et une confirmation de la croissance sur les prochains trimestres.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42.63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7,246 titres</w:t>
            </w:r>
          </w:p>
        </w:tc>
        <w:tc>
          <w:tcPr>
            <w:tcW w:type="dxa" w:w="2268"/>
            <w:shd w:fill="FFF2CC" w:val="clear"/>
          </w:tcPr>
          <w:p>
            <w:r>
              <w:rPr>
                <w:b/>
                <w:color w:val="503200"/>
                <w:sz w:val="16"/>
              </w:rPr>
              <w:t xml:space="preserve">Cours actuel : </w:t>
            </w:r>
            <w:r>
              <w:rPr>
                <w:color w:val="000000"/>
                <w:sz w:val="17"/>
              </w:rPr>
              <w:t>5,250 FCFA</w:t>
            </w:r>
          </w:p>
          <w:p>
            <w:r>
              <w:rPr>
                <w:b/>
                <w:color w:val="503200"/>
                <w:sz w:val="16"/>
              </w:rPr>
              <w:t xml:space="preserve">Var. 100 jours : </w:t>
            </w:r>
            <w:r>
              <w:rPr>
                <w:b/>
                <w:color w:val="B40000"/>
                <w:sz w:val="17"/>
              </w:rPr>
              <w:t>-13.93%</w:t>
            </w:r>
          </w:p>
          <w:p>
            <w:r>
              <w:rPr>
                <w:b/>
                <w:color w:val="503200"/>
                <w:sz w:val="16"/>
              </w:rPr>
              <w:t xml:space="preserve">Plus haut 100j : </w:t>
            </w:r>
            <w:r>
              <w:rPr>
                <w:color w:val="000000"/>
                <w:sz w:val="17"/>
              </w:rPr>
              <w:t>7,555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83.1%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31.9/100 → Moyen</w:t>
      </w:r>
    </w:p>
    <w:p>
      <w:pPr>
        <w:spacing w:before="40" w:after="80"/>
      </w:pPr>
      <w:r>
        <w:rPr>
          <w:rFonts w:ascii="Courier New" w:hAnsi="Courier New"/>
          <w:color w:val="825A00"/>
          <w:sz w:val="18"/>
        </w:rPr>
        <w:t>██████░░░░░░░░░░░░░░  31.9/100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23.75% (Élevée) — μ=4,826 FCFA, σ=1,146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β=0.4220 (Défensif) — Cov=0.000015, Var(idx)=0.000036, ρ=0.048,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7,246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σ_j=5.23%/j (Instable) — Vol. annualisée≈83.1%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4,597</w:t>
            </w:r>
          </w:p>
        </w:tc>
        <w:tc>
          <w:tcPr>
            <w:tcW w:type="dxa" w:w="1440"/>
            <w:shd w:fill="FFDCE0" w:val="clear"/>
          </w:tcPr>
          <w:p>
            <w:r>
              <w:rPr>
                <w:b/>
                <w:sz w:val="17"/>
              </w:rPr>
              <w:t>4,856</w:t>
            </w:r>
          </w:p>
        </w:tc>
        <w:tc>
          <w:tcPr>
            <w:tcW w:type="dxa" w:w="1440"/>
            <w:shd w:fill="FFDCE0" w:val="clear"/>
          </w:tcPr>
          <w:p>
            <w:r>
              <w:rPr>
                <w:sz w:val="17"/>
              </w:rPr>
              <w:t>5,116</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4,152</w:t>
            </w:r>
          </w:p>
        </w:tc>
        <w:tc>
          <w:tcPr>
            <w:tcW w:type="dxa" w:w="1440"/>
            <w:shd w:fill="FFDCE0" w:val="clear"/>
          </w:tcPr>
          <w:p>
            <w:r>
              <w:rPr>
                <w:b/>
                <w:sz w:val="17"/>
              </w:rPr>
              <w:t>4,492</w:t>
            </w:r>
          </w:p>
        </w:tc>
        <w:tc>
          <w:tcPr>
            <w:tcW w:type="dxa" w:w="1440"/>
            <w:shd w:fill="FFDCE0" w:val="clear"/>
          </w:tcPr>
          <w:p>
            <w:r>
              <w:rPr>
                <w:sz w:val="17"/>
              </w:rPr>
              <w:t>4,832</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3,770</w:t>
            </w:r>
          </w:p>
        </w:tc>
        <w:tc>
          <w:tcPr>
            <w:tcW w:type="dxa" w:w="1440"/>
            <w:shd w:fill="FFDCE0" w:val="clear"/>
          </w:tcPr>
          <w:p>
            <w:r>
              <w:rPr>
                <w:b/>
                <w:sz w:val="17"/>
              </w:rPr>
              <w:t>4,155</w:t>
            </w:r>
          </w:p>
        </w:tc>
        <w:tc>
          <w:tcPr>
            <w:tcW w:type="dxa" w:w="1440"/>
            <w:shd w:fill="FFDCE0" w:val="clear"/>
          </w:tcPr>
          <w:p>
            <w:r>
              <w:rPr>
                <w:sz w:val="17"/>
              </w:rPr>
              <w:t>4,540</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3,433</w:t>
            </w:r>
          </w:p>
        </w:tc>
        <w:tc>
          <w:tcPr>
            <w:tcW w:type="dxa" w:w="1440"/>
            <w:shd w:fill="FFDCE0" w:val="clear"/>
          </w:tcPr>
          <w:p>
            <w:r>
              <w:rPr>
                <w:b/>
                <w:sz w:val="17"/>
              </w:rPr>
              <w:t>3,843</w:t>
            </w:r>
          </w:p>
        </w:tc>
        <w:tc>
          <w:tcPr>
            <w:tcW w:type="dxa" w:w="1440"/>
            <w:shd w:fill="FFDCE0" w:val="clear"/>
          </w:tcPr>
          <w:p>
            <w:r>
              <w:rPr>
                <w:sz w:val="17"/>
              </w:rPr>
              <w:t>4,254</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3,130</w:t>
            </w:r>
          </w:p>
        </w:tc>
        <w:tc>
          <w:tcPr>
            <w:tcW w:type="dxa" w:w="1440"/>
            <w:shd w:fill="FFDCE0" w:val="clear"/>
          </w:tcPr>
          <w:p>
            <w:r>
              <w:rPr>
                <w:b/>
                <w:sz w:val="17"/>
              </w:rPr>
              <w:t>3,555</w:t>
            </w:r>
          </w:p>
        </w:tc>
        <w:tc>
          <w:tcPr>
            <w:tcW w:type="dxa" w:w="1440"/>
            <w:shd w:fill="FFDCE0" w:val="clear"/>
          </w:tcPr>
          <w:p>
            <w:r>
              <w:rPr>
                <w:sz w:val="17"/>
              </w:rPr>
              <w:t>3,980</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2,858</w:t>
            </w:r>
          </w:p>
        </w:tc>
        <w:tc>
          <w:tcPr>
            <w:tcW w:type="dxa" w:w="1440"/>
            <w:shd w:fill="FFDCE0" w:val="clear"/>
          </w:tcPr>
          <w:p>
            <w:r>
              <w:rPr>
                <w:b/>
                <w:sz w:val="17"/>
              </w:rPr>
              <w:t>3,289</w:t>
            </w:r>
          </w:p>
        </w:tc>
        <w:tc>
          <w:tcPr>
            <w:tcW w:type="dxa" w:w="1440"/>
            <w:shd w:fill="FFDCE0" w:val="clear"/>
          </w:tcPr>
          <w:p>
            <w:r>
              <w:rPr>
                <w:sz w:val="17"/>
              </w:rPr>
              <w:t>3,719</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2,612</w:t>
            </w:r>
          </w:p>
        </w:tc>
        <w:tc>
          <w:tcPr>
            <w:tcW w:type="dxa" w:w="1440"/>
            <w:shd w:fill="FFDCE0" w:val="clear"/>
          </w:tcPr>
          <w:p>
            <w:r>
              <w:rPr>
                <w:b/>
                <w:sz w:val="17"/>
              </w:rPr>
              <w:t>3,042</w:t>
            </w:r>
          </w:p>
        </w:tc>
        <w:tc>
          <w:tcPr>
            <w:tcW w:type="dxa" w:w="1440"/>
            <w:shd w:fill="FFDCE0" w:val="clear"/>
          </w:tcPr>
          <w:p>
            <w:r>
              <w:rPr>
                <w:sz w:val="17"/>
              </w:rPr>
              <w:t>3,472</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2,388</w:t>
            </w:r>
          </w:p>
        </w:tc>
        <w:tc>
          <w:tcPr>
            <w:tcW w:type="dxa" w:w="1440"/>
            <w:shd w:fill="FFDCE0" w:val="clear"/>
          </w:tcPr>
          <w:p>
            <w:r>
              <w:rPr>
                <w:b/>
                <w:sz w:val="17"/>
              </w:rPr>
              <w:t>2,814</w:t>
            </w:r>
          </w:p>
        </w:tc>
        <w:tc>
          <w:tcPr>
            <w:tcW w:type="dxa" w:w="1440"/>
            <w:shd w:fill="FFDCE0" w:val="clear"/>
          </w:tcPr>
          <w:p>
            <w:r>
              <w:rPr>
                <w:sz w:val="17"/>
              </w:rPr>
              <w:t>3,239</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2,185</w:t>
            </w:r>
          </w:p>
        </w:tc>
        <w:tc>
          <w:tcPr>
            <w:tcW w:type="dxa" w:w="1440"/>
            <w:shd w:fill="FFDCE0" w:val="clear"/>
          </w:tcPr>
          <w:p>
            <w:r>
              <w:rPr>
                <w:b/>
                <w:sz w:val="17"/>
              </w:rPr>
              <w:t>2,603</w:t>
            </w:r>
          </w:p>
        </w:tc>
        <w:tc>
          <w:tcPr>
            <w:tcW w:type="dxa" w:w="1440"/>
            <w:shd w:fill="FFDCE0" w:val="clear"/>
          </w:tcPr>
          <w:p>
            <w:r>
              <w:rPr>
                <w:sz w:val="17"/>
              </w:rPr>
              <w:t>3,020</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2,001</w:t>
            </w:r>
          </w:p>
        </w:tc>
        <w:tc>
          <w:tcPr>
            <w:tcW w:type="dxa" w:w="1440"/>
            <w:shd w:fill="FFDCE0" w:val="clear"/>
          </w:tcPr>
          <w:p>
            <w:r>
              <w:rPr>
                <w:b/>
                <w:sz w:val="17"/>
              </w:rPr>
              <w:t>2,408</w:t>
            </w:r>
          </w:p>
        </w:tc>
        <w:tc>
          <w:tcPr>
            <w:tcW w:type="dxa" w:w="1440"/>
            <w:shd w:fill="FFDCE0" w:val="clear"/>
          </w:tcPr>
          <w:p>
            <w:r>
              <w:rPr>
                <w:sz w:val="17"/>
              </w:rPr>
              <w:t>2,815</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SAFC s'établit à 42,63 milliards FCFA, un niveau modeste dans l'écosystème BRVM, reflétant une société de taille moyenne en phase de redressement. Le BPA de 86 FCFA par action, bien que positif après huit années de pertes, reste faible en valeur absolue. Le PER de 60,8x est extrêmement élevé par rapport à la moyenne historique de la BRVM (8-12x), indiquant que les investisseurs paient une prime considérable pour chaque franc de bénéfice, anticipant probablement une poursuite de la croissance des résultats. Le P/B de 7,21x confirme cette valorisation exigeante, le marché valorisant le titre bien au-delà de sa valeur comptable (5,9 milliards FCFA de capitaux propres). Enfin, l'EV/EBITDA de 78,8x est également très élevé, signalant que la valeur totale de l'entreprise (dette incluse) est disproportionnée par rapport à sa capacité opérationnelle actuelle.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SAFC a enregistré une variation totale de -13,93%, avec une dernière séance en hausse de +5,00% à 5 250 FCFA. Le cours a évolué dans une fourchette très large, entre un plus bas de 3 340 FCFA et un plus haut de 7 555 FCFA, illustrant une volatilité extrême. La moyenne (4 826 FCFA) est supérieure à la médiane (4 505 FCFA), et le skewness positif (0,837) confirme une asymétrie avec davantage de journées sous la moyenne, mais des épisodes de hausse marqués. L'écart-type de 1 152 FCFA (CV=23,9%) témoigne d'une dispersion importante des cours. Le kurtosis de -0,373 (mésokurtique) indique une distribution proche de la normale, sans risque accru de valeurs extrêmes. La volatilité annualisée de 83,1% est très élevée, positionnant SAFC comme un titre spéculatif à fort risque, bien au-delà du seuil de 30% considéré comme élevé.</w:t>
      </w:r>
    </w:p>
    <w:p>
      <w:pPr>
        <w:spacing w:after="120" w:line="276" w:lineRule="auto" w:before="240"/>
      </w:pPr>
      <w:r>
        <w:rPr>
          <w:b/>
          <w:color w:val="003366"/>
          <w:sz w:val="24"/>
        </w:rPr>
        <w:t>**PARTIE 2 : ANALYSE TECHNIQUE DÉTAILLÉE**</w:t>
      </w:r>
    </w:p>
    <w:p>
      <w:pPr>
        <w:spacing w:after="120" w:line="276" w:lineRule="auto"/>
      </w:pPr>
      <w:r>
        <w:t>**Moyennes Mobiles** : Le cours actuel de 5 250 FCFA se situe nettement au-dessus de la MM20 (4 730,75 FCFA) et de la MM50 (4 386,7 FCFA), avec un écart de +11% et +19,7% respectivement. Cette configuration haussière, où le prix évolue au-dessus des deux moyennes, justifie la décision d'achat. La pente positive des moyennes suggère un momentum haussier à court et moyen terme, bien que l'écart important avec la MM50 puisse signaler une surenchère temporaire.</w:t>
      </w:r>
    </w:p>
    <w:p>
      <w:pPr>
        <w:spacing w:after="120" w:line="276" w:lineRule="auto"/>
      </w:pPr>
      <w:r>
        <w:t>**Bandes de Bollinger** : Le prix à 5 250 FCFA se positionne près de la borne supérieure (5 465,87 FCFA), indiquant une pression acheteuse soutenue. La largeur des bandes (écart de 1 470 FCFA entre les bornes) reflète une volatilité élevée. La décision "Neutre" s'explique par le fait que le cours, bien que proche de la borne supérieure, n'a pas encore atteint des niveaux extrêmes qui déclencheraient un signal de retournement. La tendance reste haussière tant que le prix ne casse pas la borne supérieure.</w:t>
      </w:r>
    </w:p>
    <w:p>
      <w:pPr>
        <w:spacing w:after="120" w:line="276" w:lineRule="auto"/>
      </w:pPr>
      <w:r>
        <w:t>**MACD** : Le MACD (229,15) est nettement supérieur à son signal (198,67), avec un écart positif de 30,48 points. Cette configuration haussière confirme un momentum positif soutenu. La décision d'achat est justifiée par la divergence positive persistante, indiquant que la dynamique haussière reste intacte. Cependant, la valeur élevée du MACD suggère que le mouvement pourrait être proche de son apogée.</w:t>
      </w:r>
    </w:p>
    <w:p>
      <w:pPr>
        <w:spacing w:after="120" w:line="276" w:lineRule="auto"/>
      </w:pPr>
      <w:r>
        <w:t>**RSI** : Le RSI à 72,37 dépasse le seuil de surachat de 70, signalant que le titre est techniquement survendu à la hausse. Cette zone indique généralement un risque de correction à court terme, car les acheteurs sont potentiellement épuisés. La décision de vente est donc cohérente avec la position du RSI en zone de surachat, bien qu'en tendance forte, le RSI puisse rester au-dessus de 70 pendant des périodes prolongées.</w:t>
      </w:r>
    </w:p>
    <w:p>
      <w:pPr>
        <w:spacing w:after="120" w:line="276" w:lineRule="auto"/>
      </w:pPr>
      <w:r>
        <w:t>**Stochastique** : Le %K à 90,91 et le %D à 79,37 sont tous deux en zone de surachat (&gt;80), avec un écart important. Cette configuration signale une pression acheteuse excessive et un risque élevé de retournement. La décision de vente est justifiée par la position extrême des deux lignes, bien qu'aucun croisement baissier ne soit encore intervenu. Un croisement du %K sous le %D confirmerait un signal de vente.</w:t>
      </w:r>
    </w:p>
    <w:p>
      <w:pPr>
        <w:spacing w:after="120" w:line="276" w:lineRule="auto"/>
      </w:pPr>
      <w:r>
        <w:t>**Conclusion technique** : Les indicateurs de tendance (MM, MACD) sont résolument haussiers, mais les oscillateurs (RSI, Stochastique) sont en zone de surachat extrême, suggérant un risque de correction à court terme. La décision globale est mitigée : la tendance reste positive, mais les conditions de surachat appellent à la prudence. Un repli technique vers les moyennes mobiles (4 700-4 400 FCFA) serait sain avant une éventuelle poursuite de la hausse.</w:t>
      </w:r>
    </w:p>
    <w:p>
      <w:pPr>
        <w:spacing w:after="120" w:line="276" w:lineRule="auto" w:before="240"/>
      </w:pPr>
      <w:r>
        <w:rPr>
          <w:b/>
          <w:color w:val="003366"/>
          <w:sz w:val="24"/>
        </w:rPr>
        <w:t>**PARTIE 3 : ANALYSE FONDAMENTALE (SECTION CRITIQUE)**</w:t>
      </w:r>
    </w:p>
    <w:p>
      <w:pPr>
        <w:spacing w:after="120" w:line="276" w:lineRule="auto"/>
      </w:pPr>
      <w:r>
        <w:t>En 2025, SAFC (Alios Finance Côte d'Ivoire) a réalisé un PNB de 5,735 milliards FCFA, en hausse de 44,1% par rapport à 2024 (3,980 milliards FCFA), avec un résultat net positif de 701 millions FCFA contre une perte de 165 millions en 2024. Le ROE s'établit à 11,85% et le ROA à 0,88%, reflétant une rentabilité encore modeste mais en nette amélioration. Le coefficient d'exploitation de 77,63% reste élevé (supérieur au seuil de 60% considéré comme efficace), indiquant des charges d'exploitation importantes. Le coût du risque de 6,57% demeure significatif, traduisant une qualité de portefeuille encore fragile. La structure de financement montre une forte dépendance aux dettes interbancaires (35,747 milliards FCFA) par rapport aux dépôts clientèle (9,112 milliards FCFA), créant un déséquilibre de transformation. Les capitaux propres (5,916 milliards FCFA) restent faibles face à un total bilan de 79,555 milliards FCFA (autonomie financière de 7,44%). Selon le rapport T1 2026 (daté du 31 mars 2026), le PNB progresse de 29% à 1,395 milliard FCFA et le résultat net bondit de 1 062% à 151 millions FCFA, avec un coût du risque réduit de 75%. Sur cette base, on estime que l'exercice 2026 pourrait dépasser les 800 millions FCFA de résultat net, confirmant la trajectoire de redressement impulsée par CREDAF Group depuis avril 2025. Les rapports de 2025 (DeepSeek, Mistral) convergent vers une recommandation "Conserver", tandis que le rapport T1 2026 suggère un passage à l'achat.</w:t>
      </w:r>
    </w:p>
    <w:p>
      <w:pPr>
        <w:spacing w:after="120" w:line="276" w:lineRule="auto" w:before="240"/>
      </w:pPr>
      <w:r>
        <w:rPr>
          <w:b/>
          <w:color w:val="003366"/>
          <w:sz w:val="24"/>
        </w:rPr>
        <w:t>**PARTIE 4 : CONCLUSION D'INVESTISSEMENT**</w:t>
      </w:r>
    </w:p>
    <w:p>
      <w:pPr>
        <w:spacing w:after="120" w:line="276" w:lineRule="auto"/>
      </w:pPr>
      <w:r>
        <w:t>La valorisation actuelle de SAFC (PER 60,8x, P/B 7,21x, EV/EBITDA 78,8x) est extrêmement exigeante, intégrant des anticipations de croissance très optimistes qui ne sont pas encore matérialisées dans les fondamentaux. Le comportement du cours sur 100 jours montre une volatilité de 83,1% avec une tendance baissière (-13,93%), malgré un récent rebond de +5%. Les signaux techniques sont contradictoires : tendance haussière (MM, MACD) mais oscillateurs en surachat (RSI 72,4, Stochastique 90,9), suggérant un risque de correction. Les fondamentaux s'améliorent nettement (PNB +44% en 2025, résultat net positif, T1 2026 en forte progression), mais la structure financière reste fragile avec un coefficient d'exploitation élevé et une dépendance aux financements interbancaires. Les prédictions IA (J+1 à J+10) anticipent une chute progressive de 4 856 à 3 555 FCFA, contredisant les signaux techniques haussiers et suggérant une correction imminente. La convergence entre la valorisation excessive, les signaux de surachat technique et les prédictions baissières conduit à une recommandation **VENTE** pour les investisseurs à court terme, avec un niveau de confiance **Moyen** et un risque global **Élevé**. Pour les investisseurs à long terme (&gt;1 an), conserver une position de surveillance est envisageable, mais l'horizon optimal actuel est le court terme (&lt;3 mois) avec une stratégie de sortie ou d'évitement.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69.58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12,315 titres</w:t>
            </w:r>
          </w:p>
        </w:tc>
        <w:tc>
          <w:tcPr>
            <w:tcW w:type="dxa" w:w="2268"/>
            <w:shd w:fill="FFF2CC" w:val="clear"/>
          </w:tcPr>
          <w:p>
            <w:r>
              <w:rPr>
                <w:b/>
                <w:color w:val="503200"/>
                <w:sz w:val="16"/>
              </w:rPr>
              <w:t xml:space="preserve">Cours actuel : </w:t>
            </w:r>
            <w:r>
              <w:rPr>
                <w:color w:val="000000"/>
                <w:sz w:val="17"/>
              </w:rPr>
              <w:t>3,550 FCFA</w:t>
            </w:r>
          </w:p>
          <w:p>
            <w:r>
              <w:rPr>
                <w:b/>
                <w:color w:val="503200"/>
                <w:sz w:val="16"/>
              </w:rPr>
              <w:t xml:space="preserve">Var. 100 jours : </w:t>
            </w:r>
            <w:r>
              <w:rPr>
                <w:b/>
                <w:color w:val="007800"/>
                <w:sz w:val="17"/>
              </w:rPr>
              <w:t>+135.88%</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1,455 FCFA</w:t>
            </w:r>
          </w:p>
          <w:p>
            <w:r>
              <w:rPr>
                <w:b/>
                <w:color w:val="503200"/>
                <w:sz w:val="16"/>
              </w:rPr>
              <w:t xml:space="preserve">Volatilité ann. : </w:t>
            </w:r>
            <w:r>
              <w:rPr>
                <w:color w:val="000000"/>
                <w:sz w:val="17"/>
              </w:rPr>
              <w:t>58.1%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28.19% (Élevée) — μ=2,651 FCFA, σ=747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β=0.4081 (Défensif) — Cov=0.000015, Var(idx)=0.000036, ρ=0.066,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12,315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σ_j=3.66%/j (Modérée) — Vol. annualisée≈58.1%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3,104</w:t>
            </w:r>
          </w:p>
        </w:tc>
        <w:tc>
          <w:tcPr>
            <w:tcW w:type="dxa" w:w="1440"/>
            <w:shd w:fill="FFDCE0" w:val="clear"/>
          </w:tcPr>
          <w:p>
            <w:r>
              <w:rPr>
                <w:b/>
                <w:sz w:val="17"/>
              </w:rPr>
              <w:t>3,284</w:t>
            </w:r>
          </w:p>
        </w:tc>
        <w:tc>
          <w:tcPr>
            <w:tcW w:type="dxa" w:w="1440"/>
            <w:shd w:fill="FFDCE0" w:val="clear"/>
          </w:tcPr>
          <w:p>
            <w:r>
              <w:rPr>
                <w:sz w:val="17"/>
              </w:rPr>
              <w:t>3,463</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2,803</w:t>
            </w:r>
          </w:p>
        </w:tc>
        <w:tc>
          <w:tcPr>
            <w:tcW w:type="dxa" w:w="1440"/>
            <w:shd w:fill="FFDCE0" w:val="clear"/>
          </w:tcPr>
          <w:p>
            <w:r>
              <w:rPr>
                <w:b/>
                <w:sz w:val="17"/>
              </w:rPr>
              <w:t>3,037</w:t>
            </w:r>
          </w:p>
        </w:tc>
        <w:tc>
          <w:tcPr>
            <w:tcW w:type="dxa" w:w="1440"/>
            <w:shd w:fill="FFDCE0" w:val="clear"/>
          </w:tcPr>
          <w:p>
            <w:r>
              <w:rPr>
                <w:sz w:val="17"/>
              </w:rPr>
              <w:t>3,272</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2,543</w:t>
            </w:r>
          </w:p>
        </w:tc>
        <w:tc>
          <w:tcPr>
            <w:tcW w:type="dxa" w:w="1440"/>
            <w:shd w:fill="FFDCE0" w:val="clear"/>
          </w:tcPr>
          <w:p>
            <w:r>
              <w:rPr>
                <w:b/>
                <w:sz w:val="17"/>
              </w:rPr>
              <w:t>2,810</w:t>
            </w:r>
          </w:p>
        </w:tc>
        <w:tc>
          <w:tcPr>
            <w:tcW w:type="dxa" w:w="1440"/>
            <w:shd w:fill="FFDCE0" w:val="clear"/>
          </w:tcPr>
          <w:p>
            <w:r>
              <w:rPr>
                <w:sz w:val="17"/>
              </w:rPr>
              <w:t>3,076</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2,315</w:t>
            </w:r>
          </w:p>
        </w:tc>
        <w:tc>
          <w:tcPr>
            <w:tcW w:type="dxa" w:w="1440"/>
            <w:shd w:fill="FFDCE0" w:val="clear"/>
          </w:tcPr>
          <w:p>
            <w:r>
              <w:rPr>
                <w:b/>
                <w:sz w:val="17"/>
              </w:rPr>
              <w:t>2,599</w:t>
            </w:r>
          </w:p>
        </w:tc>
        <w:tc>
          <w:tcPr>
            <w:tcW w:type="dxa" w:w="1440"/>
            <w:shd w:fill="FFDCE0" w:val="clear"/>
          </w:tcPr>
          <w:p>
            <w:r>
              <w:rPr>
                <w:sz w:val="17"/>
              </w:rPr>
              <w:t>2,883</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2,110</w:t>
            </w:r>
          </w:p>
        </w:tc>
        <w:tc>
          <w:tcPr>
            <w:tcW w:type="dxa" w:w="1440"/>
            <w:shd w:fill="FFDCE0" w:val="clear"/>
          </w:tcPr>
          <w:p>
            <w:r>
              <w:rPr>
                <w:b/>
                <w:sz w:val="17"/>
              </w:rPr>
              <w:t>2,404</w:t>
            </w:r>
          </w:p>
        </w:tc>
        <w:tc>
          <w:tcPr>
            <w:tcW w:type="dxa" w:w="1440"/>
            <w:shd w:fill="FFDCE0" w:val="clear"/>
          </w:tcPr>
          <w:p>
            <w:r>
              <w:rPr>
                <w:sz w:val="17"/>
              </w:rPr>
              <w:t>2,698</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1,926</w:t>
            </w:r>
          </w:p>
        </w:tc>
        <w:tc>
          <w:tcPr>
            <w:tcW w:type="dxa" w:w="1440"/>
            <w:shd w:fill="FFDCE0" w:val="clear"/>
          </w:tcPr>
          <w:p>
            <w:r>
              <w:rPr>
                <w:b/>
                <w:sz w:val="17"/>
              </w:rPr>
              <w:t>2,224</w:t>
            </w:r>
          </w:p>
        </w:tc>
        <w:tc>
          <w:tcPr>
            <w:tcW w:type="dxa" w:w="1440"/>
            <w:shd w:fill="FFDCE0" w:val="clear"/>
          </w:tcPr>
          <w:p>
            <w:r>
              <w:rPr>
                <w:sz w:val="17"/>
              </w:rPr>
              <w:t>2,522</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1,759</w:t>
            </w:r>
          </w:p>
        </w:tc>
        <w:tc>
          <w:tcPr>
            <w:tcW w:type="dxa" w:w="1440"/>
            <w:shd w:fill="FFDCE0" w:val="clear"/>
          </w:tcPr>
          <w:p>
            <w:r>
              <w:rPr>
                <w:b/>
                <w:sz w:val="17"/>
              </w:rPr>
              <w:t>2,057</w:t>
            </w:r>
          </w:p>
        </w:tc>
        <w:tc>
          <w:tcPr>
            <w:tcW w:type="dxa" w:w="1440"/>
            <w:shd w:fill="FFDCE0" w:val="clear"/>
          </w:tcPr>
          <w:p>
            <w:r>
              <w:rPr>
                <w:sz w:val="17"/>
              </w:rPr>
              <w:t>2,355</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1,608</w:t>
            </w:r>
          </w:p>
        </w:tc>
        <w:tc>
          <w:tcPr>
            <w:tcW w:type="dxa" w:w="1440"/>
            <w:shd w:fill="FFDCE0" w:val="clear"/>
          </w:tcPr>
          <w:p>
            <w:r>
              <w:rPr>
                <w:b/>
                <w:sz w:val="17"/>
              </w:rPr>
              <w:t>1,903</w:t>
            </w:r>
          </w:p>
        </w:tc>
        <w:tc>
          <w:tcPr>
            <w:tcW w:type="dxa" w:w="1440"/>
            <w:shd w:fill="FFDCE0" w:val="clear"/>
          </w:tcPr>
          <w:p>
            <w:r>
              <w:rPr>
                <w:sz w:val="17"/>
              </w:rPr>
              <w:t>2,197</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1,471</w:t>
            </w:r>
          </w:p>
        </w:tc>
        <w:tc>
          <w:tcPr>
            <w:tcW w:type="dxa" w:w="1440"/>
            <w:shd w:fill="FFDCE0" w:val="clear"/>
          </w:tcPr>
          <w:p>
            <w:r>
              <w:rPr>
                <w:b/>
                <w:sz w:val="17"/>
              </w:rPr>
              <w:t>1,760</w:t>
            </w:r>
          </w:p>
        </w:tc>
        <w:tc>
          <w:tcPr>
            <w:tcW w:type="dxa" w:w="1440"/>
            <w:shd w:fill="FFDCE0" w:val="clear"/>
          </w:tcPr>
          <w:p>
            <w:r>
              <w:rPr>
                <w:sz w:val="17"/>
              </w:rPr>
              <w:t>2,049</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1,346</w:t>
            </w:r>
          </w:p>
        </w:tc>
        <w:tc>
          <w:tcPr>
            <w:tcW w:type="dxa" w:w="1440"/>
            <w:shd w:fill="FFDCE0" w:val="clear"/>
          </w:tcPr>
          <w:p>
            <w:r>
              <w:rPr>
                <w:b/>
                <w:sz w:val="17"/>
              </w:rPr>
              <w:t>1,628</w:t>
            </w:r>
          </w:p>
        </w:tc>
        <w:tc>
          <w:tcPr>
            <w:tcW w:type="dxa" w:w="1440"/>
            <w:shd w:fill="FFDCE0" w:val="clear"/>
          </w:tcPr>
          <w:p>
            <w:r>
              <w:rPr>
                <w:sz w:val="17"/>
              </w:rPr>
              <w:t>1,910</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SCRC s'établit à 69,58 milliards FCFA, un niveau significatif sur la BRVM qui reflète l'importance de SUCRIVOIRE dans le paysage agro-industriel régional. Le BPA est négatif à -406 FCFA, traduisant la perte nette enregistrée sur l'exercice, ce qui rend le PER non exploitable (-8,7x) et signale une société déficitaire. Le P/B de 4,04x est particulièrement exigeant : le marché valorise l'actif net comptable à plus de quatre fois sa valeur, ce qui implique des attentes élevées de redressement futur. L'EV/EBITDA de 10,8x, bien que dans une fourchette de 10-15x considérée comme élevée, indique que la valeur d'entreprise reste soutenue par rapport à la capacité opérationnelle brute, malgré les difficultés actuelles. Ces ratios combinés suggèrent que le marché intègre un scénario de retournement favorable, mais la valorisation apparaît tendue compte tenu des pertes actuelles.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SCRC affiche une progression spectaculaire de +135,88%, passant d'un plus bas de 1 455 FCFA à un plus haut de 3 920 FCFA, avec un cours actuel de 3 550 FCFA, en léger repli de -0,70% sur la dernière séance. La moyenne de 2 651 FCFA est inférieure à la médiane de 2 710 FCFA, indiquant une distribution légèrement asymétrique avec une concentration des valeurs vers le bas de la fourchette. L'écart-type de 751 FCFA avec un coefficient de variation de 28,3% témoigne d'une dispersion modérée, tandis que le kurtosis de -1,370 (platykurtique) révèle une distribution aplatie avec peu de valeurs extrêmes, et le skewness de -0,015 confirme une symétrie quasi parfaite. La volatilité annualisée de 58,1% est très élevée, positionnant le titre comme l'un des plus risqués de la cote, avec des fluctuations importantes qui offrent des opportunités mais également des risques substantiels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3 550 FCFA se positionne sous la MM20 (3 616,25 FCFA) mais au-dessus de la MM50 (3 319,8 FCFA), créant une configuration contrastée. La décision d'achat signalée par le croisement haussier des moyennes mobiles suggère que la tendance de fond reste positive, mais le repli sous la MM20 indique un essoufflement à court terme qui mérite une attention particulière.</w:t>
      </w:r>
    </w:p>
    <w:p>
      <w:pPr>
        <w:spacing w:after="120" w:line="276" w:lineRule="auto"/>
      </w:pPr>
      <w:r>
        <w:t>**Bandes de Bollinger** : Le prix évolue entre la borne supérieure à 3 865 FCFA et la borne inférieure à 3 367 FCFA, se situant dans la partie médiane du canal. La décision neutre reflète une volatilité modérée avec un cours qui n'est ni suracheté ni survendu, laissant place à une consolidation avant une éventuelle poursuite du mouvement.</w:t>
      </w:r>
    </w:p>
    <w:p>
      <w:pPr>
        <w:spacing w:after="120" w:line="276" w:lineRule="auto"/>
      </w:pPr>
      <w:r>
        <w:t>**MACD** : La valeur de 88,004 reste positive mais le signal à 119,78 indique un momentum baissier en cours, avec une divergence négative qui suggère un ralentissement de la dynamique haussière. La décision de vente signale un essoufflement de la tendance qui pourrait précéder une correction plus profonde.</w:t>
      </w:r>
    </w:p>
    <w:p>
      <w:pPr>
        <w:spacing w:after="120" w:line="276" w:lineRule="auto"/>
      </w:pPr>
      <w:r>
        <w:t>**RSI** : À 41,885, le RSI se situe dans la zone neutre, indiquant que le titre n'est ni suracheté ni survendu. Cette valeur suggère une perte de dynamique haussière sans pour autant signaler une capitulation, laissant les acheteurs et vendeurs dans un équilibre précaire.</w:t>
      </w:r>
    </w:p>
    <w:p>
      <w:pPr>
        <w:spacing w:after="120" w:line="276" w:lineRule="auto"/>
      </w:pPr>
      <w:r>
        <w:t>**Stochastique** : Le %K à 18,033 et le %D à 27,303 indiquent une zone de survente, avec un croisement potentiellement haussier en préparation. La décision d'achat reflète la possibilité d'un rebond technique après la récente correction, mais la prudence reste de mise tant que le %K ne confirme pas un franchissement durable du %D.</w:t>
      </w:r>
    </w:p>
    <w:p>
      <w:pPr>
        <w:spacing w:after="120" w:line="276" w:lineRule="auto"/>
      </w:pPr>
      <w:r>
        <w:t>**Conclusion technique** : La configuration technique est mitigée avec des signaux contradictoires : les moyennes mobiles et le stochastique suggèrent un potentiel de rebond, tandis que le MACD et le RSI indiquent un essoufflement. La prudence est recommandée à court terme, avec une surveillance étroite du niveau de 3 367 FCFA (borne inférieure de Bollinger) comme support clé.</w:t>
      </w:r>
    </w:p>
    <w:p>
      <w:pPr>
        <w:spacing w:after="120" w:line="276" w:lineRule="auto" w:before="240"/>
      </w:pPr>
      <w:r>
        <w:rPr>
          <w:b/>
          <w:color w:val="003366"/>
          <w:sz w:val="24"/>
        </w:rPr>
        <w:t>**PARTIE 3 : ANALYSE FONDAMENTALE (SECTION CRITIQUE)**</w:t>
      </w:r>
    </w:p>
    <w:p>
      <w:pPr>
        <w:spacing w:after="120" w:line="276" w:lineRule="auto"/>
      </w:pPr>
      <w:r>
        <w:t>En 2025, les données structurées de la BRVM révèlent une situation financière préoccupante pour SCRC : le chiffre d'affaires s'établit à 80,569 milliards FCFA, en baisse de 7,6% par rapport à 2024 (87,219 milliards FCFA), tandis que le résultat net est fortement déficitaire à -7,954 milliards FCFA, contre un bénéfice de 2,474 milliards FCFA en 2024. Le ROE s'effondre à -46,13% et le ROA à -5,08%, traduisant une destruction de valeur significative. La marge nette est négative à -9,87% et la marge opérationnelle à -0,68%, indiquant des difficultés opérationnelles majeures. Le BFR de 6,529 milliards FCFA est positif, ce qui est défavorable pour une entreprise, avec un délai fournisseurs de 366 jours qui masque des tensions de trésorerie. L'endettement est critique : le ratio d'endettement atteint 88,98% des capitaux propres, avec des dettes financières totales de 84,873 milliards FCFA et une capacité de remboursement de 11,21 ans. Les rapports trimestriels 2025 confirment cette dégradation : le S1 2025 affiche une perte de -6,71 milliards FCFA, et le rapport annuel 2025 (daté du 31/12/2025) souligne l'explosion des charges financières à 6,79 milliards FCFA (+262%). Les perspectives 2026 restent incertaines, la société misant sur la campagne 2025/26 pour un rebond, mais la structure financière demeure fragile avec une trésorerie nette négative de -6,505 milliards FCFA.</w:t>
      </w:r>
    </w:p>
    <w:p>
      <w:pPr>
        <w:spacing w:after="120" w:line="276" w:lineRule="auto" w:before="240"/>
      </w:pPr>
      <w:r>
        <w:rPr>
          <w:b/>
          <w:color w:val="003366"/>
          <w:sz w:val="24"/>
        </w:rPr>
        <w:t>**PARTIE 4 : CONCLUSION D'INVESTISSEMENT**</w:t>
      </w:r>
    </w:p>
    <w:p>
      <w:pPr>
        <w:spacing w:after="120" w:line="276" w:lineRule="auto"/>
      </w:pPr>
      <w:r>
        <w:t>La synthèse globale révèle une situation complexe et risquée pour l'action SCRC. La valorisation (Partie 0) apparaît surévaluée avec un P/B de 4,04x et un PER négatif, tandis que le comportement du cours (Partie 1) montre une hausse spectaculaire de +135,88% sur 100 jours, portée par une volatilité extrême de 58,1% qui signale un marché spéculatif. Les signaux techniques (Partie 2) sont divergents, avec un stochastique en zone de survente suggérant un rebond possible, mais un MACD baissier et un RSI neutre indiquant un essoufflement. Les fondamentaux (Partie 3) sont préoccupants : perte nette de 7,95 milliards FCFA, endettement critique et dégradation opérationnelle. Les prédictions IA pour les 10 prochains jours (3 284 à 2 404 FCFA) confirment une trajectoire baissière, contredisant les signaux techniques de rebond. La convergence entre la valorisation excessive, les fondamentaux dégradés et les prédictions IA baissières conduit à une recommandation de **VENTE**, avec un niveau de confiance **Élevé** et un risque global **Élevé**. L'horizon d'investissement optimal serait le court terme (&lt;3 mois) pour les investisseurs cherchant à réduire leur exposition, tandis que les investisseurs patients pourraient attendre une stabilisation des fondamentaux avant toute réintégration.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107.10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1,031 titres</w:t>
            </w:r>
          </w:p>
        </w:tc>
        <w:tc>
          <w:tcPr>
            <w:tcW w:type="dxa" w:w="2268"/>
            <w:shd w:fill="FFF2CC" w:val="clear"/>
          </w:tcPr>
          <w:p>
            <w:r>
              <w:rPr>
                <w:b/>
                <w:color w:val="503200"/>
                <w:sz w:val="16"/>
              </w:rPr>
              <w:t xml:space="preserve">Cours actuel : </w:t>
            </w:r>
            <w:r>
              <w:rPr>
                <w:color w:val="000000"/>
                <w:sz w:val="17"/>
              </w:rPr>
              <w:t>11,900 FCFA</w:t>
            </w:r>
          </w:p>
          <w:p>
            <w:r>
              <w:rPr>
                <w:b/>
                <w:color w:val="503200"/>
                <w:sz w:val="16"/>
              </w:rPr>
              <w:t xml:space="preserve">Var. 100 jours : </w:t>
            </w:r>
            <w:r>
              <w:rPr>
                <w:b/>
                <w:color w:val="007800"/>
                <w:sz w:val="17"/>
              </w:rPr>
              <w:t>+53.35%</w:t>
            </w:r>
          </w:p>
          <w:p>
            <w:r>
              <w:rPr>
                <w:b/>
                <w:color w:val="503200"/>
                <w:sz w:val="16"/>
              </w:rPr>
              <w:t xml:space="preserve">Plus haut 100j : </w:t>
            </w:r>
            <w:r>
              <w:rPr>
                <w:color w:val="000000"/>
                <w:sz w:val="17"/>
              </w:rPr>
              <w:t>12,195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24.5/100 → Moyen</w:t>
      </w:r>
    </w:p>
    <w:p>
      <w:pPr>
        <w:spacing w:before="40" w:after="80"/>
      </w:pPr>
      <w:r>
        <w:rPr>
          <w:rFonts w:ascii="Courier New" w:hAnsi="Courier New"/>
          <w:color w:val="825A00"/>
          <w:sz w:val="18"/>
        </w:rPr>
        <w:t>████░░░░░░░░░░░░░░░░  24.5/100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19.76% (Élevée) — μ=10,046 FCFA, σ=1,985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β=0.3857 (Défensif) — Cov=0.000014, Var(idx)=0.000036, ρ=0.101,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Vente=3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59/100  (Bon)</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11,071</w:t>
            </w:r>
          </w:p>
        </w:tc>
        <w:tc>
          <w:tcPr>
            <w:tcW w:type="dxa" w:w="1440"/>
            <w:shd w:fill="FFDCE0" w:val="clear"/>
          </w:tcPr>
          <w:p>
            <w:r>
              <w:rPr>
                <w:b/>
                <w:sz w:val="17"/>
              </w:rPr>
              <w:t>11,448</w:t>
            </w:r>
          </w:p>
        </w:tc>
        <w:tc>
          <w:tcPr>
            <w:tcW w:type="dxa" w:w="1440"/>
            <w:shd w:fill="FFDCE0" w:val="clear"/>
          </w:tcPr>
          <w:p>
            <w:r>
              <w:rPr>
                <w:sz w:val="17"/>
              </w:rPr>
              <w:t>11,824</w:t>
            </w:r>
          </w:p>
        </w:tc>
        <w:tc>
          <w:tcPr>
            <w:tcW w:type="dxa" w:w="1440"/>
            <w:shd w:fill="FFDCE0" w:val="clear"/>
          </w:tcPr>
          <w:p>
            <w:r>
              <w:rPr>
                <w:b/>
                <w:color w:val="C00000"/>
                <w:sz w:val="17"/>
              </w:rPr>
              <w:t>-3.8%</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10,804</w:t>
            </w:r>
          </w:p>
        </w:tc>
        <w:tc>
          <w:tcPr>
            <w:tcW w:type="dxa" w:w="1440"/>
            <w:shd w:fill="FFDCE0" w:val="clear"/>
          </w:tcPr>
          <w:p>
            <w:r>
              <w:rPr>
                <w:b/>
                <w:sz w:val="17"/>
              </w:rPr>
              <w:t>11,331</w:t>
            </w:r>
          </w:p>
        </w:tc>
        <w:tc>
          <w:tcPr>
            <w:tcW w:type="dxa" w:w="1440"/>
            <w:shd w:fill="FFDCE0" w:val="clear"/>
          </w:tcPr>
          <w:p>
            <w:r>
              <w:rPr>
                <w:sz w:val="17"/>
              </w:rPr>
              <w:t>11,858</w:t>
            </w:r>
          </w:p>
        </w:tc>
        <w:tc>
          <w:tcPr>
            <w:tcW w:type="dxa" w:w="1440"/>
            <w:shd w:fill="FFDCE0" w:val="clear"/>
          </w:tcPr>
          <w:p>
            <w:r>
              <w:rPr>
                <w:b/>
                <w:color w:val="C00000"/>
                <w:sz w:val="17"/>
              </w:rPr>
              <w:t>-4.8%</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10,585</w:t>
            </w:r>
          </w:p>
        </w:tc>
        <w:tc>
          <w:tcPr>
            <w:tcW w:type="dxa" w:w="1440"/>
            <w:shd w:fill="FFDCE0" w:val="clear"/>
          </w:tcPr>
          <w:p>
            <w:r>
              <w:rPr>
                <w:b/>
                <w:sz w:val="17"/>
              </w:rPr>
              <w:t>11,225</w:t>
            </w:r>
          </w:p>
        </w:tc>
        <w:tc>
          <w:tcPr>
            <w:tcW w:type="dxa" w:w="1440"/>
            <w:shd w:fill="FFDCE0" w:val="clear"/>
          </w:tcPr>
          <w:p>
            <w:r>
              <w:rPr>
                <w:sz w:val="17"/>
              </w:rPr>
              <w:t>11,864</w:t>
            </w:r>
          </w:p>
        </w:tc>
        <w:tc>
          <w:tcPr>
            <w:tcW w:type="dxa" w:w="1440"/>
            <w:shd w:fill="FFDCE0" w:val="clear"/>
          </w:tcPr>
          <w:p>
            <w:r>
              <w:rPr>
                <w:b/>
                <w:color w:val="C00000"/>
                <w:sz w:val="17"/>
              </w:rPr>
              <w:t>-5.7%</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10,398</w:t>
            </w:r>
          </w:p>
        </w:tc>
        <w:tc>
          <w:tcPr>
            <w:tcW w:type="dxa" w:w="1440"/>
            <w:shd w:fill="FFDCE0" w:val="clear"/>
          </w:tcPr>
          <w:p>
            <w:r>
              <w:rPr>
                <w:b/>
                <w:sz w:val="17"/>
              </w:rPr>
              <w:t>11,130</w:t>
            </w:r>
          </w:p>
        </w:tc>
        <w:tc>
          <w:tcPr>
            <w:tcW w:type="dxa" w:w="1440"/>
            <w:shd w:fill="FFDCE0" w:val="clear"/>
          </w:tcPr>
          <w:p>
            <w:r>
              <w:rPr>
                <w:sz w:val="17"/>
              </w:rPr>
              <w:t>11,861</w:t>
            </w:r>
          </w:p>
        </w:tc>
        <w:tc>
          <w:tcPr>
            <w:tcW w:type="dxa" w:w="1440"/>
            <w:shd w:fill="FFDCE0" w:val="clear"/>
          </w:tcPr>
          <w:p>
            <w:r>
              <w:rPr>
                <w:b/>
                <w:color w:val="C00000"/>
                <w:sz w:val="17"/>
              </w:rPr>
              <w:t>-6.5%</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10,228</w:t>
            </w:r>
          </w:p>
        </w:tc>
        <w:tc>
          <w:tcPr>
            <w:tcW w:type="dxa" w:w="1440"/>
            <w:shd w:fill="FFDCE0" w:val="clear"/>
          </w:tcPr>
          <w:p>
            <w:r>
              <w:rPr>
                <w:b/>
                <w:sz w:val="17"/>
              </w:rPr>
              <w:t>11,040</w:t>
            </w:r>
          </w:p>
        </w:tc>
        <w:tc>
          <w:tcPr>
            <w:tcW w:type="dxa" w:w="1440"/>
            <w:shd w:fill="FFDCE0" w:val="clear"/>
          </w:tcPr>
          <w:p>
            <w:r>
              <w:rPr>
                <w:sz w:val="17"/>
              </w:rPr>
              <w:t>11,852</w:t>
            </w:r>
          </w:p>
        </w:tc>
        <w:tc>
          <w:tcPr>
            <w:tcW w:type="dxa" w:w="1440"/>
            <w:shd w:fill="FFDCE0" w:val="clear"/>
          </w:tcPr>
          <w:p>
            <w:r>
              <w:rPr>
                <w:b/>
                <w:color w:val="C00000"/>
                <w:sz w:val="17"/>
              </w:rPr>
              <w:t>-7.2%</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10,074</w:t>
            </w:r>
          </w:p>
        </w:tc>
        <w:tc>
          <w:tcPr>
            <w:tcW w:type="dxa" w:w="1440"/>
            <w:shd w:fill="FFDCE0" w:val="clear"/>
          </w:tcPr>
          <w:p>
            <w:r>
              <w:rPr>
                <w:b/>
                <w:sz w:val="17"/>
              </w:rPr>
              <w:t>10,956</w:t>
            </w:r>
          </w:p>
        </w:tc>
        <w:tc>
          <w:tcPr>
            <w:tcW w:type="dxa" w:w="1440"/>
            <w:shd w:fill="FFDCE0" w:val="clear"/>
          </w:tcPr>
          <w:p>
            <w:r>
              <w:rPr>
                <w:sz w:val="17"/>
              </w:rPr>
              <w:t>11,838</w:t>
            </w:r>
          </w:p>
        </w:tc>
        <w:tc>
          <w:tcPr>
            <w:tcW w:type="dxa" w:w="1440"/>
            <w:shd w:fill="FFDCE0" w:val="clear"/>
          </w:tcPr>
          <w:p>
            <w:r>
              <w:rPr>
                <w:b/>
                <w:color w:val="C00000"/>
                <w:sz w:val="17"/>
              </w:rPr>
              <w:t>-7.9%</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9,929</w:t>
            </w:r>
          </w:p>
        </w:tc>
        <w:tc>
          <w:tcPr>
            <w:tcW w:type="dxa" w:w="1440"/>
            <w:shd w:fill="FFDCE0" w:val="clear"/>
          </w:tcPr>
          <w:p>
            <w:r>
              <w:rPr>
                <w:b/>
                <w:sz w:val="17"/>
              </w:rPr>
              <w:t>10,875</w:t>
            </w:r>
          </w:p>
        </w:tc>
        <w:tc>
          <w:tcPr>
            <w:tcW w:type="dxa" w:w="1440"/>
            <w:shd w:fill="FFDCE0" w:val="clear"/>
          </w:tcPr>
          <w:p>
            <w:r>
              <w:rPr>
                <w:sz w:val="17"/>
              </w:rPr>
              <w:t>11,821</w:t>
            </w:r>
          </w:p>
        </w:tc>
        <w:tc>
          <w:tcPr>
            <w:tcW w:type="dxa" w:w="1440"/>
            <w:shd w:fill="FFDCE0" w:val="clear"/>
          </w:tcPr>
          <w:p>
            <w:r>
              <w:rPr>
                <w:b/>
                <w:color w:val="C00000"/>
                <w:sz w:val="17"/>
              </w:rPr>
              <w:t>-8.6%</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9,796</w:t>
            </w:r>
          </w:p>
        </w:tc>
        <w:tc>
          <w:tcPr>
            <w:tcW w:type="dxa" w:w="1440"/>
            <w:shd w:fill="FFDCE0" w:val="clear"/>
          </w:tcPr>
          <w:p>
            <w:r>
              <w:rPr>
                <w:b/>
                <w:sz w:val="17"/>
              </w:rPr>
              <w:t>10,801</w:t>
            </w:r>
          </w:p>
        </w:tc>
        <w:tc>
          <w:tcPr>
            <w:tcW w:type="dxa" w:w="1440"/>
            <w:shd w:fill="FFDCE0" w:val="clear"/>
          </w:tcPr>
          <w:p>
            <w:r>
              <w:rPr>
                <w:sz w:val="17"/>
              </w:rPr>
              <w:t>11,805</w:t>
            </w:r>
          </w:p>
        </w:tc>
        <w:tc>
          <w:tcPr>
            <w:tcW w:type="dxa" w:w="1440"/>
            <w:shd w:fill="FFDCE0" w:val="clear"/>
          </w:tcPr>
          <w:p>
            <w:r>
              <w:rPr>
                <w:b/>
                <w:color w:val="C00000"/>
                <w:sz w:val="17"/>
              </w:rPr>
              <w:t>-9.2%</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9,672</w:t>
            </w:r>
          </w:p>
        </w:tc>
        <w:tc>
          <w:tcPr>
            <w:tcW w:type="dxa" w:w="1440"/>
            <w:shd w:fill="FFDCE0" w:val="clear"/>
          </w:tcPr>
          <w:p>
            <w:r>
              <w:rPr>
                <w:b/>
                <w:sz w:val="17"/>
              </w:rPr>
              <w:t>10,730</w:t>
            </w:r>
          </w:p>
        </w:tc>
        <w:tc>
          <w:tcPr>
            <w:tcW w:type="dxa" w:w="1440"/>
            <w:shd w:fill="FFDCE0" w:val="clear"/>
          </w:tcPr>
          <w:p>
            <w:r>
              <w:rPr>
                <w:sz w:val="17"/>
              </w:rPr>
              <w:t>11,788</w:t>
            </w:r>
          </w:p>
        </w:tc>
        <w:tc>
          <w:tcPr>
            <w:tcW w:type="dxa" w:w="1440"/>
            <w:shd w:fill="FFDCE0" w:val="clear"/>
          </w:tcPr>
          <w:p>
            <w:r>
              <w:rPr>
                <w:b/>
                <w:color w:val="C00000"/>
                <w:sz w:val="17"/>
              </w:rPr>
              <w:t>-9.8%</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9,555</w:t>
            </w:r>
          </w:p>
        </w:tc>
        <w:tc>
          <w:tcPr>
            <w:tcW w:type="dxa" w:w="1440"/>
            <w:shd w:fill="FFDCE0" w:val="clear"/>
          </w:tcPr>
          <w:p>
            <w:r>
              <w:rPr>
                <w:b/>
                <w:sz w:val="17"/>
              </w:rPr>
              <w:t>10,664</w:t>
            </w:r>
          </w:p>
        </w:tc>
        <w:tc>
          <w:tcPr>
            <w:tcW w:type="dxa" w:w="1440"/>
            <w:shd w:fill="FFDCE0" w:val="clear"/>
          </w:tcPr>
          <w:p>
            <w:r>
              <w:rPr>
                <w:sz w:val="17"/>
              </w:rPr>
              <w:t>11,773</w:t>
            </w:r>
          </w:p>
        </w:tc>
        <w:tc>
          <w:tcPr>
            <w:tcW w:type="dxa" w:w="1440"/>
            <w:shd w:fill="FFDCE0" w:val="clear"/>
          </w:tcPr>
          <w:p>
            <w:r>
              <w:rPr>
                <w:b/>
                <w:color w:val="C00000"/>
                <w:sz w:val="17"/>
              </w:rPr>
              <w:t>-10.4%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SDCC s'établit à 107,10 milliards FCFA, un niveau significatif qui la positionne parmi les valeurs moyennes de la BRVM, reflétant son statut de service public essentiel. Avec un BPA de 518 FCFA, chaque action génère un bénéfice modeste, ce qui explique un PER de 23,0x, très supérieur à la moyenne du marché (8-12x), indiquant que les investisseurs paient une prime substantielle pour la croissance anticipée et la position monopolistique de l'entreprise. Le P/B de 5,43x confirme cette prime, le marché valorisant fortement les actifs au-delà de leur valeur comptable. Enfin, l'EV/EBITDA de 14,4x, dans la fourchette haute (10-15x), suggère une valorisation exigeante qui intègre des hypothèses de croissance optimistes, laissant peu de marge d'erreur en cas de déception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SDCC a enregistré une progression spectaculaire de +53,35%, avec une dernière séance en hausse de +4,39% à 11 900 FCFA, démontrant un momentum haussier très fort. Le cours a évolué dans une fourchette large de 7 140 FCFA (plus bas) à 12 195 FCFA (plus haut), illustrant une volatilité et un appétit pour le risque considérables. La moyenne (10 046 FCFA) est inférieure à la médiane (11 050 FCFA), indiquant une distribution asymétrique avec des valeurs extrêmes basses en début de période, mais le skewness de -0,383 suggère une symétrie relative. L'écart-type de 1 995 FCFA (CV=19,9%) montre une dispersion modérée, tandis que le kurtosis de -1,624 (platykurtique) signale une faible concentration des prix et un risque de mouvements brusques limité. La volatilité annualisée de 36,1% classe le titre comme très risqué, bien au-delà du seuil de 30%, exigeant une grande prudence pour les investisseurs non aguerris.</w:t>
      </w:r>
    </w:p>
    <w:p>
      <w:pPr>
        <w:spacing w:after="120" w:line="276" w:lineRule="auto" w:before="240"/>
      </w:pPr>
      <w:r>
        <w:rPr>
          <w:b/>
          <w:color w:val="003366"/>
          <w:sz w:val="24"/>
        </w:rPr>
        <w:t>**PARTIE 2 : ANALYSE TECHNIQUE DÉTAILLÉE**</w:t>
      </w:r>
    </w:p>
    <w:p>
      <w:pPr>
        <w:spacing w:after="120" w:line="276" w:lineRule="auto"/>
      </w:pPr>
      <w:r>
        <w:t>Les moyennes mobiles sur 20 et 50 jours (MM20=11 720,25 et MM50=11 776,9) sont très proches et légèrement inférieures au cours actuel de 11 900 FCFA, ce qui indique une consolidation après une forte hausse. La décision de "Vente" suggère que le prix pourrait avoir dépassé son niveau d'équilibre à court terme, avec un risque de correction si le cours ne parvient pas à se maintenir au-dessus de ces supports dynamiques.</w:t>
      </w:r>
    </w:p>
    <w:p>
      <w:pPr>
        <w:spacing w:after="120" w:line="276" w:lineRule="auto"/>
      </w:pPr>
      <w:r>
        <w:t>Le cours se situe à 11 900 FCFA, entre la borne inférieure (11 145,45) et la borne supérieure (12 295,05) des bandes de Bollinger, mais proche de la partie haute. Cette position reflète une volatilité modérée et un marché en phase de test des niveaux supérieurs. La décision "Neutre" indique que le prix n'est pas en zone de surachat extrême, mais une cassure au-dessus de la borne supérieure pourrait signaler une poursuite haussière.</w:t>
      </w:r>
    </w:p>
    <w:p>
      <w:pPr>
        <w:spacing w:after="120" w:line="276" w:lineRule="auto"/>
      </w:pPr>
      <w:r>
        <w:t>Le MACD (26,672) est inférieur à son signal (44,396), montrant un momentum baissier à court terme malgré la tendance haussière de fond. Cette divergence négative est un signal de prudence, car elle suggère un essoufflement de la dynamique haussière. La décision "Vente" confirme que la pression vendeuse pourrait prendre le relais si cette tendance se confirme.</w:t>
      </w:r>
    </w:p>
    <w:p>
      <w:pPr>
        <w:spacing w:after="120" w:line="276" w:lineRule="auto"/>
      </w:pPr>
      <w:r>
        <w:t>Le RSI à 62,146 se situe en zone neutre, mais proche de la zone de surachat (70). Cela indique que le titre a encore une marge de progression avant d'être considéré comme surévalué à court terme, mais la vigilance est de mise. La décision "Neutre" reflète un équilibre entre acheteurs et vendeurs, avec un biais légèrement positif.</w:t>
      </w:r>
    </w:p>
    <w:p>
      <w:pPr>
        <w:spacing w:after="120" w:line="276" w:lineRule="auto"/>
      </w:pPr>
      <w:r>
        <w:t>Le stochastique montre un %K à 87,719, bien supérieur au %D à 64,262, signalant une forte dynamique haussière mais également une zone de surachat. Le croisement potentiel de ces lignes pourrait annoncer un retournement baissier. La décision "Vente" est donc justifiée par ce risque de correction technique.</w:t>
      </w:r>
    </w:p>
    <w:p>
      <w:pPr>
        <w:spacing w:after="120" w:line="276" w:lineRule="auto"/>
      </w:pPr>
      <w:r>
        <w:t>En conclusion, les indicateurs techniques sont partagés : la tendance de fond reste haussière, mais les signaux à court terme (MACD, Stochastique) suggèrent un essoufflement et un risque de consolidation. La prudence est recommandée, avec un stop sous la MM50 à 11 776 FCFA.</w:t>
      </w:r>
    </w:p>
    <w:p>
      <w:pPr>
        <w:spacing w:after="120" w:line="276" w:lineRule="auto" w:before="240"/>
      </w:pPr>
      <w:r>
        <w:rPr>
          <w:b/>
          <w:color w:val="003366"/>
          <w:sz w:val="24"/>
        </w:rPr>
        <w:t>**PARTIE 3 : ANALYSE FONDAMENTALE (SECTION CRITIQUE)**</w:t>
      </w:r>
    </w:p>
    <w:p>
      <w:pPr>
        <w:spacing w:after="120" w:line="276" w:lineRule="auto"/>
      </w:pPr>
      <w:r>
        <w:t>En 2025, SDCC affiche un chiffre d'affaires de 189,430 milliards FCFA, en hausse de 10% par rapport à 2024 (172,2 milliards FCFA), et un résultat net de 4,663 milliards FCFA, en progression de 31% (contre 3,6 milliards en 2024). La marge nette s'améliore à 2,46%, et le ROE est excellent à 23,65%, bien au-dessus du seuil de 15%, démontrant une forte rentabilité des capitaux propres. Cependant, le ROA reste faible à 0,99%, et la structure financière est fragile : l'autonomie financière n'est que de 4,17%, avec un endettement massif (ratio d'endettement de 95,83%) et un délai clients très élevé de 749 jours, signalant un risque de trésorerie majeur. Le BFR de 104,748 milliards FCFA est positif, ce qui est défavorable, et le free cash-flow est négatif à -38,504 milliards FCFA. Les rapports trimestriels de 2025 (S1 : RN de 1,355 milliard, T1 : RN de 604 millions) montrent une baisse au S1, mais le rapport T1 2026 (RN de 1,318 milliard, +118%) indique un redressement spectaculaire, laissant présager une année 2026 solide. La recommandation fondamentale est de conserver, car la croissance est réelle mais la santé financière reste précaire.</w:t>
      </w:r>
    </w:p>
    <w:p>
      <w:pPr>
        <w:spacing w:after="120" w:line="276" w:lineRule="auto" w:before="240"/>
      </w:pPr>
      <w:r>
        <w:rPr>
          <w:b/>
          <w:color w:val="003366"/>
          <w:sz w:val="24"/>
        </w:rPr>
        <w:t>**PARTIE 4 : CONCLUSION D'INVESTISSEMENT**</w:t>
      </w:r>
    </w:p>
    <w:p>
      <w:pPr>
        <w:spacing w:after="120" w:line="276" w:lineRule="auto"/>
      </w:pPr>
      <w:r>
        <w:t>La valorisation de SDCC est exigeante (PER 23x, P/B 5,43x), indiquant une surévaluation relative par rapport aux bénéfices et aux actifs, mais justifiée par la croissance et la position de monopole. Le comportement du cours est très haussier (+53% en 100 jours) avec une volatilité élevée (36,1%), et les statistiques (kurtosis platykurtique, skewness négatif) suggèrent un risque de retournement. Les signaux techniques sont mitigés : la tendance de fond est positive, mais les indicateurs à court terme (MACD, Stochastique) pointent vers une consolidation. Les fondamentaux sont solides avec un RN en hausse de 31% en 2025 et un T1 2026 exceptionnel, mais la trésorerie reste sous tension. Les prédictions IA (baisse de 11 900 à 11 040 FCFA sur 10 jours) confirment le risque de correction à court terme. En synthèse, la convergence des signaux (valorisation élevée, technique suracheté, prédictions baissières) contrebalance les fondamentaux positifs. Recommandation : **CONSERVER** avec un niveau de confiance **Moyen**, un risque global **Élevé**, et un horizon d'investissement **moyen terme (3-12 mois)** pour bénéficier de la croissance sans subir la correction attendue.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137.72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16,303 titres</w:t>
            </w:r>
          </w:p>
        </w:tc>
        <w:tc>
          <w:tcPr>
            <w:tcW w:type="dxa" w:w="2268"/>
            <w:shd w:fill="FFF2CC" w:val="clear"/>
          </w:tcPr>
          <w:p>
            <w:r>
              <w:rPr>
                <w:b/>
                <w:color w:val="503200"/>
                <w:sz w:val="16"/>
              </w:rPr>
              <w:t xml:space="preserve">Cours actuel : </w:t>
            </w:r>
            <w:r>
              <w:rPr>
                <w:color w:val="000000"/>
                <w:sz w:val="17"/>
              </w:rPr>
              <w:t>2,530 FCFA</w:t>
            </w:r>
          </w:p>
          <w:p>
            <w:r>
              <w:rPr>
                <w:b/>
                <w:color w:val="503200"/>
                <w:sz w:val="16"/>
              </w:rPr>
              <w:t xml:space="preserve">Var. 100 jours : </w:t>
            </w:r>
            <w:r>
              <w:rPr>
                <w:b/>
                <w:color w:val="007800"/>
                <w:sz w:val="17"/>
              </w:rPr>
              <w:t>+21.63%</w:t>
            </w:r>
          </w:p>
          <w:p>
            <w:r>
              <w:rPr>
                <w:b/>
                <w:color w:val="503200"/>
                <w:sz w:val="16"/>
              </w:rPr>
              <w:t xml:space="preserve">Plus haut 100j : </w:t>
            </w:r>
            <w:r>
              <w:rPr>
                <w:color w:val="000000"/>
                <w:sz w:val="17"/>
              </w:rPr>
              <w:t>2,820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28.8/100 → Moyen</w:t>
      </w:r>
    </w:p>
    <w:p>
      <w:pPr>
        <w:spacing w:before="40" w:after="80"/>
      </w:pPr>
      <w:r>
        <w:rPr>
          <w:rFonts w:ascii="Courier New" w:hAnsi="Courier New"/>
          <w:color w:val="825A00"/>
          <w:sz w:val="18"/>
        </w:rPr>
        <w:t>█████░░░░░░░░░░░░░░░  28.8/100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16.40% (Élevée) — μ=2,110 FCFA, σ=346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β=-0.0234 (Contre-cyclique) — Cov=-0.000001, Var(idx)=0.000036, ρ=-0.004,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16,303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σ_j=3.28%/j (Modérée) — Vol. annualisée≈52.1%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2,361</w:t>
            </w:r>
          </w:p>
        </w:tc>
        <w:tc>
          <w:tcPr>
            <w:tcW w:type="dxa" w:w="1440"/>
            <w:shd w:fill="FAFAFA" w:val="clear"/>
          </w:tcPr>
          <w:p>
            <w:r>
              <w:rPr>
                <w:b/>
                <w:sz w:val="17"/>
              </w:rPr>
              <w:t>2,519</w:t>
            </w:r>
          </w:p>
        </w:tc>
        <w:tc>
          <w:tcPr>
            <w:tcW w:type="dxa" w:w="1440"/>
            <w:shd w:fill="FAFAFA" w:val="clear"/>
          </w:tcPr>
          <w:p>
            <w:r>
              <w:rPr>
                <w:sz w:val="17"/>
              </w:rPr>
              <w:t>2,677</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2026-08-11</w:t>
            </w:r>
          </w:p>
        </w:tc>
        <w:tc>
          <w:tcPr>
            <w:tcW w:type="dxa" w:w="1440"/>
            <w:shd w:fill="FAFAFA" w:val="clear"/>
          </w:tcPr>
          <w:p>
            <w:r>
              <w:rPr>
                <w:sz w:val="17"/>
              </w:rPr>
              <w:t>2,281</w:t>
            </w:r>
          </w:p>
        </w:tc>
        <w:tc>
          <w:tcPr>
            <w:tcW w:type="dxa" w:w="1440"/>
            <w:shd w:fill="FAFAFA" w:val="clear"/>
          </w:tcPr>
          <w:p>
            <w:r>
              <w:rPr>
                <w:b/>
                <w:sz w:val="17"/>
              </w:rPr>
              <w:t>2,502</w:t>
            </w:r>
          </w:p>
        </w:tc>
        <w:tc>
          <w:tcPr>
            <w:tcW w:type="dxa" w:w="1440"/>
            <w:shd w:fill="FAFAFA" w:val="clear"/>
          </w:tcPr>
          <w:p>
            <w:r>
              <w:rPr>
                <w:sz w:val="17"/>
              </w:rPr>
              <w:t>2,724</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2026-08-12</w:t>
            </w:r>
          </w:p>
        </w:tc>
        <w:tc>
          <w:tcPr>
            <w:tcW w:type="dxa" w:w="1440"/>
            <w:shd w:fill="FAFAFA" w:val="clear"/>
          </w:tcPr>
          <w:p>
            <w:r>
              <w:rPr>
                <w:sz w:val="17"/>
              </w:rPr>
              <w:t>2,215</w:t>
            </w:r>
          </w:p>
        </w:tc>
        <w:tc>
          <w:tcPr>
            <w:tcW w:type="dxa" w:w="1440"/>
            <w:shd w:fill="FAFAFA" w:val="clear"/>
          </w:tcPr>
          <w:p>
            <w:r>
              <w:rPr>
                <w:b/>
                <w:sz w:val="17"/>
              </w:rPr>
              <w:t>2,485</w:t>
            </w:r>
          </w:p>
        </w:tc>
        <w:tc>
          <w:tcPr>
            <w:tcW w:type="dxa" w:w="1440"/>
            <w:shd w:fill="FAFAFA" w:val="clear"/>
          </w:tcPr>
          <w:p>
            <w:r>
              <w:rPr>
                <w:sz w:val="17"/>
              </w:rPr>
              <w:t>2,754</w:t>
            </w:r>
          </w:p>
        </w:tc>
        <w:tc>
          <w:tcPr>
            <w:tcW w:type="dxa" w:w="1440"/>
            <w:shd w:fill="FAFAFA" w:val="clear"/>
          </w:tcPr>
          <w:p>
            <w:r>
              <w:rPr>
                <w:b/>
                <w:color w:val="C00000"/>
                <w:sz w:val="17"/>
              </w:rPr>
              <w:t>-1.8%</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2,160</w:t>
            </w:r>
          </w:p>
        </w:tc>
        <w:tc>
          <w:tcPr>
            <w:tcW w:type="dxa" w:w="1440"/>
            <w:shd w:fill="FFDCE0" w:val="clear"/>
          </w:tcPr>
          <w:p>
            <w:r>
              <w:rPr>
                <w:b/>
                <w:sz w:val="17"/>
              </w:rPr>
              <w:t>2,469</w:t>
            </w:r>
          </w:p>
        </w:tc>
        <w:tc>
          <w:tcPr>
            <w:tcW w:type="dxa" w:w="1440"/>
            <w:shd w:fill="FFDCE0" w:val="clear"/>
          </w:tcPr>
          <w:p>
            <w:r>
              <w:rPr>
                <w:sz w:val="17"/>
              </w:rPr>
              <w:t>2,778</w:t>
            </w:r>
          </w:p>
        </w:tc>
        <w:tc>
          <w:tcPr>
            <w:tcW w:type="dxa" w:w="1440"/>
            <w:shd w:fill="FFDCE0" w:val="clear"/>
          </w:tcPr>
          <w:p>
            <w:r>
              <w:rPr>
                <w:b/>
                <w:color w:val="C00000"/>
                <w:sz w:val="17"/>
              </w:rPr>
              <w:t>-2.4%</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2,110</w:t>
            </w:r>
          </w:p>
        </w:tc>
        <w:tc>
          <w:tcPr>
            <w:tcW w:type="dxa" w:w="1440"/>
            <w:shd w:fill="FFDCE0" w:val="clear"/>
          </w:tcPr>
          <w:p>
            <w:r>
              <w:rPr>
                <w:b/>
                <w:sz w:val="17"/>
              </w:rPr>
              <w:t>2,454</w:t>
            </w:r>
          </w:p>
        </w:tc>
        <w:tc>
          <w:tcPr>
            <w:tcW w:type="dxa" w:w="1440"/>
            <w:shd w:fill="FFDCE0" w:val="clear"/>
          </w:tcPr>
          <w:p>
            <w:r>
              <w:rPr>
                <w:sz w:val="17"/>
              </w:rPr>
              <w:t>2,797</w:t>
            </w:r>
          </w:p>
        </w:tc>
        <w:tc>
          <w:tcPr>
            <w:tcW w:type="dxa" w:w="1440"/>
            <w:shd w:fill="FFDCE0" w:val="clear"/>
          </w:tcPr>
          <w:p>
            <w:r>
              <w:rPr>
                <w:b/>
                <w:color w:val="C00000"/>
                <w:sz w:val="17"/>
              </w:rPr>
              <w:t>-3.0%</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2,065</w:t>
            </w:r>
          </w:p>
        </w:tc>
        <w:tc>
          <w:tcPr>
            <w:tcW w:type="dxa" w:w="1440"/>
            <w:shd w:fill="FFDCE0" w:val="clear"/>
          </w:tcPr>
          <w:p>
            <w:r>
              <w:rPr>
                <w:b/>
                <w:sz w:val="17"/>
              </w:rPr>
              <w:t>2,439</w:t>
            </w:r>
          </w:p>
        </w:tc>
        <w:tc>
          <w:tcPr>
            <w:tcW w:type="dxa" w:w="1440"/>
            <w:shd w:fill="FFDCE0" w:val="clear"/>
          </w:tcPr>
          <w:p>
            <w:r>
              <w:rPr>
                <w:sz w:val="17"/>
              </w:rPr>
              <w:t>2,813</w:t>
            </w:r>
          </w:p>
        </w:tc>
        <w:tc>
          <w:tcPr>
            <w:tcW w:type="dxa" w:w="1440"/>
            <w:shd w:fill="FFDCE0" w:val="clear"/>
          </w:tcPr>
          <w:p>
            <w:r>
              <w:rPr>
                <w:b/>
                <w:color w:val="C00000"/>
                <w:sz w:val="17"/>
              </w:rPr>
              <w:t>-3.6%</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2,024</w:t>
            </w:r>
          </w:p>
        </w:tc>
        <w:tc>
          <w:tcPr>
            <w:tcW w:type="dxa" w:w="1440"/>
            <w:shd w:fill="FFDCE0" w:val="clear"/>
          </w:tcPr>
          <w:p>
            <w:r>
              <w:rPr>
                <w:b/>
                <w:sz w:val="17"/>
              </w:rPr>
              <w:t>2,425</w:t>
            </w:r>
          </w:p>
        </w:tc>
        <w:tc>
          <w:tcPr>
            <w:tcW w:type="dxa" w:w="1440"/>
            <w:shd w:fill="FFDCE0" w:val="clear"/>
          </w:tcPr>
          <w:p>
            <w:r>
              <w:rPr>
                <w:sz w:val="17"/>
              </w:rPr>
              <w:t>2,827</w:t>
            </w:r>
          </w:p>
        </w:tc>
        <w:tc>
          <w:tcPr>
            <w:tcW w:type="dxa" w:w="1440"/>
            <w:shd w:fill="FFDCE0" w:val="clear"/>
          </w:tcPr>
          <w:p>
            <w:r>
              <w:rPr>
                <w:b/>
                <w:color w:val="C00000"/>
                <w:sz w:val="17"/>
              </w:rPr>
              <w:t>-4.1%</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1,985</w:t>
            </w:r>
          </w:p>
        </w:tc>
        <w:tc>
          <w:tcPr>
            <w:tcW w:type="dxa" w:w="1440"/>
            <w:shd w:fill="FFDCE0" w:val="clear"/>
          </w:tcPr>
          <w:p>
            <w:r>
              <w:rPr>
                <w:b/>
                <w:sz w:val="17"/>
              </w:rPr>
              <w:t>2,412</w:t>
            </w:r>
          </w:p>
        </w:tc>
        <w:tc>
          <w:tcPr>
            <w:tcW w:type="dxa" w:w="1440"/>
            <w:shd w:fill="FFDCE0" w:val="clear"/>
          </w:tcPr>
          <w:p>
            <w:r>
              <w:rPr>
                <w:sz w:val="17"/>
              </w:rPr>
              <w:t>2,839</w:t>
            </w:r>
          </w:p>
        </w:tc>
        <w:tc>
          <w:tcPr>
            <w:tcW w:type="dxa" w:w="1440"/>
            <w:shd w:fill="FFDCE0" w:val="clear"/>
          </w:tcPr>
          <w:p>
            <w:r>
              <w:rPr>
                <w:b/>
                <w:color w:val="C00000"/>
                <w:sz w:val="17"/>
              </w:rPr>
              <w:t>-4.7%</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1,948</w:t>
            </w:r>
          </w:p>
        </w:tc>
        <w:tc>
          <w:tcPr>
            <w:tcW w:type="dxa" w:w="1440"/>
            <w:shd w:fill="FFDCE0" w:val="clear"/>
          </w:tcPr>
          <w:p>
            <w:r>
              <w:rPr>
                <w:b/>
                <w:sz w:val="17"/>
              </w:rPr>
              <w:t>2,398</w:t>
            </w:r>
          </w:p>
        </w:tc>
        <w:tc>
          <w:tcPr>
            <w:tcW w:type="dxa" w:w="1440"/>
            <w:shd w:fill="FFDCE0" w:val="clear"/>
          </w:tcPr>
          <w:p>
            <w:r>
              <w:rPr>
                <w:sz w:val="17"/>
              </w:rPr>
              <w:t>2,849</w:t>
            </w:r>
          </w:p>
        </w:tc>
        <w:tc>
          <w:tcPr>
            <w:tcW w:type="dxa" w:w="1440"/>
            <w:shd w:fill="FFDCE0" w:val="clear"/>
          </w:tcPr>
          <w:p>
            <w:r>
              <w:rPr>
                <w:b/>
                <w:color w:val="C00000"/>
                <w:sz w:val="17"/>
              </w:rPr>
              <w:t>-5.2%</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1,913</w:t>
            </w:r>
          </w:p>
        </w:tc>
        <w:tc>
          <w:tcPr>
            <w:tcW w:type="dxa" w:w="1440"/>
            <w:shd w:fill="FFDCE0" w:val="clear"/>
          </w:tcPr>
          <w:p>
            <w:r>
              <w:rPr>
                <w:b/>
                <w:sz w:val="17"/>
              </w:rPr>
              <w:t>2,385</w:t>
            </w:r>
          </w:p>
        </w:tc>
        <w:tc>
          <w:tcPr>
            <w:tcW w:type="dxa" w:w="1440"/>
            <w:shd w:fill="FFDCE0" w:val="clear"/>
          </w:tcPr>
          <w:p>
            <w:r>
              <w:rPr>
                <w:sz w:val="17"/>
              </w:rPr>
              <w:t>2,857</w:t>
            </w:r>
          </w:p>
        </w:tc>
        <w:tc>
          <w:tcPr>
            <w:tcW w:type="dxa" w:w="1440"/>
            <w:shd w:fill="FFDCE0" w:val="clear"/>
          </w:tcPr>
          <w:p>
            <w:r>
              <w:rPr>
                <w:b/>
                <w:color w:val="C00000"/>
                <w:sz w:val="17"/>
              </w:rPr>
              <w:t>-5.7%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SDSC s'établit à 137,72 milliards FCFA, ce qui en fait une valeur de taille moyenne sur la BRVM, représentative du secteur de la logistique portuaire ivoirienne. Avec un BPA de 387 FCFA, le titre affiche un PER de 6,5x, nettement inférieur à la moyenne du marché BRVM (8-12x), signalant une potentielle sous-évaluation au regard des bénéfices 2024. Le P/B de 1,77x indique que le marché valorise la société à environ 77% au-dessus de sa valeur comptable, un niveau raisonnable pour une entreprise avec un ROE de 27%. Toutefois, l'EV/EBITDA de 29,7x est très exigeant, suggérant que la valeur d'entreprise intégrant la dette est élevée par rapport à la capacité opérationnelle, ce qui tempère l'attrait de la valorisation boursière apparente.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 enregistré une progression remarquable de +21,63%, avec une dernière séance en forte hausse de +7,43% pour clôturer à 2 530 FCFA. Le titre a évolué dans une fourchette large de 1 650 à 2 820 FCFA, démontrant une volatilité significative. La moyenne (2 110 FCFA) est supérieure à la médiane (1 980 FCFA), confirmant une asymétrie positive (skewness de 0,582) avec des journées majoritairement sous la moyenne mais ponctuées de fortes hausses. L'écart-type de 348 FCFA (CV=16,5%) révèle une dispersion modérée, tandis que le kurtosis négatif (-1,024) indique une distribution platykurtique, avec moins de valeurs extrêmes que la normale. La volatilité annualisée de 52,1% classe le titre comme très volatil, reflétant un profil de risque élevé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(2 530 FCFA) se situe au-dessus de la MM20 (2 608,25 FCFA) et de la MM50 (2 384,7 FCFA), mais sous la MM20, indiquant une consolidation après un fort mouvement haussier. La tendance de fond reste positive avec la MM50 qui soutient le cours, justifiant la décision d'Achat à moyen terme.</w:t>
      </w:r>
    </w:p>
    <w:p>
      <w:pPr>
        <w:spacing w:after="120" w:line="276" w:lineRule="auto"/>
      </w:pPr>
      <w:r>
        <w:t>**Bandes de Bollinger** : Le prix se positionne à 2 530 FCFA, entre la borne inférieure (2 223,95 FCFA) et la borne supérieure (2 992,55 FCFA), proche du milieu de la bande. Cette position neutre suggère une volatilité modérée avec un potentiel de mouvement dans les deux directions, d'où la décision Neutre.</w:t>
      </w:r>
    </w:p>
    <w:p>
      <w:pPr>
        <w:spacing w:after="120" w:line="276" w:lineRule="auto"/>
      </w:pPr>
      <w:r>
        <w:t>**MACD** : La valeur du MACD (51,714) est inférieure au signal (95,777), indiquant un momentum baissier à court terme malgré la tendance haussière de fond. Cette divergence négative suggère une possible correction, justifiant la décision de Vente à court terme.</w:t>
      </w:r>
    </w:p>
    <w:p>
      <w:pPr>
        <w:spacing w:after="120" w:line="276" w:lineRule="auto"/>
      </w:pPr>
      <w:r>
        <w:t>**RSI** : À 40,306, le RSI se situe en zone neutre, sans signal de surachat ni de survente. Cette valeur indique un équilibre relatif entre pression acheteuse et vendeuse, avec une légère tendance baissière, justifiant la décision Neutre.</w:t>
      </w:r>
    </w:p>
    <w:p>
      <w:pPr>
        <w:spacing w:after="120" w:line="276" w:lineRule="auto"/>
      </w:pPr>
      <w:r>
        <w:t>**Stochastique** : Le %K (37,634) est nettement supérieur au %D (12,545), suggérant un croisement haussier en cours. Cette configuration indique un potentiel de rebond technique, mais la faiblesse des deux valeurs limite la portée du signal, d'où la décision Neutre.</w:t>
      </w:r>
    </w:p>
    <w:p>
      <w:pPr>
        <w:spacing w:after="120" w:line="276" w:lineRule="auto"/>
      </w:pPr>
      <w:r>
        <w:t>**Conclusion technique** : La configuration technique est mitigée. La tendance de fond reste haussière (MM50, MM20), mais les indicateurs de momentum (MACD, RSI) signalent une consolidation à court terme. Le croisement stochastique pourrait initier un rebond, mais la prudence est de mise. Le titre semble en phase de digestion après sa forte progression, avec un biais haussier à moyen terme.</w:t>
      </w:r>
    </w:p>
    <w:p>
      <w:pPr>
        <w:spacing w:after="120" w:line="276" w:lineRule="auto" w:before="240"/>
      </w:pPr>
      <w:r>
        <w:rPr>
          <w:b/>
          <w:color w:val="003366"/>
          <w:sz w:val="24"/>
        </w:rPr>
        <w:t>**PARTIE 3 : ANALYSE FONDAMENTALE (SECTION CRITIQUE)**</w:t>
      </w:r>
    </w:p>
    <w:p>
      <w:pPr>
        <w:spacing w:after="120" w:line="276" w:lineRule="auto"/>
      </w:pPr>
      <w:r>
        <w:t>En 2024, SDSC a réalisé un chiffre d'affaires de 85,643 milliards FCFA (+3,65%), avec un résultat net de 21,069 milliards FCFA, soit une marge nette de 24,6%. Le ROE de 27,08% et le ROA de 11,2% témoignent d'une excellente rentabilité. La structure financière est saine avec une autonomie financière de 41,36% et une solvabilité générale de 170,53%. Cependant, le délai clients de 466,94 jours est préoccupant, indiquant un risque de trésorerie significatif, compensé par un délai fournisseurs très favorable de 4 534 jours. Le BFR de 17,874 milliards FCFA et la trésorerie nette de 15,617 milliards FCFA montrent une gestion équilibrée. Selon le rapport annuel 2025 (DeepSeek, 05/08/2026), le CA 2025 progresse à 92,004 milliards FCFA (+7,43%), mais le résultat net s'effondre à 784,97 millions FCFA (-96%), avec un résultat d'exploitation négatif de -2,271 milliards FCFA. Le rapport T3 2025 confirme cette dégradation avec un résultat net en chute de 77% à 4,341 milliards FCFA, principalement due à la baisse des dividendes des filiales. Le rapport S1 2025 montre même un résultat net négatif de -427 millions FCFA. Sur la base de ces rapports trimestriels, on estime que l'exercice 2025 complet devrait afficher une rentabilité très dégradée, bien que la trésorerie nette de 74,78 milliards FCFA et les flux opérationnels de 83,2 milliards FCFA démontrent une solidité financière préservée.</w:t>
      </w:r>
    </w:p>
    <w:p>
      <w:pPr>
        <w:spacing w:after="120" w:line="276" w:lineRule="auto" w:before="240"/>
      </w:pPr>
      <w:r>
        <w:rPr>
          <w:b/>
          <w:color w:val="003366"/>
          <w:sz w:val="24"/>
        </w:rPr>
        <w:t>**PARTIE 4 : CONCLUSION D'INVESTISSEMENT**</w:t>
      </w:r>
    </w:p>
    <w:p>
      <w:pPr>
        <w:spacing w:after="120" w:line="276" w:lineRule="auto"/>
      </w:pPr>
      <w:r>
        <w:t>La valorisation boursière de SDSC présente un paradoxe : un PER de 6,5x basé sur les bénéfices 2024 semble attractif, mais l'EV/EBITDA de 29,7x et la chute anticipée des bénéfices 2025 relativisent cette apparente sous-évaluation. Le comportement du cours (+21,63% sur 100 jours) avec une volatilité élevée (52,1%) et une asymétrie positive suggère un momentum haussier mais fragile. Les signaux techniques sont mitigés : tendance de fond positive (MM50) mais momentum court terme négatif (MACD, RSI neutre). Les fondamentaux montrent une dégradation sévère de la rentabilité en 2025 (résultat net -96%), malgré une croissance du CA et une trésorerie abondante. Les prédictions IA (2 519 à 2 454 FCFA sur 10 jours) confirment une tendance baissière à court terme, contredisant le récent rebond. La convergence entre la dégradation fondamentale, les signaux techniques négatifs et les prédictions IA conduit à une recommandation **CONSERVER**, avec un niveau de confiance **Moyen** et un risque global **Élevé**. L'horizon d'investissement optimal est le **moyen terme (3-12 mois)**, en attendant une clarification sur la capacité de la direction à restaurer les marges opérationnelles et à stabiliser les revenus des filiales.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36.40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5,081 titres</w:t>
            </w:r>
          </w:p>
        </w:tc>
        <w:tc>
          <w:tcPr>
            <w:tcW w:type="dxa" w:w="2268"/>
            <w:shd w:fill="FFF2CC" w:val="clear"/>
          </w:tcPr>
          <w:p>
            <w:r>
              <w:rPr>
                <w:b/>
                <w:color w:val="503200"/>
                <w:sz w:val="16"/>
              </w:rPr>
              <w:t xml:space="preserve">Cours actuel : </w:t>
            </w:r>
            <w:r>
              <w:rPr>
                <w:color w:val="000000"/>
                <w:sz w:val="17"/>
              </w:rPr>
              <w:t>1,445 FCFA</w:t>
            </w:r>
          </w:p>
          <w:p>
            <w:r>
              <w:rPr>
                <w:b/>
                <w:color w:val="503200"/>
                <w:sz w:val="16"/>
              </w:rPr>
              <w:t xml:space="preserve">Var. 100 jours : </w:t>
            </w:r>
            <w:r>
              <w:rPr>
                <w:b/>
                <w:color w:val="B40000"/>
                <w:sz w:val="17"/>
              </w:rPr>
              <w:t>-32.32%</w:t>
            </w:r>
          </w:p>
          <w:p>
            <w:r>
              <w:rPr>
                <w:b/>
                <w:color w:val="503200"/>
                <w:sz w:val="16"/>
              </w:rPr>
              <w:t xml:space="preserve">Plus haut 100j : </w:t>
            </w:r>
            <w:r>
              <w:rPr>
                <w:color w:val="000000"/>
                <w:sz w:val="17"/>
              </w:rPr>
              <w:t>2,265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17.0/100 → Faible</w:t>
      </w:r>
    </w:p>
    <w:p>
      <w:pPr>
        <w:spacing w:before="40" w:after="80"/>
      </w:pPr>
      <w:r>
        <w:rPr>
          <w:rFonts w:ascii="Courier New" w:hAnsi="Courier New"/>
          <w:color w:val="006400"/>
          <w:sz w:val="18"/>
        </w:rPr>
        <w:t>███░░░░░░░░░░░░░░░░░  17.0/100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13.13% (Moyenne) — μ=1,641 FCFA, σ=215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β=0.7492 (Défensif) — Cov=0.000027, Var(idx)=0.000036, ρ=0.138,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5,081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σ_j=3.25%/j (Modérée) — Vol. annualisée≈51.6%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56/100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1,357</w:t>
            </w:r>
          </w:p>
        </w:tc>
        <w:tc>
          <w:tcPr>
            <w:tcW w:type="dxa" w:w="1440"/>
            <w:shd w:fill="FAFAFA" w:val="clear"/>
          </w:tcPr>
          <w:p>
            <w:r>
              <w:rPr>
                <w:b/>
                <w:sz w:val="17"/>
              </w:rPr>
              <w:t>1,423</w:t>
            </w:r>
          </w:p>
        </w:tc>
        <w:tc>
          <w:tcPr>
            <w:tcW w:type="dxa" w:w="1440"/>
            <w:shd w:fill="FAFAFA" w:val="clear"/>
          </w:tcPr>
          <w:p>
            <w:r>
              <w:rPr>
                <w:sz w:val="17"/>
              </w:rPr>
              <w:t>1,489</w:t>
            </w:r>
          </w:p>
        </w:tc>
        <w:tc>
          <w:tcPr>
            <w:tcW w:type="dxa" w:w="1440"/>
            <w:shd w:fill="FAFAFA" w:val="clear"/>
          </w:tcPr>
          <w:p>
            <w:r>
              <w:rPr>
                <w:b/>
                <w:color w:val="C00000"/>
                <w:sz w:val="17"/>
              </w:rPr>
              <w:t>-1.5%</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1,318</w:t>
            </w:r>
          </w:p>
        </w:tc>
        <w:tc>
          <w:tcPr>
            <w:tcW w:type="dxa" w:w="1440"/>
            <w:shd w:fill="FFDCE0" w:val="clear"/>
          </w:tcPr>
          <w:p>
            <w:r>
              <w:rPr>
                <w:b/>
                <w:sz w:val="17"/>
              </w:rPr>
              <w:t>1,410</w:t>
            </w:r>
          </w:p>
        </w:tc>
        <w:tc>
          <w:tcPr>
            <w:tcW w:type="dxa" w:w="1440"/>
            <w:shd w:fill="FFDCE0" w:val="clear"/>
          </w:tcPr>
          <w:p>
            <w:r>
              <w:rPr>
                <w:sz w:val="17"/>
              </w:rPr>
              <w:t>1,503</w:t>
            </w:r>
          </w:p>
        </w:tc>
        <w:tc>
          <w:tcPr>
            <w:tcW w:type="dxa" w:w="1440"/>
            <w:shd w:fill="FFDCE0" w:val="clear"/>
          </w:tcPr>
          <w:p>
            <w:r>
              <w:rPr>
                <w:b/>
                <w:color w:val="C00000"/>
                <w:sz w:val="17"/>
              </w:rPr>
              <w:t>-2.4%</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1,284</w:t>
            </w:r>
          </w:p>
        </w:tc>
        <w:tc>
          <w:tcPr>
            <w:tcW w:type="dxa" w:w="1440"/>
            <w:shd w:fill="FFDCE0" w:val="clear"/>
          </w:tcPr>
          <w:p>
            <w:r>
              <w:rPr>
                <w:b/>
                <w:sz w:val="17"/>
              </w:rPr>
              <w:t>1,397</w:t>
            </w:r>
          </w:p>
        </w:tc>
        <w:tc>
          <w:tcPr>
            <w:tcW w:type="dxa" w:w="1440"/>
            <w:shd w:fill="FFDCE0" w:val="clear"/>
          </w:tcPr>
          <w:p>
            <w:r>
              <w:rPr>
                <w:sz w:val="17"/>
              </w:rPr>
              <w:t>1,510</w:t>
            </w:r>
          </w:p>
        </w:tc>
        <w:tc>
          <w:tcPr>
            <w:tcW w:type="dxa" w:w="1440"/>
            <w:shd w:fill="FFDCE0" w:val="clear"/>
          </w:tcPr>
          <w:p>
            <w:r>
              <w:rPr>
                <w:b/>
                <w:color w:val="C00000"/>
                <w:sz w:val="17"/>
              </w:rPr>
              <w:t>-3.3%</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1,255</w:t>
            </w:r>
          </w:p>
        </w:tc>
        <w:tc>
          <w:tcPr>
            <w:tcW w:type="dxa" w:w="1440"/>
            <w:shd w:fill="FFDCE0" w:val="clear"/>
          </w:tcPr>
          <w:p>
            <w:r>
              <w:rPr>
                <w:b/>
                <w:sz w:val="17"/>
              </w:rPr>
              <w:t>1,384</w:t>
            </w:r>
          </w:p>
        </w:tc>
        <w:tc>
          <w:tcPr>
            <w:tcW w:type="dxa" w:w="1440"/>
            <w:shd w:fill="FFDCE0" w:val="clear"/>
          </w:tcPr>
          <w:p>
            <w:r>
              <w:rPr>
                <w:sz w:val="17"/>
              </w:rPr>
              <w:t>1,513</w:t>
            </w:r>
          </w:p>
        </w:tc>
        <w:tc>
          <w:tcPr>
            <w:tcW w:type="dxa" w:w="1440"/>
            <w:shd w:fill="FFDCE0" w:val="clear"/>
          </w:tcPr>
          <w:p>
            <w:r>
              <w:rPr>
                <w:b/>
                <w:color w:val="C00000"/>
                <w:sz w:val="17"/>
              </w:rPr>
              <w:t>-4.2%</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1,228</w:t>
            </w:r>
          </w:p>
        </w:tc>
        <w:tc>
          <w:tcPr>
            <w:tcW w:type="dxa" w:w="1440"/>
            <w:shd w:fill="FFDCE0" w:val="clear"/>
          </w:tcPr>
          <w:p>
            <w:r>
              <w:rPr>
                <w:b/>
                <w:sz w:val="17"/>
              </w:rPr>
              <w:t>1,371</w:t>
            </w:r>
          </w:p>
        </w:tc>
        <w:tc>
          <w:tcPr>
            <w:tcW w:type="dxa" w:w="1440"/>
            <w:shd w:fill="FFDCE0" w:val="clear"/>
          </w:tcPr>
          <w:p>
            <w:r>
              <w:rPr>
                <w:sz w:val="17"/>
              </w:rPr>
              <w:t>1,514</w:t>
            </w:r>
          </w:p>
        </w:tc>
        <w:tc>
          <w:tcPr>
            <w:tcW w:type="dxa" w:w="1440"/>
            <w:shd w:fill="FFDCE0" w:val="clear"/>
          </w:tcPr>
          <w:p>
            <w:r>
              <w:rPr>
                <w:b/>
                <w:color w:val="C00000"/>
                <w:sz w:val="17"/>
              </w:rPr>
              <w:t>-5.1%</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1,203</w:t>
            </w:r>
          </w:p>
        </w:tc>
        <w:tc>
          <w:tcPr>
            <w:tcW w:type="dxa" w:w="1440"/>
            <w:shd w:fill="FFDCE0" w:val="clear"/>
          </w:tcPr>
          <w:p>
            <w:r>
              <w:rPr>
                <w:b/>
                <w:sz w:val="17"/>
              </w:rPr>
              <w:t>1,358</w:t>
            </w:r>
          </w:p>
        </w:tc>
        <w:tc>
          <w:tcPr>
            <w:tcW w:type="dxa" w:w="1440"/>
            <w:shd w:fill="FFDCE0" w:val="clear"/>
          </w:tcPr>
          <w:p>
            <w:r>
              <w:rPr>
                <w:sz w:val="17"/>
              </w:rPr>
              <w:t>1,513</w:t>
            </w:r>
          </w:p>
        </w:tc>
        <w:tc>
          <w:tcPr>
            <w:tcW w:type="dxa" w:w="1440"/>
            <w:shd w:fill="FFDCE0" w:val="clear"/>
          </w:tcPr>
          <w:p>
            <w:r>
              <w:rPr>
                <w:b/>
                <w:color w:val="C00000"/>
                <w:sz w:val="17"/>
              </w:rPr>
              <w:t>-6.0%</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1,180</w:t>
            </w:r>
          </w:p>
        </w:tc>
        <w:tc>
          <w:tcPr>
            <w:tcW w:type="dxa" w:w="1440"/>
            <w:shd w:fill="FFDCE0" w:val="clear"/>
          </w:tcPr>
          <w:p>
            <w:r>
              <w:rPr>
                <w:b/>
                <w:sz w:val="17"/>
              </w:rPr>
              <w:t>1,345</w:t>
            </w:r>
          </w:p>
        </w:tc>
        <w:tc>
          <w:tcPr>
            <w:tcW w:type="dxa" w:w="1440"/>
            <w:shd w:fill="FFDCE0" w:val="clear"/>
          </w:tcPr>
          <w:p>
            <w:r>
              <w:rPr>
                <w:sz w:val="17"/>
              </w:rPr>
              <w:t>1,511</w:t>
            </w:r>
          </w:p>
        </w:tc>
        <w:tc>
          <w:tcPr>
            <w:tcW w:type="dxa" w:w="1440"/>
            <w:shd w:fill="FFDCE0" w:val="clear"/>
          </w:tcPr>
          <w:p>
            <w:r>
              <w:rPr>
                <w:b/>
                <w:color w:val="C00000"/>
                <w:sz w:val="17"/>
              </w:rPr>
              <w:t>-6.9%</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1,158</w:t>
            </w:r>
          </w:p>
        </w:tc>
        <w:tc>
          <w:tcPr>
            <w:tcW w:type="dxa" w:w="1440"/>
            <w:shd w:fill="FFDCE0" w:val="clear"/>
          </w:tcPr>
          <w:p>
            <w:r>
              <w:rPr>
                <w:b/>
                <w:sz w:val="17"/>
              </w:rPr>
              <w:t>1,333</w:t>
            </w:r>
          </w:p>
        </w:tc>
        <w:tc>
          <w:tcPr>
            <w:tcW w:type="dxa" w:w="1440"/>
            <w:shd w:fill="FFDCE0" w:val="clear"/>
          </w:tcPr>
          <w:p>
            <w:r>
              <w:rPr>
                <w:sz w:val="17"/>
              </w:rPr>
              <w:t>1,509</w:t>
            </w:r>
          </w:p>
        </w:tc>
        <w:tc>
          <w:tcPr>
            <w:tcW w:type="dxa" w:w="1440"/>
            <w:shd w:fill="FFDCE0" w:val="clear"/>
          </w:tcPr>
          <w:p>
            <w:r>
              <w:rPr>
                <w:b/>
                <w:color w:val="C00000"/>
                <w:sz w:val="17"/>
              </w:rPr>
              <w:t>-7.7%</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1,137</w:t>
            </w:r>
          </w:p>
        </w:tc>
        <w:tc>
          <w:tcPr>
            <w:tcW w:type="dxa" w:w="1440"/>
            <w:shd w:fill="FFDCE0" w:val="clear"/>
          </w:tcPr>
          <w:p>
            <w:r>
              <w:rPr>
                <w:b/>
                <w:sz w:val="17"/>
              </w:rPr>
              <w:t>1,321</w:t>
            </w:r>
          </w:p>
        </w:tc>
        <w:tc>
          <w:tcPr>
            <w:tcW w:type="dxa" w:w="1440"/>
            <w:shd w:fill="FFDCE0" w:val="clear"/>
          </w:tcPr>
          <w:p>
            <w:r>
              <w:rPr>
                <w:sz w:val="17"/>
              </w:rPr>
              <w:t>1,506</w:t>
            </w:r>
          </w:p>
        </w:tc>
        <w:tc>
          <w:tcPr>
            <w:tcW w:type="dxa" w:w="1440"/>
            <w:shd w:fill="FFDCE0" w:val="clear"/>
          </w:tcPr>
          <w:p>
            <w:r>
              <w:rPr>
                <w:b/>
                <w:color w:val="C00000"/>
                <w:sz w:val="17"/>
              </w:rPr>
              <w:t>-8.6%</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1,117</w:t>
            </w:r>
          </w:p>
        </w:tc>
        <w:tc>
          <w:tcPr>
            <w:tcW w:type="dxa" w:w="1440"/>
            <w:shd w:fill="FFDCE0" w:val="clear"/>
          </w:tcPr>
          <w:p>
            <w:r>
              <w:rPr>
                <w:b/>
                <w:sz w:val="17"/>
              </w:rPr>
              <w:t>1,310</w:t>
            </w:r>
          </w:p>
        </w:tc>
        <w:tc>
          <w:tcPr>
            <w:tcW w:type="dxa" w:w="1440"/>
            <w:shd w:fill="FFDCE0" w:val="clear"/>
          </w:tcPr>
          <w:p>
            <w:r>
              <w:rPr>
                <w:sz w:val="17"/>
              </w:rPr>
              <w:t>1,503</w:t>
            </w:r>
          </w:p>
        </w:tc>
        <w:tc>
          <w:tcPr>
            <w:tcW w:type="dxa" w:w="1440"/>
            <w:shd w:fill="FFDCE0" w:val="clear"/>
          </w:tcPr>
          <w:p>
            <w:r>
              <w:rPr>
                <w:b/>
                <w:color w:val="C00000"/>
                <w:sz w:val="17"/>
              </w:rPr>
              <w:t>-9.4%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Absolument. Voici un rapport d'analyse professionnel structuré pour l'action SEMC,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SEMC s'établit à 36,40 milliards FCFA, un niveau modeste qui la classe parmi les valeurs de taille moyenne sur la BRVM. Les ratios de valorisation (BPA, PER, P/B, EV/EBITDA) ne sont pas calculables, car les données financières structurées nécessaires à leur calcul sont manquantes dans la base de données. Cette absence est due à un défaut de transmission d'informations financières normalisées, et non à une absence d'activité. En l'état, il est impossible de déterminer si le marché valorise la société au-dessus ou en-dessous de sa valeur comptable, ni de comparer son multiple de bénéfices à la moyenne du marché (8-12x). L'analyse devra donc s'appuyer sur les données fondamentales historiques disponibles et l'évolution du cours pour évaluer l'attractivité du titre.</w:t>
      </w:r>
    </w:p>
    <w:p>
      <w:pPr>
        <w:spacing w:after="120" w:line="276" w:lineRule="auto"/>
      </w:pPr>
      <w:r>
        <w:t>### **PARTIE 1 : ANALYSE DU COURS — STATISTIQUES ET ÉVOLUTION (100 derniers jours)**</w:t>
      </w:r>
    </w:p>
    <w:p>
      <w:pPr>
        <w:spacing w:after="120" w:line="276" w:lineRule="auto"/>
      </w:pPr>
      <w:r>
        <w:t>Sur les 100 derniers jours, le titre SEMC a subi une dépréciation sévère de -32,32%, passant d'un plus haut de 2 265 FCFA à un cours actuel de 1 445 FCFA, proche de son plus bas sur la période (1 350 FCFA). La dernière séance confirme cette faiblesse avec une légère baisse de -0,34%. La tendance est donc clairement baissière. Les statistiques descriptives révèlent une distribution asymétrique positive (skewness de 1,090), indiquant que le cours a passé plus de journées sous sa moyenne (1 641 FCFA) qu'au-dessus, la médiane étant effectivement plus basse (1 555 FCFA). L'écart-type de 217 FCFA (CV=13,2%) montre une dispersion modérée autour de la moyenne. Le kurtosis proche de zéro (-0,011) suggère une distribution "mésokurtique", sans pic de volatilité extrême, mais la volatilité annualisée de 51,6% classe le titre comme très risqué, avec des fluctuations de prix amples et rapides.</w:t>
      </w:r>
    </w:p>
    <w:p>
      <w:pPr>
        <w:spacing w:after="120" w:line="276" w:lineRule="auto"/>
      </w:pPr>
      <w:r>
        <w:t>### **PARTIE 2 : ANALYSE TECHNIQUE DÉTAILLÉE**</w:t>
      </w:r>
    </w:p>
    <w:p>
      <w:pPr>
        <w:spacing w:after="120" w:line="276" w:lineRule="auto"/>
      </w:pPr>
      <w:r>
        <w:t>**Moyennes Mobiles:** Les moyennes mobiles sur 20 et 50 jours (MM20=1477.25, MM50=1520.7) sont toutes deux supérieures au cours actuel de 1 445 FCFA. La MM20 étant sous la MM50, la configuration est baissière, confirmant la tendance négative de moyen terme. La décision de "Vente" est justifiée, le cours évoluant sous ses principaux supports dynamiques.</w:t>
      </w:r>
    </w:p>
    <w:p>
      <w:pPr>
        <w:spacing w:after="120" w:line="276" w:lineRule="auto"/>
      </w:pPr>
      <w:r>
        <w:t>**Bandes de Bollinger:** Le cours se situe à 1 445 FCFA, à l'intérieur des bandes (borne inférieure à 1404.8, borne supérieure à 1549.7). La position du prix, proche de la borne inférieure, indique une pression vendeuse persistante sans pour autant être en situation de "survente" extrême. La décision "Neutre" est cohérente avec un cours qui teste le support de la bande inférieure sans le casser.</w:t>
      </w:r>
    </w:p>
    <w:p>
      <w:pPr>
        <w:spacing w:after="120" w:line="276" w:lineRule="auto"/>
      </w:pPr>
      <w:r>
        <w:t>**MACD:** Le MACD (-11.083) est négatif et inférieur à sa ligne de signal (-10.726). Cette configuration baissière indique que le momentum est toujours négatif, avec une dynamique de prix qui reste sous sa moyenne. La décision de "Vente" est justifiée par cette divergence négative, qui suggère une poursuite potentielle du mouvement de baisse.</w:t>
      </w:r>
    </w:p>
    <w:p>
      <w:pPr>
        <w:spacing w:after="120" w:line="276" w:lineRule="auto"/>
      </w:pPr>
      <w:r>
        <w:t>**RSI:** Le RSI est à 43.678, une valeur en zone neutre (entre 30 et 70). Cela signifie que le titre n'est ni survendu ni suracheté. La décision "Neutre" est correcte, mais la position sous la barre des 50 indique que la pression vendeuse reste dominante, sans signal de retournement imminent.</w:t>
      </w:r>
    </w:p>
    <w:p>
      <w:pPr>
        <w:spacing w:after="120" w:line="276" w:lineRule="auto"/>
      </w:pPr>
      <w:r>
        <w:t>**Stochastique:** Le %K (31.818) est inférieur à %D (43.939), ce qui constitue un signal baissier. Le croisement de ces deux lignes en dessous de la zone de survente (30) pourrait indiquer un affaiblissement de la dynamique de vente, mais pour l'instant, la tendance reste négative. La décision "Neutre" est prudente, car le titre n'est pas encore en situation de survente extrême.</w:t>
      </w:r>
    </w:p>
    <w:p>
      <w:pPr>
        <w:spacing w:after="120" w:line="276" w:lineRule="auto"/>
      </w:pPr>
      <w:r>
        <w:t>**Conclusion technique:** L'ensemble des indicateurs techniques converge vers un signal de prudence. Les moyennes mobiles et le MACD sont clairement baissiers, tandis que le RSI et le Stochastique, bien que neutres, penchent du côté vendeur. Le cours évolue dans la partie basse des bandes de Bollinger. La tendance de fond est résolument baissière, et aucun signal de retournement n'est actuellement détecté.</w:t>
      </w:r>
    </w:p>
    <w:p>
      <w:pPr>
        <w:spacing w:after="120" w:line="276" w:lineRule="auto"/>
      </w:pPr>
      <w:r>
        <w:t>### **PARTIE 3 : ANALYSE FONDAMENTALE (SECTION CRITIQUE)**</w:t>
      </w:r>
    </w:p>
    <w:p>
      <w:pPr>
        <w:spacing w:after="120" w:line="276" w:lineRule="auto"/>
      </w:pPr>
      <w:r>
        <w:t>L'analyse fondamentale s'appuie sur les rapports financiers officiels disponibles, bien que datant de 2023 et 2022. Le rapport annuel 2023 (publié en 2024) fait état d'un chiffre d'affaires de 27,88 milliards FCFA, en baisse de 6% par rapport à 2022, et d'un résultat net de 1,01 milliard FCFA, en chute de 74% (contre 3,86 milliards en 2022). La marge nette s'est effondrée à 3,6%, contre 13,0% en 2022. Cette dégradation est attribuée à la perte de clients clés (AIRONE) et à la concurrence des emballages alternatifs. Le rapport de 2022 (publié en 2023) présentait des chiffres différents (CA de 125,4 milliards FCFA et résultat net de 12,8 milliards), mais ces données semblent être une erreur de rapport ou un périmètre consolidé différent. Le rapport du 1er trimestre 2023 indiquait un CA de 7,65 milliards FCFA (+16,5% vs T1 2022) et un bénéfice net de 855 millions FCFA, suggérant une dynamique positive en début d'année. Cependant, la tendance annuelle s'est inversée. La société a été rachetée par Sonoco Products Company en décembre 2024, ce qui pourrait être un catalyseur majeur. Sur la base de ces éléments, la situation financière est fragile, avec une rentabilité en forte baisse et une suspension de cotation passée. La recommandation est de **CONSERVER** avec une grande vigilance, en attendant de voir les effets de la nouvelle gouvernance et la concrétisation des objectifs de croissance pour 2024.</w:t>
      </w:r>
    </w:p>
    <w:p>
      <w:pPr>
        <w:spacing w:after="120" w:line="276" w:lineRule="auto"/>
      </w:pPr>
      <w:r>
        <w:t>### **PARTIE 4 : CONCLUSION D'INVESTISSEMENT**</w:t>
      </w:r>
    </w:p>
    <w:p>
      <w:pPr>
        <w:spacing w:after="120" w:line="276" w:lineRule="auto"/>
      </w:pPr>
      <w:r>
        <w:t>La synthèse des analyses est sans appel : la valorisation boursière ne peut être évaluée faute de ratios calculables, mais la chute du cours (-32%) et la dégradation des fondamentaux (résultat net en baisse de 74% en 2023) indiquent une détérioration significative. Les signaux techniques sont unanimement baissiers, avec un cours sous ses moyennes mobiles et un momentum négatif. Les fondamentaux, bien qu'anciens, montrent une entreprise en difficulté, mais avec des perspectives de redressement grâce au rachat par Sonoco. Les prédictions IA pour les 10 prochains jours (baisse de 1 423 à 1 371 FCFA) confirment la tendance baissière à court terme. La convergence entre la faiblesse technique, la dégradation fondamentale et les prédictions IA est forte. En conséquence, la recommandation finale est **VENTE**. Le niveau de confiance est **Moyen** (car le potentiel de redressement existe), et le niveau de risque global est **Élevé**. L'horizon d'investissement optimal est le **court terme (&lt;3 mois)**, où la tendance baissière semble devoir se poursuivre, mais une reprise pourrait émerger à moyen terme si les effets de la restructuration se matérialisent.</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1182.22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4,417 titres</w:t>
            </w:r>
          </w:p>
        </w:tc>
        <w:tc>
          <w:tcPr>
            <w:tcW w:type="dxa" w:w="2268"/>
            <w:shd w:fill="FFF2CC" w:val="clear"/>
          </w:tcPr>
          <w:p>
            <w:r>
              <w:rPr>
                <w:b/>
                <w:color w:val="503200"/>
                <w:sz w:val="16"/>
              </w:rPr>
              <w:t xml:space="preserve">Cours actuel : </w:t>
            </w:r>
            <w:r>
              <w:rPr>
                <w:color w:val="000000"/>
                <w:sz w:val="17"/>
              </w:rPr>
              <w:t>38,000 FCFA</w:t>
            </w:r>
          </w:p>
          <w:p>
            <w:r>
              <w:rPr>
                <w:b/>
                <w:color w:val="503200"/>
                <w:sz w:val="16"/>
              </w:rPr>
              <w:t xml:space="preserve">Var. 100 jours : </w:t>
            </w:r>
            <w:r>
              <w:rPr>
                <w:b/>
                <w:color w:val="007800"/>
                <w:sz w:val="17"/>
              </w:rPr>
              <w:t>+8.57%</w:t>
            </w:r>
          </w:p>
          <w:p>
            <w:r>
              <w:rPr>
                <w:b/>
                <w:color w:val="503200"/>
                <w:sz w:val="16"/>
              </w:rPr>
              <w:t xml:space="preserve">Plus haut 100j : </w:t>
            </w:r>
            <w:r>
              <w:rPr>
                <w:color w:val="000000"/>
                <w:sz w:val="17"/>
              </w:rPr>
              <w:t>39,200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5.66% (Moyenne) — μ=36,485 FCFA, σ=2,065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β=0.4858 (Défensif) — Cov=0.000018, Var(idx)=0.000036, ρ=0.199,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4,417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σ_j=1.53%/j (Stable) — Vol. annualisée≈24.2%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56/100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36,946</w:t>
            </w:r>
          </w:p>
        </w:tc>
        <w:tc>
          <w:tcPr>
            <w:tcW w:type="dxa" w:w="1440"/>
            <w:shd w:fill="FAFAFA" w:val="clear"/>
          </w:tcPr>
          <w:p>
            <w:r>
              <w:rPr>
                <w:b/>
                <w:sz w:val="17"/>
              </w:rPr>
              <w:t>37,704</w:t>
            </w:r>
          </w:p>
        </w:tc>
        <w:tc>
          <w:tcPr>
            <w:tcW w:type="dxa" w:w="1440"/>
            <w:shd w:fill="FAFAFA" w:val="clear"/>
          </w:tcPr>
          <w:p>
            <w:r>
              <w:rPr>
                <w:sz w:val="17"/>
              </w:rPr>
              <w:t>38,461</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36,557</w:t>
            </w:r>
          </w:p>
        </w:tc>
        <w:tc>
          <w:tcPr>
            <w:tcW w:type="dxa" w:w="1440"/>
            <w:shd w:fill="FAFAFA" w:val="clear"/>
          </w:tcPr>
          <w:p>
            <w:r>
              <w:rPr>
                <w:b/>
                <w:sz w:val="17"/>
              </w:rPr>
              <w:t>37,627</w:t>
            </w:r>
          </w:p>
        </w:tc>
        <w:tc>
          <w:tcPr>
            <w:tcW w:type="dxa" w:w="1440"/>
            <w:shd w:fill="FAFAFA" w:val="clear"/>
          </w:tcPr>
          <w:p>
            <w:r>
              <w:rPr>
                <w:sz w:val="17"/>
              </w:rPr>
              <w:t>38,696</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36,238</w:t>
            </w:r>
          </w:p>
        </w:tc>
        <w:tc>
          <w:tcPr>
            <w:tcW w:type="dxa" w:w="1440"/>
            <w:shd w:fill="FAFAFA" w:val="clear"/>
          </w:tcPr>
          <w:p>
            <w:r>
              <w:rPr>
                <w:b/>
                <w:sz w:val="17"/>
              </w:rPr>
              <w:t>37,544</w:t>
            </w:r>
          </w:p>
        </w:tc>
        <w:tc>
          <w:tcPr>
            <w:tcW w:type="dxa" w:w="1440"/>
            <w:shd w:fill="FAFAFA" w:val="clear"/>
          </w:tcPr>
          <w:p>
            <w:r>
              <w:rPr>
                <w:sz w:val="17"/>
              </w:rPr>
              <w:t>38,851</w:t>
            </w:r>
          </w:p>
        </w:tc>
        <w:tc>
          <w:tcPr>
            <w:tcW w:type="dxa" w:w="1440"/>
            <w:shd w:fill="FAFAFA" w:val="clear"/>
          </w:tcPr>
          <w:p>
            <w:r>
              <w:rPr>
                <w:b/>
                <w:color w:val="C00000"/>
                <w:sz w:val="17"/>
              </w:rPr>
              <w:t>-1.2%</w:t>
            </w:r>
          </w:p>
        </w:tc>
      </w:tr>
      <w:tr>
        <w:tc>
          <w:tcPr>
            <w:tcW w:type="dxa" w:w="1440"/>
            <w:shd w:fill="FAFAFA" w:val="clear"/>
          </w:tcPr>
          <w:p>
            <w:r>
              <w:rPr>
                <w:sz w:val="17"/>
              </w:rPr>
              <w:t>J+4  Moyenne</w:t>
            </w:r>
          </w:p>
        </w:tc>
        <w:tc>
          <w:tcPr>
            <w:tcW w:type="dxa" w:w="1440"/>
            <w:shd w:fill="FAFAFA" w:val="clear"/>
          </w:tcPr>
          <w:p>
            <w:r>
              <w:rPr>
                <w:sz w:val="17"/>
              </w:rPr>
              <w:t>2026-08-13</w:t>
            </w:r>
          </w:p>
        </w:tc>
        <w:tc>
          <w:tcPr>
            <w:tcW w:type="dxa" w:w="1440"/>
            <w:shd w:fill="FAFAFA" w:val="clear"/>
          </w:tcPr>
          <w:p>
            <w:r>
              <w:rPr>
                <w:sz w:val="17"/>
              </w:rPr>
              <w:t>35,960</w:t>
            </w:r>
          </w:p>
        </w:tc>
        <w:tc>
          <w:tcPr>
            <w:tcW w:type="dxa" w:w="1440"/>
            <w:shd w:fill="FAFAFA" w:val="clear"/>
          </w:tcPr>
          <w:p>
            <w:r>
              <w:rPr>
                <w:b/>
                <w:sz w:val="17"/>
              </w:rPr>
              <w:t>37,465</w:t>
            </w:r>
          </w:p>
        </w:tc>
        <w:tc>
          <w:tcPr>
            <w:tcW w:type="dxa" w:w="1440"/>
            <w:shd w:fill="FAFAFA" w:val="clear"/>
          </w:tcPr>
          <w:p>
            <w:r>
              <w:rPr>
                <w:sz w:val="17"/>
              </w:rPr>
              <w:t>38,971</w:t>
            </w:r>
          </w:p>
        </w:tc>
        <w:tc>
          <w:tcPr>
            <w:tcW w:type="dxa" w:w="1440"/>
            <w:shd w:fill="FAFAFA" w:val="clear"/>
          </w:tcPr>
          <w:p>
            <w:r>
              <w:rPr>
                <w:b/>
                <w:color w:val="C00000"/>
                <w:sz w:val="17"/>
              </w:rPr>
              <w:t>-1.4%</w:t>
            </w:r>
          </w:p>
        </w:tc>
      </w:tr>
      <w:tr>
        <w:tc>
          <w:tcPr>
            <w:tcW w:type="dxa" w:w="1440"/>
            <w:shd w:fill="FAFAFA" w:val="clear"/>
          </w:tcPr>
          <w:p>
            <w:r>
              <w:rPr>
                <w:sz w:val="17"/>
              </w:rPr>
              <w:t>J+5  Moyenne</w:t>
            </w:r>
          </w:p>
        </w:tc>
        <w:tc>
          <w:tcPr>
            <w:tcW w:type="dxa" w:w="1440"/>
            <w:shd w:fill="FAFAFA" w:val="clear"/>
          </w:tcPr>
          <w:p>
            <w:r>
              <w:rPr>
                <w:sz w:val="17"/>
              </w:rPr>
              <w:t>2026-08-14</w:t>
            </w:r>
          </w:p>
        </w:tc>
        <w:tc>
          <w:tcPr>
            <w:tcW w:type="dxa" w:w="1440"/>
            <w:shd w:fill="FAFAFA" w:val="clear"/>
          </w:tcPr>
          <w:p>
            <w:r>
              <w:rPr>
                <w:sz w:val="17"/>
              </w:rPr>
              <w:t>35,710</w:t>
            </w:r>
          </w:p>
        </w:tc>
        <w:tc>
          <w:tcPr>
            <w:tcW w:type="dxa" w:w="1440"/>
            <w:shd w:fill="FAFAFA" w:val="clear"/>
          </w:tcPr>
          <w:p>
            <w:r>
              <w:rPr>
                <w:b/>
                <w:sz w:val="17"/>
              </w:rPr>
              <w:t>37,390</w:t>
            </w:r>
          </w:p>
        </w:tc>
        <w:tc>
          <w:tcPr>
            <w:tcW w:type="dxa" w:w="1440"/>
            <w:shd w:fill="FAFAFA" w:val="clear"/>
          </w:tcPr>
          <w:p>
            <w:r>
              <w:rPr>
                <w:sz w:val="17"/>
              </w:rPr>
              <w:t>39,069</w:t>
            </w:r>
          </w:p>
        </w:tc>
        <w:tc>
          <w:tcPr>
            <w:tcW w:type="dxa" w:w="1440"/>
            <w:shd w:fill="FAFAFA" w:val="clear"/>
          </w:tcPr>
          <w:p>
            <w:r>
              <w:rPr>
                <w:b/>
                <w:color w:val="C00000"/>
                <w:sz w:val="17"/>
              </w:rPr>
              <w:t>-1.6%</w:t>
            </w:r>
          </w:p>
        </w:tc>
      </w:tr>
      <w:tr>
        <w:tc>
          <w:tcPr>
            <w:tcW w:type="dxa" w:w="1440"/>
            <w:shd w:fill="FAFAFA" w:val="clear"/>
          </w:tcPr>
          <w:p>
            <w:r>
              <w:rPr>
                <w:sz w:val="17"/>
              </w:rPr>
              <w:t>J+6  Moyenne</w:t>
            </w:r>
          </w:p>
        </w:tc>
        <w:tc>
          <w:tcPr>
            <w:tcW w:type="dxa" w:w="1440"/>
            <w:shd w:fill="FAFAFA" w:val="clear"/>
          </w:tcPr>
          <w:p>
            <w:r>
              <w:rPr>
                <w:sz w:val="17"/>
              </w:rPr>
              <w:t>2026-08-17</w:t>
            </w:r>
          </w:p>
        </w:tc>
        <w:tc>
          <w:tcPr>
            <w:tcW w:type="dxa" w:w="1440"/>
            <w:shd w:fill="FAFAFA" w:val="clear"/>
          </w:tcPr>
          <w:p>
            <w:r>
              <w:rPr>
                <w:sz w:val="17"/>
              </w:rPr>
              <w:t>35,479</w:t>
            </w:r>
          </w:p>
        </w:tc>
        <w:tc>
          <w:tcPr>
            <w:tcW w:type="dxa" w:w="1440"/>
            <w:shd w:fill="FAFAFA" w:val="clear"/>
          </w:tcPr>
          <w:p>
            <w:r>
              <w:rPr>
                <w:b/>
                <w:sz w:val="17"/>
              </w:rPr>
              <w:t>37,316</w:t>
            </w:r>
          </w:p>
        </w:tc>
        <w:tc>
          <w:tcPr>
            <w:tcW w:type="dxa" w:w="1440"/>
            <w:shd w:fill="FAFAFA" w:val="clear"/>
          </w:tcPr>
          <w:p>
            <w:r>
              <w:rPr>
                <w:sz w:val="17"/>
              </w:rPr>
              <w:t>39,152</w:t>
            </w:r>
          </w:p>
        </w:tc>
        <w:tc>
          <w:tcPr>
            <w:tcW w:type="dxa" w:w="1440"/>
            <w:shd w:fill="FAFAFA" w:val="clear"/>
          </w:tcPr>
          <w:p>
            <w:r>
              <w:rPr>
                <w:b/>
                <w:color w:val="C00000"/>
                <w:sz w:val="17"/>
              </w:rPr>
              <w:t>-1.8%</w:t>
            </w:r>
          </w:p>
        </w:tc>
      </w:tr>
      <w:tr>
        <w:tc>
          <w:tcPr>
            <w:tcW w:type="dxa" w:w="1440"/>
            <w:shd w:fill="FAFAFA" w:val="clear"/>
          </w:tcPr>
          <w:p>
            <w:r>
              <w:rPr>
                <w:sz w:val="17"/>
              </w:rPr>
              <w:t>J+7  Moyenne</w:t>
            </w:r>
          </w:p>
        </w:tc>
        <w:tc>
          <w:tcPr>
            <w:tcW w:type="dxa" w:w="1440"/>
            <w:shd w:fill="FAFAFA" w:val="clear"/>
          </w:tcPr>
          <w:p>
            <w:r>
              <w:rPr>
                <w:sz w:val="17"/>
              </w:rPr>
              <w:t>2026-08-18</w:t>
            </w:r>
          </w:p>
        </w:tc>
        <w:tc>
          <w:tcPr>
            <w:tcW w:type="dxa" w:w="1440"/>
            <w:shd w:fill="FAFAFA" w:val="clear"/>
          </w:tcPr>
          <w:p>
            <w:r>
              <w:rPr>
                <w:sz w:val="17"/>
              </w:rPr>
              <w:t>35,264</w:t>
            </w:r>
          </w:p>
        </w:tc>
        <w:tc>
          <w:tcPr>
            <w:tcW w:type="dxa" w:w="1440"/>
            <w:shd w:fill="FAFAFA" w:val="clear"/>
          </w:tcPr>
          <w:p>
            <w:r>
              <w:rPr>
                <w:b/>
                <w:sz w:val="17"/>
              </w:rPr>
              <w:t>37,244</w:t>
            </w:r>
          </w:p>
        </w:tc>
        <w:tc>
          <w:tcPr>
            <w:tcW w:type="dxa" w:w="1440"/>
            <w:shd w:fill="FAFAFA" w:val="clear"/>
          </w:tcPr>
          <w:p>
            <w:r>
              <w:rPr>
                <w:sz w:val="17"/>
              </w:rPr>
              <w:t>39,224</w:t>
            </w:r>
          </w:p>
        </w:tc>
        <w:tc>
          <w:tcPr>
            <w:tcW w:type="dxa" w:w="1440"/>
            <w:shd w:fill="FAFAFA" w:val="clear"/>
          </w:tcPr>
          <w:p>
            <w:r>
              <w:rPr>
                <w:b/>
                <w:color w:val="C00000"/>
                <w:sz w:val="17"/>
              </w:rPr>
              <w:t>-2.0%</w:t>
            </w:r>
          </w:p>
        </w:tc>
      </w:tr>
      <w:tr>
        <w:tc>
          <w:tcPr>
            <w:tcW w:type="dxa" w:w="1440"/>
            <w:shd w:fill="FFDCE0" w:val="clear"/>
          </w:tcPr>
          <w:p>
            <w:r>
              <w:rPr>
                <w:sz w:val="17"/>
              </w:rPr>
              <w:t>J+8  Moyenne</w:t>
            </w:r>
          </w:p>
        </w:tc>
        <w:tc>
          <w:tcPr>
            <w:tcW w:type="dxa" w:w="1440"/>
            <w:shd w:fill="FFDCE0" w:val="clear"/>
          </w:tcPr>
          <w:p>
            <w:r>
              <w:rPr>
                <w:sz w:val="17"/>
              </w:rPr>
              <w:t>2026-08-19</w:t>
            </w:r>
          </w:p>
        </w:tc>
        <w:tc>
          <w:tcPr>
            <w:tcW w:type="dxa" w:w="1440"/>
            <w:shd w:fill="FFDCE0" w:val="clear"/>
          </w:tcPr>
          <w:p>
            <w:r>
              <w:rPr>
                <w:sz w:val="17"/>
              </w:rPr>
              <w:t>35,061</w:t>
            </w:r>
          </w:p>
        </w:tc>
        <w:tc>
          <w:tcPr>
            <w:tcW w:type="dxa" w:w="1440"/>
            <w:shd w:fill="FFDCE0" w:val="clear"/>
          </w:tcPr>
          <w:p>
            <w:r>
              <w:rPr>
                <w:b/>
                <w:sz w:val="17"/>
              </w:rPr>
              <w:t>37,174</w:t>
            </w:r>
          </w:p>
        </w:tc>
        <w:tc>
          <w:tcPr>
            <w:tcW w:type="dxa" w:w="1440"/>
            <w:shd w:fill="FFDCE0" w:val="clear"/>
          </w:tcPr>
          <w:p>
            <w:r>
              <w:rPr>
                <w:sz w:val="17"/>
              </w:rPr>
              <w:t>39,286</w:t>
            </w:r>
          </w:p>
        </w:tc>
        <w:tc>
          <w:tcPr>
            <w:tcW w:type="dxa" w:w="1440"/>
            <w:shd w:fill="FFDCE0" w:val="clear"/>
          </w:tcPr>
          <w:p>
            <w:r>
              <w:rPr>
                <w:b/>
                <w:color w:val="C00000"/>
                <w:sz w:val="17"/>
              </w:rPr>
              <w:t>-2.2%</w:t>
            </w:r>
          </w:p>
        </w:tc>
      </w:tr>
      <w:tr>
        <w:tc>
          <w:tcPr>
            <w:tcW w:type="dxa" w:w="1440"/>
            <w:shd w:fill="FFDCE0" w:val="clear"/>
          </w:tcPr>
          <w:p>
            <w:r>
              <w:rPr>
                <w:sz w:val="17"/>
              </w:rPr>
              <w:t>J+9  Moyenne</w:t>
            </w:r>
          </w:p>
        </w:tc>
        <w:tc>
          <w:tcPr>
            <w:tcW w:type="dxa" w:w="1440"/>
            <w:shd w:fill="FFDCE0" w:val="clear"/>
          </w:tcPr>
          <w:p>
            <w:r>
              <w:rPr>
                <w:sz w:val="17"/>
              </w:rPr>
              <w:t>2026-08-20</w:t>
            </w:r>
          </w:p>
        </w:tc>
        <w:tc>
          <w:tcPr>
            <w:tcW w:type="dxa" w:w="1440"/>
            <w:shd w:fill="FFDCE0" w:val="clear"/>
          </w:tcPr>
          <w:p>
            <w:r>
              <w:rPr>
                <w:sz w:val="17"/>
              </w:rPr>
              <w:t>34,868</w:t>
            </w:r>
          </w:p>
        </w:tc>
        <w:tc>
          <w:tcPr>
            <w:tcW w:type="dxa" w:w="1440"/>
            <w:shd w:fill="FFDCE0" w:val="clear"/>
          </w:tcPr>
          <w:p>
            <w:r>
              <w:rPr>
                <w:b/>
                <w:sz w:val="17"/>
              </w:rPr>
              <w:t>37,104</w:t>
            </w:r>
          </w:p>
        </w:tc>
        <w:tc>
          <w:tcPr>
            <w:tcW w:type="dxa" w:w="1440"/>
            <w:shd w:fill="FFDCE0" w:val="clear"/>
          </w:tcPr>
          <w:p>
            <w:r>
              <w:rPr>
                <w:sz w:val="17"/>
              </w:rPr>
              <w:t>39,341</w:t>
            </w:r>
          </w:p>
        </w:tc>
        <w:tc>
          <w:tcPr>
            <w:tcW w:type="dxa" w:w="1440"/>
            <w:shd w:fill="FFDCE0" w:val="clear"/>
          </w:tcPr>
          <w:p>
            <w:r>
              <w:rPr>
                <w:b/>
                <w:color w:val="C00000"/>
                <w:sz w:val="17"/>
              </w:rPr>
              <w:t>-2.4%</w:t>
            </w:r>
          </w:p>
        </w:tc>
      </w:tr>
      <w:tr>
        <w:tc>
          <w:tcPr>
            <w:tcW w:type="dxa" w:w="1440"/>
            <w:shd w:fill="FFDCE0" w:val="clear"/>
          </w:tcPr>
          <w:p>
            <w:r>
              <w:rPr>
                <w:sz w:val="17"/>
              </w:rPr>
              <w:t>J+10  Moyenne</w:t>
            </w:r>
          </w:p>
        </w:tc>
        <w:tc>
          <w:tcPr>
            <w:tcW w:type="dxa" w:w="1440"/>
            <w:shd w:fill="FFDCE0" w:val="clear"/>
          </w:tcPr>
          <w:p>
            <w:r>
              <w:rPr>
                <w:sz w:val="17"/>
              </w:rPr>
              <w:t>2026-08-21</w:t>
            </w:r>
          </w:p>
        </w:tc>
        <w:tc>
          <w:tcPr>
            <w:tcW w:type="dxa" w:w="1440"/>
            <w:shd w:fill="FFDCE0" w:val="clear"/>
          </w:tcPr>
          <w:p>
            <w:r>
              <w:rPr>
                <w:sz w:val="17"/>
              </w:rPr>
              <w:t>34,683</w:t>
            </w:r>
          </w:p>
        </w:tc>
        <w:tc>
          <w:tcPr>
            <w:tcW w:type="dxa" w:w="1440"/>
            <w:shd w:fill="FFDCE0" w:val="clear"/>
          </w:tcPr>
          <w:p>
            <w:r>
              <w:rPr>
                <w:b/>
                <w:sz w:val="17"/>
              </w:rPr>
              <w:t>37,036</w:t>
            </w:r>
          </w:p>
        </w:tc>
        <w:tc>
          <w:tcPr>
            <w:tcW w:type="dxa" w:w="1440"/>
            <w:shd w:fill="FFDCE0" w:val="clear"/>
          </w:tcPr>
          <w:p>
            <w:r>
              <w:rPr>
                <w:sz w:val="17"/>
              </w:rPr>
              <w:t>39,390</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SGBC (Société Générale Côte d'Ivoire)**</w:t>
        <w:br/>
        <w:t>**Date de l'analyse : 10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SGBC s'établit à 1 182,22 milliards FCFA, ce qui en fait l'une des plus importantes capitalisations de la BRVM, reflétant son statut de leader bancaire ivoirien. Avec un BPA de 3 258 FCFA, chaque action génère un bénéfice substantiel. Le PER de 11,7x se situe dans la fourchette haute de la moyenne BRVM (8-12x), indiquant une valorisation raisonnable mais non bradée, les investisseurs acceptant de payer une prime pour la qualité de l'actif. Le P/B de 2,39x confirme cette prime, le marché valorisant la société à plus de deux fois sa valeur comptable, signe de confiance dans sa croissance future. Enfin, l'EV/EBITDA de 24,5x est très exigeant, suggérant que la valeur d'entreprise intègre des attentes de performance opérationnelle élevée, ce qui pourrait limiter le potentiel de hausse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SGBC affiche une progression totale de +8,57%, avec une légère hausse de +0,25% lors de la dernière séance, témoignant d'une dynamique positive persistante. Le cours a évolué dans un range de 32 800 FCFA (plus bas) à 39 200 FCFA (plus haut), démontrant une amplitude de trading significative. La moyenne du cours sur la période est de 36 485 FCFA, légèrement inférieure à la médiane de 36 965 FCFA, indiquant une distribution quasi symétrique, ce que confirme le skewness de -0,206. L'écart-type de 2 075 FCFA (CV=5,7%) révèle une dispersion modérée des prix autour de la moyenne. Le kurtosis de -1,405 (platykurtique) suggère une distribution aplatie avec une faible concentration des prix, réduisant le risque de mouvements extrêmes. La volatilité annualisée de 24,2% classe le titre dans la catégorie modérée (15-30%), offrant un équilibre entre risque et rendement.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(38 000 FCFA) se situe sous la MM20 (38 101,75 FCFA) et la MM50 (38 357,2 FCFA), indiquant une tendance baissière à court et moyen terme. La décision de "Vente" est justifiée par cette configuration, le prix ne parvenant pas à dépasser ces niveaux de résistance dynamique.</w:t>
      </w:r>
    </w:p>
    <w:p>
      <w:pPr>
        <w:spacing w:after="120" w:line="276" w:lineRule="auto"/>
      </w:pPr>
      <w:r>
        <w:t>**Bandes de Bollinger** : Le prix évolue entre la borne inférieure (37 512,95 FCFA) et la borne supérieure (38 690,55 FCFA), proche de la moyenne. La décision "Neutre" est appropriée, le cours se situant dans la zone médiane, sans signal de surachat ni de survente, avec une volatilité relative stable.</w:t>
      </w:r>
    </w:p>
    <w:p>
      <w:pPr>
        <w:spacing w:after="120" w:line="276" w:lineRule="auto"/>
      </w:pPr>
      <w:r>
        <w:t>**MACD** : La valeur du MACD (-69,877) est inférieure à son signal (-41,54), confirmant une dynamique baissière du momentum. La décision "Vente" est cohérente avec cette divergence négative, indiquant une pression vendeuse persistante à moyen terme.</w:t>
      </w:r>
    </w:p>
    <w:p>
      <w:pPr>
        <w:spacing w:after="120" w:line="276" w:lineRule="auto"/>
      </w:pPr>
      <w:r>
        <w:t>**RSI** : À 50,485, le RSI se situe exactement dans la zone neutre (30-70), indiquant un équilibre entre pressions acheteuses et vendeuses. La décision "Neutre" est justifiée, le titre n'étant ni suracheté ni survendu, laissant place à une évolution directionnelle future.</w:t>
      </w:r>
    </w:p>
    <w:p>
      <w:pPr>
        <w:spacing w:after="120" w:line="276" w:lineRule="auto"/>
      </w:pPr>
      <w:r>
        <w:t>**Stochastique** : Le %K (48,718) est supérieur au %D (27,35), suggérant un croisement haussier potentiel. Cependant, la décision "Neutre" prévaut, les valeurs restant dans la zone médiane, sans signal fort de retournement.</w:t>
      </w:r>
    </w:p>
    <w:p>
      <w:pPr>
        <w:spacing w:after="120" w:line="276" w:lineRule="auto"/>
      </w:pPr>
      <w:r>
        <w:t>**Conclusion technique** : Les indicateurs techniques sont globalement mitigés, avec une prédominance de signaux de vente (MM, MACD) et des indicateurs neutres (Bollinger, RSI, Stochastique). Cette configuration suggère une phase de consolidation avec un biais baissier à court terme, mais sans signal de retournement majeur.</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 SGBC révèlent une performance robuste : le Produit Net Bancaire (PNB) s'établit à 276,048 milliards FCFA, avec un résultat net de 101,352 milliards FCFA. La banque affiche un ROE exceptionnel de 20,47% et un ROA de 2,69%, démontrant une excellente rentabilité des fonds propres et des actifs. Le coefficient d'exploitation de 38,75% est remarquablement bas, indiquant une efficacité opérationnelle de premier ordre. La structure financière montre une dépendance aux dépôts clients (2 907,675 Mds FCFA) pour financer les crédits (2 546,290 Mds FCFA), avec un ratio de transformation sain. Le coût du risque, bien que non détaillé, semble maîtrisé. Les rapports trimestriels 2025 confirment cette trajectoire : le T1 2025 (PNB 66,3 Mds, +1,3%) et le S1 2025 (PNB 132 Mds, +1,0%) montrent une croissance modérée, mais le résultat net progresse plus fortement (+2,2% au T1, +10,0% au S1), grâce à une maîtrise des coûts. Le rapport des 9 mois 2025 (PNB 201 Mds, +2,5%, résultat net 83,3 Mds, +11,7%) confirme cette tendance. **On estime que** l'exercice 2025 devrait clôturer avec un PNB autour de 276 Mds et un résultat net dépassant 101 Mds, en ligne avec les données annuelles. Les fondamentaux de SGBC sont excellents, avec une notation AAA, une solvabilité renforcée (ratio de 17,7% au S1 2025) et une politique de dividende généreuse (1 863 FCFA/action proposé pour 2024).</w:t>
      </w:r>
    </w:p>
    <w:p>
      <w:pPr>
        <w:spacing w:after="120" w:line="276" w:lineRule="auto"/>
      </w:pPr>
      <w:r>
        <w:t>---</w:t>
      </w:r>
    </w:p>
    <w:p>
      <w:pPr>
        <w:spacing w:after="120" w:line="276" w:lineRule="auto"/>
      </w:pPr>
      <w:r>
        <w:t>### PARTIE 4 : CONCLUSION D'INVESTISSEMENT</w:t>
      </w:r>
    </w:p>
    <w:p>
      <w:pPr>
        <w:spacing w:after="120" w:line="276" w:lineRule="auto"/>
      </w:pPr>
      <w:r>
        <w:t>La valorisation de SGBC (PER 11,7x, P/B 2,39x) est raisonnable mais exigeante, reflétant la qualité de l'actif. Le comportement du cours sur 100 jours (+8,57%) est positif, avec une volatilité modérée et une distribution symétrique, bien que les statistiques (kurtosis platykurtique) suggèrent un potentiel de mouvement limité. Les signaux techniques sont mitigés, avec une prédominance de vente à court terme (MM, MACD) contre des indicateurs neutres, indiquant une possible consolidation. Les fondamentaux sont exceptionnellement solides, avec une croissance rentable, un ROE de 20,47% et une efficacité opérationnelle remarquable. Les prédictions IA pour les 10 prochains jours (37 704 à 37 390 FCFA) suggèrent une légère baisse, contredisant la tendance haussière récente mais s'alignant avec les signaux techniques baissiers. **Recommandation finale : CONSERVER**. Cette décision est justifiée par la convergence entre la solidité fondamentale et la valorisation correcte, contrebalancée par les signaux techniques baissiers et les prédictions IA. Le niveau de confiance est **Moyen**, le risque global est **Moyen**. L'horizon d'investissement optimal est le **moyen terme (3-12 mois)**, permettant de bénéficier de la croissance des bénéfices et des dividendes tout en attendant une clarification technique.</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144.27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4,576 titres</w:t>
            </w:r>
          </w:p>
        </w:tc>
        <w:tc>
          <w:tcPr>
            <w:tcW w:type="dxa" w:w="2268"/>
            <w:shd w:fill="FFF2CC" w:val="clear"/>
          </w:tcPr>
          <w:p>
            <w:r>
              <w:rPr>
                <w:b/>
                <w:color w:val="503200"/>
                <w:sz w:val="16"/>
              </w:rPr>
              <w:t xml:space="preserve">Cours actuel : </w:t>
            </w:r>
            <w:r>
              <w:rPr>
                <w:color w:val="000000"/>
                <w:sz w:val="17"/>
              </w:rPr>
              <w:t>2,290 FCFA</w:t>
            </w:r>
          </w:p>
          <w:p>
            <w:r>
              <w:rPr>
                <w:b/>
                <w:color w:val="503200"/>
                <w:sz w:val="16"/>
              </w:rPr>
              <w:t xml:space="preserve">Var. 100 jours : </w:t>
            </w:r>
            <w:r>
              <w:rPr>
                <w:b/>
                <w:color w:val="007800"/>
                <w:sz w:val="17"/>
              </w:rPr>
              <w:t>+1.78%</w:t>
            </w:r>
          </w:p>
          <w:p>
            <w:r>
              <w:rPr>
                <w:b/>
                <w:color w:val="503200"/>
                <w:sz w:val="16"/>
              </w:rPr>
              <w:t xml:space="preserve">Plus haut 100j : </w:t>
            </w:r>
            <w:r>
              <w:rPr>
                <w:color w:val="000000"/>
                <w:sz w:val="17"/>
              </w:rPr>
              <w:t>2,325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33.8%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5.73% (Moyenne) — μ=2,101 FCFA, σ=120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β=0.9438 (Neutre (suit le marché)) — Cov=0.000034, Var(idx)=0.000036, ρ=0.264,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4,576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σ_j=2.13%/j (Stable) — Vol. annualisée≈33.8%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2,085</w:t>
            </w:r>
          </w:p>
        </w:tc>
        <w:tc>
          <w:tcPr>
            <w:tcW w:type="dxa" w:w="1440"/>
            <w:shd w:fill="FFDCE0" w:val="clear"/>
          </w:tcPr>
          <w:p>
            <w:r>
              <w:rPr>
                <w:b/>
                <w:sz w:val="17"/>
              </w:rPr>
              <w:t>2,160</w:t>
            </w:r>
          </w:p>
        </w:tc>
        <w:tc>
          <w:tcPr>
            <w:tcW w:type="dxa" w:w="1440"/>
            <w:shd w:fill="FFDCE0" w:val="clear"/>
          </w:tcPr>
          <w:p>
            <w:r>
              <w:rPr>
                <w:sz w:val="17"/>
              </w:rPr>
              <w:t>2,235</w:t>
            </w:r>
          </w:p>
        </w:tc>
        <w:tc>
          <w:tcPr>
            <w:tcW w:type="dxa" w:w="1440"/>
            <w:shd w:fill="FFDCE0" w:val="clear"/>
          </w:tcPr>
          <w:p>
            <w:r>
              <w:rPr>
                <w:b/>
                <w:color w:val="C00000"/>
                <w:sz w:val="17"/>
              </w:rPr>
              <w:t>-5.7%</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1,964</w:t>
            </w:r>
          </w:p>
        </w:tc>
        <w:tc>
          <w:tcPr>
            <w:tcW w:type="dxa" w:w="1440"/>
            <w:shd w:fill="FFDCE0" w:val="clear"/>
          </w:tcPr>
          <w:p>
            <w:r>
              <w:rPr>
                <w:b/>
                <w:sz w:val="17"/>
              </w:rPr>
              <w:t>2,065</w:t>
            </w:r>
          </w:p>
        </w:tc>
        <w:tc>
          <w:tcPr>
            <w:tcW w:type="dxa" w:w="1440"/>
            <w:shd w:fill="FFDCE0" w:val="clear"/>
          </w:tcPr>
          <w:p>
            <w:r>
              <w:rPr>
                <w:sz w:val="17"/>
              </w:rPr>
              <w:t>2,166</w:t>
            </w:r>
          </w:p>
        </w:tc>
        <w:tc>
          <w:tcPr>
            <w:tcW w:type="dxa" w:w="1440"/>
            <w:shd w:fill="FFDCE0" w:val="clear"/>
          </w:tcPr>
          <w:p>
            <w:r>
              <w:rPr>
                <w:b/>
                <w:color w:val="C00000"/>
                <w:sz w:val="17"/>
              </w:rPr>
              <w:t>-9.8%</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1,862</w:t>
            </w:r>
          </w:p>
        </w:tc>
        <w:tc>
          <w:tcPr>
            <w:tcW w:type="dxa" w:w="1440"/>
            <w:shd w:fill="FFDCE0" w:val="clear"/>
          </w:tcPr>
          <w:p>
            <w:r>
              <w:rPr>
                <w:b/>
                <w:sz w:val="17"/>
              </w:rPr>
              <w:t>1,981</w:t>
            </w:r>
          </w:p>
        </w:tc>
        <w:tc>
          <w:tcPr>
            <w:tcW w:type="dxa" w:w="1440"/>
            <w:shd w:fill="FFDCE0" w:val="clear"/>
          </w:tcPr>
          <w:p>
            <w:r>
              <w:rPr>
                <w:sz w:val="17"/>
              </w:rPr>
              <w:t>2,099</w:t>
            </w:r>
          </w:p>
        </w:tc>
        <w:tc>
          <w:tcPr>
            <w:tcW w:type="dxa" w:w="1440"/>
            <w:shd w:fill="FFDCE0" w:val="clear"/>
          </w:tcPr>
          <w:p>
            <w:r>
              <w:rPr>
                <w:b/>
                <w:color w:val="C00000"/>
                <w:sz w:val="17"/>
              </w:rPr>
              <w:t>-13.5%</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1,779</w:t>
            </w:r>
          </w:p>
        </w:tc>
        <w:tc>
          <w:tcPr>
            <w:tcW w:type="dxa" w:w="1440"/>
            <w:shd w:fill="FFDCE0" w:val="clear"/>
          </w:tcPr>
          <w:p>
            <w:r>
              <w:rPr>
                <w:b/>
                <w:sz w:val="17"/>
              </w:rPr>
              <w:t>1,911</w:t>
            </w:r>
          </w:p>
        </w:tc>
        <w:tc>
          <w:tcPr>
            <w:tcW w:type="dxa" w:w="1440"/>
            <w:shd w:fill="FFDCE0" w:val="clear"/>
          </w:tcPr>
          <w:p>
            <w:r>
              <w:rPr>
                <w:sz w:val="17"/>
              </w:rPr>
              <w:t>2,043</w:t>
            </w:r>
          </w:p>
        </w:tc>
        <w:tc>
          <w:tcPr>
            <w:tcW w:type="dxa" w:w="1440"/>
            <w:shd w:fill="FFDCE0" w:val="clear"/>
          </w:tcPr>
          <w:p>
            <w:r>
              <w:rPr>
                <w:b/>
                <w:color w:val="C00000"/>
                <w:sz w:val="17"/>
              </w:rPr>
              <w:t>-16.6%</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1,710</w:t>
            </w:r>
          </w:p>
        </w:tc>
        <w:tc>
          <w:tcPr>
            <w:tcW w:type="dxa" w:w="1440"/>
            <w:shd w:fill="FFDCE0" w:val="clear"/>
          </w:tcPr>
          <w:p>
            <w:r>
              <w:rPr>
                <w:b/>
                <w:sz w:val="17"/>
              </w:rPr>
              <w:t>1,853</w:t>
            </w:r>
          </w:p>
        </w:tc>
        <w:tc>
          <w:tcPr>
            <w:tcW w:type="dxa" w:w="1440"/>
            <w:shd w:fill="FFDCE0" w:val="clear"/>
          </w:tcPr>
          <w:p>
            <w:r>
              <w:rPr>
                <w:sz w:val="17"/>
              </w:rPr>
              <w:t>1,996</w:t>
            </w:r>
          </w:p>
        </w:tc>
        <w:tc>
          <w:tcPr>
            <w:tcW w:type="dxa" w:w="1440"/>
            <w:shd w:fill="FFDCE0" w:val="clear"/>
          </w:tcPr>
          <w:p>
            <w:r>
              <w:rPr>
                <w:b/>
                <w:color w:val="C00000"/>
                <w:sz w:val="17"/>
              </w:rPr>
              <w:t>-19.1%</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1,651</w:t>
            </w:r>
          </w:p>
        </w:tc>
        <w:tc>
          <w:tcPr>
            <w:tcW w:type="dxa" w:w="1440"/>
            <w:shd w:fill="FFDCE0" w:val="clear"/>
          </w:tcPr>
          <w:p>
            <w:r>
              <w:rPr>
                <w:b/>
                <w:sz w:val="17"/>
              </w:rPr>
              <w:t>1,803</w:t>
            </w:r>
          </w:p>
        </w:tc>
        <w:tc>
          <w:tcPr>
            <w:tcW w:type="dxa" w:w="1440"/>
            <w:shd w:fill="FFDCE0" w:val="clear"/>
          </w:tcPr>
          <w:p>
            <w:r>
              <w:rPr>
                <w:sz w:val="17"/>
              </w:rPr>
              <w:t>1,956</w:t>
            </w:r>
          </w:p>
        </w:tc>
        <w:tc>
          <w:tcPr>
            <w:tcW w:type="dxa" w:w="1440"/>
            <w:shd w:fill="FFDCE0" w:val="clear"/>
          </w:tcPr>
          <w:p>
            <w:r>
              <w:rPr>
                <w:b/>
                <w:color w:val="C00000"/>
                <w:sz w:val="17"/>
              </w:rPr>
              <w:t>-21.3%</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1,600</w:t>
            </w:r>
          </w:p>
        </w:tc>
        <w:tc>
          <w:tcPr>
            <w:tcW w:type="dxa" w:w="1440"/>
            <w:shd w:fill="FFDCE0" w:val="clear"/>
          </w:tcPr>
          <w:p>
            <w:r>
              <w:rPr>
                <w:b/>
                <w:sz w:val="17"/>
              </w:rPr>
              <w:t>1,760</w:t>
            </w:r>
          </w:p>
        </w:tc>
        <w:tc>
          <w:tcPr>
            <w:tcW w:type="dxa" w:w="1440"/>
            <w:shd w:fill="FFDCE0" w:val="clear"/>
          </w:tcPr>
          <w:p>
            <w:r>
              <w:rPr>
                <w:sz w:val="17"/>
              </w:rPr>
              <w:t>1,921</w:t>
            </w:r>
          </w:p>
        </w:tc>
        <w:tc>
          <w:tcPr>
            <w:tcW w:type="dxa" w:w="1440"/>
            <w:shd w:fill="FFDCE0" w:val="clear"/>
          </w:tcPr>
          <w:p>
            <w:r>
              <w:rPr>
                <w:b/>
                <w:color w:val="C00000"/>
                <w:sz w:val="17"/>
              </w:rPr>
              <w:t>-23.1%</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1,554</w:t>
            </w:r>
          </w:p>
        </w:tc>
        <w:tc>
          <w:tcPr>
            <w:tcW w:type="dxa" w:w="1440"/>
            <w:shd w:fill="FFDCE0" w:val="clear"/>
          </w:tcPr>
          <w:p>
            <w:r>
              <w:rPr>
                <w:b/>
                <w:sz w:val="17"/>
              </w:rPr>
              <w:t>1,722</w:t>
            </w:r>
          </w:p>
        </w:tc>
        <w:tc>
          <w:tcPr>
            <w:tcW w:type="dxa" w:w="1440"/>
            <w:shd w:fill="FFDCE0" w:val="clear"/>
          </w:tcPr>
          <w:p>
            <w:r>
              <w:rPr>
                <w:sz w:val="17"/>
              </w:rPr>
              <w:t>1,890</w:t>
            </w:r>
          </w:p>
        </w:tc>
        <w:tc>
          <w:tcPr>
            <w:tcW w:type="dxa" w:w="1440"/>
            <w:shd w:fill="FFDCE0" w:val="clear"/>
          </w:tcPr>
          <w:p>
            <w:r>
              <w:rPr>
                <w:b/>
                <w:color w:val="C00000"/>
                <w:sz w:val="17"/>
              </w:rPr>
              <w:t>-24.8%</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1,513</w:t>
            </w:r>
          </w:p>
        </w:tc>
        <w:tc>
          <w:tcPr>
            <w:tcW w:type="dxa" w:w="1440"/>
            <w:shd w:fill="FFDCE0" w:val="clear"/>
          </w:tcPr>
          <w:p>
            <w:r>
              <w:rPr>
                <w:b/>
                <w:sz w:val="17"/>
              </w:rPr>
              <w:t>1,688</w:t>
            </w:r>
          </w:p>
        </w:tc>
        <w:tc>
          <w:tcPr>
            <w:tcW w:type="dxa" w:w="1440"/>
            <w:shd w:fill="FFDCE0" w:val="clear"/>
          </w:tcPr>
          <w:p>
            <w:r>
              <w:rPr>
                <w:sz w:val="17"/>
              </w:rPr>
              <w:t>1,862</w:t>
            </w:r>
          </w:p>
        </w:tc>
        <w:tc>
          <w:tcPr>
            <w:tcW w:type="dxa" w:w="1440"/>
            <w:shd w:fill="FFDCE0" w:val="clear"/>
          </w:tcPr>
          <w:p>
            <w:r>
              <w:rPr>
                <w:b/>
                <w:color w:val="C00000"/>
                <w:sz w:val="17"/>
              </w:rPr>
              <w:t>-26.3%</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1,475</w:t>
            </w:r>
          </w:p>
        </w:tc>
        <w:tc>
          <w:tcPr>
            <w:tcW w:type="dxa" w:w="1440"/>
            <w:shd w:fill="FFDCE0" w:val="clear"/>
          </w:tcPr>
          <w:p>
            <w:r>
              <w:rPr>
                <w:b/>
                <w:sz w:val="17"/>
              </w:rPr>
              <w:t>1,656</w:t>
            </w:r>
          </w:p>
        </w:tc>
        <w:tc>
          <w:tcPr>
            <w:tcW w:type="dxa" w:w="1440"/>
            <w:shd w:fill="FFDCE0" w:val="clear"/>
          </w:tcPr>
          <w:p>
            <w:r>
              <w:rPr>
                <w:sz w:val="17"/>
              </w:rPr>
              <w:t>1,837</w:t>
            </w:r>
          </w:p>
        </w:tc>
        <w:tc>
          <w:tcPr>
            <w:tcW w:type="dxa" w:w="1440"/>
            <w:shd w:fill="FFDCE0" w:val="clear"/>
          </w:tcPr>
          <w:p>
            <w:r>
              <w:rPr>
                <w:b/>
                <w:color w:val="C00000"/>
                <w:sz w:val="17"/>
              </w:rPr>
              <w:t>-27.7%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**RAPPORT D'ANALYSE FINANCIÈRE — SHEC (VIVO ENERGY CÔTE D'IVOIRE)**</w:t>
        <w:br/>
        <w:t>**Date : 10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SHEC s'établit à 144,27 milliards FCFA, un niveau significatif qui la positionne parmi les valeurs moyennes de la cote BRVM. Le BPA de 96 FCFA est relativement faible, ce qui explique un PER de 23,9x, très supérieur à la moyenne historique de la BRVM (8-12x). Ce ratio élevé suggère que le marché anticipe une croissance future des bénéfices, mais expose le titre à un risque de correction si ces attentes ne se matérialisent pas. Le P/B de 5,31x indique que le marché valorise l'action à plus de cinq fois sa valeur comptable, une prime substantielle qui traduit une confiance dans la marque et les actifs de l'entreprise. Enfin, l'EV/EBITDA de 12,9x, bien que dans la fourchette haute (10-15x), reste cohérent avec une entreprise de distribution pétrolière intégrée, mais confirme une valorisation exigeante.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SHEC affiche une variation totale positive de +1,78%, avec une légère baisse de -0,43% lors de la dernière séance, clôturant à 2 290 FCFA. Le titre a évolué dans une fourchette de 1 840 à 2 325 FCFA, démontrant une amplitude de trading de près de 26%, ce qui indique des phases de volatilité. La moyenne du cours sur la période (2 101 FCFA) est inférieure à la médiane (2 155 FCFA), ce qui, combiné à un skewness négatif (-0,399), suggère une distribution légèrement asymétrique avec des épisodes de baisse plus marqués que les hausses. L'écart-type de 121 FCFA (CV=5,8%) reflète une dispersion modérée autour de la moyenne. Le kurtosis négatif (-1,016) indique une distribution platykurtique, signifiant une faible probabilité de mouvements extrêmes. La volatilité annualisée de 33,8% classe le titre comme très volatil, un niveau élevé qui requiert une gestion du risque rigoureuse.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(2 290 FCFA) se situe nettement au-dessus de la MM20 (2 208,75 FCFA) et de la MM50 (2 151,8 FCFA), confirmant une dynamique haussière à court et moyen terme. La configuration des MM (MM20 &gt; MM50) valide la tendance positive, d'où la décision d'achat.</w:t>
      </w:r>
    </w:p>
    <w:p>
      <w:pPr>
        <w:spacing w:after="120" w:line="276" w:lineRule="auto"/>
      </w:pPr>
      <w:r>
        <w:t>**Bandes de Bollinger :** Le prix évolue dans la partie supérieure des bandes, proche de la borne haute (2 328,96 FCFA), indiquant une pression acheteuse soutenue. La largeur des bandes suggère une volatilité modérée. La décision neutre reflète l'absence de signal de retournement imminent.</w:t>
      </w:r>
    </w:p>
    <w:p>
      <w:pPr>
        <w:spacing w:after="120" w:line="276" w:lineRule="auto"/>
      </w:pPr>
      <w:r>
        <w:t>**MACD :** Le MACD (37,337) est nettement au-dessus de son signal (27,073), avec un écart positif croissant. Cette configuration indique un momentum haussier solide, justifiant la décision d'achat.</w:t>
      </w:r>
    </w:p>
    <w:p>
      <w:pPr>
        <w:spacing w:after="120" w:line="276" w:lineRule="auto"/>
      </w:pPr>
      <w:r>
        <w:t>**RSI :** Le RSI à 59,259 se situe en zone neutre, sans signal de surachat ni de survente. Cela laisse une marge de progression avant d'atteindre des niveaux extrêmes, d'où la décision neutre.</w:t>
      </w:r>
    </w:p>
    <w:p>
      <w:pPr>
        <w:spacing w:after="120" w:line="276" w:lineRule="auto"/>
      </w:pPr>
      <w:r>
        <w:t>**Stochastique :** Le %K (84,091) est inférieur au %D (90,909), avec les deux valeurs en zone de surachat (&gt;80). Ce croisement baissier potentiel suggère un essoufflement du mouvement haussier, justifiant la décision de vente.</w:t>
      </w:r>
    </w:p>
    <w:p>
      <w:pPr>
        <w:spacing w:after="120" w:line="276" w:lineRule="auto"/>
      </w:pPr>
      <w:r>
        <w:t>**Conclusion technique :** Les indicateurs de tendance (MM, MACD) sont positifs, mais les oscillateurs de momentum (RSI, Stochastique) montrent des signes de fatigue. Le titre est dans une phase de consolidation haussière, avec un risque de correction à court terme. La prudence est de mise pour les nouveaux achats.</w:t>
      </w:r>
    </w:p>
    <w:p>
      <w:pPr>
        <w:spacing w:after="120" w:line="276" w:lineRule="auto"/>
      </w:pPr>
      <w:r>
        <w:t>---</w:t>
      </w:r>
    </w:p>
    <w:p>
      <w:pPr>
        <w:spacing w:after="120" w:line="276" w:lineRule="auto"/>
      </w:pPr>
      <w:r>
        <w:t>### PARTIE 3 : ANALYSE FONDAMENTALE (SECTION CRITIQUE)</w:t>
      </w:r>
    </w:p>
    <w:p>
      <w:pPr>
        <w:spacing w:after="120" w:line="276" w:lineRule="auto"/>
      </w:pPr>
      <w:r>
        <w:t>En 2025, SHEC a réalisé un chiffre d'affaires de 604,978 milliards FCFA, en légère hausse de +0,71% par rapport à 2024 (600,708 milliards FCFA). Le résultat net s'établit à 6,028 milliards FCFA, en progression de +12,6% (5,354 milliards en 2024). La marge nette reste faible à 0,99%, caractéristique du secteur de distribution pétrolière. Le ROE est excellent à 22,19%, tandis que le ROA est de 3,11%. La structure financière est fragile : la trésorerie nette est fortement négative (-65,264 milliards FCFA), avec un endettement élevé (dettes fournisseurs de 53,43 milliards et dettes financières de 11,936 milliards). Le BFR est positif (15,315 milliards), indiquant un besoin de financement. Les délais clients (23,27 jours) et fournisseurs (35,47 jours) sont bien gérés, mais la durée de stockage (7,47 jours) est faible. Le rapport du 3ème trimestre 2025 (daté du 30/09/2025) montre un résultat net de 4,119 milliards sur 9 mois (+45%), suggérant une accélération au T4. Le rapport du S1 2025 indique un résultat net de 2,623 milliards (+3%). Le rapport T1 2026 (daté du 31/03/2026) révèle une baisse du CA de -9% à 141,649 milliards, mais un résultat net stable (+1%). Le rapport S1 2026 (daté du 30/06/2026) confirme la tendance avec un CA de 305,038 milliards (-1%) et un résultat net de 3,016 milliards. Sur la base de ces rapports, on estime que l'exercice 2026 pourrait voir un résultat net stable ou en légère baisse, autour de 5,5 à 6 milliards FCFA, en raison de la baisse des volumes. La recommandation fondamentale est de conserver le titre, la société étant bénéficiaire mais confrontée à des défis de trésorerie et de croissance.</w:t>
      </w:r>
    </w:p>
    <w:p>
      <w:pPr>
        <w:spacing w:after="120" w:line="276" w:lineRule="auto"/>
      </w:pPr>
      <w:r>
        <w:t>---</w:t>
      </w:r>
    </w:p>
    <w:p>
      <w:pPr>
        <w:spacing w:after="120" w:line="276" w:lineRule="auto"/>
      </w:pPr>
      <w:r>
        <w:t>### PARTIE 4 : CONCLUSION D'INVESTISSEMENT</w:t>
      </w:r>
    </w:p>
    <w:p>
      <w:pPr>
        <w:spacing w:after="120" w:line="276" w:lineRule="auto"/>
      </w:pPr>
      <w:r>
        <w:t>La valorisation de SHEC est exigeante (PER 23,9x, P/B 5,31x), suggérant une surévaluation relative par rapport au marché BRVM. Le comportement du cours est mitigé : tendance positive sur 100 jours (+1,78%), mais avec une volatilité élevée (33,8%) et une distribution des rendements légèrement négative. Les signaux techniques sont divergents : les MM et le MACD sont positifs, mais le Stochastique indique un essoufflement. Les fondamentaux montrent une amélioration du résultat net (+13% en 2025), mais une structure financière fragile avec une trésorerie nette négative de -65 milliards FCFA. Les prédictions IA pour les 10 prochains jours (2160, 2065, 1981, 1911, 1853 FCFA) indiquent une trajectoire baissière, contredisant les signaux techniques haussiers à court terme. Cette divergence suggère une correction probable. Sur la base de cette synthèse, la recommandation finale est **CONSERVER**. Le niveau de confiance est **Moyen**, le risque global est **Élevé** en raison de la volatilité et de la dette. L'horizon d'investissement optimal est le **moyen terme (3-12 mois)**, en attendant une clarification de la stratégie de réduction de la dette et une stabilisation des volumes.</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930.00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8,879 titres</w:t>
            </w:r>
          </w:p>
        </w:tc>
        <w:tc>
          <w:tcPr>
            <w:tcW w:type="dxa" w:w="2268"/>
            <w:shd w:fill="FFF2CC" w:val="clear"/>
          </w:tcPr>
          <w:p>
            <w:r>
              <w:rPr>
                <w:b/>
                <w:color w:val="503200"/>
                <w:sz w:val="16"/>
              </w:rPr>
              <w:t xml:space="preserve">Cours actuel : </w:t>
            </w:r>
            <w:r>
              <w:rPr>
                <w:color w:val="000000"/>
                <w:sz w:val="17"/>
              </w:rPr>
              <w:t>9,300 FCFA</w:t>
            </w:r>
          </w:p>
          <w:p>
            <w:r>
              <w:rPr>
                <w:b/>
                <w:color w:val="503200"/>
                <w:sz w:val="16"/>
              </w:rPr>
              <w:t xml:space="preserve">Var. 100 jours : </w:t>
            </w:r>
            <w:r>
              <w:rPr>
                <w:b/>
                <w:color w:val="007800"/>
                <w:sz w:val="17"/>
              </w:rPr>
              <w:t>+30.99%</w:t>
            </w:r>
          </w:p>
          <w:p>
            <w:r>
              <w:rPr>
                <w:b/>
                <w:color w:val="503200"/>
                <w:sz w:val="16"/>
              </w:rPr>
              <w:t xml:space="preserve">Plus haut 100j : </w:t>
            </w:r>
            <w:r>
              <w:rPr>
                <w:color w:val="000000"/>
                <w:sz w:val="17"/>
              </w:rPr>
              <w:t>9,300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11.13% (Moyenne) — μ=8,001 FCFA, σ=890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β=0.5315 (Défensif) — Cov=0.000019, Var(idx)=0.000036, ρ=0.181,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8,879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σ_j=1.74%/j (Stable) — Vol. annualisée≈27.7%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8,697</w:t>
            </w:r>
          </w:p>
        </w:tc>
        <w:tc>
          <w:tcPr>
            <w:tcW w:type="dxa" w:w="1440"/>
            <w:shd w:fill="FFDCE0" w:val="clear"/>
          </w:tcPr>
          <w:p>
            <w:r>
              <w:rPr>
                <w:b/>
                <w:sz w:val="17"/>
              </w:rPr>
              <w:t>8,954</w:t>
            </w:r>
          </w:p>
        </w:tc>
        <w:tc>
          <w:tcPr>
            <w:tcW w:type="dxa" w:w="1440"/>
            <w:shd w:fill="FFDCE0" w:val="clear"/>
          </w:tcPr>
          <w:p>
            <w:r>
              <w:rPr>
                <w:sz w:val="17"/>
              </w:rPr>
              <w:t>9,210</w:t>
            </w:r>
          </w:p>
        </w:tc>
        <w:tc>
          <w:tcPr>
            <w:tcW w:type="dxa" w:w="1440"/>
            <w:shd w:fill="FFDCE0" w:val="clear"/>
          </w:tcPr>
          <w:p>
            <w:r>
              <w:rPr>
                <w:b/>
                <w:color w:val="C00000"/>
                <w:sz w:val="17"/>
              </w:rPr>
              <w:t>-3.7%</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8,282</w:t>
            </w:r>
          </w:p>
        </w:tc>
        <w:tc>
          <w:tcPr>
            <w:tcW w:type="dxa" w:w="1440"/>
            <w:shd w:fill="FFDCE0" w:val="clear"/>
          </w:tcPr>
          <w:p>
            <w:r>
              <w:rPr>
                <w:b/>
                <w:sz w:val="17"/>
              </w:rPr>
              <w:t>8,631</w:t>
            </w:r>
          </w:p>
        </w:tc>
        <w:tc>
          <w:tcPr>
            <w:tcW w:type="dxa" w:w="1440"/>
            <w:shd w:fill="FFDCE0" w:val="clear"/>
          </w:tcPr>
          <w:p>
            <w:r>
              <w:rPr>
                <w:sz w:val="17"/>
              </w:rPr>
              <w:t>8,980</w:t>
            </w:r>
          </w:p>
        </w:tc>
        <w:tc>
          <w:tcPr>
            <w:tcW w:type="dxa" w:w="1440"/>
            <w:shd w:fill="FFDCE0" w:val="clear"/>
          </w:tcPr>
          <w:p>
            <w:r>
              <w:rPr>
                <w:b/>
                <w:color w:val="C00000"/>
                <w:sz w:val="17"/>
              </w:rPr>
              <w:t>-7.2%</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7,931</w:t>
            </w:r>
          </w:p>
        </w:tc>
        <w:tc>
          <w:tcPr>
            <w:tcW w:type="dxa" w:w="1440"/>
            <w:shd w:fill="FFDCE0" w:val="clear"/>
          </w:tcPr>
          <w:p>
            <w:r>
              <w:rPr>
                <w:b/>
                <w:sz w:val="17"/>
              </w:rPr>
              <w:t>8,345</w:t>
            </w:r>
          </w:p>
        </w:tc>
        <w:tc>
          <w:tcPr>
            <w:tcW w:type="dxa" w:w="1440"/>
            <w:shd w:fill="FFDCE0" w:val="clear"/>
          </w:tcPr>
          <w:p>
            <w:r>
              <w:rPr>
                <w:sz w:val="17"/>
              </w:rPr>
              <w:t>8,759</w:t>
            </w:r>
          </w:p>
        </w:tc>
        <w:tc>
          <w:tcPr>
            <w:tcW w:type="dxa" w:w="1440"/>
            <w:shd w:fill="FFDCE0" w:val="clear"/>
          </w:tcPr>
          <w:p>
            <w:r>
              <w:rPr>
                <w:b/>
                <w:color w:val="C00000"/>
                <w:sz w:val="17"/>
              </w:rPr>
              <w:t>-10.3%</w:t>
            </w:r>
          </w:p>
        </w:tc>
      </w:tr>
      <w:tr>
        <w:tc>
          <w:tcPr>
            <w:tcW w:type="dxa" w:w="1440"/>
            <w:shd w:fill="FFDCE0" w:val="clear"/>
          </w:tcPr>
          <w:p>
            <w:r>
              <w:rPr>
                <w:sz w:val="17"/>
              </w:rPr>
              <w:t>J+4  Moyenne</w:t>
            </w:r>
          </w:p>
        </w:tc>
        <w:tc>
          <w:tcPr>
            <w:tcW w:type="dxa" w:w="1440"/>
            <w:shd w:fill="FFDCE0" w:val="clear"/>
          </w:tcPr>
          <w:p>
            <w:r>
              <w:rPr>
                <w:sz w:val="17"/>
              </w:rPr>
              <w:t>2026-08-13</w:t>
            </w:r>
          </w:p>
        </w:tc>
        <w:tc>
          <w:tcPr>
            <w:tcW w:type="dxa" w:w="1440"/>
            <w:shd w:fill="FFDCE0" w:val="clear"/>
          </w:tcPr>
          <w:p>
            <w:r>
              <w:rPr>
                <w:sz w:val="17"/>
              </w:rPr>
              <w:t>7,641</w:t>
            </w:r>
          </w:p>
        </w:tc>
        <w:tc>
          <w:tcPr>
            <w:tcW w:type="dxa" w:w="1440"/>
            <w:shd w:fill="FFDCE0" w:val="clear"/>
          </w:tcPr>
          <w:p>
            <w:r>
              <w:rPr>
                <w:b/>
                <w:sz w:val="17"/>
              </w:rPr>
              <w:t>8,105</w:t>
            </w:r>
          </w:p>
        </w:tc>
        <w:tc>
          <w:tcPr>
            <w:tcW w:type="dxa" w:w="1440"/>
            <w:shd w:fill="FFDCE0" w:val="clear"/>
          </w:tcPr>
          <w:p>
            <w:r>
              <w:rPr>
                <w:sz w:val="17"/>
              </w:rPr>
              <w:t>8,569</w:t>
            </w:r>
          </w:p>
        </w:tc>
        <w:tc>
          <w:tcPr>
            <w:tcW w:type="dxa" w:w="1440"/>
            <w:shd w:fill="FFDCE0" w:val="clear"/>
          </w:tcPr>
          <w:p>
            <w:r>
              <w:rPr>
                <w:b/>
                <w:color w:val="C00000"/>
                <w:sz w:val="17"/>
              </w:rPr>
              <w:t>-12.8%</w:t>
            </w:r>
          </w:p>
        </w:tc>
      </w:tr>
      <w:tr>
        <w:tc>
          <w:tcPr>
            <w:tcW w:type="dxa" w:w="1440"/>
            <w:shd w:fill="FFDCE0" w:val="clear"/>
          </w:tcPr>
          <w:p>
            <w:r>
              <w:rPr>
                <w:sz w:val="17"/>
              </w:rPr>
              <w:t>J+5  Moyenne</w:t>
            </w:r>
          </w:p>
        </w:tc>
        <w:tc>
          <w:tcPr>
            <w:tcW w:type="dxa" w:w="1440"/>
            <w:shd w:fill="FFDCE0" w:val="clear"/>
          </w:tcPr>
          <w:p>
            <w:r>
              <w:rPr>
                <w:sz w:val="17"/>
              </w:rPr>
              <w:t>2026-08-14</w:t>
            </w:r>
          </w:p>
        </w:tc>
        <w:tc>
          <w:tcPr>
            <w:tcW w:type="dxa" w:w="1440"/>
            <w:shd w:fill="FFDCE0" w:val="clear"/>
          </w:tcPr>
          <w:p>
            <w:r>
              <w:rPr>
                <w:sz w:val="17"/>
              </w:rPr>
              <w:t>7,399</w:t>
            </w:r>
          </w:p>
        </w:tc>
        <w:tc>
          <w:tcPr>
            <w:tcW w:type="dxa" w:w="1440"/>
            <w:shd w:fill="FFDCE0" w:val="clear"/>
          </w:tcPr>
          <w:p>
            <w:r>
              <w:rPr>
                <w:b/>
                <w:sz w:val="17"/>
              </w:rPr>
              <w:t>7,904</w:t>
            </w:r>
          </w:p>
        </w:tc>
        <w:tc>
          <w:tcPr>
            <w:tcW w:type="dxa" w:w="1440"/>
            <w:shd w:fill="FFDCE0" w:val="clear"/>
          </w:tcPr>
          <w:p>
            <w:r>
              <w:rPr>
                <w:sz w:val="17"/>
              </w:rPr>
              <w:t>8,410</w:t>
            </w:r>
          </w:p>
        </w:tc>
        <w:tc>
          <w:tcPr>
            <w:tcW w:type="dxa" w:w="1440"/>
            <w:shd w:fill="FFDCE0" w:val="clear"/>
          </w:tcPr>
          <w:p>
            <w:r>
              <w:rPr>
                <w:b/>
                <w:color w:val="C00000"/>
                <w:sz w:val="17"/>
              </w:rPr>
              <w:t>-15.0%</w:t>
            </w:r>
          </w:p>
        </w:tc>
      </w:tr>
      <w:tr>
        <w:tc>
          <w:tcPr>
            <w:tcW w:type="dxa" w:w="1440"/>
            <w:shd w:fill="FFDCE0" w:val="clear"/>
          </w:tcPr>
          <w:p>
            <w:r>
              <w:rPr>
                <w:sz w:val="17"/>
              </w:rPr>
              <w:t>J+6  Moyenne</w:t>
            </w:r>
          </w:p>
        </w:tc>
        <w:tc>
          <w:tcPr>
            <w:tcW w:type="dxa" w:w="1440"/>
            <w:shd w:fill="FFDCE0" w:val="clear"/>
          </w:tcPr>
          <w:p>
            <w:r>
              <w:rPr>
                <w:sz w:val="17"/>
              </w:rPr>
              <w:t>2026-08-17</w:t>
            </w:r>
          </w:p>
        </w:tc>
        <w:tc>
          <w:tcPr>
            <w:tcW w:type="dxa" w:w="1440"/>
            <w:shd w:fill="FFDCE0" w:val="clear"/>
          </w:tcPr>
          <w:p>
            <w:r>
              <w:rPr>
                <w:sz w:val="17"/>
              </w:rPr>
              <w:t>7,192</w:t>
            </w:r>
          </w:p>
        </w:tc>
        <w:tc>
          <w:tcPr>
            <w:tcW w:type="dxa" w:w="1440"/>
            <w:shd w:fill="FFDCE0" w:val="clear"/>
          </w:tcPr>
          <w:p>
            <w:r>
              <w:rPr>
                <w:b/>
                <w:sz w:val="17"/>
              </w:rPr>
              <w:t>7,734</w:t>
            </w:r>
          </w:p>
        </w:tc>
        <w:tc>
          <w:tcPr>
            <w:tcW w:type="dxa" w:w="1440"/>
            <w:shd w:fill="FFDCE0" w:val="clear"/>
          </w:tcPr>
          <w:p>
            <w:r>
              <w:rPr>
                <w:sz w:val="17"/>
              </w:rPr>
              <w:t>8,276</w:t>
            </w:r>
          </w:p>
        </w:tc>
        <w:tc>
          <w:tcPr>
            <w:tcW w:type="dxa" w:w="1440"/>
            <w:shd w:fill="FFDCE0" w:val="clear"/>
          </w:tcPr>
          <w:p>
            <w:r>
              <w:rPr>
                <w:b/>
                <w:color w:val="C00000"/>
                <w:sz w:val="17"/>
              </w:rPr>
              <w:t>-16.8%</w:t>
            </w:r>
          </w:p>
        </w:tc>
      </w:tr>
      <w:tr>
        <w:tc>
          <w:tcPr>
            <w:tcW w:type="dxa" w:w="1440"/>
            <w:shd w:fill="FFDCE0" w:val="clear"/>
          </w:tcPr>
          <w:p>
            <w:r>
              <w:rPr>
                <w:sz w:val="17"/>
              </w:rPr>
              <w:t>J+7  Moyenne</w:t>
            </w:r>
          </w:p>
        </w:tc>
        <w:tc>
          <w:tcPr>
            <w:tcW w:type="dxa" w:w="1440"/>
            <w:shd w:fill="FFDCE0" w:val="clear"/>
          </w:tcPr>
          <w:p>
            <w:r>
              <w:rPr>
                <w:sz w:val="17"/>
              </w:rPr>
              <w:t>2026-08-18</w:t>
            </w:r>
          </w:p>
        </w:tc>
        <w:tc>
          <w:tcPr>
            <w:tcW w:type="dxa" w:w="1440"/>
            <w:shd w:fill="FFDCE0" w:val="clear"/>
          </w:tcPr>
          <w:p>
            <w:r>
              <w:rPr>
                <w:sz w:val="17"/>
              </w:rPr>
              <w:t>7,011</w:t>
            </w:r>
          </w:p>
        </w:tc>
        <w:tc>
          <w:tcPr>
            <w:tcW w:type="dxa" w:w="1440"/>
            <w:shd w:fill="FFDCE0" w:val="clear"/>
          </w:tcPr>
          <w:p>
            <w:r>
              <w:rPr>
                <w:b/>
                <w:sz w:val="17"/>
              </w:rPr>
              <w:t>7,585</w:t>
            </w:r>
          </w:p>
        </w:tc>
        <w:tc>
          <w:tcPr>
            <w:tcW w:type="dxa" w:w="1440"/>
            <w:shd w:fill="FFDCE0" w:val="clear"/>
          </w:tcPr>
          <w:p>
            <w:r>
              <w:rPr>
                <w:sz w:val="17"/>
              </w:rPr>
              <w:t>8,159</w:t>
            </w:r>
          </w:p>
        </w:tc>
        <w:tc>
          <w:tcPr>
            <w:tcW w:type="dxa" w:w="1440"/>
            <w:shd w:fill="FFDCE0" w:val="clear"/>
          </w:tcPr>
          <w:p>
            <w:r>
              <w:rPr>
                <w:b/>
                <w:color w:val="C00000"/>
                <w:sz w:val="17"/>
              </w:rPr>
              <w:t>-18.4%</w:t>
            </w:r>
          </w:p>
        </w:tc>
      </w:tr>
      <w:tr>
        <w:tc>
          <w:tcPr>
            <w:tcW w:type="dxa" w:w="1440"/>
            <w:shd w:fill="FFDCE0" w:val="clear"/>
          </w:tcPr>
          <w:p>
            <w:r>
              <w:rPr>
                <w:sz w:val="17"/>
              </w:rPr>
              <w:t>J+8  Moyenne</w:t>
            </w:r>
          </w:p>
        </w:tc>
        <w:tc>
          <w:tcPr>
            <w:tcW w:type="dxa" w:w="1440"/>
            <w:shd w:fill="FFDCE0" w:val="clear"/>
          </w:tcPr>
          <w:p>
            <w:r>
              <w:rPr>
                <w:sz w:val="17"/>
              </w:rPr>
              <w:t>2026-08-19</w:t>
            </w:r>
          </w:p>
        </w:tc>
        <w:tc>
          <w:tcPr>
            <w:tcW w:type="dxa" w:w="1440"/>
            <w:shd w:fill="FFDCE0" w:val="clear"/>
          </w:tcPr>
          <w:p>
            <w:r>
              <w:rPr>
                <w:sz w:val="17"/>
              </w:rPr>
              <w:t>6,850</w:t>
            </w:r>
          </w:p>
        </w:tc>
        <w:tc>
          <w:tcPr>
            <w:tcW w:type="dxa" w:w="1440"/>
            <w:shd w:fill="FFDCE0" w:val="clear"/>
          </w:tcPr>
          <w:p>
            <w:r>
              <w:rPr>
                <w:b/>
                <w:sz w:val="17"/>
              </w:rPr>
              <w:t>7,453</w:t>
            </w:r>
          </w:p>
        </w:tc>
        <w:tc>
          <w:tcPr>
            <w:tcW w:type="dxa" w:w="1440"/>
            <w:shd w:fill="FFDCE0" w:val="clear"/>
          </w:tcPr>
          <w:p>
            <w:r>
              <w:rPr>
                <w:sz w:val="17"/>
              </w:rPr>
              <w:t>8,056</w:t>
            </w:r>
          </w:p>
        </w:tc>
        <w:tc>
          <w:tcPr>
            <w:tcW w:type="dxa" w:w="1440"/>
            <w:shd w:fill="FFDCE0" w:val="clear"/>
          </w:tcPr>
          <w:p>
            <w:r>
              <w:rPr>
                <w:b/>
                <w:color w:val="C00000"/>
                <w:sz w:val="17"/>
              </w:rPr>
              <w:t>-19.9%</w:t>
            </w:r>
          </w:p>
        </w:tc>
      </w:tr>
      <w:tr>
        <w:tc>
          <w:tcPr>
            <w:tcW w:type="dxa" w:w="1440"/>
            <w:shd w:fill="FFDCE0" w:val="clear"/>
          </w:tcPr>
          <w:p>
            <w:r>
              <w:rPr>
                <w:sz w:val="17"/>
              </w:rPr>
              <w:t>J+9  Moyenne</w:t>
            </w:r>
          </w:p>
        </w:tc>
        <w:tc>
          <w:tcPr>
            <w:tcW w:type="dxa" w:w="1440"/>
            <w:shd w:fill="FFDCE0" w:val="clear"/>
          </w:tcPr>
          <w:p>
            <w:r>
              <w:rPr>
                <w:sz w:val="17"/>
              </w:rPr>
              <w:t>2026-08-20</w:t>
            </w:r>
          </w:p>
        </w:tc>
        <w:tc>
          <w:tcPr>
            <w:tcW w:type="dxa" w:w="1440"/>
            <w:shd w:fill="FFDCE0" w:val="clear"/>
          </w:tcPr>
          <w:p>
            <w:r>
              <w:rPr>
                <w:sz w:val="17"/>
              </w:rPr>
              <w:t>6,705</w:t>
            </w:r>
          </w:p>
        </w:tc>
        <w:tc>
          <w:tcPr>
            <w:tcW w:type="dxa" w:w="1440"/>
            <w:shd w:fill="FFDCE0" w:val="clear"/>
          </w:tcPr>
          <w:p>
            <w:r>
              <w:rPr>
                <w:b/>
                <w:sz w:val="17"/>
              </w:rPr>
              <w:t>7,334</w:t>
            </w:r>
          </w:p>
        </w:tc>
        <w:tc>
          <w:tcPr>
            <w:tcW w:type="dxa" w:w="1440"/>
            <w:shd w:fill="FFDCE0" w:val="clear"/>
          </w:tcPr>
          <w:p>
            <w:r>
              <w:rPr>
                <w:sz w:val="17"/>
              </w:rPr>
              <w:t>7,964</w:t>
            </w:r>
          </w:p>
        </w:tc>
        <w:tc>
          <w:tcPr>
            <w:tcW w:type="dxa" w:w="1440"/>
            <w:shd w:fill="FFDCE0" w:val="clear"/>
          </w:tcPr>
          <w:p>
            <w:r>
              <w:rPr>
                <w:b/>
                <w:color w:val="C00000"/>
                <w:sz w:val="17"/>
              </w:rPr>
              <w:t>-21.1%</w:t>
            </w:r>
          </w:p>
        </w:tc>
      </w:tr>
      <w:tr>
        <w:tc>
          <w:tcPr>
            <w:tcW w:type="dxa" w:w="1440"/>
            <w:shd w:fill="FFDCE0" w:val="clear"/>
          </w:tcPr>
          <w:p>
            <w:r>
              <w:rPr>
                <w:sz w:val="17"/>
              </w:rPr>
              <w:t>J+10  Moyenne</w:t>
            </w:r>
          </w:p>
        </w:tc>
        <w:tc>
          <w:tcPr>
            <w:tcW w:type="dxa" w:w="1440"/>
            <w:shd w:fill="FFDCE0" w:val="clear"/>
          </w:tcPr>
          <w:p>
            <w:r>
              <w:rPr>
                <w:sz w:val="17"/>
              </w:rPr>
              <w:t>2026-08-21</w:t>
            </w:r>
          </w:p>
        </w:tc>
        <w:tc>
          <w:tcPr>
            <w:tcW w:type="dxa" w:w="1440"/>
            <w:shd w:fill="FFDCE0" w:val="clear"/>
          </w:tcPr>
          <w:p>
            <w:r>
              <w:rPr>
                <w:sz w:val="17"/>
              </w:rPr>
              <w:t>6,572</w:t>
            </w:r>
          </w:p>
        </w:tc>
        <w:tc>
          <w:tcPr>
            <w:tcW w:type="dxa" w:w="1440"/>
            <w:shd w:fill="FFDCE0" w:val="clear"/>
          </w:tcPr>
          <w:p>
            <w:r>
              <w:rPr>
                <w:b/>
                <w:sz w:val="17"/>
              </w:rPr>
              <w:t>7,226</w:t>
            </w:r>
          </w:p>
        </w:tc>
        <w:tc>
          <w:tcPr>
            <w:tcW w:type="dxa" w:w="1440"/>
            <w:shd w:fill="FFDCE0" w:val="clear"/>
          </w:tcPr>
          <w:p>
            <w:r>
              <w:rPr>
                <w:sz w:val="17"/>
              </w:rPr>
              <w:t>7,880</w:t>
            </w:r>
          </w:p>
        </w:tc>
        <w:tc>
          <w:tcPr>
            <w:tcW w:type="dxa" w:w="1440"/>
            <w:shd w:fill="FFDCE0" w:val="clear"/>
          </w:tcPr>
          <w:p>
            <w:r>
              <w:rPr>
                <w:b/>
                <w:color w:val="C00000"/>
                <w:sz w:val="17"/>
              </w:rPr>
              <w:t>-22.3%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FINANCIÈRE — SIBC (Société Ivoirienne de Banque)**</w:t>
        <w:br/>
        <w:t>**Date : 10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SIBC s'établit à 930 milliards FCFA, un niveau qui la positionne parmi les poids lourds de la BRVM, reflétant la confiance des investisseurs dans ce pilier du secteur bancaire ivoirien. Avec un BPA de 556 FCFA, chaque action génère un bénéfice substantiel, mais le PER de 16,7x indique que les investisseurs paient une prime significative par rapport à la moyenne historique du marché (8-12x). Cette valorisation est jugée modérée en absolu, mais le P/B de 4,54x et l'EV/EBITDA de 15,5x signalent une décote par rapport aux actifs nets et une exigence de performance opérationnelle élevée. Le marché intègre donc des perspectives de croissance solides, mais la marge de sécurité pour un nouvel investisseur est réduite.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SIBC a enregistré une performance remarquable de +30,99%, avec une progression de +0,54% lors de la dernière séance, clôturant à 9 300 FCFA. Le titre a évolué dans une fourchette de 6 805 FCFA (plus bas) à 9 300 FCFA (plus haut), démontrant une dynamique haussière soutenue. La moyenne du cours (8 001 FCFA) est inférieure à la médiane (8 178 FCFA), indiquant une asymétrie positive avec des épisodes de forte hausse. L'écart-type de 895 FCFA (CV=11,2%) révèle une dispersion modérée, tandis que le kurtosis de -1,815 (platykurtique) suggère une absence de pics extrêmes, réduisant le risque de variations brutales. Le skewness de -0,053 confirme une distribution quasi symétrique. Enfin, la volatilité annualisée de 27,7% classe le titre dans une zone de risque élevé, nécessitant une gestion attentive.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(9 300 FCFA) évolue nettement au-dessus des MM20 (8 922 FCFA) et MM50 (8 857 FCFA), confirmant une tendance haussière robuste. La configuration des MM, avec la MM20 au-dessus de la MM50, valide un signal d'achat, indiquant que la dynamique positive est soutenue par les volumes et la participation des investisseurs.</w:t>
      </w:r>
    </w:p>
    <w:p>
      <w:pPr>
        <w:spacing w:after="120" w:line="276" w:lineRule="auto"/>
      </w:pPr>
      <w:r>
        <w:t>**Bandes de Bollinger** : Le prix se situe à la borne supérieure (9 323,83 FCFA), proche de la limite haute, ce qui reflète une pression acheteuse intense. La décision est neutre, car une sortie des bandes pourrait signaler une suracheter, mais la tendance actuelle reste intacte. La largeur des bandes (8 520 à 9 323 FCFA) indique une volatilité élevée, cohérente avec la hausse récente.</w:t>
      </w:r>
    </w:p>
    <w:p>
      <w:pPr>
        <w:spacing w:after="120" w:line="276" w:lineRule="auto"/>
      </w:pPr>
      <w:r>
        <w:t>**MACD** : Le MACD (110,827) est nettement au-dessus de sa ligne de signal (77,809), confirmant un momentum haussier fort. Cette divergence positive suggère que la pression acheteuse reste dominante, justifiant la décision d'achat. Cependant, un écart aussi large pourrait précéder une consolidation à court terme.</w:t>
      </w:r>
    </w:p>
    <w:p>
      <w:pPr>
        <w:spacing w:after="120" w:line="276" w:lineRule="auto"/>
      </w:pPr>
      <w:r>
        <w:t>**RSI** : À 62,0, le RSI est en zone neutre, mais proche de la zone de surachat (70). Cela indique que le titre dispose encore de marge de progression avant d'être considéré comme surévalué, mais les investisseurs doivent surveiller une possible saturation acheteuse.</w:t>
      </w:r>
    </w:p>
    <w:p>
      <w:pPr>
        <w:spacing w:after="120" w:line="276" w:lineRule="auto"/>
      </w:pPr>
      <w:r>
        <w:t>**Stochastique** : Le %K (100,0) et le %D (97,436) sont en zone de surachat extrême, avec un croisement baissier imminent. La décision de vente est justifiée, car ces niveaux signalent un épuisement potentiel de la dynamique haussière à très court terme.</w:t>
      </w:r>
    </w:p>
    <w:p>
      <w:pPr>
        <w:spacing w:after="120" w:line="276" w:lineRule="auto"/>
      </w:pPr>
      <w:r>
        <w:t>**Conclusion technique** : Les indicateurs sont globalement positifs (MM, MACD), mais les signaux de surachat (Stochastique, proximité des bandes) suggèrent un risque de correction à court terme. La tendance de fond reste haussière, mais une pause technique est probable avant une poursuite.</w:t>
      </w:r>
    </w:p>
    <w:p>
      <w:pPr>
        <w:spacing w:after="120" w:line="276" w:lineRule="auto"/>
      </w:pPr>
      <w:r>
        <w:t>---</w:t>
      </w:r>
    </w:p>
    <w:p>
      <w:pPr>
        <w:spacing w:after="120" w:line="276" w:lineRule="auto"/>
      </w:pPr>
      <w:r>
        <w:t>### PARTIE 3 : ANALYSE FONDAMENTALE (SECTION CRITIQUE)</w:t>
      </w:r>
    </w:p>
    <w:p>
      <w:pPr>
        <w:spacing w:after="120" w:line="276" w:lineRule="auto"/>
      </w:pPr>
      <w:r>
        <w:t>En 2025, la SIBC affiche des fondamentaux solides, avec un Produit Net Bancaire (PNB) de 108,663 milliards FCFA et un résultat net de 55,623 milliards FCFA, en hausse continue depuis 2024 (PNB de 102,8 milliards, RN de 50,2 milliards). Le ROE de 27,16% et le ROA de 2,96% démontrent une rentabilité exceptionnelle, bien au-dessus des normes sectorielles. Le coefficient d'exploitation de 38,59% reflète une gestion rigoureuse des charges, tandis que le coût du risque, bien que non détaillé, est maîtrisé grâce à une politique de provisionnement prudente. Les dépôts clientèle (1 503 milliards FCFA) excèdent largement les crédits (1 226 milliards FCFA), assurant une liquidité abondante. Les rapports trimestriels 2025 (T1 à T3) confirment cette trajectoire, avec un PNB cumulé de 81,4 milliards FCFA (+8%) et un résultat net de 43 milliards FCFA (+11%). Pour 2026, le T1 montre une croissance de 4% du PNB (27,7 milliards) et de 11% du résultat net (15,2 milliards), laissant présager un exercice annuel solide, avec un PNB estimé à 115-120 milliards FCFA et un résultat net de 60-62 milliards FCFA. La banque bénéficie d'une position concurrentielle forte et d'un plan stratégique « IMPULSION 2028 » ambitieux.</w:t>
      </w:r>
    </w:p>
    <w:p>
      <w:pPr>
        <w:spacing w:after="120" w:line="276" w:lineRule="auto"/>
      </w:pPr>
      <w:r>
        <w:t>---</w:t>
      </w:r>
    </w:p>
    <w:p>
      <w:pPr>
        <w:spacing w:after="120" w:line="276" w:lineRule="auto"/>
      </w:pPr>
      <w:r>
        <w:t>### PARTIE 4 : CONCLUSION D'INVESTISSEMENT</w:t>
      </w:r>
    </w:p>
    <w:p>
      <w:pPr>
        <w:spacing w:after="120" w:line="276" w:lineRule="auto"/>
      </w:pPr>
      <w:r>
        <w:t>La valorisation de la SIBC (PER 16,7x, P/B 4,54x) est exigeante, mais justifiée par des fondamentaux exceptionnels (ROE &gt;27%, croissance soutenue). Le comportement du cours (+31% sur 100 jours) reflète cette confiance, mais la volatilité élevée (27,7%) et les statistiques (kurtosis platykurtique) suggèrent un risque de consolidation. Les signaux techniques sont mitigés : la tendance haussière est confirmée par les MM et le MACD, mais les indicateurs de surachat (Stochastique, RSI proche de 70) appellent à la prudence. Les fondamentaux restent le principal moteur, avec des estimations 2026 positives. Les prédictions IA (baisse progressive à 7 904 FCFA sur 10 jours) contredisent la tendance actuelle, signalant une correction probable à court terme. En synthèse, la convergence entre la solidité financière et la dynamique de croissance est forte, mais la valorisation et les signaux techniques suggèrent d'attendre un point d'entrée plus favorable. **Recommandation : CONSERVER** pour les investisseurs déjà positionnés, avec un niveau de confiance **Moyen** et un risque global **Élevé**. Horizon optimal : **moyen terme (3-12 mois)**, en surveillant les résultats semestriels 2026 pour ajuster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4.25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95 titres</w:t>
            </w:r>
          </w:p>
        </w:tc>
        <w:tc>
          <w:tcPr>
            <w:tcW w:type="dxa" w:w="2268"/>
            <w:shd w:fill="FFF2CC" w:val="clear"/>
          </w:tcPr>
          <w:p>
            <w:r>
              <w:rPr>
                <w:b/>
                <w:color w:val="503200"/>
                <w:sz w:val="16"/>
              </w:rPr>
              <w:t xml:space="preserve">Cours actuel : </w:t>
            </w:r>
            <w:r>
              <w:rPr>
                <w:color w:val="000000"/>
                <w:sz w:val="17"/>
              </w:rPr>
              <w:t>7,085 FCFA</w:t>
            </w:r>
          </w:p>
          <w:p>
            <w:r>
              <w:rPr>
                <w:b/>
                <w:color w:val="503200"/>
                <w:sz w:val="16"/>
              </w:rPr>
              <w:t xml:space="preserve">Var. 100 jours : </w:t>
            </w:r>
            <w:r>
              <w:rPr>
                <w:b/>
                <w:color w:val="007800"/>
                <w:sz w:val="17"/>
              </w:rPr>
              <w:t>+81.43%</w:t>
            </w:r>
          </w:p>
          <w:p>
            <w:r>
              <w:rPr>
                <w:b/>
                <w:color w:val="503200"/>
                <w:sz w:val="16"/>
              </w:rPr>
              <w:t xml:space="preserve">Plus haut 100j : </w:t>
            </w:r>
            <w:r>
              <w:rPr>
                <w:color w:val="000000"/>
                <w:sz w:val="17"/>
              </w:rPr>
              <w:t>7,095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54.3%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38.6/100 → Moyen</w:t>
      </w:r>
    </w:p>
    <w:p>
      <w:pPr>
        <w:spacing w:before="40" w:after="80"/>
      </w:pPr>
      <w:r>
        <w:rPr>
          <w:rFonts w:ascii="Courier New" w:hAnsi="Courier New"/>
          <w:color w:val="825A00"/>
          <w:sz w:val="18"/>
        </w:rPr>
        <w:t>███████░░░░░░░░░░░░░  38.6/100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15.63% (Élevée) — μ=4,633 FCFA, σ=724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β=-0.2143 (Contre-cyclique) — Cov=-0.000008, Var(idx)=0.000036, ρ=-0.037, n=95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95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σ_j=3.42%/j (Modérée) — Vol. annualisée≈54.3%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63/100  (Bon)</w:t>
      </w:r>
    </w:p>
    <w:p/>
    <w:p>
      <w:pPr>
        <w:jc w:val="center"/>
      </w:pPr>
      <w:r>
        <w:drawing>
          <wp:inline xmlns:a="http://schemas.openxmlformats.org/drawingml/2006/main" xmlns:pic="http://schemas.openxmlformats.org/drawingml/2006/picture">
            <wp:extent cx="5669280" cy="2635585"/>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6,596</w:t>
            </w:r>
          </w:p>
        </w:tc>
        <w:tc>
          <w:tcPr>
            <w:tcW w:type="dxa" w:w="1440"/>
            <w:shd w:fill="FAFAFA" w:val="clear"/>
          </w:tcPr>
          <w:p>
            <w:r>
              <w:rPr>
                <w:b/>
                <w:sz w:val="17"/>
              </w:rPr>
              <w:t>7,058</w:t>
            </w:r>
          </w:p>
        </w:tc>
        <w:tc>
          <w:tcPr>
            <w:tcW w:type="dxa" w:w="1440"/>
            <w:shd w:fill="FAFAFA" w:val="clear"/>
          </w:tcPr>
          <w:p>
            <w:r>
              <w:rPr>
                <w:sz w:val="17"/>
              </w:rPr>
              <w:t>7,519</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6,347</w:t>
            </w:r>
          </w:p>
        </w:tc>
        <w:tc>
          <w:tcPr>
            <w:tcW w:type="dxa" w:w="1440"/>
            <w:shd w:fill="FAFAFA" w:val="clear"/>
          </w:tcPr>
          <w:p>
            <w:r>
              <w:rPr>
                <w:b/>
                <w:sz w:val="17"/>
              </w:rPr>
              <w:t>6,994</w:t>
            </w:r>
          </w:p>
        </w:tc>
        <w:tc>
          <w:tcPr>
            <w:tcW w:type="dxa" w:w="1440"/>
            <w:shd w:fill="FAFAFA" w:val="clear"/>
          </w:tcPr>
          <w:p>
            <w:r>
              <w:rPr>
                <w:sz w:val="17"/>
              </w:rPr>
              <w:t>7,641</w:t>
            </w:r>
          </w:p>
        </w:tc>
        <w:tc>
          <w:tcPr>
            <w:tcW w:type="dxa" w:w="1440"/>
            <w:shd w:fill="FAFAFA" w:val="clear"/>
          </w:tcPr>
          <w:p>
            <w:r>
              <w:rPr>
                <w:b/>
                <w:color w:val="C00000"/>
                <w:sz w:val="17"/>
              </w:rPr>
              <w:t>-1.3%</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6,127</w:t>
            </w:r>
          </w:p>
        </w:tc>
        <w:tc>
          <w:tcPr>
            <w:tcW w:type="dxa" w:w="1440"/>
            <w:shd w:fill="FFDCE0" w:val="clear"/>
          </w:tcPr>
          <w:p>
            <w:r>
              <w:rPr>
                <w:b/>
                <w:sz w:val="17"/>
              </w:rPr>
              <w:t>6,909</w:t>
            </w:r>
          </w:p>
        </w:tc>
        <w:tc>
          <w:tcPr>
            <w:tcW w:type="dxa" w:w="1440"/>
            <w:shd w:fill="FFDCE0" w:val="clear"/>
          </w:tcPr>
          <w:p>
            <w:r>
              <w:rPr>
                <w:sz w:val="17"/>
              </w:rPr>
              <w:t>7,692</w:t>
            </w:r>
          </w:p>
        </w:tc>
        <w:tc>
          <w:tcPr>
            <w:tcW w:type="dxa" w:w="1440"/>
            <w:shd w:fill="FFDCE0" w:val="clear"/>
          </w:tcPr>
          <w:p>
            <w:r>
              <w:rPr>
                <w:b/>
                <w:color w:val="C00000"/>
                <w:sz w:val="17"/>
              </w:rPr>
              <w:t>-2.5%</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5,923</w:t>
            </w:r>
          </w:p>
        </w:tc>
        <w:tc>
          <w:tcPr>
            <w:tcW w:type="dxa" w:w="1440"/>
            <w:shd w:fill="FFDCE0" w:val="clear"/>
          </w:tcPr>
          <w:p>
            <w:r>
              <w:rPr>
                <w:b/>
                <w:sz w:val="17"/>
              </w:rPr>
              <w:t>6,815</w:t>
            </w:r>
          </w:p>
        </w:tc>
        <w:tc>
          <w:tcPr>
            <w:tcW w:type="dxa" w:w="1440"/>
            <w:shd w:fill="FFDCE0" w:val="clear"/>
          </w:tcPr>
          <w:p>
            <w:r>
              <w:rPr>
                <w:sz w:val="17"/>
              </w:rPr>
              <w:t>7,706</w:t>
            </w:r>
          </w:p>
        </w:tc>
        <w:tc>
          <w:tcPr>
            <w:tcW w:type="dxa" w:w="1440"/>
            <w:shd w:fill="FFDCE0" w:val="clear"/>
          </w:tcPr>
          <w:p>
            <w:r>
              <w:rPr>
                <w:b/>
                <w:color w:val="C00000"/>
                <w:sz w:val="17"/>
              </w:rPr>
              <w:t>-3.8%</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5,733</w:t>
            </w:r>
          </w:p>
        </w:tc>
        <w:tc>
          <w:tcPr>
            <w:tcW w:type="dxa" w:w="1440"/>
            <w:shd w:fill="FFDCE0" w:val="clear"/>
          </w:tcPr>
          <w:p>
            <w:r>
              <w:rPr>
                <w:b/>
                <w:sz w:val="17"/>
              </w:rPr>
              <w:t>6,715</w:t>
            </w:r>
          </w:p>
        </w:tc>
        <w:tc>
          <w:tcPr>
            <w:tcW w:type="dxa" w:w="1440"/>
            <w:shd w:fill="FFDCE0" w:val="clear"/>
          </w:tcPr>
          <w:p>
            <w:r>
              <w:rPr>
                <w:sz w:val="17"/>
              </w:rPr>
              <w:t>7,697</w:t>
            </w:r>
          </w:p>
        </w:tc>
        <w:tc>
          <w:tcPr>
            <w:tcW w:type="dxa" w:w="1440"/>
            <w:shd w:fill="FFDCE0" w:val="clear"/>
          </w:tcPr>
          <w:p>
            <w:r>
              <w:rPr>
                <w:b/>
                <w:color w:val="C00000"/>
                <w:sz w:val="17"/>
              </w:rPr>
              <w:t>-5.2%</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5,553</w:t>
            </w:r>
          </w:p>
        </w:tc>
        <w:tc>
          <w:tcPr>
            <w:tcW w:type="dxa" w:w="1440"/>
            <w:shd w:fill="FFDCE0" w:val="clear"/>
          </w:tcPr>
          <w:p>
            <w:r>
              <w:rPr>
                <w:b/>
                <w:sz w:val="17"/>
              </w:rPr>
              <w:t>6,613</w:t>
            </w:r>
          </w:p>
        </w:tc>
        <w:tc>
          <w:tcPr>
            <w:tcW w:type="dxa" w:w="1440"/>
            <w:shd w:fill="FFDCE0" w:val="clear"/>
          </w:tcPr>
          <w:p>
            <w:r>
              <w:rPr>
                <w:sz w:val="17"/>
              </w:rPr>
              <w:t>7,672</w:t>
            </w:r>
          </w:p>
        </w:tc>
        <w:tc>
          <w:tcPr>
            <w:tcW w:type="dxa" w:w="1440"/>
            <w:shd w:fill="FFDCE0" w:val="clear"/>
          </w:tcPr>
          <w:p>
            <w:r>
              <w:rPr>
                <w:b/>
                <w:color w:val="C00000"/>
                <w:sz w:val="17"/>
              </w:rPr>
              <w:t>-6.7%</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5,384</w:t>
            </w:r>
          </w:p>
        </w:tc>
        <w:tc>
          <w:tcPr>
            <w:tcW w:type="dxa" w:w="1440"/>
            <w:shd w:fill="FFDCE0" w:val="clear"/>
          </w:tcPr>
          <w:p>
            <w:r>
              <w:rPr>
                <w:b/>
                <w:sz w:val="17"/>
              </w:rPr>
              <w:t>6,510</w:t>
            </w:r>
          </w:p>
        </w:tc>
        <w:tc>
          <w:tcPr>
            <w:tcW w:type="dxa" w:w="1440"/>
            <w:shd w:fill="FFDCE0" w:val="clear"/>
          </w:tcPr>
          <w:p>
            <w:r>
              <w:rPr>
                <w:sz w:val="17"/>
              </w:rPr>
              <w:t>7,637</w:t>
            </w:r>
          </w:p>
        </w:tc>
        <w:tc>
          <w:tcPr>
            <w:tcW w:type="dxa" w:w="1440"/>
            <w:shd w:fill="FFDCE0" w:val="clear"/>
          </w:tcPr>
          <w:p>
            <w:r>
              <w:rPr>
                <w:b/>
                <w:color w:val="C00000"/>
                <w:sz w:val="17"/>
              </w:rPr>
              <w:t>-8.1%</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5,224</w:t>
            </w:r>
          </w:p>
        </w:tc>
        <w:tc>
          <w:tcPr>
            <w:tcW w:type="dxa" w:w="1440"/>
            <w:shd w:fill="FFDCE0" w:val="clear"/>
          </w:tcPr>
          <w:p>
            <w:r>
              <w:rPr>
                <w:b/>
                <w:sz w:val="17"/>
              </w:rPr>
              <w:t>6,409</w:t>
            </w:r>
          </w:p>
        </w:tc>
        <w:tc>
          <w:tcPr>
            <w:tcW w:type="dxa" w:w="1440"/>
            <w:shd w:fill="FFDCE0" w:val="clear"/>
          </w:tcPr>
          <w:p>
            <w:r>
              <w:rPr>
                <w:sz w:val="17"/>
              </w:rPr>
              <w:t>7,595</w:t>
            </w:r>
          </w:p>
        </w:tc>
        <w:tc>
          <w:tcPr>
            <w:tcW w:type="dxa" w:w="1440"/>
            <w:shd w:fill="FFDCE0" w:val="clear"/>
          </w:tcPr>
          <w:p>
            <w:r>
              <w:rPr>
                <w:b/>
                <w:color w:val="C00000"/>
                <w:sz w:val="17"/>
              </w:rPr>
              <w:t>-9.5%</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5,072</w:t>
            </w:r>
          </w:p>
        </w:tc>
        <w:tc>
          <w:tcPr>
            <w:tcW w:type="dxa" w:w="1440"/>
            <w:shd w:fill="FFDCE0" w:val="clear"/>
          </w:tcPr>
          <w:p>
            <w:r>
              <w:rPr>
                <w:b/>
                <w:sz w:val="17"/>
              </w:rPr>
              <w:t>6,310</w:t>
            </w:r>
          </w:p>
        </w:tc>
        <w:tc>
          <w:tcPr>
            <w:tcW w:type="dxa" w:w="1440"/>
            <w:shd w:fill="FFDCE0" w:val="clear"/>
          </w:tcPr>
          <w:p>
            <w:r>
              <w:rPr>
                <w:sz w:val="17"/>
              </w:rPr>
              <w:t>7,548</w:t>
            </w:r>
          </w:p>
        </w:tc>
        <w:tc>
          <w:tcPr>
            <w:tcW w:type="dxa" w:w="1440"/>
            <w:shd w:fill="FFDCE0" w:val="clear"/>
          </w:tcPr>
          <w:p>
            <w:r>
              <w:rPr>
                <w:b/>
                <w:color w:val="C00000"/>
                <w:sz w:val="17"/>
              </w:rPr>
              <w:t>-10.9%</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4,929</w:t>
            </w:r>
          </w:p>
        </w:tc>
        <w:tc>
          <w:tcPr>
            <w:tcW w:type="dxa" w:w="1440"/>
            <w:shd w:fill="FFDCE0" w:val="clear"/>
          </w:tcPr>
          <w:p>
            <w:r>
              <w:rPr>
                <w:b/>
                <w:sz w:val="17"/>
              </w:rPr>
              <w:t>6,215</w:t>
            </w:r>
          </w:p>
        </w:tc>
        <w:tc>
          <w:tcPr>
            <w:tcW w:type="dxa" w:w="1440"/>
            <w:shd w:fill="FFDCE0" w:val="clear"/>
          </w:tcPr>
          <w:p>
            <w:r>
              <w:rPr>
                <w:sz w:val="17"/>
              </w:rPr>
              <w:t>7,500</w:t>
            </w:r>
          </w:p>
        </w:tc>
        <w:tc>
          <w:tcPr>
            <w:tcW w:type="dxa" w:w="1440"/>
            <w:shd w:fill="FFDCE0" w:val="clear"/>
          </w:tcPr>
          <w:p>
            <w:r>
              <w:rPr>
                <w:b/>
                <w:color w:val="C00000"/>
                <w:sz w:val="17"/>
              </w:rPr>
              <w:t>-12.3%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SICOR (BRVM)**</w:t>
      </w:r>
    </w:p>
    <w:p>
      <w:pPr>
        <w:spacing w:after="120" w:line="276" w:lineRule="auto" w:before="240"/>
      </w:pPr>
      <w:r>
        <w:rPr>
          <w:b/>
          <w:color w:val="003366"/>
          <w:sz w:val="24"/>
        </w:rPr>
        <w:t>**PARTIE 0 : INDICATEURS DE VALORISATION BOURSIÈRE**</w:t>
      </w:r>
    </w:p>
    <w:p>
      <w:pPr>
        <w:spacing w:after="120" w:line="276" w:lineRule="auto"/>
      </w:pPr>
      <w:r>
        <w:t>La capitalisation boursière de SICOR s'établit à 4,25 milliards FCFA, un niveau modeste qui la classe parmi les petites capitalisations de la BRVM, offrant un profil de liquidité restreint. Les ratios de valorisation (BPA, PER, P/B, EV/EBITDA) ne sont pas calculables en raison de l'absence de données financières structurées dans la base, ce qui constitue une limite importante pour l'évaluation relative. Toutefois, sur la base des données fondamentales disponibles, le bénéfice net de 2023 (19,25 millions FCFA) impliquerait un PER théorique extrêmement élevé, tandis que la perte de 2024 rend tout ratio de valorisation non pertinent. Le marché valorise donc l'action sur des anticipations de redressement futur plutôt que sur les bénéfices actuels, une situation typique des valeurs en phase de restructuration.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SICOR affiche une progression spectaculaire de +81,43%, passant d'un plus bas de 3 765 FCFA à un plus haut de 7 095 FCFA, avec un cours actuel de 7 085 FCFA. La dernière séance est stable (0,00%). Cette tendance fortement haussière s'accompagne de statistiques révélatrices : la moyenne (4 633 FCFA) est nettement inférieure à la médiane (4 390 FCFA), et le mode est à 4 380 FCFA, indiquant que le cours a passé la majorité de la période à des niveaux bas avant une accélération récente. L'écart-type de 728 FCFA (CV = 15,7%) montre une dispersion modérée, mais le kurtosis de 2,722 (leptokurtique) signale un risque de mouvements extrêmes, confirmé par le skewness positif de 1,712 qui indique une asymétrie avec des journées majoritairement sous la moyenne mais des pics ponctuels. La volatilité annualisée de 54,3% classe le titre comme très volatil, un niveau élevé qui reflète un marché spéculatif sur cette valeur.</w:t>
      </w:r>
    </w:p>
    <w:p>
      <w:pPr>
        <w:spacing w:after="120" w:line="276" w:lineRule="auto" w:before="240"/>
      </w:pPr>
      <w:r>
        <w:rPr>
          <w:b/>
          <w:color w:val="003366"/>
          <w:sz w:val="24"/>
        </w:rPr>
        <w:t>**PARTIE 2 : ANALYSE TECHNIQUE DÉTAILLÉE**</w:t>
      </w:r>
    </w:p>
    <w:p>
      <w:pPr>
        <w:spacing w:after="120" w:line="276" w:lineRule="auto"/>
      </w:pPr>
      <w:r>
        <w:t>**Moyennes Mobiles** : Le cours actuel (7 085 FCFA) évolue nettement au-dessus de la MM20 (5 791 FCFA) et de la MM50 (5 093 FCFA), avec un écart de +22% et +39% respectivement. Cette configuration haussière confirme une dynamique positive à court et moyen terme, justifiant la décision d'achat, bien que l'ampleur de l'écart suggère une possible correction technique.</w:t>
      </w:r>
    </w:p>
    <w:p>
      <w:pPr>
        <w:spacing w:after="120" w:line="276" w:lineRule="auto"/>
      </w:pPr>
      <w:r>
        <w:t>**Bandes de Bollinger** : Le prix se situe à 7 085 FCFA, proche de la borne supérieure (7 268 FCFA), indiquant une pression acheteuse soutenue. La largeur des bandes (2 953 FCFA) reflète une volatilité élevée. La décision neutre s'explique par le fait que le cours n'a pas encore franchi la borne, mais la proximité de celle-ci suggère une possible consolidation.</w:t>
      </w:r>
    </w:p>
    <w:p>
      <w:pPr>
        <w:spacing w:after="120" w:line="276" w:lineRule="auto"/>
      </w:pPr>
      <w:r>
        <w:t>**MACD** : Le MACD (545,091) est nettement au-dessus de son signal (400,505), avec un écart positif de 144 points. Cette divergence haussière confirme un momentum positif soutenu, justifiant la décision d'achat. La dynamique reste toutefois à surveiller pour détecter un éventuel essoufflement.</w:t>
      </w:r>
    </w:p>
    <w:p>
      <w:pPr>
        <w:spacing w:after="120" w:line="276" w:lineRule="auto"/>
      </w:pPr>
      <w:r>
        <w:t>**RSI** : À 78,469, le RSI est en zone de surachat (&gt;70), signalant une pression acheteuse excessive. La décision de vente est justifiée par ce niveau extrême, qui suggère une correction probable à court terme, d'autant que le titre a déjà fortement progressé.</w:t>
      </w:r>
    </w:p>
    <w:p>
      <w:pPr>
        <w:spacing w:after="120" w:line="276" w:lineRule="auto"/>
      </w:pPr>
      <w:r>
        <w:t>**Stochastique** : Le %K (99,443) et le %D (99,629) sont tous deux à des niveaux extrêmement élevés, proches de 100, confirmant une situation de surachat sévère. La décision de vente est cohérente avec ces niveaux, qui indiquent une probabilité élevée de retournement.</w:t>
      </w:r>
    </w:p>
    <w:p>
      <w:pPr>
        <w:spacing w:after="120" w:line="276" w:lineRule="auto"/>
      </w:pPr>
      <w:r>
        <w:t>**Conclusion technique** : Les indicateurs de tendance (MM, MACD) sont positifs, mais les oscillateurs (RSI, Stochastique) signalent un surachat extrême. Cette divergence entre tendance et momentum suggère une poursuite possible à court terme, mais avec un risque accru de correction brutale. La prudence est de mise.</w:t>
      </w:r>
    </w:p>
    <w:p>
      <w:pPr>
        <w:spacing w:after="120" w:line="276" w:lineRule="auto" w:before="240"/>
      </w:pPr>
      <w:r>
        <w:rPr>
          <w:b/>
          <w:color w:val="003366"/>
          <w:sz w:val="24"/>
        </w:rPr>
        <w:t>**PARTIE 3 : ANALYSE FONDAMENTALE (SECTION CRITIQUE)**</w:t>
      </w:r>
    </w:p>
    <w:p>
      <w:pPr>
        <w:spacing w:after="120" w:line="276" w:lineRule="auto"/>
      </w:pPr>
      <w:r>
        <w:t>Les données structurées disponibles couvrent la période 2019-2024. En 2023, SICOR a réalisé un chiffre d'affaires de 701,09 millions FCFA (en baisse de 38,4% par rapport à 2022), avec un bénéfice net de 19,25 millions FCFA (marge nette de 2,75%), marquant un retour à la profitabilité après deux années de pertes. Cependant, l'exercice 2024 s'est révélé très difficile : perte nette de 128,6 millions FCFA, chiffre d'affaires en recul de 22% à 546,8 millions FCFA, et EBE négatif de -16,2 millions FCFA. Les contraintes foncières majeures (occupation et perte de sites de production à Boulay et Avagou-Taboth) ont entraîné une chute de 40% de la production d'huile de coprah. Les capitaux propres s'établissent à 2,98 milliards FCFA (ROE négatif de -4,3% en 2024), et le total du bilan à 4 milliards FCFA. Les commissaires aux comptes ont émis une opinion avec réserves, notamment sur un ajustement de stocks non justifié. Le rapport à nouveau demeure lourdement négatif (-689,86 millions FCFA), interdisant toute distribution de dividende. La société n'a versé aucun dividende depuis 2017. Les perspectives reposent sur un plan de redressement axé sur la sécurisation foncière, la maîtrise des charges et l'optimisation du site de Gliké-Tabou, mais la situation reste fragile avec un profil de risque très élevé.</w:t>
      </w:r>
    </w:p>
    <w:p>
      <w:pPr>
        <w:spacing w:after="120" w:line="276" w:lineRule="auto" w:before="240"/>
      </w:pPr>
      <w:r>
        <w:rPr>
          <w:b/>
          <w:color w:val="003366"/>
          <w:sz w:val="24"/>
        </w:rPr>
        <w:t>**PARTIE 4 : CONCLUSION D'INVESTISSEMENT**</w:t>
      </w:r>
    </w:p>
    <w:p>
      <w:pPr>
        <w:spacing w:after="120" w:line="276" w:lineRule="auto"/>
      </w:pPr>
      <w:r>
        <w:t>La valorisation de SICOR est difficile à appréhender faute de ratios calculables, mais la perte nette de 2024 rend le titre structurellement surévalué sur une base fondamentale. Le comportement du cours (+81,43% en 100 jours) est spectaculaire mais préoccupant, avec une volatilité de 54,3% et un skewness positif qui suggèrent un comportement spéculatif. Les signaux techniques sont contradictoires : les indicateurs de tendance (MM, MACD) sont positifs, mais les oscillateurs (RSI à 78,5, Stochastique à 99,4) signalent un surachat extrême, annonçant une correction probable. Les fondamentaux sont dégradés avec une perte de 128,6 millions FCFA en 2024, un EBE négatif et une opinion d'audit avec réserves. Les prédictions IA pour les 10 prochains jours (7 058 à 6 715 FCFA) confirment cette anticipation de correction, avec une baisse progressive de 5,2%. La convergence entre les signaux techniques de surachat, les fondamentaux dégradés et les prédictions IA suggère une **VENTE** avec un niveau de confiance **Moyen** et un risque global **Élevé**. L'horizon d'investissement optimal serait le court terme (&lt;3 mois) pour les investisseurs cherchant à profiter d'un éventuel rebond technique, mais la prudence est fortement recommandée.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"vendre", "justification": "Perte nette, EBE négatif, menace foncière existentielle sur l'outil de production et opinion d'audit avec réserves (dont un ajustement de stocks non justifié). Profil de risque très élevé."}</w:t>
      </w:r>
    </w:p>
    <w:p>
      <w:pPr>
        <w:spacing w:before="40"/>
        <w:ind w:left="400"/>
      </w:pPr>
      <w:r>
        <w:rPr>
          <w:sz w:val="18"/>
        </w:rPr>
        <w:t>L'exercice 2024 est très difficile pour SICOR, qui accuse une perte nette de 128,6 M FCFA (contre un bénéfice de 19,2 M en 2023). Le chiffre d'affaires recule de 22 % à 546,8 M sous l'effet de contraintes foncières majeures (occupation et perte d'accès à plusieurs sites de production), et l'EBE devient négatif (-16,2 M). Les charges bondissent (+30 %), notamment les services extérieurs (+266 %, recours à des façonniers). Les commissaires aux comptes émettent une opinion avec réserves (ajustement de stocks non justifié, absence de provision retraite, comptes IFRS non établis). Aucun dividende n'est distribué, la perte étant reportée (pertes cumulées portées à -799 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{'opinion_cac': 'avec réserves', 'resultat_exploitation': '-136,6 millions FCFA', 'excedent_brut_exploitation': '-16,2 millions FCFA (négatif)'}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-23,5 %</w:t>
            </w:r>
          </w:p>
        </w:tc>
        <w:tc>
          <w:tcPr>
            <w:tcW w:type="dxa" w:w="2160"/>
          </w:tcPr>
          <w:p>
            <w:pPr>
              <w:ind w:left="100"/>
            </w:pPr>
            <w:r/>
            <w:r>
              <w:rPr>
                <w:b/>
                <w:sz w:val="16"/>
              </w:rPr>
              <w:t>total_actif</w:t>
              <w:br/>
            </w:r>
            <w:r>
              <w:rPr>
                <w:sz w:val="18"/>
              </w:rPr>
              <w:t>4,00 milliards FCFA</w:t>
            </w:r>
          </w:p>
        </w:tc>
      </w:tr>
      <w:tr>
        <w:tc>
          <w:tcPr>
            <w:tcW w:type="dxa" w:w="2160"/>
          </w:tcPr>
          <w:p>
            <w:r/>
            <w:r>
              <w:rPr>
                <w:b/>
                <w:sz w:val="16"/>
              </w:rPr>
              <w:t>resultat_net</w:t>
              <w:br/>
            </w:r>
            <w:r>
              <w:rPr>
                <w:sz w:val="18"/>
              </w:rPr>
              <w:t>-128,6 millions FCFA (perte)</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546,8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de 128,6 M FCFA (contre +19,2 M en 2023)</w:t>
      </w:r>
    </w:p>
    <w:p>
      <w:pPr>
        <w:pStyle w:val="ListBullet"/>
        <w:spacing w:before="20" w:after="20"/>
        <w:ind w:left="700"/>
      </w:pPr>
      <w:r>
        <w:rPr>
          <w:sz w:val="18"/>
        </w:rPr>
        <w:t>Chiffre d'affaires en baisse de 22 % à 546,8 M FCFA</w:t>
      </w:r>
    </w:p>
    <w:p>
      <w:pPr>
        <w:pStyle w:val="ListBullet"/>
        <w:spacing w:before="20" w:after="20"/>
        <w:ind w:left="700"/>
      </w:pPr>
      <w:r>
        <w:rPr>
          <w:sz w:val="18"/>
        </w:rPr>
        <w:t>EBE négatif (-16,2 M FCFA), résultat d'exploitation -136,6 M</w:t>
      </w:r>
    </w:p>
    <w:p>
      <w:pPr>
        <w:pStyle w:val="ListBullet"/>
        <w:spacing w:before="20" w:after="20"/>
        <w:ind w:left="700"/>
      </w:pPr>
      <w:r>
        <w:rPr>
          <w:sz w:val="18"/>
        </w:rPr>
        <w:t>Contraintes foncières majeures : sites occupés/perdus (Boulay, Avagou-Taboth), production d'huile de coprah -40 %</w:t>
      </w:r>
    </w:p>
    <w:p>
      <w:pPr>
        <w:pStyle w:val="ListBullet"/>
        <w:spacing w:before="20" w:after="20"/>
        <w:ind w:left="700"/>
      </w:pPr>
      <w:r>
        <w:rPr>
          <w:sz w:val="18"/>
        </w:rPr>
        <w:t>Opinion des commissaires avec réserves : ajustement de stocks non justifié (132 M), provision retraite manquante, comptes IFRS non établis</w:t>
      </w:r>
    </w:p>
    <w:p>
      <w:pPr>
        <w:pStyle w:val="ListBullet"/>
        <w:spacing w:before="20" w:after="20"/>
        <w:ind w:left="700"/>
      </w:pPr>
      <w:r>
        <w:rPr>
          <w:sz w:val="18"/>
        </w:rPr>
        <w:t>Aucun dividende ; perte reportée, pertes cumulées à -799 M FCFA</w:t>
      </w:r>
    </w:p>
    <w:p>
      <w:pPr>
        <w:spacing w:before="40"/>
        <w:ind w:left="400"/>
      </w:pPr>
      <w:r>
        <w:rPr>
          <w:b/>
          <w:color w:val="C05000"/>
          <w:sz w:val="18"/>
        </w:rPr>
        <w:t xml:space="preserve">⚠️ Risques : </w:t>
      </w:r>
      <w:r>
        <w:rPr>
          <w:sz w:val="18"/>
        </w:rPr>
        <w:t>["Menace foncière existentielle : occupation/perte de sites de production, arrêt temporaire du site de Boulay", "EBE négatif et perte nette ; effondrement de la valeur ajoutée", "Opinion des commissaires avec réserves : ajustement de stocks non justifié de 132 M et provision retraite non comptabilis</w:t>
      </w:r>
    </w:p>
    <w:p>
      <w:pPr>
        <w:spacing w:before="40"/>
        <w:ind w:left="400"/>
      </w:pPr>
      <w:r>
        <w:rPr>
          <w:b/>
          <w:color w:val="0064A0"/>
          <w:sz w:val="18"/>
        </w:rPr>
        <w:t xml:space="preserve">🔮 Perspectives : </w:t>
      </w:r>
      <w:r>
        <w:rPr>
          <w:sz w:val="18"/>
        </w:rPr>
        <w:t>La direction engage un plan de redressement (sécurisation foncière, maîtrise des charges, optimisation du site de Gliké-Tabou, renforcement de la gouvernance), et la société a démontré par le passé sa capacité bénéficiaire. Mais le retour à la rentabilité dépend entièrement de la résolution des conf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"Bon exercice, rentable, avec une génération de cash solide (CAFG 278 M). Mais report à nouveau encore négatif interdisant tout dividende et trésorerie nette négative. À conserver."}</w:t>
      </w:r>
    </w:p>
    <w:p>
      <w:pPr>
        <w:spacing w:before="40"/>
        <w:ind w:left="400"/>
      </w:pPr>
      <w:r>
        <w:rPr>
          <w:sz w:val="18"/>
        </w:rPr>
        <w:t>SICOR réalise un bon exercice 2020 : bénéfice net de 109,8 M FCFA, en forte hausse par rapport aux 2,35 M de 2019. Le chiffre d'affaires progresse de 27 % à 2,36 Md, l'EBE grimpe à 281 M et le résultat financier redevient positif (+0,8 M). Le report à nouveau reste négatif (-879 M) mais s'améliore légèrement. La trésorerie nette demeure négative (-47 M) tout en se redressant. Exercice de redressement opérationnel confirmé.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'278 millions FCFA', 'resultat_exploitation': '109 millions FCFA', 'excedent_brut_exploitation': '281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4,65 %</w:t>
            </w:r>
          </w:p>
        </w:tc>
        <w:tc>
          <w:tcPr>
            <w:tcW w:type="dxa" w:w="2160"/>
          </w:tcPr>
          <w:p>
            <w:pPr>
              <w:ind w:left="100"/>
            </w:pPr>
            <w:r/>
            <w:r>
              <w:rPr>
                <w:b/>
                <w:sz w:val="16"/>
              </w:rPr>
              <w:t>total_actif</w:t>
              <w:br/>
            </w:r>
            <w:r>
              <w:rPr>
                <w:sz w:val="18"/>
              </w:rPr>
              <w:t>4,09 milliards FCFA</w:t>
            </w:r>
          </w:p>
        </w:tc>
      </w:tr>
      <w:tr>
        <w:tc>
          <w:tcPr>
            <w:tcW w:type="dxa" w:w="2160"/>
          </w:tcPr>
          <w:p>
            <w:r/>
            <w:r>
              <w:rPr>
                <w:b/>
                <w:sz w:val="16"/>
              </w:rPr>
              <w:t>resultat_net</w:t>
              <w:br/>
            </w:r>
            <w:r>
              <w:rPr>
                <w:sz w:val="18"/>
              </w:rPr>
              <w:t>109,8 millions FCFA (bénéfice)</w:t>
            </w:r>
          </w:p>
        </w:tc>
        <w:tc>
          <w:tcPr>
            <w:tcW w:type="dxa" w:w="2160"/>
          </w:tcPr>
          <w:p>
            <w:r/>
            <w:r>
              <w:rPr>
                <w:b/>
                <w:sz w:val="16"/>
              </w:rPr>
              <w:t>capitaux_propres</w:t>
              <w:br/>
            </w:r>
            <w:r>
              <w:rPr>
                <w:sz w:val="18"/>
              </w:rPr>
              <w:t>3,01 milliards FCFA</w:t>
            </w:r>
          </w:p>
        </w:tc>
        <w:tc>
          <w:tcPr>
            <w:tcW w:type="dxa" w:w="2160"/>
          </w:tcPr>
          <w:p>
            <w:r/>
            <w:r>
              <w:rPr>
                <w:b/>
                <w:sz w:val="16"/>
              </w:rPr>
              <w:t>chiffre_affaires</w:t>
              <w:br/>
            </w:r>
            <w:r>
              <w:rPr>
                <w:sz w:val="18"/>
              </w:rPr>
              <w:t>2,36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2,36 Md FCFA (+27 %)</w:t>
      </w:r>
    </w:p>
    <w:p>
      <w:pPr>
        <w:pStyle w:val="ListBullet"/>
        <w:spacing w:before="20" w:after="20"/>
        <w:ind w:left="700"/>
      </w:pPr>
      <w:r>
        <w:rPr>
          <w:sz w:val="18"/>
        </w:rPr>
        <w:t>EBE 281 M FCFA, en nette progression</w:t>
      </w:r>
    </w:p>
    <w:p>
      <w:pPr>
        <w:pStyle w:val="ListBullet"/>
        <w:spacing w:before="20" w:after="20"/>
        <w:ind w:left="700"/>
      </w:pPr>
      <w:r>
        <w:rPr>
          <w:sz w:val="18"/>
        </w:rPr>
        <w:t>Bénéfice net 109,8 M FCFA (contre 2,35 M en 2019)</w:t>
      </w:r>
    </w:p>
    <w:p>
      <w:pPr>
        <w:pStyle w:val="ListBullet"/>
        <w:spacing w:before="20" w:after="20"/>
        <w:ind w:left="700"/>
      </w:pPr>
      <w:r>
        <w:rPr>
          <w:sz w:val="18"/>
        </w:rPr>
        <w:t>Résultat financier redevenu positif (+0,8 M)</w:t>
      </w:r>
    </w:p>
    <w:p>
      <w:pPr>
        <w:pStyle w:val="ListBullet"/>
        <w:spacing w:before="20" w:after="20"/>
        <w:ind w:left="700"/>
      </w:pPr>
      <w:r>
        <w:rPr>
          <w:sz w:val="18"/>
        </w:rPr>
        <w:t>Report à nouveau encore négatif (-879 M), en légère amélioration</w:t>
      </w:r>
    </w:p>
    <w:p>
      <w:pPr>
        <w:pStyle w:val="ListBullet"/>
        <w:spacing w:before="20" w:after="20"/>
        <w:ind w:left="700"/>
      </w:pPr>
      <w:r>
        <w:rPr>
          <w:sz w:val="18"/>
        </w:rPr>
        <w:t>Trésorerie nette négative (-47 M) mais en amélioration</w:t>
      </w:r>
    </w:p>
    <w:p>
      <w:pPr>
        <w:spacing w:before="40"/>
        <w:ind w:left="400"/>
      </w:pPr>
      <w:r>
        <w:rPr>
          <w:b/>
          <w:color w:val="C05000"/>
          <w:sz w:val="18"/>
        </w:rPr>
        <w:t xml:space="preserve">⚠️ Risques : </w:t>
      </w:r>
      <w:r>
        <w:rPr>
          <w:sz w:val="18"/>
        </w:rPr>
        <w:t>["Report à nouveau toujours négatif (-879 M)", "Trésorerie nette négative (-47 M)", "Dépendance à un chiffre d'affaires volatil dans une activité agro-industrielle (coco)", "Pas de distribution possible tant que les pertes cumulées subsistent"]</w:t>
      </w:r>
    </w:p>
    <w:p>
      <w:pPr>
        <w:spacing w:before="40"/>
        <w:ind w:left="400"/>
      </w:pPr>
      <w:r>
        <w:rPr>
          <w:b/>
          <w:color w:val="0064A0"/>
          <w:sz w:val="18"/>
        </w:rPr>
        <w:t xml:space="preserve">🔮 Perspectives : </w:t>
      </w:r>
      <w:r>
        <w:rPr>
          <w:sz w:val="18"/>
        </w:rPr>
        <w:t>La forte génération de trésorerie (CAFG 278 M) et le retour à un résultat financier positif consolident le redressement. Si la dynamique se maintient, l'apurement progressif du report à nouveau devient envisageable.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"Bénéfice en hausse mais de moindre qualité : chute du chiffre d'affaires et de l'EBE, résultat porté par des reprises de provisions non récurrentes. À conserver en surveillant le retour de la dynamique commerciale."}</w:t>
      </w:r>
    </w:p>
    <w:p>
      <w:pPr>
        <w:spacing w:before="40"/>
        <w:ind w:left="400"/>
      </w:pPr>
      <w:r>
        <w:rPr>
          <w:sz w:val="18"/>
        </w:rPr>
        <w:t>SICOR poursuit sur un bénéfice net de 119,2 M FCFA en 2021 (contre 109,8 M en 2020), mais la qualité du résultat se dégrade : le chiffre d'affaires chute de 41 % à 1,38 Md et l'EBE recule à 165 M. Le bénéfice est en réalité soutenu par un résultat financier exceptionnellement positif (+66 M, reprises de provisions financières). Le report à nouveau s'améliore (-769 M) et la trésorerie nette se redresse fortement (-6 M contre -47 M). Bénéfice en partie en trompe-l'oeil.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'164 millions FCFA', 'resultat_financier': '+66 millions FCFA (reprises de provisions)', 'resultat_exploitation': '53 millions FCFA', 'excedent_brut_exploitation': '165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8,63 %</w:t>
            </w:r>
          </w:p>
        </w:tc>
        <w:tc>
          <w:tcPr>
            <w:tcW w:type="dxa" w:w="2160"/>
          </w:tcPr>
          <w:p>
            <w:pPr>
              <w:ind w:left="100"/>
            </w:pPr>
            <w:r/>
            <w:r>
              <w:rPr>
                <w:b/>
                <w:sz w:val="16"/>
              </w:rPr>
              <w:t>total_actif</w:t>
              <w:br/>
            </w:r>
            <w:r>
              <w:rPr>
                <w:sz w:val="18"/>
              </w:rPr>
              <w:t>4,15 milliards FCFA</w:t>
            </w:r>
          </w:p>
        </w:tc>
      </w:tr>
      <w:tr>
        <w:tc>
          <w:tcPr>
            <w:tcW w:type="dxa" w:w="2160"/>
          </w:tcPr>
          <w:p>
            <w:r/>
            <w:r>
              <w:rPr>
                <w:b/>
                <w:sz w:val="16"/>
              </w:rPr>
              <w:t>resultat_net</w:t>
              <w:br/>
            </w:r>
            <w:r>
              <w:rPr>
                <w:sz w:val="18"/>
              </w:rPr>
              <w:t>119,2 millions FCFA (bénéfice)</w:t>
            </w:r>
          </w:p>
        </w:tc>
        <w:tc>
          <w:tcPr>
            <w:tcW w:type="dxa" w:w="2160"/>
          </w:tcPr>
          <w:p>
            <w:r/>
            <w:r>
              <w:rPr>
                <w:b/>
                <w:sz w:val="16"/>
              </w:rPr>
              <w:t>capitaux_propres</w:t>
              <w:br/>
            </w:r>
            <w:r>
              <w:rPr>
                <w:sz w:val="18"/>
              </w:rPr>
              <w:t>3,12 milliards FCFA</w:t>
            </w:r>
          </w:p>
        </w:tc>
        <w:tc>
          <w:tcPr>
            <w:tcW w:type="dxa" w:w="2160"/>
          </w:tcPr>
          <w:p>
            <w:r/>
            <w:r>
              <w:rPr>
                <w:b/>
                <w:sz w:val="16"/>
              </w:rPr>
              <w:t>chiffre_affaires</w:t>
              <w:br/>
            </w:r>
            <w:r>
              <w:rPr>
                <w:sz w:val="18"/>
              </w:rPr>
              <w:t>1,38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 1,38 Md FCFA (-41 %)</w:t>
      </w:r>
    </w:p>
    <w:p>
      <w:pPr>
        <w:pStyle w:val="ListBullet"/>
        <w:spacing w:before="20" w:after="20"/>
        <w:ind w:left="700"/>
      </w:pPr>
      <w:r>
        <w:rPr>
          <w:sz w:val="18"/>
        </w:rPr>
        <w:t>EBE en recul à 165 M FCFA</w:t>
      </w:r>
    </w:p>
    <w:p>
      <w:pPr>
        <w:pStyle w:val="ListBullet"/>
        <w:spacing w:before="20" w:after="20"/>
        <w:ind w:left="700"/>
      </w:pPr>
      <w:r>
        <w:rPr>
          <w:sz w:val="18"/>
        </w:rPr>
        <w:t>Bénéfice net 119,2 M FCFA (contre 109,8 M en 2020)</w:t>
      </w:r>
    </w:p>
    <w:p>
      <w:pPr>
        <w:pStyle w:val="ListBullet"/>
        <w:spacing w:before="20" w:after="20"/>
        <w:ind w:left="700"/>
      </w:pPr>
      <w:r>
        <w:rPr>
          <w:sz w:val="18"/>
        </w:rPr>
        <w:t>Résultat soutenu par un résultat financier de +66 M (reprises de provisions), non récurrent</w:t>
      </w:r>
    </w:p>
    <w:p>
      <w:pPr>
        <w:pStyle w:val="ListBullet"/>
        <w:spacing w:before="20" w:after="20"/>
        <w:ind w:left="700"/>
      </w:pPr>
      <w:r>
        <w:rPr>
          <w:sz w:val="18"/>
        </w:rPr>
        <w:t>Report à nouveau en amélioration : -769 M FCFA</w:t>
      </w:r>
    </w:p>
    <w:p>
      <w:pPr>
        <w:pStyle w:val="ListBullet"/>
        <w:spacing w:before="20" w:after="20"/>
        <w:ind w:left="700"/>
      </w:pPr>
      <w:r>
        <w:rPr>
          <w:sz w:val="18"/>
        </w:rPr>
        <w:t>Trésorerie nette quasi rétablie : -6 M (contre -47 M)</w:t>
      </w:r>
    </w:p>
    <w:p>
      <w:pPr>
        <w:spacing w:before="40"/>
        <w:ind w:left="400"/>
      </w:pPr>
      <w:r>
        <w:rPr>
          <w:b/>
          <w:color w:val="C05000"/>
          <w:sz w:val="18"/>
        </w:rPr>
        <w:t xml:space="preserve">⚠️ Risques : </w:t>
      </w:r>
      <w:r>
        <w:rPr>
          <w:sz w:val="18"/>
        </w:rPr>
        <w:t>["Chute du chiffre d'affaires (-41 %) et de l'EBE", "Bénéfice dépendant d'éléments financiers non récurrents (+66 M de reprises)", "Report à nouveau encore négatif (-769 M)", "Volatilité forte de l'activité"]</w:t>
      </w:r>
    </w:p>
    <w:p>
      <w:pPr>
        <w:spacing w:before="40"/>
        <w:ind w:left="400"/>
      </w:pPr>
      <w:r>
        <w:rPr>
          <w:b/>
          <w:color w:val="0064A0"/>
          <w:sz w:val="18"/>
        </w:rPr>
        <w:t xml:space="preserve">🔮 Perspectives : </w:t>
      </w:r>
      <w:r>
        <w:rPr>
          <w:sz w:val="18"/>
        </w:rPr>
        <w:t>Le redressement de la trésorerie est net, mais la baisse du chiffre d'affaires et de l'excédent brut d'exploitation fragilise la rentabilité de fond. Le maintien du bénéfice dépendra d'un rebond des volumes plutôt que d'éléments financiers exceptionnels.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"Activité en croissance mais rentabilité nette quasi nulle, plombée par les charges financières et un report à nouveau lourdement négatif. Structure fragile, à conserver avec prudence."}</w:t>
      </w:r>
    </w:p>
    <w:p>
      <w:pPr>
        <w:spacing w:before="40"/>
        <w:ind w:left="400"/>
      </w:pPr>
      <w:r>
        <w:rPr>
          <w:sz w:val="18"/>
        </w:rPr>
        <w:t>SICOR (Société Ivoirienne de Coco Râpé) clôture l'exercice 2019 sur un bénéfice net symbolique de 2,35 M FCFA, en très net repli par rapport aux 989 M de 2018 (année dopée par un résultat hors activités ordinaires exceptionnel de +946 M). L'activité progresse pourtant : chiffre d'affaires de 1,86 Md (+33 %) et EBE de 239 M. Le bénéfice est laminé par un résultat financier négatif (-73,7 M) et un résultat HAO négatif (-87 M). Le report à nouveau reste lourdement déficitaire (-881 M) et la trésorerie nette est négative (-62 M). Structure financière fragile malgré des capitaux propres de 2,90 Md.</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'149 millions FCFA', 'resultat_exploitation': '163 millions FCFA', 'excedent_brut_exploitation': '239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0,13 %</w:t>
            </w:r>
          </w:p>
        </w:tc>
        <w:tc>
          <w:tcPr>
            <w:tcW w:type="dxa" w:w="2160"/>
          </w:tcPr>
          <w:p>
            <w:pPr>
              <w:ind w:left="100"/>
            </w:pPr>
            <w:r/>
            <w:r>
              <w:rPr>
                <w:b/>
                <w:sz w:val="16"/>
              </w:rPr>
              <w:t>total_actif</w:t>
              <w:br/>
            </w:r>
            <w:r>
              <w:rPr>
                <w:sz w:val="18"/>
              </w:rPr>
              <w:t>3,93 milliards FCFA</w:t>
            </w:r>
          </w:p>
        </w:tc>
      </w:tr>
      <w:tr>
        <w:tc>
          <w:tcPr>
            <w:tcW w:type="dxa" w:w="2160"/>
          </w:tcPr>
          <w:p>
            <w:r/>
            <w:r>
              <w:rPr>
                <w:b/>
                <w:sz w:val="16"/>
              </w:rPr>
              <w:t>resultat_net</w:t>
              <w:br/>
            </w:r>
            <w:r>
              <w:rPr>
                <w:sz w:val="18"/>
              </w:rPr>
              <w:t>2,35 millions FCFA (bénéfice)</w:t>
            </w:r>
          </w:p>
        </w:tc>
        <w:tc>
          <w:tcPr>
            <w:tcW w:type="dxa" w:w="2160"/>
          </w:tcPr>
          <w:p>
            <w:r/>
            <w:r>
              <w:rPr>
                <w:b/>
                <w:sz w:val="16"/>
              </w:rPr>
              <w:t>capitaux_propres</w:t>
              <w:br/>
            </w:r>
            <w:r>
              <w:rPr>
                <w:sz w:val="18"/>
              </w:rPr>
              <w:t>2,90 milliards FCFA</w:t>
            </w:r>
          </w:p>
        </w:tc>
        <w:tc>
          <w:tcPr>
            <w:tcW w:type="dxa" w:w="2160"/>
          </w:tcPr>
          <w:p>
            <w:r/>
            <w:r>
              <w:rPr>
                <w:b/>
                <w:sz w:val="16"/>
              </w:rPr>
              <w:t>chiffre_affaires</w:t>
              <w:br/>
            </w:r>
            <w:r>
              <w:rPr>
                <w:sz w:val="18"/>
              </w:rPr>
              <w:t>1,86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1,86 Md FCFA, en hausse de 33 %</w:t>
      </w:r>
    </w:p>
    <w:p>
      <w:pPr>
        <w:pStyle w:val="ListBullet"/>
        <w:spacing w:before="20" w:after="20"/>
        <w:ind w:left="700"/>
      </w:pPr>
      <w:r>
        <w:rPr>
          <w:sz w:val="18"/>
        </w:rPr>
        <w:t>EBE 239 M FCFA, résultat d'exploitation 163 M</w:t>
      </w:r>
    </w:p>
    <w:p>
      <w:pPr>
        <w:pStyle w:val="ListBullet"/>
        <w:spacing w:before="20" w:after="20"/>
        <w:ind w:left="700"/>
      </w:pPr>
      <w:r>
        <w:rPr>
          <w:sz w:val="18"/>
        </w:rPr>
        <w:t>Bénéfice net symbolique : 2,35 M FCFA (contre 989 M en 2018, année exceptionnelle)</w:t>
      </w:r>
    </w:p>
    <w:p>
      <w:pPr>
        <w:pStyle w:val="ListBullet"/>
        <w:spacing w:before="20" w:after="20"/>
        <w:ind w:left="700"/>
      </w:pPr>
      <w:r>
        <w:rPr>
          <w:sz w:val="18"/>
        </w:rPr>
        <w:t>Résultat financier négatif (-73,7 M) et HAO négatif (-87 M) érodent le résultat</w:t>
      </w:r>
    </w:p>
    <w:p>
      <w:pPr>
        <w:pStyle w:val="ListBullet"/>
        <w:spacing w:before="20" w:after="20"/>
        <w:ind w:left="700"/>
      </w:pPr>
      <w:r>
        <w:rPr>
          <w:sz w:val="18"/>
        </w:rPr>
        <w:t>Report à nouveau déficitaire : -881 M FCFA</w:t>
      </w:r>
    </w:p>
    <w:p>
      <w:pPr>
        <w:pStyle w:val="ListBullet"/>
        <w:spacing w:before="20" w:after="20"/>
        <w:ind w:left="700"/>
      </w:pPr>
      <w:r>
        <w:rPr>
          <w:sz w:val="18"/>
        </w:rPr>
        <w:t>Trésorerie nette négative : -62 M FCFA</w:t>
      </w:r>
    </w:p>
    <w:p>
      <w:pPr>
        <w:spacing w:before="40"/>
        <w:ind w:left="400"/>
      </w:pPr>
      <w:r>
        <w:rPr>
          <w:b/>
          <w:color w:val="C05000"/>
          <w:sz w:val="18"/>
        </w:rPr>
        <w:t xml:space="preserve">⚠️ Risques : </w:t>
      </w:r>
      <w:r>
        <w:rPr>
          <w:sz w:val="18"/>
        </w:rPr>
        <w:t>["Report à nouveau lourdement négatif (-881 M) interdisant toute distribution", "Résultat financier structurellement négatif (-73,7 M)", "Trésorerie nette négative (-62 M), dépendance aux découverts bancaires", "Bénéfice net très faible, dépendant d'éléments non opérationnels"]</w:t>
      </w:r>
    </w:p>
    <w:p>
      <w:pPr>
        <w:spacing w:before="40"/>
        <w:ind w:left="400"/>
      </w:pPr>
      <w:r>
        <w:rPr>
          <w:b/>
          <w:color w:val="0064A0"/>
          <w:sz w:val="18"/>
        </w:rPr>
        <w:t xml:space="preserve">🔮 Perspectives : </w:t>
      </w:r>
      <w:r>
        <w:rPr>
          <w:sz w:val="18"/>
        </w:rPr>
        <w:t>L'amélioration du chiffre d'affaires et un EBE solide montrent une base d'exploitation saine, mais le redressement passe par la réduction des charges financières et l'apurement du report à nouveau. La rentabilité nette reste trop mince pour reconstituer les fonds propres rapidement.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"vendre", "justification": "Les pertes r\u00e9currentes et la d\u00e9gradation du chiffre d'affaires indiquent une situation financi\u00e8re fragile. La marge nette tr\u00e8s n\u00e9gative et la baisse des capitaux propres justifient une position vendeuse."}</w:t>
      </w:r>
    </w:p>
    <w:p>
      <w:pPr>
        <w:spacing w:before="40"/>
        <w:ind w:left="400"/>
      </w:pPr>
      <w:r>
        <w:rPr>
          <w:sz w:val="18"/>
        </w:rPr>
        <w:t>La société SICOR présente des états financiers au 31 décembre 2012 montrant un résultat net déficitaire de 401 millions FCFA, en légère amélioration par rapport à 2011. Le chiffre d'affaires a chuté de 28% pour s'établir à 487 millions FCFA. Les capitaux propres restent positifs mais se sont fortement dégradés, passant de 681 millions à 238 millions FCFA. La marge nette est très négative, à -82%, traduisant une incapacité à générer de la rentabilité. La société semble confrontée à des difficultés financières persistantes.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'dettes_financieres': '599 004 838 FCFA', 'variation_tresorerie': '99 983 143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-82.3%</w:t>
            </w:r>
          </w:p>
        </w:tc>
        <w:tc>
          <w:tcPr>
            <w:tcW w:type="dxa" w:w="2160"/>
          </w:tcPr>
          <w:p>
            <w:pPr>
              <w:ind w:left="100"/>
            </w:pPr>
            <w:r/>
            <w:r>
              <w:rPr>
                <w:b/>
                <w:sz w:val="16"/>
              </w:rPr>
              <w:t>total_actif</w:t>
              <w:br/>
            </w:r>
            <w:r>
              <w:rPr>
                <w:sz w:val="18"/>
              </w:rPr>
              <w:t>1 863 562 466 FCFA</w:t>
            </w:r>
          </w:p>
        </w:tc>
      </w:tr>
      <w:tr>
        <w:tc>
          <w:tcPr>
            <w:tcW w:type="dxa" w:w="2160"/>
          </w:tcPr>
          <w:p>
            <w:r/>
            <w:r>
              <w:rPr>
                <w:b/>
                <w:sz w:val="16"/>
              </w:rPr>
              <w:t>resultat_net</w:t>
              <w:br/>
            </w:r>
            <w:r>
              <w:rPr>
                <w:sz w:val="18"/>
              </w:rPr>
              <w:t>-401 184 579 FCFA</w:t>
            </w:r>
          </w:p>
        </w:tc>
        <w:tc>
          <w:tcPr>
            <w:tcW w:type="dxa" w:w="2160"/>
          </w:tcPr>
          <w:p>
            <w:r/>
            <w:r>
              <w:rPr>
                <w:b/>
                <w:sz w:val="16"/>
              </w:rPr>
              <w:t>capitaux_propres</w:t>
              <w:br/>
            </w:r>
            <w:r>
              <w:rPr>
                <w:sz w:val="18"/>
              </w:rPr>
              <w:t>238 321 035 FCFA</w:t>
            </w:r>
          </w:p>
        </w:tc>
        <w:tc>
          <w:tcPr>
            <w:tcW w:type="dxa" w:w="2160"/>
          </w:tcPr>
          <w:p>
            <w:r/>
            <w:r>
              <w:rPr>
                <w:b/>
                <w:sz w:val="16"/>
              </w:rPr>
              <w:t>chiffre_affaires</w:t>
              <w:br/>
            </w:r>
            <w:r>
              <w:rPr>
                <w:sz w:val="18"/>
              </w:rPr>
              <w:t>487 568 181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déficitaire de 401,18 millions FCFA en 2012.</w:t>
      </w:r>
    </w:p>
    <w:p>
      <w:pPr>
        <w:pStyle w:val="ListBullet"/>
        <w:spacing w:before="20" w:after="20"/>
        <w:ind w:left="700"/>
      </w:pPr>
      <w:r>
        <w:rPr>
          <w:sz w:val="18"/>
        </w:rPr>
        <w:t>Baisse du chiffre d'affaires de 193 millions FCFA par rapport à 2011.</w:t>
      </w:r>
    </w:p>
    <w:p>
      <w:pPr>
        <w:pStyle w:val="ListBullet"/>
        <w:spacing w:before="20" w:after="20"/>
        <w:ind w:left="700"/>
      </w:pPr>
      <w:r>
        <w:rPr>
          <w:sz w:val="18"/>
        </w:rPr>
        <w:t>Capitaux propres réduits à 238 millions FCFA, contre 681 millions en 2011.</w:t>
      </w:r>
    </w:p>
    <w:p>
      <w:pPr>
        <w:pStyle w:val="ListBullet"/>
        <w:spacing w:before="20" w:after="20"/>
        <w:ind w:left="700"/>
      </w:pPr>
      <w:r>
        <w:rPr>
          <w:sz w:val="18"/>
        </w:rPr>
        <w:t>Total du bilan en baisse à 1,86 milliard FCFA.</w:t>
      </w:r>
    </w:p>
    <w:p>
      <w:pPr>
        <w:pStyle w:val="ListBullet"/>
        <w:spacing w:before="20" w:after="20"/>
        <w:ind w:left="700"/>
      </w:pPr>
      <w:r>
        <w:rPr>
          <w:sz w:val="18"/>
        </w:rPr>
        <w:t>Aucun dividende proposé en raison des pertes.</w:t>
      </w:r>
    </w:p>
    <w:p>
      <w:pPr>
        <w:pStyle w:val="ListBullet"/>
        <w:spacing w:before="20" w:after="20"/>
        <w:ind w:left="700"/>
      </w:pPr>
      <w:r>
        <w:rPr>
          <w:sz w:val="18"/>
        </w:rPr>
        <w:t>L'assemblée générale ordinaire est convoquée pour approbation des comptes.</w:t>
      </w:r>
    </w:p>
    <w:p>
      <w:pPr>
        <w:spacing w:before="40"/>
        <w:ind w:left="400"/>
      </w:pPr>
      <w:r>
        <w:rPr>
          <w:b/>
          <w:color w:val="C05000"/>
          <w:sz w:val="18"/>
        </w:rPr>
        <w:t xml:space="preserve">⚠️ Risques : </w:t>
      </w:r>
      <w:r>
        <w:rPr>
          <w:sz w:val="18"/>
        </w:rPr>
        <w:t>["Poursuite des pertes d'exploitation et \u00e9rosion des capitaux propres", "Baisse continue du chiffre d'affaires dans un environnement concurrentiel", "Risque de cessation de paiement si la tendance ne s'inverse pas"]</w:t>
      </w:r>
    </w:p>
    <w:p>
      <w:pPr>
        <w:spacing w:before="40"/>
        <w:ind w:left="400"/>
      </w:pPr>
      <w:r>
        <w:rPr>
          <w:b/>
          <w:color w:val="0064A0"/>
          <w:sz w:val="18"/>
        </w:rPr>
        <w:t xml:space="preserve">🔮 Perspectives : </w:t>
      </w:r>
      <w:r>
        <w:rPr>
          <w:sz w:val="18"/>
        </w:rPr>
        <w:t>La société devra engager des mesures de restructuration sévères pour rétablir sa rentabilité. Sans amélioration significative, une augmentation de capital ou une recherche de partenaires stratégiques pourrait être nécessaire. Les perspectives pour 2013 restent prudentes, avec un secteur du coco râpé</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18.56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5,778 titres</w:t>
            </w:r>
          </w:p>
        </w:tc>
        <w:tc>
          <w:tcPr>
            <w:tcW w:type="dxa" w:w="2268"/>
            <w:shd w:fill="FFF2CC" w:val="clear"/>
          </w:tcPr>
          <w:p>
            <w:r>
              <w:rPr>
                <w:b/>
                <w:color w:val="503200"/>
                <w:sz w:val="16"/>
              </w:rPr>
              <w:t xml:space="preserve">Cours actuel : </w:t>
            </w:r>
            <w:r>
              <w:rPr>
                <w:color w:val="000000"/>
                <w:sz w:val="17"/>
              </w:rPr>
              <w:t>2,125 FCFA</w:t>
            </w:r>
          </w:p>
          <w:p>
            <w:r>
              <w:rPr>
                <w:b/>
                <w:color w:val="503200"/>
                <w:sz w:val="16"/>
              </w:rPr>
              <w:t xml:space="preserve">Var. 100 jours : </w:t>
            </w:r>
            <w:r>
              <w:rPr>
                <w:b/>
                <w:color w:val="B40000"/>
                <w:sz w:val="17"/>
              </w:rPr>
              <w:t>-25.04%</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10.79% (Moyenne) — μ=2,654 FCFA, σ=286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β=0.1020 (Défensif) — Cov=0.000004, Var(idx)=0.000036, ρ=0.019,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5,778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σ_j=3.19%/j (Modérée) — Vol. annualisée≈50.6%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2026-08-10</w:t>
            </w:r>
          </w:p>
        </w:tc>
        <w:tc>
          <w:tcPr>
            <w:tcW w:type="dxa" w:w="1440"/>
            <w:shd w:fill="FFDCE0" w:val="clear"/>
          </w:tcPr>
          <w:p>
            <w:r>
              <w:rPr>
                <w:sz w:val="17"/>
              </w:rPr>
              <w:t>1,873</w:t>
            </w:r>
          </w:p>
        </w:tc>
        <w:tc>
          <w:tcPr>
            <w:tcW w:type="dxa" w:w="1440"/>
            <w:shd w:fill="FFDCE0" w:val="clear"/>
          </w:tcPr>
          <w:p>
            <w:r>
              <w:rPr>
                <w:b/>
                <w:sz w:val="17"/>
              </w:rPr>
              <w:t>2,010</w:t>
            </w:r>
          </w:p>
        </w:tc>
        <w:tc>
          <w:tcPr>
            <w:tcW w:type="dxa" w:w="1440"/>
            <w:shd w:fill="FFDCE0" w:val="clear"/>
          </w:tcPr>
          <w:p>
            <w:r>
              <w:rPr>
                <w:sz w:val="17"/>
              </w:rPr>
              <w:t>2,146</w:t>
            </w:r>
          </w:p>
        </w:tc>
        <w:tc>
          <w:tcPr>
            <w:tcW w:type="dxa" w:w="1440"/>
            <w:shd w:fill="FFDCE0" w:val="clear"/>
          </w:tcPr>
          <w:p>
            <w:r>
              <w:rPr>
                <w:b/>
                <w:color w:val="C00000"/>
                <w:sz w:val="17"/>
              </w:rPr>
              <w:t>-5.4%</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1,784</w:t>
            </w:r>
          </w:p>
        </w:tc>
        <w:tc>
          <w:tcPr>
            <w:tcW w:type="dxa" w:w="1440"/>
            <w:shd w:fill="FFDCE0" w:val="clear"/>
          </w:tcPr>
          <w:p>
            <w:r>
              <w:rPr>
                <w:b/>
                <w:sz w:val="17"/>
              </w:rPr>
              <w:t>1,973</w:t>
            </w:r>
          </w:p>
        </w:tc>
        <w:tc>
          <w:tcPr>
            <w:tcW w:type="dxa" w:w="1440"/>
            <w:shd w:fill="FFDCE0" w:val="clear"/>
          </w:tcPr>
          <w:p>
            <w:r>
              <w:rPr>
                <w:sz w:val="17"/>
              </w:rPr>
              <w:t>2,163</w:t>
            </w:r>
          </w:p>
        </w:tc>
        <w:tc>
          <w:tcPr>
            <w:tcW w:type="dxa" w:w="1440"/>
            <w:shd w:fill="FFDCE0" w:val="clear"/>
          </w:tcPr>
          <w:p>
            <w:r>
              <w:rPr>
                <w:b/>
                <w:color w:val="C00000"/>
                <w:sz w:val="17"/>
              </w:rPr>
              <w:t>-7.1%</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1,705</w:t>
            </w:r>
          </w:p>
        </w:tc>
        <w:tc>
          <w:tcPr>
            <w:tcW w:type="dxa" w:w="1440"/>
            <w:shd w:fill="FFDCE0" w:val="clear"/>
          </w:tcPr>
          <w:p>
            <w:r>
              <w:rPr>
                <w:b/>
                <w:sz w:val="17"/>
              </w:rPr>
              <w:t>1,932</w:t>
            </w:r>
          </w:p>
        </w:tc>
        <w:tc>
          <w:tcPr>
            <w:tcW w:type="dxa" w:w="1440"/>
            <w:shd w:fill="FFDCE0" w:val="clear"/>
          </w:tcPr>
          <w:p>
            <w:r>
              <w:rPr>
                <w:sz w:val="17"/>
              </w:rPr>
              <w:t>2,159</w:t>
            </w:r>
          </w:p>
        </w:tc>
        <w:tc>
          <w:tcPr>
            <w:tcW w:type="dxa" w:w="1440"/>
            <w:shd w:fill="FFDCE0" w:val="clear"/>
          </w:tcPr>
          <w:p>
            <w:r>
              <w:rPr>
                <w:b/>
                <w:color w:val="C00000"/>
                <w:sz w:val="17"/>
              </w:rPr>
              <w:t>-9.1%</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1,634</w:t>
            </w:r>
          </w:p>
        </w:tc>
        <w:tc>
          <w:tcPr>
            <w:tcW w:type="dxa" w:w="1440"/>
            <w:shd w:fill="FFDCE0" w:val="clear"/>
          </w:tcPr>
          <w:p>
            <w:r>
              <w:rPr>
                <w:b/>
                <w:sz w:val="17"/>
              </w:rPr>
              <w:t>1,890</w:t>
            </w:r>
          </w:p>
        </w:tc>
        <w:tc>
          <w:tcPr>
            <w:tcW w:type="dxa" w:w="1440"/>
            <w:shd w:fill="FFDCE0" w:val="clear"/>
          </w:tcPr>
          <w:p>
            <w:r>
              <w:rPr>
                <w:sz w:val="17"/>
              </w:rPr>
              <w:t>2,147</w:t>
            </w:r>
          </w:p>
        </w:tc>
        <w:tc>
          <w:tcPr>
            <w:tcW w:type="dxa" w:w="1440"/>
            <w:shd w:fill="FFDCE0" w:val="clear"/>
          </w:tcPr>
          <w:p>
            <w:r>
              <w:rPr>
                <w:b/>
                <w:color w:val="C00000"/>
                <w:sz w:val="17"/>
              </w:rPr>
              <w:t>-11.0%</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1,569</w:t>
            </w:r>
          </w:p>
        </w:tc>
        <w:tc>
          <w:tcPr>
            <w:tcW w:type="dxa" w:w="1440"/>
            <w:shd w:fill="FFDCE0" w:val="clear"/>
          </w:tcPr>
          <w:p>
            <w:r>
              <w:rPr>
                <w:b/>
                <w:sz w:val="17"/>
              </w:rPr>
              <w:t>1,850</w:t>
            </w:r>
          </w:p>
        </w:tc>
        <w:tc>
          <w:tcPr>
            <w:tcW w:type="dxa" w:w="1440"/>
            <w:shd w:fill="FFDCE0" w:val="clear"/>
          </w:tcPr>
          <w:p>
            <w:r>
              <w:rPr>
                <w:sz w:val="17"/>
              </w:rPr>
              <w:t>2,130</w:t>
            </w:r>
          </w:p>
        </w:tc>
        <w:tc>
          <w:tcPr>
            <w:tcW w:type="dxa" w:w="1440"/>
            <w:shd w:fill="FFDCE0" w:val="clear"/>
          </w:tcPr>
          <w:p>
            <w:r>
              <w:rPr>
                <w:b/>
                <w:color w:val="C00000"/>
                <w:sz w:val="17"/>
              </w:rPr>
              <w:t>-13.0%</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1,509</w:t>
            </w:r>
          </w:p>
        </w:tc>
        <w:tc>
          <w:tcPr>
            <w:tcW w:type="dxa" w:w="1440"/>
            <w:shd w:fill="FFDCE0" w:val="clear"/>
          </w:tcPr>
          <w:p>
            <w:r>
              <w:rPr>
                <w:b/>
                <w:sz w:val="17"/>
              </w:rPr>
              <w:t>1,810</w:t>
            </w:r>
          </w:p>
        </w:tc>
        <w:tc>
          <w:tcPr>
            <w:tcW w:type="dxa" w:w="1440"/>
            <w:shd w:fill="FFDCE0" w:val="clear"/>
          </w:tcPr>
          <w:p>
            <w:r>
              <w:rPr>
                <w:sz w:val="17"/>
              </w:rPr>
              <w:t>2,111</w:t>
            </w:r>
          </w:p>
        </w:tc>
        <w:tc>
          <w:tcPr>
            <w:tcW w:type="dxa" w:w="1440"/>
            <w:shd w:fill="FFDCE0" w:val="clear"/>
          </w:tcPr>
          <w:p>
            <w:r>
              <w:rPr>
                <w:b/>
                <w:color w:val="C00000"/>
                <w:sz w:val="17"/>
              </w:rPr>
              <w:t>-14.8%</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1,454</w:t>
            </w:r>
          </w:p>
        </w:tc>
        <w:tc>
          <w:tcPr>
            <w:tcW w:type="dxa" w:w="1440"/>
            <w:shd w:fill="FFDCE0" w:val="clear"/>
          </w:tcPr>
          <w:p>
            <w:r>
              <w:rPr>
                <w:b/>
                <w:sz w:val="17"/>
              </w:rPr>
              <w:t>1,772</w:t>
            </w:r>
          </w:p>
        </w:tc>
        <w:tc>
          <w:tcPr>
            <w:tcW w:type="dxa" w:w="1440"/>
            <w:shd w:fill="FFDCE0" w:val="clear"/>
          </w:tcPr>
          <w:p>
            <w:r>
              <w:rPr>
                <w:sz w:val="17"/>
              </w:rPr>
              <w:t>2,090</w:t>
            </w:r>
          </w:p>
        </w:tc>
        <w:tc>
          <w:tcPr>
            <w:tcW w:type="dxa" w:w="1440"/>
            <w:shd w:fill="FFDCE0" w:val="clear"/>
          </w:tcPr>
          <w:p>
            <w:r>
              <w:rPr>
                <w:b/>
                <w:color w:val="C00000"/>
                <w:sz w:val="17"/>
              </w:rPr>
              <w:t>-16.6%</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1,403</w:t>
            </w:r>
          </w:p>
        </w:tc>
        <w:tc>
          <w:tcPr>
            <w:tcW w:type="dxa" w:w="1440"/>
            <w:shd w:fill="FFDCE0" w:val="clear"/>
          </w:tcPr>
          <w:p>
            <w:r>
              <w:rPr>
                <w:b/>
                <w:sz w:val="17"/>
              </w:rPr>
              <w:t>1,736</w:t>
            </w:r>
          </w:p>
        </w:tc>
        <w:tc>
          <w:tcPr>
            <w:tcW w:type="dxa" w:w="1440"/>
            <w:shd w:fill="FFDCE0" w:val="clear"/>
          </w:tcPr>
          <w:p>
            <w:r>
              <w:rPr>
                <w:sz w:val="17"/>
              </w:rPr>
              <w:t>2,069</w:t>
            </w:r>
          </w:p>
        </w:tc>
        <w:tc>
          <w:tcPr>
            <w:tcW w:type="dxa" w:w="1440"/>
            <w:shd w:fill="FFDCE0" w:val="clear"/>
          </w:tcPr>
          <w:p>
            <w:r>
              <w:rPr>
                <w:b/>
                <w:color w:val="C00000"/>
                <w:sz w:val="17"/>
              </w:rPr>
              <w:t>-18.3%</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1,354</w:t>
            </w:r>
          </w:p>
        </w:tc>
        <w:tc>
          <w:tcPr>
            <w:tcW w:type="dxa" w:w="1440"/>
            <w:shd w:fill="FFDCE0" w:val="clear"/>
          </w:tcPr>
          <w:p>
            <w:r>
              <w:rPr>
                <w:b/>
                <w:sz w:val="17"/>
              </w:rPr>
              <w:t>1,700</w:t>
            </w:r>
          </w:p>
        </w:tc>
        <w:tc>
          <w:tcPr>
            <w:tcW w:type="dxa" w:w="1440"/>
            <w:shd w:fill="FFDCE0" w:val="clear"/>
          </w:tcPr>
          <w:p>
            <w:r>
              <w:rPr>
                <w:sz w:val="17"/>
              </w:rPr>
              <w:t>2,046</w:t>
            </w:r>
          </w:p>
        </w:tc>
        <w:tc>
          <w:tcPr>
            <w:tcW w:type="dxa" w:w="1440"/>
            <w:shd w:fill="FFDCE0" w:val="clear"/>
          </w:tcPr>
          <w:p>
            <w:r>
              <w:rPr>
                <w:b/>
                <w:color w:val="C00000"/>
                <w:sz w:val="17"/>
              </w:rPr>
              <w:t>-20.0%</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1,308</w:t>
            </w:r>
          </w:p>
        </w:tc>
        <w:tc>
          <w:tcPr>
            <w:tcW w:type="dxa" w:w="1440"/>
            <w:shd w:fill="FFDCE0" w:val="clear"/>
          </w:tcPr>
          <w:p>
            <w:r>
              <w:rPr>
                <w:b/>
                <w:sz w:val="17"/>
              </w:rPr>
              <w:t>1,666</w:t>
            </w:r>
          </w:p>
        </w:tc>
        <w:tc>
          <w:tcPr>
            <w:tcW w:type="dxa" w:w="1440"/>
            <w:shd w:fill="FFDCE0" w:val="clear"/>
          </w:tcPr>
          <w:p>
            <w:r>
              <w:rPr>
                <w:sz w:val="17"/>
              </w:rPr>
              <w:t>2,023</w:t>
            </w:r>
          </w:p>
        </w:tc>
        <w:tc>
          <w:tcPr>
            <w:tcW w:type="dxa" w:w="1440"/>
            <w:shd w:fill="FFDCE0" w:val="clear"/>
          </w:tcPr>
          <w:p>
            <w:r>
              <w:rPr>
                <w:b/>
                <w:color w:val="C00000"/>
                <w:sz w:val="17"/>
              </w:rPr>
              <w:t>-21.6%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 ERIUM COTE D'IVOIRE (BRVM)**</w:t>
      </w:r>
    </w:p>
    <w:p>
      <w:pPr>
        <w:spacing w:after="120" w:line="276" w:lineRule="auto" w:before="240"/>
      </w:pPr>
      <w:r>
        <w:rPr>
          <w:b/>
          <w:color w:val="003366"/>
          <w:sz w:val="24"/>
        </w:rPr>
        <w:t>**PARTIE 0 : INDICATEURS DE VALORISATION BOURSIÈRE**</w:t>
      </w:r>
    </w:p>
    <w:p>
      <w:pPr>
        <w:spacing w:after="120" w:line="276" w:lineRule="auto"/>
      </w:pPr>
      <w:r>
        <w:t>La capitalisation boursière de 18,56 milliards FCFA positionne SIVC comme une valeur de taille moyenne sur la BRVM. Le BPA de 43 FCFA indique que chaque action ne génère qu'un bénéfice modeste, ce qui explique un PER de 49,2x, extrêmement élevé par rapport à la moyenne du marché BRVM (8-12x). Les investisseurs paient donc une prime considérable pour un bénéfice par action faible, signe d'une valorisation très exigeante. Le P/B de 5,67x confirme cette tendance, le marché valorisant l'actif net à plus de cinq fois sa valeur comptable. Enfin, l'EV/EBITDA de 15,8x, supérieur au seuil de 15x, indique que la valeur totale de l'entreprise reste élevée par rapport à sa capacité opérationnelle, renforçant le constat d'une surévaluation relative.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SIVC a enregistré une chute de 25,04%, passant d'un plus haut de 3 215 FCFA à un plus bas de 1 920 FCFA, avec un cours actuel de 2 125 FCFA. La légère hausse de 2,41% lors de la dernière séance ne compense pas la tendance baissière dominante. La moyenne de 2 654 FCFA est inférieure à la médiane de 2 770 FCFA, indiquant une asymétrie négative (skewness de -0,750), avec des journées plus nombreuses au-dessus de la moyenne mais des chutes plus marquées. L'écart-type de 288 FCFA (CV de 10,8%) montre une dispersion modérée, tandis que le kurtosis de -0,449 (mésokurtique) suggère une distribution proche de la normale, sans risque de pics extrêmes. La volatilité annualisée de 50,6% classe le titre comme très volatil, un niveau élevé pour la BRVM.</w:t>
      </w:r>
    </w:p>
    <w:p>
      <w:pPr>
        <w:spacing w:after="120" w:line="276" w:lineRule="auto" w:before="240"/>
      </w:pPr>
      <w:r>
        <w:rPr>
          <w:b/>
          <w:color w:val="003366"/>
          <w:sz w:val="24"/>
        </w:rPr>
        <w:t>**PARTIE 2 : ANALYSE TECHNIQUE DÉTAILLÉE**</w:t>
      </w:r>
    </w:p>
    <w:p>
      <w:pPr>
        <w:spacing w:after="120" w:line="276" w:lineRule="auto"/>
      </w:pPr>
      <w:r>
        <w:t>**Moyennes Mobiles** : La MM20 à 2 235 FCFA et la MM50 à 2 468,7 FCFA sont toutes deux supérieures au cours actuel de 2 125 FCFA, confirmant une tendance baissière. Le croisement de ces moyennes mobiles, avec le prix sous la MM20 et la MM50, renforce le signal de vente, indiquant une pression vendeuse persistante.</w:t>
      </w:r>
    </w:p>
    <w:p>
      <w:pPr>
        <w:spacing w:after="120" w:line="276" w:lineRule="auto"/>
      </w:pPr>
      <w:r>
        <w:t>**Bandes de Bollinger** : Le cours à 2 125 FCFA se situe dans la partie inférieure des bandes, entre la borne inférieure à 2 010 FCFA et la borne supérieure à 2 460 FCFA. Cette position proche de la borne inférieure suggère une volatilité élevée et un potentiel de rebond technique, mais la décision reste neutre, le prix n'ayant pas encore franchi de niveau clé.</w:t>
      </w:r>
    </w:p>
    <w:p>
      <w:pPr>
        <w:spacing w:after="120" w:line="276" w:lineRule="auto"/>
      </w:pPr>
      <w:r>
        <w:t>**MACD** : Le MACD à -86,383 est légèrement supérieur à son signal à -88,778, indiquant un début de convergence positive. Bien que les deux valeurs soient négatives, ce croisement haussier suggère un momentum en amélioration, justifiant une décision d'achat à court terme.</w:t>
      </w:r>
    </w:p>
    <w:p>
      <w:pPr>
        <w:spacing w:after="120" w:line="276" w:lineRule="auto"/>
      </w:pPr>
      <w:r>
        <w:t>**RSI** : Le RSI à 26,891 est en zone de survente (sous 30), signalant une possible correction haussière après une baisse excessive. Cette valeur indique que le titre est techniquement survendu, ce qui pourrait attirer des acheteurs cherchant à profiter d'un rebond.</w:t>
      </w:r>
    </w:p>
    <w:p>
      <w:pPr>
        <w:spacing w:after="120" w:line="276" w:lineRule="auto"/>
      </w:pPr>
      <w:r>
        <w:t>**Stochastique** : Le %K à 22,222 et le %D à 7,407 montrent une dynamique haussière naissante, avec %K au-dessus de %D, mais les deux restent en zone de survente. La décision neutre reflète une incertitude sur la force du mouvement, nécessitant une confirmation supplémentaire.</w:t>
      </w:r>
    </w:p>
    <w:p>
      <w:pPr>
        <w:spacing w:after="120" w:line="276" w:lineRule="auto"/>
      </w:pPr>
      <w:r>
        <w:t>**Conclusion technique** : Les indicateurs sont mitigés, avec des signaux d'achat sur le MACD et le RSI, mais une tendance baissière dominante sur les moyennes mobiles. La convergence des signaux de survente suggère un potentiel de rebond, mais la prudence reste de mise tant que le cours ne dépasse pas la MM20.</w:t>
      </w:r>
    </w:p>
    <w:p>
      <w:pPr>
        <w:spacing w:after="120" w:line="276" w:lineRule="auto" w:before="240"/>
      </w:pPr>
      <w:r>
        <w:rPr>
          <w:b/>
          <w:color w:val="003366"/>
          <w:sz w:val="24"/>
        </w:rPr>
        <w:t>**PARTIE 3 : ANALYSE FONDAMENTALE (SECTION CRITIQUE)**</w:t>
      </w:r>
    </w:p>
    <w:p>
      <w:pPr>
        <w:spacing w:after="120" w:line="276" w:lineRule="auto"/>
      </w:pPr>
      <w:r>
        <w:t>En 2024, SIVC a réalisé un chiffre d'affaires de 9,283 milliards FCFA avec un résultat net de 376,96 millions FCFA, soit une marge nette de 4,06%. Le ROE de 11,52% et le ROA de 2,69% montrent une rentabilité correcte mais perfectible. Le coefficient d'exploitation de 95,83% est très élevé, indiquant une mauvaise maîtrise des charges, bien que le taux de croissance du PNB de 9,05% soit positif. Le coût du risque de 3,10% est élevé, signalant un risque de crédit significatif. Les rapports trimestriels 2025 montrent une amélioration nette : au T3 2025, le CA atteint 7,585 milliards FCFA (+13%) et le résultat net 832,5 millions FCFA (+58%), avec une marge nette de 11%. Sur la base de ces performances, on estime que l'exercice 2025 pourrait dépasser les 10 milliards FCFA de CA et un résultat net supérieur à 1 milliard FCFA, bien que le rapport annuel 2025 (publié en 2026) indique un résultat net de 179 millions FCFA, en forte baisse, reflétant une dégradation au T4. La trésorerie nette reste négative à -2,143 milliards FCFA, un point de vigilance majeur.</w:t>
      </w:r>
    </w:p>
    <w:p>
      <w:pPr>
        <w:spacing w:after="120" w:line="276" w:lineRule="auto" w:before="240"/>
      </w:pPr>
      <w:r>
        <w:rPr>
          <w:b/>
          <w:color w:val="003366"/>
          <w:sz w:val="24"/>
        </w:rPr>
        <w:t>**PARTIE 4 : CONCLUSION D'INVESTISSEMENT**</w:t>
      </w:r>
    </w:p>
    <w:p>
      <w:pPr>
        <w:spacing w:after="120" w:line="276" w:lineRule="auto"/>
      </w:pPr>
      <w:r>
        <w:t>La valorisation de SIVC est clairement surévaluée avec un PER de 49,2x et un P/B de 5,67x, bien au-dessus des moyennes BRVM, ce qui pénalise l'attractivité du titre. Le comportement du cours sur 100 jours est préoccupant avec une chute de 25%, une volatilité élevée de 50,6% et une asymétrie négative, indiquant un risque accru. Les signaux techniques sont mitigés, avec des indicateurs de survente (RSI, Stochastique) suggérant un rebond technique, mais la tendance baissière des moyennes mobiles reste dominante. Fondamentalement, l'entreprise montre une amélioration trimestrielle en 2025, mais le résultat net annuel 2025 déçoit, et la trésorerie négative reste un risque. Les prédictions IA prévoient une poursuite de la baisse vers 1 850 FCFA d'ici 10 jours, confirmant les signaux baissiers. La recommandation finale est **VENTE**, avec un niveau de confiance **Moyen** et un risque global **Élevé**. L'horizon d'investissement optimal serait à court terme (&lt;3 mois) pour les investisseurs cherchant à limiter les pertes, en attendant une stabilisation des fondamentaux et une amélioration de la trésorerie.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affiche des pertes r\u00e9currentes avec une d\u00e9gradation continue de la rentabilit\u00e9 op\u00e9rationnelle et un environnement \u00e9conomique tr\u00e8s instable. Les perspectives restent incertaines malgr\u00e9 les efforts de restructuration."}</w:t>
      </w:r>
    </w:p>
    <w:p>
      <w:pPr>
        <w:spacing w:before="40"/>
        <w:ind w:left="400"/>
      </w:pPr>
      <w:r>
        <w:rPr>
          <w:sz w:val="18"/>
        </w:rPr>
        <w:t>Air Liquide Côte d'Ivoire a enregistré une performance dégradée au premier semestre 2020 avec un chiffre d'affaires en recul de 5% à 3,3 milliards FCFA, impacté par la pandémie COVID-19. La société affiche une perte nette de 112 millions FCFA contre un bénéfice de 147 millions FCFA au premier semestre 2019, soit une dégradation de 176%. Le résultat d'exploitation s'est détérioré de 19% à -226 millions FCFA en raison de coûts de restructuration plus élevés. Cependant, l'amélioration du système de gestion clients et stock a permis une réduction des provisions. Le résultat financier s'améliore légèrement grâce au remboursement progressif des emprunts bancaires.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'resultat_financier': '-87 657 K.FCFA', 'resultat_exploitation': '-226 184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-112 006 K.FCFA (S1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3 303 060 K.FCFA (S1 2020)</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 à 3,3 milliards FCFA au S1 2020</w:t>
      </w:r>
    </w:p>
    <w:p>
      <w:pPr>
        <w:pStyle w:val="ListBullet"/>
        <w:spacing w:before="20" w:after="20"/>
        <w:ind w:left="700"/>
      </w:pPr>
      <w:r>
        <w:rPr>
          <w:sz w:val="18"/>
        </w:rPr>
        <w:t>Perte nette de 112 millions FCFA contre un bénéfice de 147 millions FCFA au S1 2019</w:t>
      </w:r>
    </w:p>
    <w:p>
      <w:pPr>
        <w:pStyle w:val="ListBullet"/>
        <w:spacing w:before="20" w:after="20"/>
        <w:ind w:left="700"/>
      </w:pPr>
      <w:r>
        <w:rPr>
          <w:sz w:val="18"/>
        </w:rPr>
        <w:t>Résultat d'exploitation négatif aggravé de 19% à -226 millions FCFA</w:t>
      </w:r>
    </w:p>
    <w:p>
      <w:pPr>
        <w:pStyle w:val="ListBullet"/>
        <w:spacing w:before="20" w:after="20"/>
        <w:ind w:left="700"/>
      </w:pPr>
      <w:r>
        <w:rPr>
          <w:sz w:val="18"/>
        </w:rPr>
        <w:t>Impact significatif de la pandémie COVID-19 sur l'activité</w:t>
      </w:r>
    </w:p>
    <w:p>
      <w:pPr>
        <w:pStyle w:val="ListBullet"/>
        <w:spacing w:before="20" w:after="20"/>
        <w:ind w:left="700"/>
      </w:pPr>
      <w:r>
        <w:rPr>
          <w:sz w:val="18"/>
        </w:rPr>
        <w:t>Coûts de restructuration organisationnelle élevés</w:t>
      </w:r>
    </w:p>
    <w:p>
      <w:pPr>
        <w:pStyle w:val="ListBullet"/>
        <w:spacing w:before="20" w:after="20"/>
        <w:ind w:left="700"/>
      </w:pPr>
      <w:r>
        <w:rPr>
          <w:sz w:val="18"/>
        </w:rPr>
        <w:t>Amélioration du système de gestion clients et stock réduisant les provisions</w:t>
      </w:r>
    </w:p>
    <w:p>
      <w:pPr>
        <w:spacing w:before="40"/>
        <w:ind w:left="400"/>
      </w:pPr>
      <w:r>
        <w:rPr>
          <w:b/>
          <w:color w:val="C05000"/>
          <w:sz w:val="18"/>
        </w:rPr>
        <w:t xml:space="preserve">⚠️ Risques : </w:t>
      </w:r>
      <w:r>
        <w:rPr>
          <w:sz w:val="18"/>
        </w:rPr>
        <w:t>["Impact prolong\u00e9 de la pand\u00e9mie COVID-19 sur l'activit\u00e9", "Contexte \u00e9conomique tr\u00e8s instable en C\u00f4te d'Ivoire", "Difficult\u00e9s r\u00e9currentes de rentabilit\u00e9 op\u00e9rationnelle avec des pertes d'exploitation persistantes"]</w:t>
      </w:r>
    </w:p>
    <w:p>
      <w:pPr>
        <w:spacing w:before="40"/>
        <w:ind w:left="400"/>
      </w:pPr>
      <w:r>
        <w:rPr>
          <w:b/>
          <w:color w:val="0064A0"/>
          <w:sz w:val="18"/>
        </w:rPr>
        <w:t xml:space="preserve">🔮 Perspectives : </w:t>
      </w:r>
      <w:r>
        <w:rPr>
          <w:sz w:val="18"/>
        </w:rPr>
        <w:t>Les perspectives du second semestre 2020 restent marquées par l'incertitude liée à la pandémie COVID-19 toujours présente. La société mise sur l'amélioration du processus de collecte de cash et la conservation de sa part de marché pour garantir la continuité d'exploitation dans un environnement écon</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609.05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993 titres</w:t>
            </w:r>
          </w:p>
        </w:tc>
        <w:tc>
          <w:tcPr>
            <w:tcW w:type="dxa" w:w="2268"/>
            <w:shd w:fill="FFF2CC" w:val="clear"/>
          </w:tcPr>
          <w:p>
            <w:r>
              <w:rPr>
                <w:b/>
                <w:color w:val="503200"/>
                <w:sz w:val="16"/>
              </w:rPr>
              <w:t xml:space="preserve">Cours actuel : </w:t>
            </w:r>
            <w:r>
              <w:rPr>
                <w:color w:val="000000"/>
                <w:sz w:val="17"/>
              </w:rPr>
              <w:t>37,000 FCFA</w:t>
            </w:r>
          </w:p>
          <w:p>
            <w:r>
              <w:rPr>
                <w:b/>
                <w:color w:val="503200"/>
                <w:sz w:val="16"/>
              </w:rPr>
              <w:t xml:space="preserve">Var. 100 jours : </w:t>
            </w:r>
            <w:r>
              <w:rPr>
                <w:b/>
                <w:color w:val="B40000"/>
                <w:sz w:val="17"/>
              </w:rPr>
              <w:t>-5.16%</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2.40% (Faible) — μ=38,546 FCFA, σ=925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β=0.1846 (Défensif) — Cov=0.000007, Var(idx)=0.000036, ρ=0.060,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993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35,730</w:t>
            </w:r>
          </w:p>
        </w:tc>
        <w:tc>
          <w:tcPr>
            <w:tcW w:type="dxa" w:w="1440"/>
            <w:shd w:fill="FAFAFA" w:val="clear"/>
          </w:tcPr>
          <w:p>
            <w:r>
              <w:rPr>
                <w:b/>
                <w:sz w:val="17"/>
              </w:rPr>
              <w:t>37,027</w:t>
            </w:r>
          </w:p>
        </w:tc>
        <w:tc>
          <w:tcPr>
            <w:tcW w:type="dxa" w:w="1440"/>
            <w:shd w:fill="FAFAFA" w:val="clear"/>
          </w:tcPr>
          <w:p>
            <w:r>
              <w:rPr>
                <w:sz w:val="17"/>
              </w:rPr>
              <w:t>38,324</w:t>
            </w:r>
          </w:p>
        </w:tc>
        <w:tc>
          <w:tcPr>
            <w:tcW w:type="dxa" w:w="1440"/>
            <w:shd w:fill="FAFAFA" w:val="clear"/>
          </w:tcPr>
          <w:p>
            <w:r>
              <w:rPr>
                <w:b/>
                <w:color w:val="008000"/>
                <w:sz w:val="17"/>
              </w:rPr>
              <w:t>+0.1%</w:t>
            </w:r>
          </w:p>
        </w:tc>
      </w:tr>
      <w:tr>
        <w:tc>
          <w:tcPr>
            <w:tcW w:type="dxa" w:w="1440"/>
            <w:shd w:fill="FAFAFA" w:val="clear"/>
          </w:tcPr>
          <w:p>
            <w:r>
              <w:rPr>
                <w:sz w:val="17"/>
              </w:rPr>
              <w:t>J+2  Moyenne</w:t>
            </w:r>
          </w:p>
        </w:tc>
        <w:tc>
          <w:tcPr>
            <w:tcW w:type="dxa" w:w="1440"/>
            <w:shd w:fill="FAFAFA" w:val="clear"/>
          </w:tcPr>
          <w:p>
            <w:r>
              <w:rPr>
                <w:sz w:val="17"/>
              </w:rPr>
              <w:t>2026-08-11</w:t>
            </w:r>
          </w:p>
        </w:tc>
        <w:tc>
          <w:tcPr>
            <w:tcW w:type="dxa" w:w="1440"/>
            <w:shd w:fill="FAFAFA" w:val="clear"/>
          </w:tcPr>
          <w:p>
            <w:r>
              <w:rPr>
                <w:sz w:val="17"/>
              </w:rPr>
              <w:t>35,122</w:t>
            </w:r>
          </w:p>
        </w:tc>
        <w:tc>
          <w:tcPr>
            <w:tcW w:type="dxa" w:w="1440"/>
            <w:shd w:fill="FAFAFA" w:val="clear"/>
          </w:tcPr>
          <w:p>
            <w:r>
              <w:rPr>
                <w:b/>
                <w:sz w:val="17"/>
              </w:rPr>
              <w:t>36,952</w:t>
            </w:r>
          </w:p>
        </w:tc>
        <w:tc>
          <w:tcPr>
            <w:tcW w:type="dxa" w:w="1440"/>
            <w:shd w:fill="FAFAFA" w:val="clear"/>
          </w:tcPr>
          <w:p>
            <w:r>
              <w:rPr>
                <w:sz w:val="17"/>
              </w:rPr>
              <w:t>38,782</w:t>
            </w:r>
          </w:p>
        </w:tc>
        <w:tc>
          <w:tcPr>
            <w:tcW w:type="dxa" w:w="1440"/>
            <w:shd w:fill="FAFAFA" w:val="clear"/>
          </w:tcPr>
          <w:p>
            <w:r>
              <w:rPr>
                <w:b/>
                <w:color w:val="C00000"/>
                <w:sz w:val="17"/>
              </w:rPr>
              <w:t>-0.1%</w:t>
            </w:r>
          </w:p>
        </w:tc>
      </w:tr>
      <w:tr>
        <w:tc>
          <w:tcPr>
            <w:tcW w:type="dxa" w:w="1440"/>
            <w:shd w:fill="FAFAFA" w:val="clear"/>
          </w:tcPr>
          <w:p>
            <w:r>
              <w:rPr>
                <w:sz w:val="17"/>
              </w:rPr>
              <w:t>J+3  Moyenne</w:t>
            </w:r>
          </w:p>
        </w:tc>
        <w:tc>
          <w:tcPr>
            <w:tcW w:type="dxa" w:w="1440"/>
            <w:shd w:fill="FAFAFA" w:val="clear"/>
          </w:tcPr>
          <w:p>
            <w:r>
              <w:rPr>
                <w:sz w:val="17"/>
              </w:rPr>
              <w:t>2026-08-12</w:t>
            </w:r>
          </w:p>
        </w:tc>
        <w:tc>
          <w:tcPr>
            <w:tcW w:type="dxa" w:w="1440"/>
            <w:shd w:fill="FAFAFA" w:val="clear"/>
          </w:tcPr>
          <w:p>
            <w:r>
              <w:rPr>
                <w:sz w:val="17"/>
              </w:rPr>
              <w:t>34,680</w:t>
            </w:r>
          </w:p>
        </w:tc>
        <w:tc>
          <w:tcPr>
            <w:tcW w:type="dxa" w:w="1440"/>
            <w:shd w:fill="FAFAFA" w:val="clear"/>
          </w:tcPr>
          <w:p>
            <w:r>
              <w:rPr>
                <w:b/>
                <w:sz w:val="17"/>
              </w:rPr>
              <w:t>36,920</w:t>
            </w:r>
          </w:p>
        </w:tc>
        <w:tc>
          <w:tcPr>
            <w:tcW w:type="dxa" w:w="1440"/>
            <w:shd w:fill="FAFAFA" w:val="clear"/>
          </w:tcPr>
          <w:p>
            <w:r>
              <w:rPr>
                <w:sz w:val="17"/>
              </w:rPr>
              <w:t>39,159</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34,311</w:t>
            </w:r>
          </w:p>
        </w:tc>
        <w:tc>
          <w:tcPr>
            <w:tcW w:type="dxa" w:w="1440"/>
            <w:shd w:fill="FAFAFA" w:val="clear"/>
          </w:tcPr>
          <w:p>
            <w:r>
              <w:rPr>
                <w:b/>
                <w:sz w:val="17"/>
              </w:rPr>
              <w:t>36,895</w:t>
            </w:r>
          </w:p>
        </w:tc>
        <w:tc>
          <w:tcPr>
            <w:tcW w:type="dxa" w:w="1440"/>
            <w:shd w:fill="FAFAFA" w:val="clear"/>
          </w:tcPr>
          <w:p>
            <w:r>
              <w:rPr>
                <w:sz w:val="17"/>
              </w:rPr>
              <w:t>39,479</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2026-08-14</w:t>
            </w:r>
          </w:p>
        </w:tc>
        <w:tc>
          <w:tcPr>
            <w:tcW w:type="dxa" w:w="1440"/>
            <w:shd w:fill="FAFAFA" w:val="clear"/>
          </w:tcPr>
          <w:p>
            <w:r>
              <w:rPr>
                <w:sz w:val="17"/>
              </w:rPr>
              <w:t>33,982</w:t>
            </w:r>
          </w:p>
        </w:tc>
        <w:tc>
          <w:tcPr>
            <w:tcW w:type="dxa" w:w="1440"/>
            <w:shd w:fill="FAFAFA" w:val="clear"/>
          </w:tcPr>
          <w:p>
            <w:r>
              <w:rPr>
                <w:b/>
                <w:sz w:val="17"/>
              </w:rPr>
              <w:t>36,870</w:t>
            </w:r>
          </w:p>
        </w:tc>
        <w:tc>
          <w:tcPr>
            <w:tcW w:type="dxa" w:w="1440"/>
            <w:shd w:fill="FAFAFA" w:val="clear"/>
          </w:tcPr>
          <w:p>
            <w:r>
              <w:rPr>
                <w:sz w:val="17"/>
              </w:rPr>
              <w:t>39,757</w:t>
            </w:r>
          </w:p>
        </w:tc>
        <w:tc>
          <w:tcPr>
            <w:tcW w:type="dxa" w:w="1440"/>
            <w:shd w:fill="FAFAFA" w:val="clear"/>
          </w:tcPr>
          <w:p>
            <w:r>
              <w:rPr>
                <w:b/>
                <w:color w:val="C00000"/>
                <w:sz w:val="17"/>
              </w:rPr>
              <w:t>-0.4%</w:t>
            </w:r>
          </w:p>
        </w:tc>
      </w:tr>
      <w:tr>
        <w:tc>
          <w:tcPr>
            <w:tcW w:type="dxa" w:w="1440"/>
            <w:shd w:fill="FAFAFA" w:val="clear"/>
          </w:tcPr>
          <w:p>
            <w:r>
              <w:rPr>
                <w:sz w:val="17"/>
              </w:rPr>
              <w:t>J+6  ⭐</w:t>
            </w:r>
          </w:p>
        </w:tc>
        <w:tc>
          <w:tcPr>
            <w:tcW w:type="dxa" w:w="1440"/>
            <w:shd w:fill="FAFAFA" w:val="clear"/>
          </w:tcPr>
          <w:p>
            <w:r>
              <w:rPr>
                <w:sz w:val="17"/>
              </w:rPr>
              <w:t>2026-08-17</w:t>
            </w:r>
          </w:p>
        </w:tc>
        <w:tc>
          <w:tcPr>
            <w:tcW w:type="dxa" w:w="1440"/>
            <w:shd w:fill="FAFAFA" w:val="clear"/>
          </w:tcPr>
          <w:p>
            <w:r>
              <w:rPr>
                <w:sz w:val="17"/>
              </w:rPr>
              <w:t>33,682</w:t>
            </w:r>
          </w:p>
        </w:tc>
        <w:tc>
          <w:tcPr>
            <w:tcW w:type="dxa" w:w="1440"/>
            <w:shd w:fill="FAFAFA" w:val="clear"/>
          </w:tcPr>
          <w:p>
            <w:r>
              <w:rPr>
                <w:b/>
                <w:sz w:val="17"/>
              </w:rPr>
              <w:t>36,843</w:t>
            </w:r>
          </w:p>
        </w:tc>
        <w:tc>
          <w:tcPr>
            <w:tcW w:type="dxa" w:w="1440"/>
            <w:shd w:fill="FAFAFA" w:val="clear"/>
          </w:tcPr>
          <w:p>
            <w:r>
              <w:rPr>
                <w:sz w:val="17"/>
              </w:rPr>
              <w:t>40,004</w:t>
            </w:r>
          </w:p>
        </w:tc>
        <w:tc>
          <w:tcPr>
            <w:tcW w:type="dxa" w:w="1440"/>
            <w:shd w:fill="FAFAFA" w:val="clear"/>
          </w:tcPr>
          <w:p>
            <w:r>
              <w:rPr>
                <w:b/>
                <w:color w:val="C00000"/>
                <w:sz w:val="17"/>
              </w:rPr>
              <w:t>-0.4%</w:t>
            </w:r>
          </w:p>
        </w:tc>
      </w:tr>
      <w:tr>
        <w:tc>
          <w:tcPr>
            <w:tcW w:type="dxa" w:w="1440"/>
            <w:shd w:fill="FAFAFA" w:val="clear"/>
          </w:tcPr>
          <w:p>
            <w:r>
              <w:rPr>
                <w:sz w:val="17"/>
              </w:rPr>
              <w:t>J+7  ⭐</w:t>
            </w:r>
          </w:p>
        </w:tc>
        <w:tc>
          <w:tcPr>
            <w:tcW w:type="dxa" w:w="1440"/>
            <w:shd w:fill="FAFAFA" w:val="clear"/>
          </w:tcPr>
          <w:p>
            <w:r>
              <w:rPr>
                <w:sz w:val="17"/>
              </w:rPr>
              <w:t>2026-08-18</w:t>
            </w:r>
          </w:p>
        </w:tc>
        <w:tc>
          <w:tcPr>
            <w:tcW w:type="dxa" w:w="1440"/>
            <w:shd w:fill="FAFAFA" w:val="clear"/>
          </w:tcPr>
          <w:p>
            <w:r>
              <w:rPr>
                <w:sz w:val="17"/>
              </w:rPr>
              <w:t>33,404</w:t>
            </w:r>
          </w:p>
        </w:tc>
        <w:tc>
          <w:tcPr>
            <w:tcW w:type="dxa" w:w="1440"/>
            <w:shd w:fill="FAFAFA" w:val="clear"/>
          </w:tcPr>
          <w:p>
            <w:r>
              <w:rPr>
                <w:b/>
                <w:sz w:val="17"/>
              </w:rPr>
              <w:t>36,815</w:t>
            </w:r>
          </w:p>
        </w:tc>
        <w:tc>
          <w:tcPr>
            <w:tcW w:type="dxa" w:w="1440"/>
            <w:shd w:fill="FAFAFA" w:val="clear"/>
          </w:tcPr>
          <w:p>
            <w:r>
              <w:rPr>
                <w:sz w:val="17"/>
              </w:rPr>
              <w:t>40,226</w:t>
            </w:r>
          </w:p>
        </w:tc>
        <w:tc>
          <w:tcPr>
            <w:tcW w:type="dxa" w:w="1440"/>
            <w:shd w:fill="FAFAFA" w:val="clear"/>
          </w:tcPr>
          <w:p>
            <w:r>
              <w:rPr>
                <w:b/>
                <w:color w:val="C00000"/>
                <w:sz w:val="17"/>
              </w:rPr>
              <w:t>-0.5%</w:t>
            </w:r>
          </w:p>
        </w:tc>
      </w:tr>
      <w:tr>
        <w:tc>
          <w:tcPr>
            <w:tcW w:type="dxa" w:w="1440"/>
            <w:shd w:fill="FAFAFA" w:val="clear"/>
          </w:tcPr>
          <w:p>
            <w:r>
              <w:rPr>
                <w:sz w:val="17"/>
              </w:rPr>
              <w:t>J+8  ⭐</w:t>
            </w:r>
          </w:p>
        </w:tc>
        <w:tc>
          <w:tcPr>
            <w:tcW w:type="dxa" w:w="1440"/>
            <w:shd w:fill="FAFAFA" w:val="clear"/>
          </w:tcPr>
          <w:p>
            <w:r>
              <w:rPr>
                <w:sz w:val="17"/>
              </w:rPr>
              <w:t>2026-08-19</w:t>
            </w:r>
          </w:p>
        </w:tc>
        <w:tc>
          <w:tcPr>
            <w:tcW w:type="dxa" w:w="1440"/>
            <w:shd w:fill="FAFAFA" w:val="clear"/>
          </w:tcPr>
          <w:p>
            <w:r>
              <w:rPr>
                <w:sz w:val="17"/>
              </w:rPr>
              <w:t>33,142</w:t>
            </w:r>
          </w:p>
        </w:tc>
        <w:tc>
          <w:tcPr>
            <w:tcW w:type="dxa" w:w="1440"/>
            <w:shd w:fill="FAFAFA" w:val="clear"/>
          </w:tcPr>
          <w:p>
            <w:r>
              <w:rPr>
                <w:b/>
                <w:sz w:val="17"/>
              </w:rPr>
              <w:t>36,786</w:t>
            </w:r>
          </w:p>
        </w:tc>
        <w:tc>
          <w:tcPr>
            <w:tcW w:type="dxa" w:w="1440"/>
            <w:shd w:fill="FAFAFA" w:val="clear"/>
          </w:tcPr>
          <w:p>
            <w:r>
              <w:rPr>
                <w:sz w:val="17"/>
              </w:rPr>
              <w:t>40,429</w:t>
            </w:r>
          </w:p>
        </w:tc>
        <w:tc>
          <w:tcPr>
            <w:tcW w:type="dxa" w:w="1440"/>
            <w:shd w:fill="FAFAFA" w:val="clear"/>
          </w:tcPr>
          <w:p>
            <w:r>
              <w:rPr>
                <w:b/>
                <w:color w:val="C00000"/>
                <w:sz w:val="17"/>
              </w:rPr>
              <w:t>-0.6%</w:t>
            </w:r>
          </w:p>
        </w:tc>
      </w:tr>
      <w:tr>
        <w:tc>
          <w:tcPr>
            <w:tcW w:type="dxa" w:w="1440"/>
            <w:shd w:fill="FAFAFA" w:val="clear"/>
          </w:tcPr>
          <w:p>
            <w:r>
              <w:rPr>
                <w:sz w:val="17"/>
              </w:rPr>
              <w:t>J+9  ⭐</w:t>
            </w:r>
          </w:p>
        </w:tc>
        <w:tc>
          <w:tcPr>
            <w:tcW w:type="dxa" w:w="1440"/>
            <w:shd w:fill="FAFAFA" w:val="clear"/>
          </w:tcPr>
          <w:p>
            <w:r>
              <w:rPr>
                <w:sz w:val="17"/>
              </w:rPr>
              <w:t>2026-08-20</w:t>
            </w:r>
          </w:p>
        </w:tc>
        <w:tc>
          <w:tcPr>
            <w:tcW w:type="dxa" w:w="1440"/>
            <w:shd w:fill="FAFAFA" w:val="clear"/>
          </w:tcPr>
          <w:p>
            <w:r>
              <w:rPr>
                <w:sz w:val="17"/>
              </w:rPr>
              <w:t>32,894</w:t>
            </w:r>
          </w:p>
        </w:tc>
        <w:tc>
          <w:tcPr>
            <w:tcW w:type="dxa" w:w="1440"/>
            <w:shd w:fill="FAFAFA" w:val="clear"/>
          </w:tcPr>
          <w:p>
            <w:r>
              <w:rPr>
                <w:b/>
                <w:sz w:val="17"/>
              </w:rPr>
              <w:t>36,756</w:t>
            </w:r>
          </w:p>
        </w:tc>
        <w:tc>
          <w:tcPr>
            <w:tcW w:type="dxa" w:w="1440"/>
            <w:shd w:fill="FAFAFA" w:val="clear"/>
          </w:tcPr>
          <w:p>
            <w:r>
              <w:rPr>
                <w:sz w:val="17"/>
              </w:rPr>
              <w:t>40,617</w:t>
            </w:r>
          </w:p>
        </w:tc>
        <w:tc>
          <w:tcPr>
            <w:tcW w:type="dxa" w:w="1440"/>
            <w:shd w:fill="FAFAFA" w:val="clear"/>
          </w:tcPr>
          <w:p>
            <w:r>
              <w:rPr>
                <w:b/>
                <w:color w:val="C00000"/>
                <w:sz w:val="17"/>
              </w:rPr>
              <w:t>-0.7%</w:t>
            </w:r>
          </w:p>
        </w:tc>
      </w:tr>
      <w:tr>
        <w:tc>
          <w:tcPr>
            <w:tcW w:type="dxa" w:w="1440"/>
            <w:shd w:fill="FAFAFA" w:val="clear"/>
          </w:tcPr>
          <w:p>
            <w:r>
              <w:rPr>
                <w:sz w:val="17"/>
              </w:rPr>
              <w:t>J+10  ⭐</w:t>
            </w:r>
          </w:p>
        </w:tc>
        <w:tc>
          <w:tcPr>
            <w:tcW w:type="dxa" w:w="1440"/>
            <w:shd w:fill="FAFAFA" w:val="clear"/>
          </w:tcPr>
          <w:p>
            <w:r>
              <w:rPr>
                <w:sz w:val="17"/>
              </w:rPr>
              <w:t>2026-08-21</w:t>
            </w:r>
          </w:p>
        </w:tc>
        <w:tc>
          <w:tcPr>
            <w:tcW w:type="dxa" w:w="1440"/>
            <w:shd w:fill="FAFAFA" w:val="clear"/>
          </w:tcPr>
          <w:p>
            <w:r>
              <w:rPr>
                <w:sz w:val="17"/>
              </w:rPr>
              <w:t>32,658</w:t>
            </w:r>
          </w:p>
        </w:tc>
        <w:tc>
          <w:tcPr>
            <w:tcW w:type="dxa" w:w="1440"/>
            <w:shd w:fill="FAFAFA" w:val="clear"/>
          </w:tcPr>
          <w:p>
            <w:r>
              <w:rPr>
                <w:b/>
                <w:sz w:val="17"/>
              </w:rPr>
              <w:t>36,725</w:t>
            </w:r>
          </w:p>
        </w:tc>
        <w:tc>
          <w:tcPr>
            <w:tcW w:type="dxa" w:w="1440"/>
            <w:shd w:fill="FAFAFA" w:val="clear"/>
          </w:tcPr>
          <w:p>
            <w:r>
              <w:rPr>
                <w:sz w:val="17"/>
              </w:rPr>
              <w:t>40,792</w:t>
            </w:r>
          </w:p>
        </w:tc>
        <w:tc>
          <w:tcPr>
            <w:tcW w:type="dxa" w:w="1440"/>
            <w:shd w:fill="FAFAFA" w:val="clear"/>
          </w:tcPr>
          <w:p>
            <w:r>
              <w:rPr>
                <w:b/>
                <w:color w:val="C00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br/>
        <w:t>**Date : 10 août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609,05 milliards FCFA, SLBC s'impose comme l'une des valeurs les plus lourdes et les plus liquides de la BRVM, reflétant sa position dominante dans le secteur des boissons en Afrique de l'Ouest. Le BPA de 2 781 FCFA indique que chaque action génère un bénéfice substantiel, justifiant un PER de 13,3x. Ce ratio, légèrement supérieur à la moyenne historique de la place (~8-12x), traduit une prime de croissance accordée par le marché aux excellentes performances récentes de la société. Le P/B de 3,12x confirme cette prime, le marché valorisant le titre bien au-delà de sa valeur comptable, en anticipation de la poursuite de la création de valeur. Enfin, un EV/EBITDA de 7,2x reste dans une zone raisonnable, indiquant que la valorisation globale de l'entreprise, rapportée à sa capacité opérationnelle, n'apparaît pas excessive.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SLBC a enregistré une baisse de 5,16%, s'établissant à 37 000 FCFA, avec une légère reprise de +0,27% lors de la dernière séance. Le cours a évolué dans un range de 5 960 FCFA, entre un plus haut de 41 500 FCFA et un plus bas de 35 540 FCFA, montrant une amplitude de trading non négligeable. La moyenne (38 546 FCFA) et la médiane (38 825 FCFA) sont proches, indiquant une distribution des prix relativement symétrique, ce que confirme le skewness de -0,160. L'écart-type de 930 FCFA, avec un coefficient de variation de seulement 2,4%, révèle une dispersion très faible des cours autour de la moyenne, signe d'une stabilité relative. Le kurtosis de 0,488 (mésokurtique) suggère une absence de risques de mouvements extrêmes. La volatilité annualisée de 28,7% classe le titre dans la catégorie "modérée", indiquant des fluctuations de prix significatives mais non excessives pour un marché émergent.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(37 000 FCFA) est inférieur à la MM20 (38 715,5 FCFA) et à la MM50 (38 808,3 FCFA), qui sont presque confondues. Cette configuration baissière, où le prix évolue sous les deux moyennes clés, indique une dynamique de court et moyen terme négative, justifiant la décision de "Vente".</w:t>
      </w:r>
    </w:p>
    <w:p>
      <w:pPr>
        <w:spacing w:after="120" w:line="276" w:lineRule="auto"/>
      </w:pPr>
      <w:r>
        <w:t>**Bandes de Bollinger** : Le cours se situe près de la borne inférieure (36 713,5 FCFA), après avoir touché des niveaux plus élevés. Cette position suggère que le titre est temporairement survendu, mais la décision "Neutre" reflète l'absence de signal directionnel fort, le prix n'ayant pas encore franchi la borne de manière décisive.</w:t>
      </w:r>
    </w:p>
    <w:p>
      <w:pPr>
        <w:spacing w:after="120" w:line="276" w:lineRule="auto"/>
      </w:pPr>
      <w:r>
        <w:t>**MACD** : La valeur du MACD (-457,5) est nettement inférieure à son signal (-194,8), confirmant un momentum baissier. Cette divergence négative indique que la pression vendeuse est toujours dominante à moyen terme, justifiant la décision de "Vente".</w:t>
      </w:r>
    </w:p>
    <w:p>
      <w:pPr>
        <w:spacing w:after="120" w:line="276" w:lineRule="auto"/>
      </w:pPr>
      <w:r>
        <w:t>**RSI** : À 37,3, le RSI se situe en zone neutre, mais proche de la zone de survente (30). Cela suggère que la pression vendeuse s'essouffle, sans pour autant signaler un retournement imminent. La décision "Neutre" est donc cohérente avec cette lecture.</w:t>
      </w:r>
    </w:p>
    <w:p>
      <w:pPr>
        <w:spacing w:after="120" w:line="276" w:lineRule="auto"/>
      </w:pPr>
      <w:r>
        <w:t>**Stochastique** : Avec un %K à 3,2 et un %D à 1,6, l'indicateur est en zone de survente extrême. Ce niveau très bas suggère un potentiel de rebond technique à très court terme, justifiant la décision d' "Achat".</w:t>
      </w:r>
    </w:p>
    <w:p>
      <w:pPr>
        <w:spacing w:after="120" w:line="276" w:lineRule="auto"/>
      </w:pPr>
      <w:r>
        <w:t>**Conclusion technique** : Les indicateurs de tendance (MM, MACD) sont baissiers, tandis que les oscillateurs (RSI, Stochastique) signalent une condition de survente. Cette divergence suggère que le mouvement de baisse pourrait marquer une pause, mais qu'aucun signal de retournement haussier majeur n'est encore confirmé. La prudence reste de mise à court terme.</w:t>
      </w:r>
    </w:p>
    <w:p>
      <w:pPr>
        <w:spacing w:after="120" w:line="276" w:lineRule="auto"/>
      </w:pPr>
      <w:r>
        <w:t>---</w:t>
      </w:r>
    </w:p>
    <w:p>
      <w:pPr>
        <w:spacing w:after="120" w:line="276" w:lineRule="auto"/>
      </w:pPr>
      <w:r>
        <w:t>### PARTIE 3 : ANALYSE FONDAMENTALE (SECTION CRITIQUE)</w:t>
      </w:r>
    </w:p>
    <w:p>
      <w:pPr>
        <w:spacing w:after="120" w:line="276" w:lineRule="auto"/>
      </w:pPr>
      <w:r>
        <w:t>En 2025, SLBC a réalisé une performance financière exceptionnelle, avec un chiffre d'affaires de 378,12 milliards FCFA, en hausse de 22,1% par rapport à 2024 (309,72 milliards FCFA). Le résultat net a plus que doublé pour atteindre 45,78 milliards FCFA, portant la marge nette à 12,1% (contre 6,9% en 2024). Cette amélioration spectaculaire de la rentabilité se reflète dans un ROE de 23,46% et un ROA de 13,48%, tous deux excellents. La structure financière est saine, avec une autonomie financière de 57,5% et une capacité de remboursement rapide (0,67 an). Pour une entreprise industrielle, la gestion du BFR (61,59 milliards FCFA) et des délais est cruciale : le délai de paiement des clients (64 jours) est inférieur au délai de paiement des fournisseurs (77 jours), ce qui est favorable à la trésorerie. La durée de stockage de 117 jours reste un point d'attention, mais est compensée par une génération de cash-flow opérationnel robuste (83,93 milliards FCFA). Les rapports du S1 2025 (résultat net de 28,0 milliards FCFA, +175%) et du T1 2026 (résultat net de 16,26 milliards FCFA, +4,8%) confirment la poursuite de cette dynamique positive. Sur la base de ces données, on estime que l'exercice 2026 devrait voir une croissance plus modérée mais solide, avec un résultat net potentiellement en léger retrait par rapport au niveau exceptionnel de 2025, mais restant nettement supérieur à celui de 2024. La politique de dividende est très généreuse, avec un dividende proposé de 2 127 FCFA par action pour 2025, offrant un rendement élevé.</w:t>
      </w:r>
    </w:p>
    <w:p>
      <w:pPr>
        <w:spacing w:after="120" w:line="276" w:lineRule="auto"/>
      </w:pPr>
      <w:r>
        <w:t>---</w:t>
      </w:r>
    </w:p>
    <w:p>
      <w:pPr>
        <w:spacing w:after="120" w:line="276" w:lineRule="auto"/>
      </w:pPr>
      <w:r>
        <w:t>### PARTIE 4 : CONCLUSION D'INVESTISSEMENT</w:t>
      </w:r>
    </w:p>
    <w:p>
      <w:pPr>
        <w:spacing w:after="120" w:line="276" w:lineRule="auto"/>
      </w:pPr>
      <w:r>
        <w:t>La valorisation de SLBC (PER 13,3x, P/B 3,12x) intègre une prime de croissance, justifiée par des fondamentaux exceptionnels en 2025, mais le comportement récent du cours (-5,16% sur 100 jours) et les signaux techniques baissiers (MM, MACD) indiquent une phase de consolidation, malgré des conditions de survente à court terme. Les fondamentaux restent le principal moteur : la société affiche une croissance rentable, une structure financière solide et une politique de dividende très attractive. Les prédictions IA pour les 10 prochains jours (légère baisse vers 36 870 FCFA) confirment la faiblesse technique à très court terme. En synthèse, la convergence entre une valorisation raisonnable, des fondamentaux solides et une politique de distribution généreuse plaide pour une stratégie d'accumulation, mais la dynamique de prix actuelle suggère d'attendre un signal de retournement technique. **Recommandation finale : ACHAT** pour les investisseurs de moyen/long terme, avec un niveau de confiance **Moyen** et un risque global **Moyen**. L'horizon d'investissement optimal est de **moyen terme (3-12 mois)**, en capitalisant sur la solidité des résultats et le rendement du dividende, tout en surveillant la capacité de l'entreprise à maintenir sa croissance.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[2]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[3]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129.01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1,305 titres</w:t>
            </w:r>
          </w:p>
        </w:tc>
        <w:tc>
          <w:tcPr>
            <w:tcW w:type="dxa" w:w="2268"/>
            <w:shd w:fill="FFF2CC" w:val="clear"/>
          </w:tcPr>
          <w:p>
            <w:r>
              <w:rPr>
                <w:b/>
                <w:color w:val="503200"/>
                <w:sz w:val="16"/>
              </w:rPr>
              <w:t xml:space="preserve">Cours actuel : </w:t>
            </w:r>
            <w:r>
              <w:rPr>
                <w:color w:val="000000"/>
                <w:sz w:val="17"/>
              </w:rPr>
              <w:t>16,550 FCFA</w:t>
            </w:r>
          </w:p>
          <w:p>
            <w:r>
              <w:rPr>
                <w:b/>
                <w:color w:val="503200"/>
                <w:sz w:val="16"/>
              </w:rPr>
              <w:t xml:space="preserve">Var. 100 jours : </w:t>
            </w:r>
            <w:r>
              <w:rPr>
                <w:b/>
                <w:color w:val="007800"/>
                <w:sz w:val="17"/>
              </w:rPr>
              <w:t>+23.51%</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14.73% (Moyenne) — μ=14,141 FCFA, σ=2,083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β=-0.6318 (Contre-cyclique) — Cov=-0.000023, Var(idx)=0.000036, ρ=-0.154,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1,305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σ_j=2.43%/j (Stable) — Vol. annualisée≈38.5%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15,485</w:t>
            </w:r>
          </w:p>
        </w:tc>
        <w:tc>
          <w:tcPr>
            <w:tcW w:type="dxa" w:w="1440"/>
            <w:shd w:fill="FFDCE0" w:val="clear"/>
          </w:tcPr>
          <w:p>
            <w:r>
              <w:rPr>
                <w:b/>
                <w:sz w:val="17"/>
              </w:rPr>
              <w:t>16,209</w:t>
            </w:r>
          </w:p>
        </w:tc>
        <w:tc>
          <w:tcPr>
            <w:tcW w:type="dxa" w:w="1440"/>
            <w:shd w:fill="FFDCE0" w:val="clear"/>
          </w:tcPr>
          <w:p>
            <w:r>
              <w:rPr>
                <w:sz w:val="17"/>
              </w:rPr>
              <w:t>16,932</w:t>
            </w:r>
          </w:p>
        </w:tc>
        <w:tc>
          <w:tcPr>
            <w:tcW w:type="dxa" w:w="1440"/>
            <w:shd w:fill="FFDCE0" w:val="clear"/>
          </w:tcPr>
          <w:p>
            <w:r>
              <w:rPr>
                <w:b/>
                <w:color w:val="C00000"/>
                <w:sz w:val="17"/>
              </w:rPr>
              <w:t>-2.1%</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15,146</w:t>
            </w:r>
          </w:p>
        </w:tc>
        <w:tc>
          <w:tcPr>
            <w:tcW w:type="dxa" w:w="1440"/>
            <w:shd w:fill="FFDCE0" w:val="clear"/>
          </w:tcPr>
          <w:p>
            <w:r>
              <w:rPr>
                <w:b/>
                <w:sz w:val="17"/>
              </w:rPr>
              <w:t>16,166</w:t>
            </w:r>
          </w:p>
        </w:tc>
        <w:tc>
          <w:tcPr>
            <w:tcW w:type="dxa" w:w="1440"/>
            <w:shd w:fill="FFDCE0" w:val="clear"/>
          </w:tcPr>
          <w:p>
            <w:r>
              <w:rPr>
                <w:sz w:val="17"/>
              </w:rPr>
              <w:t>17,186</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14,850</w:t>
            </w:r>
          </w:p>
        </w:tc>
        <w:tc>
          <w:tcPr>
            <w:tcW w:type="dxa" w:w="1440"/>
            <w:shd w:fill="FFDCE0" w:val="clear"/>
          </w:tcPr>
          <w:p>
            <w:r>
              <w:rPr>
                <w:b/>
                <w:sz w:val="17"/>
              </w:rPr>
              <w:t>16,095</w:t>
            </w:r>
          </w:p>
        </w:tc>
        <w:tc>
          <w:tcPr>
            <w:tcW w:type="dxa" w:w="1440"/>
            <w:shd w:fill="FFDCE0" w:val="clear"/>
          </w:tcPr>
          <w:p>
            <w:r>
              <w:rPr>
                <w:sz w:val="17"/>
              </w:rPr>
              <w:t>17,339</w:t>
            </w:r>
          </w:p>
        </w:tc>
        <w:tc>
          <w:tcPr>
            <w:tcW w:type="dxa" w:w="1440"/>
            <w:shd w:fill="FFDCE0" w:val="clear"/>
          </w:tcPr>
          <w:p>
            <w:r>
              <w:rPr>
                <w:b/>
                <w:color w:val="C00000"/>
                <w:sz w:val="17"/>
              </w:rPr>
              <w:t>-2.8%</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14,604</w:t>
            </w:r>
          </w:p>
        </w:tc>
        <w:tc>
          <w:tcPr>
            <w:tcW w:type="dxa" w:w="1440"/>
            <w:shd w:fill="FFDCE0" w:val="clear"/>
          </w:tcPr>
          <w:p>
            <w:r>
              <w:rPr>
                <w:b/>
                <w:sz w:val="17"/>
              </w:rPr>
              <w:t>16,035</w:t>
            </w:r>
          </w:p>
        </w:tc>
        <w:tc>
          <w:tcPr>
            <w:tcW w:type="dxa" w:w="1440"/>
            <w:shd w:fill="FFDCE0" w:val="clear"/>
          </w:tcPr>
          <w:p>
            <w:r>
              <w:rPr>
                <w:sz w:val="17"/>
              </w:rPr>
              <w:t>17,466</w:t>
            </w:r>
          </w:p>
        </w:tc>
        <w:tc>
          <w:tcPr>
            <w:tcW w:type="dxa" w:w="1440"/>
            <w:shd w:fill="FFDCE0" w:val="clear"/>
          </w:tcPr>
          <w:p>
            <w:r>
              <w:rPr>
                <w:b/>
                <w:color w:val="C00000"/>
                <w:sz w:val="17"/>
              </w:rPr>
              <w:t>-3.1%</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14,385</w:t>
            </w:r>
          </w:p>
        </w:tc>
        <w:tc>
          <w:tcPr>
            <w:tcW w:type="dxa" w:w="1440"/>
            <w:shd w:fill="FFDCE0" w:val="clear"/>
          </w:tcPr>
          <w:p>
            <w:r>
              <w:rPr>
                <w:b/>
                <w:sz w:val="17"/>
              </w:rPr>
              <w:t>15,980</w:t>
            </w:r>
          </w:p>
        </w:tc>
        <w:tc>
          <w:tcPr>
            <w:tcW w:type="dxa" w:w="1440"/>
            <w:shd w:fill="FFDCE0" w:val="clear"/>
          </w:tcPr>
          <w:p>
            <w:r>
              <w:rPr>
                <w:sz w:val="17"/>
              </w:rPr>
              <w:t>17,575</w:t>
            </w:r>
          </w:p>
        </w:tc>
        <w:tc>
          <w:tcPr>
            <w:tcW w:type="dxa" w:w="1440"/>
            <w:shd w:fill="FFDCE0" w:val="clear"/>
          </w:tcPr>
          <w:p>
            <w:r>
              <w:rPr>
                <w:b/>
                <w:color w:val="C00000"/>
                <w:sz w:val="17"/>
              </w:rPr>
              <w:t>-3.4%</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14,186</w:t>
            </w:r>
          </w:p>
        </w:tc>
        <w:tc>
          <w:tcPr>
            <w:tcW w:type="dxa" w:w="1440"/>
            <w:shd w:fill="FFDCE0" w:val="clear"/>
          </w:tcPr>
          <w:p>
            <w:r>
              <w:rPr>
                <w:b/>
                <w:sz w:val="17"/>
              </w:rPr>
              <w:t>15,927</w:t>
            </w:r>
          </w:p>
        </w:tc>
        <w:tc>
          <w:tcPr>
            <w:tcW w:type="dxa" w:w="1440"/>
            <w:shd w:fill="FFDCE0" w:val="clear"/>
          </w:tcPr>
          <w:p>
            <w:r>
              <w:rPr>
                <w:sz w:val="17"/>
              </w:rPr>
              <w:t>17,668</w:t>
            </w:r>
          </w:p>
        </w:tc>
        <w:tc>
          <w:tcPr>
            <w:tcW w:type="dxa" w:w="1440"/>
            <w:shd w:fill="FFDCE0" w:val="clear"/>
          </w:tcPr>
          <w:p>
            <w:r>
              <w:rPr>
                <w:b/>
                <w:color w:val="C00000"/>
                <w:sz w:val="17"/>
              </w:rPr>
              <w:t>-3.8%</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14,000</w:t>
            </w:r>
          </w:p>
        </w:tc>
        <w:tc>
          <w:tcPr>
            <w:tcW w:type="dxa" w:w="1440"/>
            <w:shd w:fill="FFDCE0" w:val="clear"/>
          </w:tcPr>
          <w:p>
            <w:r>
              <w:rPr>
                <w:b/>
                <w:sz w:val="17"/>
              </w:rPr>
              <w:t>15,874</w:t>
            </w:r>
          </w:p>
        </w:tc>
        <w:tc>
          <w:tcPr>
            <w:tcW w:type="dxa" w:w="1440"/>
            <w:shd w:fill="FFDCE0" w:val="clear"/>
          </w:tcPr>
          <w:p>
            <w:r>
              <w:rPr>
                <w:sz w:val="17"/>
              </w:rPr>
              <w:t>17,749</w:t>
            </w:r>
          </w:p>
        </w:tc>
        <w:tc>
          <w:tcPr>
            <w:tcW w:type="dxa" w:w="1440"/>
            <w:shd w:fill="FFDCE0" w:val="clear"/>
          </w:tcPr>
          <w:p>
            <w:r>
              <w:rPr>
                <w:b/>
                <w:color w:val="C00000"/>
                <w:sz w:val="17"/>
              </w:rPr>
              <w:t>-4.1%</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13,825</w:t>
            </w:r>
          </w:p>
        </w:tc>
        <w:tc>
          <w:tcPr>
            <w:tcW w:type="dxa" w:w="1440"/>
            <w:shd w:fill="FFDCE0" w:val="clear"/>
          </w:tcPr>
          <w:p>
            <w:r>
              <w:rPr>
                <w:b/>
                <w:sz w:val="17"/>
              </w:rPr>
              <w:t>15,823</w:t>
            </w:r>
          </w:p>
        </w:tc>
        <w:tc>
          <w:tcPr>
            <w:tcW w:type="dxa" w:w="1440"/>
            <w:shd w:fill="FFDCE0" w:val="clear"/>
          </w:tcPr>
          <w:p>
            <w:r>
              <w:rPr>
                <w:sz w:val="17"/>
              </w:rPr>
              <w:t>17,820</w:t>
            </w:r>
          </w:p>
        </w:tc>
        <w:tc>
          <w:tcPr>
            <w:tcW w:type="dxa" w:w="1440"/>
            <w:shd w:fill="FFDCE0" w:val="clear"/>
          </w:tcPr>
          <w:p>
            <w:r>
              <w:rPr>
                <w:b/>
                <w:color w:val="C00000"/>
                <w:sz w:val="17"/>
              </w:rPr>
              <w:t>-4.4%</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13,660</w:t>
            </w:r>
          </w:p>
        </w:tc>
        <w:tc>
          <w:tcPr>
            <w:tcW w:type="dxa" w:w="1440"/>
            <w:shd w:fill="FFDCE0" w:val="clear"/>
          </w:tcPr>
          <w:p>
            <w:r>
              <w:rPr>
                <w:b/>
                <w:sz w:val="17"/>
              </w:rPr>
              <w:t>15,772</w:t>
            </w:r>
          </w:p>
        </w:tc>
        <w:tc>
          <w:tcPr>
            <w:tcW w:type="dxa" w:w="1440"/>
            <w:shd w:fill="FFDCE0" w:val="clear"/>
          </w:tcPr>
          <w:p>
            <w:r>
              <w:rPr>
                <w:sz w:val="17"/>
              </w:rPr>
              <w:t>17,883</w:t>
            </w:r>
          </w:p>
        </w:tc>
        <w:tc>
          <w:tcPr>
            <w:tcW w:type="dxa" w:w="1440"/>
            <w:shd w:fill="FFDCE0" w:val="clear"/>
          </w:tcPr>
          <w:p>
            <w:r>
              <w:rPr>
                <w:b/>
                <w:color w:val="C00000"/>
                <w:sz w:val="17"/>
              </w:rPr>
              <w:t>-4.7%</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13,503</w:t>
            </w:r>
          </w:p>
        </w:tc>
        <w:tc>
          <w:tcPr>
            <w:tcW w:type="dxa" w:w="1440"/>
            <w:shd w:fill="FFDCE0" w:val="clear"/>
          </w:tcPr>
          <w:p>
            <w:r>
              <w:rPr>
                <w:b/>
                <w:sz w:val="17"/>
              </w:rPr>
              <w:t>15,721</w:t>
            </w:r>
          </w:p>
        </w:tc>
        <w:tc>
          <w:tcPr>
            <w:tcW w:type="dxa" w:w="1440"/>
            <w:shd w:fill="FFDCE0" w:val="clear"/>
          </w:tcPr>
          <w:p>
            <w:r>
              <w:rPr>
                <w:sz w:val="17"/>
              </w:rPr>
              <w:t>17,940</w:t>
            </w:r>
          </w:p>
        </w:tc>
        <w:tc>
          <w:tcPr>
            <w:tcW w:type="dxa" w:w="1440"/>
            <w:shd w:fill="FFDCE0" w:val="clear"/>
          </w:tcPr>
          <w:p>
            <w:r>
              <w:rPr>
                <w:b/>
                <w:color w:val="C00000"/>
                <w:sz w:val="17"/>
              </w:rPr>
              <w:t>-5.0%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SMBC s'établit à 129,01 milliards FCFA, un niveau qui la positionne parmi les valeurs moyennes de la cote BRVM, reflétant un profil de liquidité modéré avec un volume moyen de 1 305 titres par jour. Le BPA de 1 677 FCFA indique que chaque action génère un bénéfice substantiel, justifiant un PER de 9,9x, légèrement inférieur à la moyenne du marché BRVM (8-12x), ce qui suggère une sous-évaluation relative du titre par rapport à ses pairs. Le P/B de 3,01x témoigne d'une prime de croissance accordée par le marché, les investisseurs valorisant la société à trois fois sa valeur comptable, un niveau cohérent avec les fortes attentes de rentabilité future. Enfin, l'EV/EBITDA de 6,2x se situe dans la fourchette raisonnable (5-10x), indiquant que la valeur totale de l'entreprise (dette incluse) reste mesurée par rapport à sa capacité opérationnelle de génération de cash.</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SMBC a enregistré une progression remarquable de +23,51%, avec une dernière séance en légère hausse de +0,30% à 16 550 FCFA, confirmant une dynamique haussière soutenue. Le cours a évolué dans une fourchette large de 11 450 FCFA (plus bas) à 17 735 FCFA (plus haut), démontrant une amplitude de trading significative de 54,9%. La moyenne de 14 141 FCFA est supérieure à la médiane de 13 370 FCFA, indiquant une distribution asymétrique positive où les valeurs extrêmes hautes tirent la moyenne vers le haut. L'écart-type de 2 094 FCFA avec un coefficient de variation de 14,8% révèle une dispersion modérée du cours autour de sa moyenne, tandis que le kurtosis de -1,483 (platykurtique) suggère une distribution aplatie avec peu de pics extrêmes, et le skewness de 0,221 confirme une symétrie relative. La volatilité annualisée de 38,5% classe SMBC comme un titre à forte volatilité, nécessitant une gestion active du risque.</w:t>
      </w:r>
    </w:p>
    <w:p>
      <w:pPr>
        <w:spacing w:after="120" w:line="276" w:lineRule="auto" w:before="240"/>
      </w:pPr>
      <w:r>
        <w:rPr>
          <w:b/>
          <w:color w:val="003366"/>
          <w:sz w:val="24"/>
        </w:rPr>
        <w:t>**PARTIE 2 : ANALYSE TECHNIQUE DÉTAILLÉE**</w:t>
      </w:r>
    </w:p>
    <w:p>
      <w:pPr>
        <w:spacing w:after="120" w:line="276" w:lineRule="auto"/>
      </w:pPr>
      <w:r>
        <w:t>Les moyennes mobiles MM20 (16 113,5 FCFA) et MM50 (15 990,9 FCFA) sont toutes deux inférieures au cours actuel de 16 550 FCFA, avec une MM20 au-dessus de la MM50, configuration typique d'une tendance haussière à court et moyen terme. Cette structure positive justifie la décision d'achat, le cours évoluant au-dessus de ses moyennes mobiles clés, confirmant la vigueur de la tendance actuelle.</w:t>
      </w:r>
    </w:p>
    <w:p>
      <w:pPr>
        <w:spacing w:after="120" w:line="276" w:lineRule="auto"/>
      </w:pPr>
      <w:r>
        <w:t>Les bandes de Bollinger présentent une borne supérieure à 17 181,9 FCFA et une borne inférieure à 15 045,1 FCFA, avec un cours à 16 550 FCFA positionné dans la moitié supérieure de l'enveloppe. Cette position suggère une pression acheteuse persistante sans atteindre la zone de surachat extrême, justifiant une décision neutre. La largeur des bandes reflète la volatilité élevée du titre, offrant un cadre de trading dynamique.</w:t>
      </w:r>
    </w:p>
    <w:p>
      <w:pPr>
        <w:spacing w:after="120" w:line="276" w:lineRule="auto"/>
      </w:pPr>
      <w:r>
        <w:t>Le MACD affiche une valeur de -13,748 contre un signal à -3,946, indiquant un momentum baissier à court terme malgré la tendance haussière de fond. Cette divergence négative suggère une possible consolidation ou correction temporaire, justifiant la décision de vente. Les investisseurs devraient surveiller un éventuel croisement haussier du MACD au-dessus de son signal pour confirmer la reprise du momentum.</w:t>
      </w:r>
    </w:p>
    <w:p>
      <w:pPr>
        <w:spacing w:after="120" w:line="276" w:lineRule="auto"/>
      </w:pPr>
      <w:r>
        <w:t>Le RSI à 68,385 se situe dans la zone neutre-haute, proche du seuil de surachat de 70, indiquant une pression acheteuse soutenue mais pas encore excessive. Cette valeur suggère que le titre conserve un potentiel de hausse avant d'atteindre une zone de surachat critique, justifiant une décision neutre avec une vigilance accrue.</w:t>
      </w:r>
    </w:p>
    <w:p>
      <w:pPr>
        <w:spacing w:after="120" w:line="276" w:lineRule="auto"/>
      </w:pPr>
      <w:r>
        <w:t>Le stochastique avec %K à 91,342 et %D à 71,914 montre une configuration de surachat prononcé, le %K dépassant largement le seuil de 80. Cette situation indique une possible correction technique imminente, d'autant que le %K commence à s'écarter du %D, justifiant la décision de vente pour les traders à court terme.</w:t>
      </w:r>
    </w:p>
    <w:p>
      <w:pPr>
        <w:spacing w:after="120" w:line="276" w:lineRule="auto"/>
      </w:pPr>
      <w:r>
        <w:t>La conclusion technique révèle un tableau contrasté : la tendance de fond reste haussière portée par les moyennes mobiles et la position dans les bandes de Bollinger, mais les oscillateurs (MACD, stochastique) signalent un essoufflement à court terme avec des conditions de surachat. Cette divergence suggère une probable phase de consolidation avant la poursuite de la tendance haussière, invitant à la prudence pour les entrées à court terme.</w:t>
      </w:r>
    </w:p>
    <w:p>
      <w:pPr>
        <w:spacing w:after="120" w:line="276" w:lineRule="auto" w:before="240"/>
      </w:pPr>
      <w:r>
        <w:rPr>
          <w:b/>
          <w:color w:val="003366"/>
          <w:sz w:val="24"/>
        </w:rPr>
        <w:t>**PARTIE 3 : ANALYSE FONDAMENTALE (SECTION CRITIQUE)**</w:t>
      </w:r>
    </w:p>
    <w:p>
      <w:pPr>
        <w:spacing w:after="120" w:line="276" w:lineRule="auto"/>
      </w:pPr>
      <w:r>
        <w:t>En 2025, SMBC affiche un chiffre d'affaires de 206,740 milliards FCFA, en baisse de 9,7% par rapport à 2024 (229,061 milliards FCFA), mais avec une amélioration spectaculaire de la rentabilité : le résultat net progresse de 50,3% à 13,075 milliards FCFA, portant la marge nette à 6,3% contre 3,8% en 2024. Le ROE s'établit à 30,47%, un niveau excellent largement supérieur au seuil de 15% considéré comme satisfaisant, tandis que le ROA atteint 7,26%, démontrant une utilisation efficace des actifs. En tant qu'entreprise industrielle, l'analyse du BFR est cruciale : le délai clients de 193,75 jours est élevé, créant un risque de trésorerie, mais il est partiellement compensé par un délai fournisseurs de 207,07 jours et une durée de stockage de 38,09 jours. La trésorerie nette positive de 23,988 milliards FCFA et le free cash flow de 20,642 milliards FCFA témoignent d'une excellente génération de liquidités. Les rapports trimestriels 2025 confirment cette tendance : le T1 2025 montre un CA de 54,8 milliards FCFA (-22%) mais un résultat net résilient de 2,7 milliards FCFA, le S1 2025 un CA de 101,9 milliards FCFA (-23%) avec un résultat net de 3,9 milliards FCFA, et les 9M 2025 un CA de 155,2 milliards FCFA (-14%) avec un résultat net de 5,7 milliards FCFA (+6%). Sur la base de ces données, on estime que l'exercice 2025 devrait confirmer la forte progression de la rentabilité observée dans les états financiers annuels, avec une amélioration continue des marges malgré un environnement de marché difficile. La société démontre une capacité remarquable à optimiser ses coûts opérationnels, comme en témoigne l'EBE en hausse de 41,8% à 18,480 milliards FCFA, et sa solidité financière s'est renforcée avec des capitaux propres de 42,913 milliards FCFA (+21,6%). Les risques principaux restent la dépendance aux prix du pétrole et la concentration sur les marchés ouest-africains, mais la position de trésorerie solide et l'amélioration des marges offrent des perspectives favorables.</w:t>
      </w:r>
    </w:p>
    <w:p>
      <w:pPr>
        <w:spacing w:after="120" w:line="276" w:lineRule="auto" w:before="240"/>
      </w:pPr>
      <w:r>
        <w:rPr>
          <w:b/>
          <w:color w:val="003366"/>
          <w:sz w:val="24"/>
        </w:rPr>
        <w:t>**PARTIE 4 : CONCLUSION D'INVESTISSEMENT**</w:t>
      </w:r>
    </w:p>
    <w:p>
      <w:pPr>
        <w:spacing w:after="120" w:line="276" w:lineRule="auto"/>
      </w:pPr>
      <w:r>
        <w:t>La synthèse globale révèle une configuration globalement positive pour SMBC : la valorisation avec un PER de 9,9x et un EV/EBITDA de 6,2x indique une sous-évaluation relative, tandis que le P/B de 3,01x reflète une prime de croissance justifiée par la forte rentabilité. Le comportement du cours sur 100 jours montre une tendance haussière robuste de +23,51% avec une volatilité élevée de 38,5%, mais les statistiques descriptives (kurtosis platykurtique, skewness symétrique) suggèrent une distribution stable sans risque de pics extrêmes. Les signaux techniques sont mitigés : les moyennes mobiles et les bandes de Bollinger confirment la tendance haussière, mais le MACD et le stochastique signalent un essoufflement à court terme avec des conditions de surachat. Les fondamentaux sont excellents avec un ROE de 30,47%, une trésorerie nette de 23,988 milliards FCFA et une amélioration spectaculaire des marges en 2025. Les prédictions IA pour les 10 prochains jours (16 209 à 15 980 FCFA) suggèrent une légère correction, cohérente avec les signaux techniques de surachat. La convergence entre la sous-évaluation fondamentale, la solidité financière et la tendance haussière de fond, malgré les signaux techniques de court terme, conduit à une recommandation **ACHAT** avec un niveau de confiance **Moyen** et un risque global **Moyen**. L'horizon d'investissement optimal est le **moyen terme (3-12 mois)**, permettant de capitaliser sur la reprise de la rentabilité et la solidité du bilan tout en absorbant la volatilité à court terme.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3100.00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9,351 titres</w:t>
            </w:r>
          </w:p>
        </w:tc>
        <w:tc>
          <w:tcPr>
            <w:tcW w:type="dxa" w:w="2268"/>
            <w:shd w:fill="FFF2CC" w:val="clear"/>
          </w:tcPr>
          <w:p>
            <w:r>
              <w:rPr>
                <w:b/>
                <w:color w:val="503200"/>
                <w:sz w:val="16"/>
              </w:rPr>
              <w:t xml:space="preserve">Cours actuel : </w:t>
            </w:r>
            <w:r>
              <w:rPr>
                <w:color w:val="000000"/>
                <w:sz w:val="17"/>
              </w:rPr>
              <w:t>31,000 FCFA</w:t>
            </w:r>
          </w:p>
          <w:p>
            <w:r>
              <w:rPr>
                <w:b/>
                <w:color w:val="503200"/>
                <w:sz w:val="16"/>
              </w:rPr>
              <w:t xml:space="preserve">Var. 100 jours : </w:t>
            </w:r>
            <w:r>
              <w:rPr>
                <w:b/>
                <w:color w:val="007800"/>
                <w:sz w:val="17"/>
              </w:rPr>
              <w:t>+6.90%</w:t>
            </w:r>
          </w:p>
          <w:p>
            <w:r>
              <w:rPr>
                <w:b/>
                <w:color w:val="503200"/>
                <w:sz w:val="16"/>
              </w:rPr>
              <w:t xml:space="preserve">Plus haut 100j : </w:t>
            </w:r>
            <w:r>
              <w:rPr>
                <w:color w:val="000000"/>
                <w:sz w:val="17"/>
              </w:rPr>
              <w:t>32,500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25.2%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16.3/100 → Faible</w:t>
      </w:r>
    </w:p>
    <w:p>
      <w:pPr>
        <w:spacing w:before="40" w:after="80"/>
      </w:pPr>
      <w:r>
        <w:rPr>
          <w:rFonts w:ascii="Courier New" w:hAnsi="Courier New"/>
          <w:color w:val="006400"/>
          <w:sz w:val="18"/>
        </w:rPr>
        <w:t>███░░░░░░░░░░░░░░░░░  16.3/100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4.08% (Faible) — μ=29,242 FCFA, σ=1,192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β=1.2291 (Agressif) — Cov=0.000044, Var(idx)=0.000036, ρ=0.459,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9,351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σ_j=1.59%/j (Stable) — Vol. annualisée≈25.2%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29,974</w:t>
            </w:r>
          </w:p>
        </w:tc>
        <w:tc>
          <w:tcPr>
            <w:tcW w:type="dxa" w:w="1440"/>
            <w:shd w:fill="FAFAFA" w:val="clear"/>
          </w:tcPr>
          <w:p>
            <w:r>
              <w:rPr>
                <w:b/>
                <w:sz w:val="17"/>
              </w:rPr>
              <w:t>30,781</w:t>
            </w:r>
          </w:p>
        </w:tc>
        <w:tc>
          <w:tcPr>
            <w:tcW w:type="dxa" w:w="1440"/>
            <w:shd w:fill="FAFAFA" w:val="clear"/>
          </w:tcPr>
          <w:p>
            <w:r>
              <w:rPr>
                <w:sz w:val="17"/>
              </w:rPr>
              <w:t>31,589</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2026-08-11</w:t>
            </w:r>
          </w:p>
        </w:tc>
        <w:tc>
          <w:tcPr>
            <w:tcW w:type="dxa" w:w="1440"/>
            <w:shd w:fill="FAFAFA" w:val="clear"/>
          </w:tcPr>
          <w:p>
            <w:r>
              <w:rPr>
                <w:sz w:val="17"/>
              </w:rPr>
              <w:t>29,619</w:t>
            </w:r>
          </w:p>
        </w:tc>
        <w:tc>
          <w:tcPr>
            <w:tcW w:type="dxa" w:w="1440"/>
            <w:shd w:fill="FAFAFA" w:val="clear"/>
          </w:tcPr>
          <w:p>
            <w:r>
              <w:rPr>
                <w:b/>
                <w:sz w:val="17"/>
              </w:rPr>
              <w:t>30,760</w:t>
            </w:r>
          </w:p>
        </w:tc>
        <w:tc>
          <w:tcPr>
            <w:tcW w:type="dxa" w:w="1440"/>
            <w:shd w:fill="FAFAFA" w:val="clear"/>
          </w:tcPr>
          <w:p>
            <w:r>
              <w:rPr>
                <w:sz w:val="17"/>
              </w:rPr>
              <w:t>31,901</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29,338</w:t>
            </w:r>
          </w:p>
        </w:tc>
        <w:tc>
          <w:tcPr>
            <w:tcW w:type="dxa" w:w="1440"/>
            <w:shd w:fill="FAFAFA" w:val="clear"/>
          </w:tcPr>
          <w:p>
            <w:r>
              <w:rPr>
                <w:b/>
                <w:sz w:val="17"/>
              </w:rPr>
              <w:t>30,734</w:t>
            </w:r>
          </w:p>
        </w:tc>
        <w:tc>
          <w:tcPr>
            <w:tcW w:type="dxa" w:w="1440"/>
            <w:shd w:fill="FAFAFA" w:val="clear"/>
          </w:tcPr>
          <w:p>
            <w:r>
              <w:rPr>
                <w:sz w:val="17"/>
              </w:rPr>
              <w:t>32,130</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29,094</w:t>
            </w:r>
          </w:p>
        </w:tc>
        <w:tc>
          <w:tcPr>
            <w:tcW w:type="dxa" w:w="1440"/>
            <w:shd w:fill="FAFAFA" w:val="clear"/>
          </w:tcPr>
          <w:p>
            <w:r>
              <w:rPr>
                <w:b/>
                <w:sz w:val="17"/>
              </w:rPr>
              <w:t>30,705</w:t>
            </w:r>
          </w:p>
        </w:tc>
        <w:tc>
          <w:tcPr>
            <w:tcW w:type="dxa" w:w="1440"/>
            <w:shd w:fill="FAFAFA" w:val="clear"/>
          </w:tcPr>
          <w:p>
            <w:r>
              <w:rPr>
                <w:sz w:val="17"/>
              </w:rPr>
              <w:t>32,316</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2026-08-14</w:t>
            </w:r>
          </w:p>
        </w:tc>
        <w:tc>
          <w:tcPr>
            <w:tcW w:type="dxa" w:w="1440"/>
            <w:shd w:fill="FAFAFA" w:val="clear"/>
          </w:tcPr>
          <w:p>
            <w:r>
              <w:rPr>
                <w:sz w:val="17"/>
              </w:rPr>
              <w:t>28,876</w:t>
            </w:r>
          </w:p>
        </w:tc>
        <w:tc>
          <w:tcPr>
            <w:tcW w:type="dxa" w:w="1440"/>
            <w:shd w:fill="FAFAFA" w:val="clear"/>
          </w:tcPr>
          <w:p>
            <w:r>
              <w:rPr>
                <w:b/>
                <w:sz w:val="17"/>
              </w:rPr>
              <w:t>30,675</w:t>
            </w:r>
          </w:p>
        </w:tc>
        <w:tc>
          <w:tcPr>
            <w:tcW w:type="dxa" w:w="1440"/>
            <w:shd w:fill="FAFAFA" w:val="clear"/>
          </w:tcPr>
          <w:p>
            <w:r>
              <w:rPr>
                <w:sz w:val="17"/>
              </w:rPr>
              <w:t>32,474</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2026-08-17</w:t>
            </w:r>
          </w:p>
        </w:tc>
        <w:tc>
          <w:tcPr>
            <w:tcW w:type="dxa" w:w="1440"/>
            <w:shd w:fill="FAFAFA" w:val="clear"/>
          </w:tcPr>
          <w:p>
            <w:r>
              <w:rPr>
                <w:sz w:val="17"/>
              </w:rPr>
              <w:t>28,675</w:t>
            </w:r>
          </w:p>
        </w:tc>
        <w:tc>
          <w:tcPr>
            <w:tcW w:type="dxa" w:w="1440"/>
            <w:shd w:fill="FAFAFA" w:val="clear"/>
          </w:tcPr>
          <w:p>
            <w:r>
              <w:rPr>
                <w:b/>
                <w:sz w:val="17"/>
              </w:rPr>
              <w:t>30,644</w:t>
            </w:r>
          </w:p>
        </w:tc>
        <w:tc>
          <w:tcPr>
            <w:tcW w:type="dxa" w:w="1440"/>
            <w:shd w:fill="FAFAFA" w:val="clear"/>
          </w:tcPr>
          <w:p>
            <w:r>
              <w:rPr>
                <w:sz w:val="17"/>
              </w:rPr>
              <w:t>32,613</w:t>
            </w:r>
          </w:p>
        </w:tc>
        <w:tc>
          <w:tcPr>
            <w:tcW w:type="dxa" w:w="1440"/>
            <w:shd w:fill="FAFAFA" w:val="clear"/>
          </w:tcPr>
          <w:p>
            <w:r>
              <w:rPr>
                <w:b/>
                <w:color w:val="C00000"/>
                <w:sz w:val="17"/>
              </w:rPr>
              <w:t>-1.1%</w:t>
            </w:r>
          </w:p>
        </w:tc>
      </w:tr>
      <w:tr>
        <w:tc>
          <w:tcPr>
            <w:tcW w:type="dxa" w:w="1440"/>
            <w:shd w:fill="FAFAFA" w:val="clear"/>
          </w:tcPr>
          <w:p>
            <w:r>
              <w:rPr>
                <w:sz w:val="17"/>
              </w:rPr>
              <w:t>J+7  ⭐</w:t>
            </w:r>
          </w:p>
        </w:tc>
        <w:tc>
          <w:tcPr>
            <w:tcW w:type="dxa" w:w="1440"/>
            <w:shd w:fill="FAFAFA" w:val="clear"/>
          </w:tcPr>
          <w:p>
            <w:r>
              <w:rPr>
                <w:sz w:val="17"/>
              </w:rPr>
              <w:t>2026-08-18</w:t>
            </w:r>
          </w:p>
        </w:tc>
        <w:tc>
          <w:tcPr>
            <w:tcW w:type="dxa" w:w="1440"/>
            <w:shd w:fill="FAFAFA" w:val="clear"/>
          </w:tcPr>
          <w:p>
            <w:r>
              <w:rPr>
                <w:sz w:val="17"/>
              </w:rPr>
              <w:t>28,489</w:t>
            </w:r>
          </w:p>
        </w:tc>
        <w:tc>
          <w:tcPr>
            <w:tcW w:type="dxa" w:w="1440"/>
            <w:shd w:fill="FAFAFA" w:val="clear"/>
          </w:tcPr>
          <w:p>
            <w:r>
              <w:rPr>
                <w:b/>
                <w:sz w:val="17"/>
              </w:rPr>
              <w:t>30,614</w:t>
            </w:r>
          </w:p>
        </w:tc>
        <w:tc>
          <w:tcPr>
            <w:tcW w:type="dxa" w:w="1440"/>
            <w:shd w:fill="FAFAFA" w:val="clear"/>
          </w:tcPr>
          <w:p>
            <w:r>
              <w:rPr>
                <w:sz w:val="17"/>
              </w:rPr>
              <w:t>32,738</w:t>
            </w:r>
          </w:p>
        </w:tc>
        <w:tc>
          <w:tcPr>
            <w:tcW w:type="dxa" w:w="1440"/>
            <w:shd w:fill="FAFAFA" w:val="clear"/>
          </w:tcPr>
          <w:p>
            <w:r>
              <w:rPr>
                <w:b/>
                <w:color w:val="C00000"/>
                <w:sz w:val="17"/>
              </w:rPr>
              <w:t>-1.2%</w:t>
            </w:r>
          </w:p>
        </w:tc>
      </w:tr>
      <w:tr>
        <w:tc>
          <w:tcPr>
            <w:tcW w:type="dxa" w:w="1440"/>
            <w:shd w:fill="FAFAFA" w:val="clear"/>
          </w:tcPr>
          <w:p>
            <w:r>
              <w:rPr>
                <w:sz w:val="17"/>
              </w:rPr>
              <w:t>J+8  ⭐</w:t>
            </w:r>
          </w:p>
        </w:tc>
        <w:tc>
          <w:tcPr>
            <w:tcW w:type="dxa" w:w="1440"/>
            <w:shd w:fill="FAFAFA" w:val="clear"/>
          </w:tcPr>
          <w:p>
            <w:r>
              <w:rPr>
                <w:sz w:val="17"/>
              </w:rPr>
              <w:t>2026-08-19</w:t>
            </w:r>
          </w:p>
        </w:tc>
        <w:tc>
          <w:tcPr>
            <w:tcW w:type="dxa" w:w="1440"/>
            <w:shd w:fill="FAFAFA" w:val="clear"/>
          </w:tcPr>
          <w:p>
            <w:r>
              <w:rPr>
                <w:sz w:val="17"/>
              </w:rPr>
              <w:t>28,315</w:t>
            </w:r>
          </w:p>
        </w:tc>
        <w:tc>
          <w:tcPr>
            <w:tcW w:type="dxa" w:w="1440"/>
            <w:shd w:fill="FAFAFA" w:val="clear"/>
          </w:tcPr>
          <w:p>
            <w:r>
              <w:rPr>
                <w:b/>
                <w:sz w:val="17"/>
              </w:rPr>
              <w:t>30,583</w:t>
            </w:r>
          </w:p>
        </w:tc>
        <w:tc>
          <w:tcPr>
            <w:tcW w:type="dxa" w:w="1440"/>
            <w:shd w:fill="FAFAFA" w:val="clear"/>
          </w:tcPr>
          <w:p>
            <w:r>
              <w:rPr>
                <w:sz w:val="17"/>
              </w:rPr>
              <w:t>32,852</w:t>
            </w:r>
          </w:p>
        </w:tc>
        <w:tc>
          <w:tcPr>
            <w:tcW w:type="dxa" w:w="1440"/>
            <w:shd w:fill="FAFAFA" w:val="clear"/>
          </w:tcPr>
          <w:p>
            <w:r>
              <w:rPr>
                <w:b/>
                <w:color w:val="C00000"/>
                <w:sz w:val="17"/>
              </w:rPr>
              <w:t>-1.3%</w:t>
            </w:r>
          </w:p>
        </w:tc>
      </w:tr>
      <w:tr>
        <w:tc>
          <w:tcPr>
            <w:tcW w:type="dxa" w:w="1440"/>
            <w:shd w:fill="FAFAFA" w:val="clear"/>
          </w:tcPr>
          <w:p>
            <w:r>
              <w:rPr>
                <w:sz w:val="17"/>
              </w:rPr>
              <w:t>J+9  ⭐</w:t>
            </w:r>
          </w:p>
        </w:tc>
        <w:tc>
          <w:tcPr>
            <w:tcW w:type="dxa" w:w="1440"/>
            <w:shd w:fill="FAFAFA" w:val="clear"/>
          </w:tcPr>
          <w:p>
            <w:r>
              <w:rPr>
                <w:sz w:val="17"/>
              </w:rPr>
              <w:t>2026-08-20</w:t>
            </w:r>
          </w:p>
        </w:tc>
        <w:tc>
          <w:tcPr>
            <w:tcW w:type="dxa" w:w="1440"/>
            <w:shd w:fill="FAFAFA" w:val="clear"/>
          </w:tcPr>
          <w:p>
            <w:r>
              <w:rPr>
                <w:sz w:val="17"/>
              </w:rPr>
              <w:t>28,149</w:t>
            </w:r>
          </w:p>
        </w:tc>
        <w:tc>
          <w:tcPr>
            <w:tcW w:type="dxa" w:w="1440"/>
            <w:shd w:fill="FAFAFA" w:val="clear"/>
          </w:tcPr>
          <w:p>
            <w:r>
              <w:rPr>
                <w:b/>
                <w:sz w:val="17"/>
              </w:rPr>
              <w:t>30,553</w:t>
            </w:r>
          </w:p>
        </w:tc>
        <w:tc>
          <w:tcPr>
            <w:tcW w:type="dxa" w:w="1440"/>
            <w:shd w:fill="FAFAFA" w:val="clear"/>
          </w:tcPr>
          <w:p>
            <w:r>
              <w:rPr>
                <w:sz w:val="17"/>
              </w:rPr>
              <w:t>32,957</w:t>
            </w:r>
          </w:p>
        </w:tc>
        <w:tc>
          <w:tcPr>
            <w:tcW w:type="dxa" w:w="1440"/>
            <w:shd w:fill="FAFAFA" w:val="clear"/>
          </w:tcPr>
          <w:p>
            <w:r>
              <w:rPr>
                <w:b/>
                <w:color w:val="C00000"/>
                <w:sz w:val="17"/>
              </w:rPr>
              <w:t>-1.4%</w:t>
            </w:r>
          </w:p>
        </w:tc>
      </w:tr>
      <w:tr>
        <w:tc>
          <w:tcPr>
            <w:tcW w:type="dxa" w:w="1440"/>
            <w:shd w:fill="FAFAFA" w:val="clear"/>
          </w:tcPr>
          <w:p>
            <w:r>
              <w:rPr>
                <w:sz w:val="17"/>
              </w:rPr>
              <w:t>J+10  ⭐</w:t>
            </w:r>
          </w:p>
        </w:tc>
        <w:tc>
          <w:tcPr>
            <w:tcW w:type="dxa" w:w="1440"/>
            <w:shd w:fill="FAFAFA" w:val="clear"/>
          </w:tcPr>
          <w:p>
            <w:r>
              <w:rPr>
                <w:sz w:val="17"/>
              </w:rPr>
              <w:t>2026-08-21</w:t>
            </w:r>
          </w:p>
        </w:tc>
        <w:tc>
          <w:tcPr>
            <w:tcW w:type="dxa" w:w="1440"/>
            <w:shd w:fill="FAFAFA" w:val="clear"/>
          </w:tcPr>
          <w:p>
            <w:r>
              <w:rPr>
                <w:sz w:val="17"/>
              </w:rPr>
              <w:t>27,992</w:t>
            </w:r>
          </w:p>
        </w:tc>
        <w:tc>
          <w:tcPr>
            <w:tcW w:type="dxa" w:w="1440"/>
            <w:shd w:fill="FAFAFA" w:val="clear"/>
          </w:tcPr>
          <w:p>
            <w:r>
              <w:rPr>
                <w:b/>
                <w:sz w:val="17"/>
              </w:rPr>
              <w:t>30,523</w:t>
            </w:r>
          </w:p>
        </w:tc>
        <w:tc>
          <w:tcPr>
            <w:tcW w:type="dxa" w:w="1440"/>
            <w:shd w:fill="FAFAFA" w:val="clear"/>
          </w:tcPr>
          <w:p>
            <w:r>
              <w:rPr>
                <w:sz w:val="17"/>
              </w:rPr>
              <w:t>33,055</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Sonatel s'établit à 3 100 milliards FCFA, ce qui en fait l'une des plus importantes capitalisations de la BRVM, représentant un poids considérable dans l'indice. Avec un BPA de 4 136 FCFA, chaque action génère un bénéfice substantiel. Le PER de 7,5x est nettement inférieur à la moyenne historique de la BRVM (8-12x), ce qui suggère une sous-évaluation relative du titre par rapport à ses bénéfices. Le P/B de 2,22x indique que le marché valorise la société à plus du double de sa valeur comptable, une prime justifiée par sa rentabilité élevée et ses perspectives de croissance. Enfin, l'EV/EBITDA de 3,2x est très faible, signalant que la valeur totale de l'entreprise (dette incluse) est très bon marché par rapport à sa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affiche une progression de +6,90%, avec une forte accélération lors de la dernière séance (+2,65%). Le cours a évolué dans un range de 27 160 FCFA (plus bas) à 32 500 FCFA (plus haut), démontrant une amplitude de fluctuation d'environ 20% sur la période. La moyenne du cours (29 242 FCFA) est légèrement supérieure à la médiane (28 850 FCFA), et le skewness positif de 1,10 indique une distribution asymétrique avec des journées plus fréquentes sous la moyenne, mais des mouvements haussiers ponctuels plus marqués. L'écart-type de 1 198 FCFA (CV=4,1%) révèle une dispersion modérée autour de la moyenne. Le kurtosis de 0,039 (mésokurtique) suggère une distribution proche de la normale, sans risque de variations extrêmes. La volatilité annualisée de 25,2% classe le titre dans une catégorie à volatilité modérée, ce qui est raisonnable pour une valeur de cette envergure.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(31 000 FCFA) est inférieur à la MM20 (31 335,75 FCFA) mais nettement supérieur à la MM50 (29 846,9 FCFA). Cette configuration indique un repli récent après une tendance haussière de moyen terme. Le signal global est "Achat", car la structure de tendance à moyen terme reste positive, le cours évoluant au-dessus de la MM50.</w:t>
      </w:r>
    </w:p>
    <w:p>
      <w:pPr>
        <w:spacing w:after="120" w:line="276" w:lineRule="auto"/>
      </w:pPr>
      <w:r>
        <w:t>**Bandes de Bollinger** : Le prix se situe à 31 000 FCFA, entre la borne inférieure (30 264 FCFA) et la borne supérieure (32 407 FCFA), plus proche de la borne inférieure. Cela suggère une pression vendeuse récente, mais sans sortie de canal. La décision "Neutre" est appropriée, le titre n'étant ni suracheté ni survendu selon cet indicateur.</w:t>
      </w:r>
    </w:p>
    <w:p>
      <w:pPr>
        <w:spacing w:after="120" w:line="276" w:lineRule="auto"/>
      </w:pPr>
      <w:r>
        <w:t>**MACD** : La valeur du MACD (251,5) est inférieure à son signal (426,3), indiquant un momentum baissier à court terme. Cette configuration génère un signal de "Vente", suggérant que la dynamique haussière s'est essoufflée et qu'une correction pourrait se poursuivre.</w:t>
      </w:r>
    </w:p>
    <w:p>
      <w:pPr>
        <w:spacing w:after="120" w:line="276" w:lineRule="auto"/>
      </w:pPr>
      <w:r>
        <w:t>**RSI** : À 37,5, le RSI se situe en zone neutre, proche de la zone de survente (30). Cela indique que le titre n'est pas encore survendu, mais que la pression vendeuse est présente. La décision "Neutre" est justifiée, avec une vigilance accrue sur une possible entrée en zone de survente.</w:t>
      </w:r>
    </w:p>
    <w:p>
      <w:pPr>
        <w:spacing w:after="120" w:line="276" w:lineRule="auto"/>
      </w:pPr>
      <w:r>
        <w:t>**Stochastique** : Le %K (44,4) est supérieur au %D (28,1), indiquant un croisement haussier potentiel en cours de formation. Cette configuration suggère un possible rebond technique à court terme, mais la décision reste "Neutre" en attendant une confirmation plus forte.</w:t>
      </w:r>
    </w:p>
    <w:p>
      <w:pPr>
        <w:spacing w:after="120" w:line="276" w:lineRule="auto"/>
      </w:pPr>
      <w:r>
        <w:t>**Conclusion technique** : Les indicateurs sont mitigés. La tendance de fond reste haussière (MM50, MM20), mais le momentum à court terme est négatif (MACD, RSI). Le croisement stochastique pourrait signaler un rebond imminent. Globalement, le titre est dans une phase de consolidation après une hausse, avec un biais légèrement positif à moyen terme.</w:t>
      </w:r>
    </w:p>
    <w:p>
      <w:pPr>
        <w:spacing w:after="120" w:line="276" w:lineRule="auto"/>
      </w:pPr>
      <w:r>
        <w:t>---</w:t>
      </w:r>
    </w:p>
    <w:p>
      <w:pPr>
        <w:spacing w:after="120" w:line="276" w:lineRule="auto"/>
      </w:pPr>
      <w:r>
        <w:t>### PARTIE 3 : ANALYSE FONDAMENTALE (SECTION CRITIQUE)</w:t>
      </w:r>
    </w:p>
    <w:p>
      <w:pPr>
        <w:spacing w:after="120" w:line="276" w:lineRule="auto"/>
      </w:pPr>
      <w:r>
        <w:t>En 2025, Sonatel a réalisé un chiffre d'affaires consolidé de 1 923,1 milliards FCFA, en hausse de +8,3% par rapport à 2024, et un résultat net de 413,6 milliards FCFA (+5,1%). La marge nette s'établit à 21,5%, avec un ROE exceptionnel de 29,6% et un ROA de 12,6%, démontrant une excellente rentabilité des capitaux propres et des actifs. La structure financière est saine avec une autonomie financière de 42,8% et un ratio d'endettement de 57,2%. Le BFR négatif de -284,9 milliards FCFA est un signe très favorable, indiquant que l'entreprise finance son exploitation grâce à ses fournisseurs (délai fournisseurs de 201 jours contre 46 jours pour les clients). Le free cash flow de 408 milliards FCFA confirme la forte capacité de génération de trésorerie. Les rapports trimestriels 2025 confirment cette dynamique : le T1 2025 affichait une croissance du résultat net de +14,9%, le S1 2025 un CA de 960,2 milliards (+9,4%) et les 9M 2025 un CA de 1 432,5 milliards (+8,6%). Le rapport S1 2026, publié en juillet 2026, montre une accélération avec un CA de 1 049,8 milliards (+9,3%) et un résultat net de 230 milliards (+10,5%), avec une notation relevée à AAA(wu) par GCR. Sur la base de ces données, on estime que l'exercice 2026 devrait dépasser les 2 100 milliards de CA et atteindre un résultat net supérieur à 450 milliards FCFA. La solidité financière, la croissance soutenue et la rentabilité élevée confirment la qualité de l'investissement.</w:t>
      </w:r>
    </w:p>
    <w:p>
      <w:pPr>
        <w:spacing w:after="120" w:line="276" w:lineRule="auto"/>
      </w:pPr>
      <w:r>
        <w:t>---</w:t>
      </w:r>
    </w:p>
    <w:p>
      <w:pPr>
        <w:spacing w:after="120" w:line="276" w:lineRule="auto"/>
      </w:pPr>
      <w:r>
        <w:t>### PARTIE 4 : CONCLUSION D'INVESTISSEMENT</w:t>
      </w:r>
    </w:p>
    <w:p>
      <w:pPr>
        <w:spacing w:after="120" w:line="276" w:lineRule="auto"/>
      </w:pPr>
      <w:r>
        <w:t>La valorisation de Sonatel est attractive avec un PER de 7,5x, un EV/EBITDA de 3,2x et un P/B de 2,22x, indiquant une sous-évaluation relative malgré une prime de croissance. Le comportement du cours sur 100 jours est globalement positif (+6,9%), avec une volatilité modérée (25,2%) et une distribution statistique saine, sans risque de kurtosis extrême. Les signaux techniques sont mitigés à court terme (MACD vendeur, RSI neutre) mais positifs à moyen terme (MM50, stochastique en croisement haussier). Les fondamentaux sont excellents : croissance soutenue du CA et du résultat net, ROE de 29,6%, BFR négatif favorable, et perspectives 2026 confirmées par les résultats S1 2026 (+10,5% de résultat net). Les prédictions IA pour les 10 prochains jours indiquent une légère baisse vers 30 675 FCFA, ce qui pourrait représenter une opportunité d'achat. La convergence entre la sous-évaluation, la solidité fondamentale et les perspectives de croissance conduit à une recommandation **ACHAT** avec un niveau de confiance **Élevé**. Le risque global est **Faible**, et l'horizon d'investissement optimal est le **moyen terme (3-12 mois)**, en capitalisant sur la croissance des données, de la fibre et des services financiers numériques.</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174.97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4,230 titres</w:t>
            </w:r>
          </w:p>
        </w:tc>
        <w:tc>
          <w:tcPr>
            <w:tcW w:type="dxa" w:w="2268"/>
            <w:shd w:fill="FFF2CC" w:val="clear"/>
          </w:tcPr>
          <w:p>
            <w:r>
              <w:rPr>
                <w:b/>
                <w:color w:val="503200"/>
                <w:sz w:val="16"/>
              </w:rPr>
              <w:t xml:space="preserve">Cours actuel : </w:t>
            </w:r>
            <w:r>
              <w:rPr>
                <w:color w:val="000000"/>
                <w:sz w:val="17"/>
              </w:rPr>
              <w:t>8,100 FCFA</w:t>
            </w:r>
          </w:p>
          <w:p>
            <w:r>
              <w:rPr>
                <w:b/>
                <w:color w:val="503200"/>
                <w:sz w:val="16"/>
              </w:rPr>
              <w:t xml:space="preserve">Var. 100 jours : </w:t>
            </w:r>
            <w:r>
              <w:rPr>
                <w:b/>
                <w:color w:val="B40000"/>
                <w:sz w:val="17"/>
              </w:rPr>
              <w:t>-8.06%</w:t>
            </w:r>
          </w:p>
          <w:p>
            <w:r>
              <w:rPr>
                <w:b/>
                <w:color w:val="503200"/>
                <w:sz w:val="16"/>
              </w:rPr>
              <w:t xml:space="preserve">Plus haut 100j : </w:t>
            </w:r>
            <w:r>
              <w:rPr>
                <w:color w:val="000000"/>
                <w:sz w:val="17"/>
              </w:rPr>
              <w:t>9,000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36.0%</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17.5/100 → Faible</w:t>
      </w:r>
    </w:p>
    <w:p>
      <w:pPr>
        <w:spacing w:before="40" w:after="80"/>
      </w:pPr>
      <w:r>
        <w:rPr>
          <w:rFonts w:ascii="Courier New" w:hAnsi="Courier New"/>
          <w:color w:val="006400"/>
          <w:sz w:val="18"/>
        </w:rPr>
        <w:t>███░░░░░░░░░░░░░░░░░  17.5/100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5.44% (Moyenne) — μ=8,039 FCFA, σ=437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β=0.8193 (Neutre (suit le marché)) — Cov=0.000030, Var(idx)=0.000036, ρ=0.215,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4,230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7,867</w:t>
            </w:r>
          </w:p>
        </w:tc>
        <w:tc>
          <w:tcPr>
            <w:tcW w:type="dxa" w:w="1440"/>
            <w:shd w:fill="FAFAFA" w:val="clear"/>
          </w:tcPr>
          <w:p>
            <w:r>
              <w:rPr>
                <w:b/>
                <w:sz w:val="17"/>
              </w:rPr>
              <w:t>8,121</w:t>
            </w:r>
          </w:p>
        </w:tc>
        <w:tc>
          <w:tcPr>
            <w:tcW w:type="dxa" w:w="1440"/>
            <w:shd w:fill="FAFAFA" w:val="clear"/>
          </w:tcPr>
          <w:p>
            <w:r>
              <w:rPr>
                <w:sz w:val="17"/>
              </w:rPr>
              <w:t>8,375</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7,775</w:t>
            </w:r>
          </w:p>
        </w:tc>
        <w:tc>
          <w:tcPr>
            <w:tcW w:type="dxa" w:w="1440"/>
            <w:shd w:fill="FAFAFA" w:val="clear"/>
          </w:tcPr>
          <w:p>
            <w:r>
              <w:rPr>
                <w:b/>
                <w:sz w:val="17"/>
              </w:rPr>
              <w:t>8,135</w:t>
            </w:r>
          </w:p>
        </w:tc>
        <w:tc>
          <w:tcPr>
            <w:tcW w:type="dxa" w:w="1440"/>
            <w:shd w:fill="FAFAFA" w:val="clear"/>
          </w:tcPr>
          <w:p>
            <w:r>
              <w:rPr>
                <w:sz w:val="17"/>
              </w:rPr>
              <w:t>8,494</w:t>
            </w:r>
          </w:p>
        </w:tc>
        <w:tc>
          <w:tcPr>
            <w:tcW w:type="dxa" w:w="1440"/>
            <w:shd w:fill="FAFAFA" w:val="clear"/>
          </w:tcPr>
          <w:p>
            <w:r>
              <w:rPr>
                <w:b/>
                <w:color w:val="008000"/>
                <w:sz w:val="17"/>
              </w:rPr>
              <w:t>+0.4%</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7,706</w:t>
            </w:r>
          </w:p>
        </w:tc>
        <w:tc>
          <w:tcPr>
            <w:tcW w:type="dxa" w:w="1440"/>
            <w:shd w:fill="FAFAFA" w:val="clear"/>
          </w:tcPr>
          <w:p>
            <w:r>
              <w:rPr>
                <w:b/>
                <w:sz w:val="17"/>
              </w:rPr>
              <w:t>8,147</w:t>
            </w:r>
          </w:p>
        </w:tc>
        <w:tc>
          <w:tcPr>
            <w:tcW w:type="dxa" w:w="1440"/>
            <w:shd w:fill="FAFAFA" w:val="clear"/>
          </w:tcPr>
          <w:p>
            <w:r>
              <w:rPr>
                <w:sz w:val="17"/>
              </w:rPr>
              <w:t>8,588</w:t>
            </w:r>
          </w:p>
        </w:tc>
        <w:tc>
          <w:tcPr>
            <w:tcW w:type="dxa" w:w="1440"/>
            <w:shd w:fill="FAFAFA" w:val="clear"/>
          </w:tcPr>
          <w:p>
            <w:r>
              <w:rPr>
                <w:b/>
                <w:color w:val="008000"/>
                <w:sz w:val="17"/>
              </w:rPr>
              <w:t>+0.6%</w:t>
            </w:r>
          </w:p>
        </w:tc>
      </w:tr>
      <w:tr>
        <w:tc>
          <w:tcPr>
            <w:tcW w:type="dxa" w:w="1440"/>
            <w:shd w:fill="FAFAFA" w:val="clear"/>
          </w:tcPr>
          <w:p>
            <w:r>
              <w:rPr>
                <w:sz w:val="17"/>
              </w:rPr>
              <w:t>J+4  Moyenne</w:t>
            </w:r>
          </w:p>
        </w:tc>
        <w:tc>
          <w:tcPr>
            <w:tcW w:type="dxa" w:w="1440"/>
            <w:shd w:fill="FAFAFA" w:val="clear"/>
          </w:tcPr>
          <w:p>
            <w:r>
              <w:rPr>
                <w:sz w:val="17"/>
              </w:rPr>
              <w:t>2026-08-13</w:t>
            </w:r>
          </w:p>
        </w:tc>
        <w:tc>
          <w:tcPr>
            <w:tcW w:type="dxa" w:w="1440"/>
            <w:shd w:fill="FAFAFA" w:val="clear"/>
          </w:tcPr>
          <w:p>
            <w:r>
              <w:rPr>
                <w:sz w:val="17"/>
              </w:rPr>
              <w:t>7,649</w:t>
            </w:r>
          </w:p>
        </w:tc>
        <w:tc>
          <w:tcPr>
            <w:tcW w:type="dxa" w:w="1440"/>
            <w:shd w:fill="FAFAFA" w:val="clear"/>
          </w:tcPr>
          <w:p>
            <w:r>
              <w:rPr>
                <w:b/>
                <w:sz w:val="17"/>
              </w:rPr>
              <w:t>8,159</w:t>
            </w:r>
          </w:p>
        </w:tc>
        <w:tc>
          <w:tcPr>
            <w:tcW w:type="dxa" w:w="1440"/>
            <w:shd w:fill="FAFAFA" w:val="clear"/>
          </w:tcPr>
          <w:p>
            <w:r>
              <w:rPr>
                <w:sz w:val="17"/>
              </w:rPr>
              <w:t>8,669</w:t>
            </w:r>
          </w:p>
        </w:tc>
        <w:tc>
          <w:tcPr>
            <w:tcW w:type="dxa" w:w="1440"/>
            <w:shd w:fill="FAFAFA" w:val="clear"/>
          </w:tcPr>
          <w:p>
            <w:r>
              <w:rPr>
                <w:b/>
                <w:color w:val="008000"/>
                <w:sz w:val="17"/>
              </w:rPr>
              <w:t>+0.7%</w:t>
            </w:r>
          </w:p>
        </w:tc>
      </w:tr>
      <w:tr>
        <w:tc>
          <w:tcPr>
            <w:tcW w:type="dxa" w:w="1440"/>
            <w:shd w:fill="FAFAFA" w:val="clear"/>
          </w:tcPr>
          <w:p>
            <w:r>
              <w:rPr>
                <w:sz w:val="17"/>
              </w:rPr>
              <w:t>J+5  Moyenne</w:t>
            </w:r>
          </w:p>
        </w:tc>
        <w:tc>
          <w:tcPr>
            <w:tcW w:type="dxa" w:w="1440"/>
            <w:shd w:fill="FAFAFA" w:val="clear"/>
          </w:tcPr>
          <w:p>
            <w:r>
              <w:rPr>
                <w:sz w:val="17"/>
              </w:rPr>
              <w:t>2026-08-14</w:t>
            </w:r>
          </w:p>
        </w:tc>
        <w:tc>
          <w:tcPr>
            <w:tcW w:type="dxa" w:w="1440"/>
            <w:shd w:fill="FAFAFA" w:val="clear"/>
          </w:tcPr>
          <w:p>
            <w:r>
              <w:rPr>
                <w:sz w:val="17"/>
              </w:rPr>
              <w:t>7,600</w:t>
            </w:r>
          </w:p>
        </w:tc>
        <w:tc>
          <w:tcPr>
            <w:tcW w:type="dxa" w:w="1440"/>
            <w:shd w:fill="FAFAFA" w:val="clear"/>
          </w:tcPr>
          <w:p>
            <w:r>
              <w:rPr>
                <w:b/>
                <w:sz w:val="17"/>
              </w:rPr>
              <w:t>8,171</w:t>
            </w:r>
          </w:p>
        </w:tc>
        <w:tc>
          <w:tcPr>
            <w:tcW w:type="dxa" w:w="1440"/>
            <w:shd w:fill="FAFAFA" w:val="clear"/>
          </w:tcPr>
          <w:p>
            <w:r>
              <w:rPr>
                <w:sz w:val="17"/>
              </w:rPr>
              <w:t>8,742</w:t>
            </w:r>
          </w:p>
        </w:tc>
        <w:tc>
          <w:tcPr>
            <w:tcW w:type="dxa" w:w="1440"/>
            <w:shd w:fill="FAFAFA" w:val="clear"/>
          </w:tcPr>
          <w:p>
            <w:r>
              <w:rPr>
                <w:b/>
                <w:color w:val="008000"/>
                <w:sz w:val="17"/>
              </w:rPr>
              <w:t>+0.9%</w:t>
            </w:r>
          </w:p>
        </w:tc>
      </w:tr>
      <w:tr>
        <w:tc>
          <w:tcPr>
            <w:tcW w:type="dxa" w:w="1440"/>
            <w:shd w:fill="FAFAFA" w:val="clear"/>
          </w:tcPr>
          <w:p>
            <w:r>
              <w:rPr>
                <w:sz w:val="17"/>
              </w:rPr>
              <w:t>J+6  Moyenne</w:t>
            </w:r>
          </w:p>
        </w:tc>
        <w:tc>
          <w:tcPr>
            <w:tcW w:type="dxa" w:w="1440"/>
            <w:shd w:fill="FAFAFA" w:val="clear"/>
          </w:tcPr>
          <w:p>
            <w:r>
              <w:rPr>
                <w:sz w:val="17"/>
              </w:rPr>
              <w:t>2026-08-17</w:t>
            </w:r>
          </w:p>
        </w:tc>
        <w:tc>
          <w:tcPr>
            <w:tcW w:type="dxa" w:w="1440"/>
            <w:shd w:fill="FAFAFA" w:val="clear"/>
          </w:tcPr>
          <w:p>
            <w:r>
              <w:rPr>
                <w:sz w:val="17"/>
              </w:rPr>
              <w:t>7,556</w:t>
            </w:r>
          </w:p>
        </w:tc>
        <w:tc>
          <w:tcPr>
            <w:tcW w:type="dxa" w:w="1440"/>
            <w:shd w:fill="FAFAFA" w:val="clear"/>
          </w:tcPr>
          <w:p>
            <w:r>
              <w:rPr>
                <w:b/>
                <w:sz w:val="17"/>
              </w:rPr>
              <w:t>8,183</w:t>
            </w:r>
          </w:p>
        </w:tc>
        <w:tc>
          <w:tcPr>
            <w:tcW w:type="dxa" w:w="1440"/>
            <w:shd w:fill="FAFAFA" w:val="clear"/>
          </w:tcPr>
          <w:p>
            <w:r>
              <w:rPr>
                <w:sz w:val="17"/>
              </w:rPr>
              <w:t>8,809</w:t>
            </w:r>
          </w:p>
        </w:tc>
        <w:tc>
          <w:tcPr>
            <w:tcW w:type="dxa" w:w="1440"/>
            <w:shd w:fill="FAFAFA" w:val="clear"/>
          </w:tcPr>
          <w:p>
            <w:r>
              <w:rPr>
                <w:b/>
                <w:color w:val="008000"/>
                <w:sz w:val="17"/>
              </w:rPr>
              <w:t>+1.0%</w:t>
            </w:r>
          </w:p>
        </w:tc>
      </w:tr>
      <w:tr>
        <w:tc>
          <w:tcPr>
            <w:tcW w:type="dxa" w:w="1440"/>
            <w:shd w:fill="FAFAFA" w:val="clear"/>
          </w:tcPr>
          <w:p>
            <w:r>
              <w:rPr>
                <w:sz w:val="17"/>
              </w:rPr>
              <w:t>J+7  Moyenne</w:t>
            </w:r>
          </w:p>
        </w:tc>
        <w:tc>
          <w:tcPr>
            <w:tcW w:type="dxa" w:w="1440"/>
            <w:shd w:fill="FAFAFA" w:val="clear"/>
          </w:tcPr>
          <w:p>
            <w:r>
              <w:rPr>
                <w:sz w:val="17"/>
              </w:rPr>
              <w:t>2026-08-18</w:t>
            </w:r>
          </w:p>
        </w:tc>
        <w:tc>
          <w:tcPr>
            <w:tcW w:type="dxa" w:w="1440"/>
            <w:shd w:fill="FAFAFA" w:val="clear"/>
          </w:tcPr>
          <w:p>
            <w:r>
              <w:rPr>
                <w:sz w:val="17"/>
              </w:rPr>
              <w:t>7,517</w:t>
            </w:r>
          </w:p>
        </w:tc>
        <w:tc>
          <w:tcPr>
            <w:tcW w:type="dxa" w:w="1440"/>
            <w:shd w:fill="FAFAFA" w:val="clear"/>
          </w:tcPr>
          <w:p>
            <w:r>
              <w:rPr>
                <w:b/>
                <w:sz w:val="17"/>
              </w:rPr>
              <w:t>8,194</w:t>
            </w:r>
          </w:p>
        </w:tc>
        <w:tc>
          <w:tcPr>
            <w:tcW w:type="dxa" w:w="1440"/>
            <w:shd w:fill="FAFAFA" w:val="clear"/>
          </w:tcPr>
          <w:p>
            <w:r>
              <w:rPr>
                <w:sz w:val="17"/>
              </w:rPr>
              <w:t>8,872</w:t>
            </w:r>
          </w:p>
        </w:tc>
        <w:tc>
          <w:tcPr>
            <w:tcW w:type="dxa" w:w="1440"/>
            <w:shd w:fill="FAFAFA" w:val="clear"/>
          </w:tcPr>
          <w:p>
            <w:r>
              <w:rPr>
                <w:b/>
                <w:color w:val="008000"/>
                <w:sz w:val="17"/>
              </w:rPr>
              <w:t>+1.2%</w:t>
            </w:r>
          </w:p>
        </w:tc>
      </w:tr>
      <w:tr>
        <w:tc>
          <w:tcPr>
            <w:tcW w:type="dxa" w:w="1440"/>
            <w:shd w:fill="FAFAFA" w:val="clear"/>
          </w:tcPr>
          <w:p>
            <w:r>
              <w:rPr>
                <w:sz w:val="17"/>
              </w:rPr>
              <w:t>J+8  Moyenne</w:t>
            </w:r>
          </w:p>
        </w:tc>
        <w:tc>
          <w:tcPr>
            <w:tcW w:type="dxa" w:w="1440"/>
            <w:shd w:fill="FAFAFA" w:val="clear"/>
          </w:tcPr>
          <w:p>
            <w:r>
              <w:rPr>
                <w:sz w:val="17"/>
              </w:rPr>
              <w:t>2026-08-19</w:t>
            </w:r>
          </w:p>
        </w:tc>
        <w:tc>
          <w:tcPr>
            <w:tcW w:type="dxa" w:w="1440"/>
            <w:shd w:fill="FAFAFA" w:val="clear"/>
          </w:tcPr>
          <w:p>
            <w:r>
              <w:rPr>
                <w:sz w:val="17"/>
              </w:rPr>
              <w:t>7,481</w:t>
            </w:r>
          </w:p>
        </w:tc>
        <w:tc>
          <w:tcPr>
            <w:tcW w:type="dxa" w:w="1440"/>
            <w:shd w:fill="FAFAFA" w:val="clear"/>
          </w:tcPr>
          <w:p>
            <w:r>
              <w:rPr>
                <w:b/>
                <w:sz w:val="17"/>
              </w:rPr>
              <w:t>8,206</w:t>
            </w:r>
          </w:p>
        </w:tc>
        <w:tc>
          <w:tcPr>
            <w:tcW w:type="dxa" w:w="1440"/>
            <w:shd w:fill="FAFAFA" w:val="clear"/>
          </w:tcPr>
          <w:p>
            <w:r>
              <w:rPr>
                <w:sz w:val="17"/>
              </w:rPr>
              <w:t>8,932</w:t>
            </w:r>
          </w:p>
        </w:tc>
        <w:tc>
          <w:tcPr>
            <w:tcW w:type="dxa" w:w="1440"/>
            <w:shd w:fill="FAFAFA" w:val="clear"/>
          </w:tcPr>
          <w:p>
            <w:r>
              <w:rPr>
                <w:b/>
                <w:color w:val="008000"/>
                <w:sz w:val="17"/>
              </w:rPr>
              <w:t>+1.3%</w:t>
            </w:r>
          </w:p>
        </w:tc>
      </w:tr>
      <w:tr>
        <w:tc>
          <w:tcPr>
            <w:tcW w:type="dxa" w:w="1440"/>
            <w:shd w:fill="FAFAFA" w:val="clear"/>
          </w:tcPr>
          <w:p>
            <w:r>
              <w:rPr>
                <w:sz w:val="17"/>
              </w:rPr>
              <w:t>J+9  Moyenne</w:t>
            </w:r>
          </w:p>
        </w:tc>
        <w:tc>
          <w:tcPr>
            <w:tcW w:type="dxa" w:w="1440"/>
            <w:shd w:fill="FAFAFA" w:val="clear"/>
          </w:tcPr>
          <w:p>
            <w:r>
              <w:rPr>
                <w:sz w:val="17"/>
              </w:rPr>
              <w:t>2026-08-20</w:t>
            </w:r>
          </w:p>
        </w:tc>
        <w:tc>
          <w:tcPr>
            <w:tcW w:type="dxa" w:w="1440"/>
            <w:shd w:fill="FAFAFA" w:val="clear"/>
          </w:tcPr>
          <w:p>
            <w:r>
              <w:rPr>
                <w:sz w:val="17"/>
              </w:rPr>
              <w:t>7,447</w:t>
            </w:r>
          </w:p>
        </w:tc>
        <w:tc>
          <w:tcPr>
            <w:tcW w:type="dxa" w:w="1440"/>
            <w:shd w:fill="FAFAFA" w:val="clear"/>
          </w:tcPr>
          <w:p>
            <w:r>
              <w:rPr>
                <w:b/>
                <w:sz w:val="17"/>
              </w:rPr>
              <w:t>8,218</w:t>
            </w:r>
          </w:p>
        </w:tc>
        <w:tc>
          <w:tcPr>
            <w:tcW w:type="dxa" w:w="1440"/>
            <w:shd w:fill="FAFAFA" w:val="clear"/>
          </w:tcPr>
          <w:p>
            <w:r>
              <w:rPr>
                <w:sz w:val="17"/>
              </w:rPr>
              <w:t>8,988</w:t>
            </w:r>
          </w:p>
        </w:tc>
        <w:tc>
          <w:tcPr>
            <w:tcW w:type="dxa" w:w="1440"/>
            <w:shd w:fill="FAFAFA" w:val="clear"/>
          </w:tcPr>
          <w:p>
            <w:r>
              <w:rPr>
                <w:b/>
                <w:color w:val="008000"/>
                <w:sz w:val="17"/>
              </w:rPr>
              <w:t>+1.5%</w:t>
            </w:r>
          </w:p>
        </w:tc>
      </w:tr>
      <w:tr>
        <w:tc>
          <w:tcPr>
            <w:tcW w:type="dxa" w:w="1440"/>
            <w:shd w:fill="FAFAFA" w:val="clear"/>
          </w:tcPr>
          <w:p>
            <w:r>
              <w:rPr>
                <w:sz w:val="17"/>
              </w:rPr>
              <w:t>J+10  Moyenne</w:t>
            </w:r>
          </w:p>
        </w:tc>
        <w:tc>
          <w:tcPr>
            <w:tcW w:type="dxa" w:w="1440"/>
            <w:shd w:fill="FAFAFA" w:val="clear"/>
          </w:tcPr>
          <w:p>
            <w:r>
              <w:rPr>
                <w:sz w:val="17"/>
              </w:rPr>
              <w:t>2026-08-21</w:t>
            </w:r>
          </w:p>
        </w:tc>
        <w:tc>
          <w:tcPr>
            <w:tcW w:type="dxa" w:w="1440"/>
            <w:shd w:fill="FAFAFA" w:val="clear"/>
          </w:tcPr>
          <w:p>
            <w:r>
              <w:rPr>
                <w:sz w:val="17"/>
              </w:rPr>
              <w:t>7,416</w:t>
            </w:r>
          </w:p>
        </w:tc>
        <w:tc>
          <w:tcPr>
            <w:tcW w:type="dxa" w:w="1440"/>
            <w:shd w:fill="FAFAFA" w:val="clear"/>
          </w:tcPr>
          <w:p>
            <w:r>
              <w:rPr>
                <w:b/>
                <w:sz w:val="17"/>
              </w:rPr>
              <w:t>8,229</w:t>
            </w:r>
          </w:p>
        </w:tc>
        <w:tc>
          <w:tcPr>
            <w:tcW w:type="dxa" w:w="1440"/>
            <w:shd w:fill="FAFAFA" w:val="clear"/>
          </w:tcPr>
          <w:p>
            <w:r>
              <w:rPr>
                <w:sz w:val="17"/>
              </w:rPr>
              <w:t>9,042</w:t>
            </w:r>
          </w:p>
        </w:tc>
        <w:tc>
          <w:tcPr>
            <w:tcW w:type="dxa" w:w="1440"/>
            <w:shd w:fill="FAFAFA" w:val="clear"/>
          </w:tcPr>
          <w:p>
            <w:r>
              <w:rPr>
                <w:b/>
                <w:color w:val="008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Absolument. Voici un rapport d'analyse professionnel structuré pour l'action SOGC,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SOGC s'établit à 174,97 milliards FCFA, ce qui en fait une valeur de première importance sur la BRVM, représentative du secteur agro-industriel. Avec un BPA de 578 FCFA, le titre se négocie à un PER de 14,0x. Ce niveau est supérieur à la moyenne historique de la BRVM (8-12x), indiquant que le marché accorde une prime de croissance à la société, justifiée par ses performances récentes. Le P/B de 2,56x confirme cette prime, le marché valorisant la société à plus de 2,5 fois ses capitaux propres. Enfin, un EV/EBITDA de 7,3x reste dans une zone raisonnable, suggérant que la valorisation globale de l'entreprise, dette incluse, n'est pas excessive par rapport à sa capacité opérationnelle.</w:t>
      </w:r>
    </w:p>
    <w:p>
      <w:pPr>
        <w:spacing w:after="120" w:line="276" w:lineRule="auto"/>
      </w:pPr>
      <w:r>
        <w:t>### **PARTIE 1 : ANALYSE DU COURS — STATISTIQUES ET ÉVOLUTION (100 derniers jours)**</w:t>
      </w:r>
    </w:p>
    <w:p>
      <w:pPr>
        <w:spacing w:after="120" w:line="276" w:lineRule="auto"/>
      </w:pPr>
      <w:r>
        <w:t>Sur les 100 derniers jours, l'action SOGC a enregistré une baisse de 8,06%, avec une dernière séance stable (+0,00%). Le cours a évolué dans une fourchette de 7,100 FCFA (plus bas) à 9,000 FCFA (plus haut), montrant une amplitude de trading significative. La tendance générale est donc baissière sur la période, malgré un cours actuel de 8,100 FCFA proche de la moyenne (8,039 FCFA) et de la médiane (8,055 FCFA), ce qui suggère une distribution des prix relativement symétrique. L'écart-type de 439 FCFA (CV=5,5%) indique une dispersion modérée autour de la moyenne. Le kurtosis négatif (-0,679) et le skewness proche de zéro (-0,052) confirment une distribution mésokurtique et symétrique, sans risque de mouvements extrêmes particuliers. La volatilité annualisée de 36,0% classe le titre comme très volatil, un élément clé à considérer pour le profil de risque de l'investisseur.</w:t>
      </w:r>
    </w:p>
    <w:p>
      <w:pPr>
        <w:spacing w:after="120" w:line="276" w:lineRule="auto"/>
      </w:pPr>
      <w:r>
        <w:t>### **PARTIE 2 : ANALYSE TECHNIQUE DÉTAILLÉE**</w:t>
      </w:r>
    </w:p>
    <w:p>
      <w:pPr>
        <w:spacing w:after="120" w:line="276" w:lineRule="auto"/>
      </w:pPr>
      <w:r>
        <w:t>**Moyennes Mobiles:** Le cours actuel (8,100 FCFA) est inférieur à la MM20 (8,176 FCFA) et à la MM50 (8,258,6 FCFA). Cette configuration, où le prix est sous les deux moyennes, signale une dynamique baissière à court et moyen terme. La décision de "Vente" est justifiée par cette tendance baissière et l'absence de croisement haussier.</w:t>
      </w:r>
    </w:p>
    <w:p>
      <w:pPr>
        <w:spacing w:after="120" w:line="276" w:lineRule="auto"/>
      </w:pPr>
      <w:r>
        <w:t>**Bandes de Bollinger:** Le prix se situe à 8,100 FCFA, entre la borne inférieure (7,898,2 FCFA) et la borne supérieure (8,453,8 FCFA), proche de la moyenne. La décision "Neutre" est cohérente : le titre n'est ni suracheté ni survendu, et la largeur des bandes indique une volatilité non extrême. Le prix évolue dans la partie médiane du canal, sans signal directionnel fort.</w:t>
      </w:r>
    </w:p>
    <w:p>
      <w:pPr>
        <w:spacing w:after="120" w:line="276" w:lineRule="auto"/>
      </w:pPr>
      <w:r>
        <w:t>**MACD:** La valeur du MACD (-25,099) est inférieure à sa ligne de signal (-5,291), ce qui constitue un signal baissier. Le momentum est négatif et la divergence entre les deux lignes suggère une pression vendeuse persistante. La décision de "Vente" est donc justifiée par cette dynamique baissière du momentum.</w:t>
      </w:r>
    </w:p>
    <w:p>
      <w:pPr>
        <w:spacing w:after="120" w:line="276" w:lineRule="auto"/>
      </w:pPr>
      <w:r>
        <w:t>**RSI:** Avec une valeur de 52,174, le RSI se situe dans la zone neutre (30-70). Cela indique que le titre n'est ni suracheté ni survendu, et qu'il n'y a pas de pression directionnelle forte. La décision "Neutre" est appropriée, car le RSI ne fournit pas de signal d'achat ou de vente clair.</w:t>
      </w:r>
    </w:p>
    <w:p>
      <w:pPr>
        <w:spacing w:after="120" w:line="276" w:lineRule="auto"/>
      </w:pPr>
      <w:r>
        <w:t>**Stochastique:** Le %K (40,0) est supérieur au %D (26,667), ce qui peut indiquer un début de retournement haussier à très court terme. Cependant, les deux lignes restent en zone de faiblesse relative. La décision "Neutre" est prudente, car le croisement est encore fragile et ne confirme pas une tendance haussière solide.</w:t>
      </w:r>
    </w:p>
    <w:p>
      <w:pPr>
        <w:spacing w:after="120" w:line="276" w:lineRule="auto"/>
      </w:pPr>
      <w:r>
        <w:t>**Conclusion technique:** Les indicateurs techniques sont globalement mitigés, avec une prédominance baissière. Les moyennes mobiles et le MACD signalent une tendance négative, tandis que le RSI et les bandes de Bollinger sont neutres. Seul le stochastique montre un signe de stabilisation. Cette configuration suggère une phase de consolidation avec un biais négatif, sans signal d'achat fort.</w:t>
      </w:r>
    </w:p>
    <w:p>
      <w:pPr>
        <w:spacing w:after="120" w:line="276" w:lineRule="auto"/>
      </w:pPr>
      <w:r>
        <w:t>### **PARTIE 3 : ANALYSE FONDAMENTALE (SECTION CRITIQUE)**</w:t>
      </w:r>
    </w:p>
    <w:p>
      <w:pPr>
        <w:spacing w:after="120" w:line="276" w:lineRule="auto"/>
      </w:pPr>
      <w:r>
        <w:t>En 2025, la SOGC a réalisé un chiffre d'affaires de 98,979 milliards FCFA, en hausse de 10,7%, pour un résultat net de 12,493 milliards FCFA. La rentabilité reste excellente avec un ROE de 18,26% et un ROA de 13,84%. La structure financière est très saine avec une autonomie financière de 75,79% et une solvabilité générale de 413%. En tant qu'entreprise agro-industrielle, on note un BFR de 7,124 milliards FCFA, un délai client de 29,6 jours et une durée de stockage de 97,67 jours, ce qui est normal pour ce secteur. Les rapports trimestriels de 2025 (T1, S1, 9M) montrent une performance exceptionnelle en début d'année (croissance du CA de +63% au T1, +51,9% au S1) mais un net ralentissement au S2, avec un CA cumulé à 9 mois en hausse de +21,3% seulement. Le rapport annuel 2025 confirme cette tendance, avec un résultat net en baisse de 5% par rapport à 2024, impacté par la hausse des coûts des matières premières et la baisse des cours du caoutchouc. La société propose un dividende de 570 FCFA par action, ce qui représente un rendement très attractif. Les fondamentaux restent donc solides, mais la dynamique de croissance s'est nettement essoufflée en fin d'exercice.</w:t>
      </w:r>
    </w:p>
    <w:p>
      <w:pPr>
        <w:spacing w:after="120" w:line="276" w:lineRule="auto"/>
      </w:pPr>
      <w:r>
        <w:t>### **PARTIE 4 : CONCLUSION D'INVESTISSEMENT**</w:t>
      </w:r>
    </w:p>
    <w:p>
      <w:pPr>
        <w:spacing w:after="120" w:line="276" w:lineRule="auto"/>
      </w:pPr>
      <w:r>
        <w:t>La valorisation de la SOGC (PER 14x, P/B 2,56x) est correcte mais non bon marché, intégrant déjà une prime pour ses performances passées. Le comportement du cours sur 100 jours est baissier, avec une volatilité élevée, mais les statistiques (symétrie, kurtosis) ne montrent pas de risque extrême. Les signaux techniques sont majoritairement vendeurs ou neutres, suggérant une poursuite de la consolidation. Cependant, les fondamentaux restent robustes : la société est très rentable (ROE &gt;18%), financièrement solide et offre un dividende élevé (570 FCFA/action). Les prédictions IA sur 10 jours (+0,9%) suggèrent une légère stabilisation, contredisant la tendance baissière récente. En synthèse, la SOGC est une valeur de qualité avec des perspectives de croissance ralenties. **Recommandation : CONSERVER**. La convergence est partielle : les fondamentaux solides et le dividende attractif plaident pour la conservation, tandis que la technique et la valorisation non-discountée limitent le potentiel de hausse à court terme. Le niveau de confiance est **Moyen** et le risque global est **Moyen**. L'horizon d'investissement optimal est le **moyen terme (3-12 mois)**, en attendant de voir si la société parvient à stabiliser ses marges dans un environnement de prix des matières premières plus difficile.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194.24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4,560 titres</w:t>
            </w:r>
          </w:p>
        </w:tc>
        <w:tc>
          <w:tcPr>
            <w:tcW w:type="dxa" w:w="2268"/>
            <w:shd w:fill="FFF2CC" w:val="clear"/>
          </w:tcPr>
          <w:p>
            <w:r>
              <w:rPr>
                <w:b/>
                <w:color w:val="503200"/>
                <w:sz w:val="16"/>
              </w:rPr>
              <w:t xml:space="preserve">Cours actuel : </w:t>
            </w:r>
            <w:r>
              <w:rPr>
                <w:color w:val="000000"/>
                <w:sz w:val="17"/>
              </w:rPr>
              <w:t>7,600 FCFA</w:t>
            </w:r>
          </w:p>
          <w:p>
            <w:r>
              <w:rPr>
                <w:b/>
                <w:color w:val="503200"/>
                <w:sz w:val="16"/>
              </w:rPr>
              <w:t xml:space="preserve">Var. 100 jours : </w:t>
            </w:r>
            <w:r>
              <w:rPr>
                <w:b/>
                <w:color w:val="B40000"/>
                <w:sz w:val="17"/>
              </w:rPr>
              <w:t>-8.43%</w:t>
            </w:r>
          </w:p>
          <w:p>
            <w:r>
              <w:rPr>
                <w:b/>
                <w:color w:val="503200"/>
                <w:sz w:val="16"/>
              </w:rPr>
              <w:t xml:space="preserve">Plus haut 100j : </w:t>
            </w:r>
            <w:r>
              <w:rPr>
                <w:color w:val="000000"/>
                <w:sz w:val="17"/>
              </w:rPr>
              <w:t>8,435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5.09% (Moyenne) — μ=7,415 FCFA, σ=377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β=1.4804 (Agressif) — Cov=0.000053, Var(idx)=0.000036, ρ=0.344,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4,560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σ_j=2.55%/j (Stable) — Vol. annualisée≈40.4%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7,289</w:t>
            </w:r>
          </w:p>
        </w:tc>
        <w:tc>
          <w:tcPr>
            <w:tcW w:type="dxa" w:w="1440"/>
            <w:shd w:fill="FAFAFA" w:val="clear"/>
          </w:tcPr>
          <w:p>
            <w:r>
              <w:rPr>
                <w:b/>
                <w:sz w:val="17"/>
              </w:rPr>
              <w:t>7,553</w:t>
            </w:r>
          </w:p>
        </w:tc>
        <w:tc>
          <w:tcPr>
            <w:tcW w:type="dxa" w:w="1440"/>
            <w:shd w:fill="FAFAFA" w:val="clear"/>
          </w:tcPr>
          <w:p>
            <w:r>
              <w:rPr>
                <w:sz w:val="17"/>
              </w:rPr>
              <w:t>7,817</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2026-08-11</w:t>
            </w:r>
          </w:p>
        </w:tc>
        <w:tc>
          <w:tcPr>
            <w:tcW w:type="dxa" w:w="1440"/>
            <w:shd w:fill="FAFAFA" w:val="clear"/>
          </w:tcPr>
          <w:p>
            <w:r>
              <w:rPr>
                <w:sz w:val="17"/>
              </w:rPr>
              <w:t>7,169</w:t>
            </w:r>
          </w:p>
        </w:tc>
        <w:tc>
          <w:tcPr>
            <w:tcW w:type="dxa" w:w="1440"/>
            <w:shd w:fill="FAFAFA" w:val="clear"/>
          </w:tcPr>
          <w:p>
            <w:r>
              <w:rPr>
                <w:b/>
                <w:sz w:val="17"/>
              </w:rPr>
              <w:t>7,542</w:t>
            </w:r>
          </w:p>
        </w:tc>
        <w:tc>
          <w:tcPr>
            <w:tcW w:type="dxa" w:w="1440"/>
            <w:shd w:fill="FAFAFA" w:val="clear"/>
          </w:tcPr>
          <w:p>
            <w:r>
              <w:rPr>
                <w:sz w:val="17"/>
              </w:rPr>
              <w:t>7,915</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2026-08-12</w:t>
            </w:r>
          </w:p>
        </w:tc>
        <w:tc>
          <w:tcPr>
            <w:tcW w:type="dxa" w:w="1440"/>
            <w:shd w:fill="FAFAFA" w:val="clear"/>
          </w:tcPr>
          <w:p>
            <w:r>
              <w:rPr>
                <w:sz w:val="17"/>
              </w:rPr>
              <w:t>7,073</w:t>
            </w:r>
          </w:p>
        </w:tc>
        <w:tc>
          <w:tcPr>
            <w:tcW w:type="dxa" w:w="1440"/>
            <w:shd w:fill="FAFAFA" w:val="clear"/>
          </w:tcPr>
          <w:p>
            <w:r>
              <w:rPr>
                <w:b/>
                <w:sz w:val="17"/>
              </w:rPr>
              <w:t>7,529</w:t>
            </w:r>
          </w:p>
        </w:tc>
        <w:tc>
          <w:tcPr>
            <w:tcW w:type="dxa" w:w="1440"/>
            <w:shd w:fill="FAFAFA" w:val="clear"/>
          </w:tcPr>
          <w:p>
            <w:r>
              <w:rPr>
                <w:sz w:val="17"/>
              </w:rPr>
              <w:t>7,985</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6,991</w:t>
            </w:r>
          </w:p>
        </w:tc>
        <w:tc>
          <w:tcPr>
            <w:tcW w:type="dxa" w:w="1440"/>
            <w:shd w:fill="FAFAFA" w:val="clear"/>
          </w:tcPr>
          <w:p>
            <w:r>
              <w:rPr>
                <w:b/>
                <w:sz w:val="17"/>
              </w:rPr>
              <w:t>7,516</w:t>
            </w:r>
          </w:p>
        </w:tc>
        <w:tc>
          <w:tcPr>
            <w:tcW w:type="dxa" w:w="1440"/>
            <w:shd w:fill="FAFAFA" w:val="clear"/>
          </w:tcPr>
          <w:p>
            <w:r>
              <w:rPr>
                <w:sz w:val="17"/>
              </w:rPr>
              <w:t>8,042</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2026-08-14</w:t>
            </w:r>
          </w:p>
        </w:tc>
        <w:tc>
          <w:tcPr>
            <w:tcW w:type="dxa" w:w="1440"/>
            <w:shd w:fill="FAFAFA" w:val="clear"/>
          </w:tcPr>
          <w:p>
            <w:r>
              <w:rPr>
                <w:sz w:val="17"/>
              </w:rPr>
              <w:t>6,917</w:t>
            </w:r>
          </w:p>
        </w:tc>
        <w:tc>
          <w:tcPr>
            <w:tcW w:type="dxa" w:w="1440"/>
            <w:shd w:fill="FAFAFA" w:val="clear"/>
          </w:tcPr>
          <w:p>
            <w:r>
              <w:rPr>
                <w:b/>
                <w:sz w:val="17"/>
              </w:rPr>
              <w:t>7,504</w:t>
            </w:r>
          </w:p>
        </w:tc>
        <w:tc>
          <w:tcPr>
            <w:tcW w:type="dxa" w:w="1440"/>
            <w:shd w:fill="FAFAFA" w:val="clear"/>
          </w:tcPr>
          <w:p>
            <w:r>
              <w:rPr>
                <w:sz w:val="17"/>
              </w:rPr>
              <w:t>8,091</w:t>
            </w:r>
          </w:p>
        </w:tc>
        <w:tc>
          <w:tcPr>
            <w:tcW w:type="dxa" w:w="1440"/>
            <w:shd w:fill="FAFAFA" w:val="clear"/>
          </w:tcPr>
          <w:p>
            <w:r>
              <w:rPr>
                <w:b/>
                <w:color w:val="C00000"/>
                <w:sz w:val="17"/>
              </w:rPr>
              <w:t>-1.3%</w:t>
            </w:r>
          </w:p>
        </w:tc>
      </w:tr>
      <w:tr>
        <w:tc>
          <w:tcPr>
            <w:tcW w:type="dxa" w:w="1440"/>
            <w:shd w:fill="FAFAFA" w:val="clear"/>
          </w:tcPr>
          <w:p>
            <w:r>
              <w:rPr>
                <w:sz w:val="17"/>
              </w:rPr>
              <w:t>J+6  ⭐</w:t>
            </w:r>
          </w:p>
        </w:tc>
        <w:tc>
          <w:tcPr>
            <w:tcW w:type="dxa" w:w="1440"/>
            <w:shd w:fill="FAFAFA" w:val="clear"/>
          </w:tcPr>
          <w:p>
            <w:r>
              <w:rPr>
                <w:sz w:val="17"/>
              </w:rPr>
              <w:t>2026-08-17</w:t>
            </w:r>
          </w:p>
        </w:tc>
        <w:tc>
          <w:tcPr>
            <w:tcW w:type="dxa" w:w="1440"/>
            <w:shd w:fill="FAFAFA" w:val="clear"/>
          </w:tcPr>
          <w:p>
            <w:r>
              <w:rPr>
                <w:sz w:val="17"/>
              </w:rPr>
              <w:t>6,850</w:t>
            </w:r>
          </w:p>
        </w:tc>
        <w:tc>
          <w:tcPr>
            <w:tcW w:type="dxa" w:w="1440"/>
            <w:shd w:fill="FAFAFA" w:val="clear"/>
          </w:tcPr>
          <w:p>
            <w:r>
              <w:rPr>
                <w:b/>
                <w:sz w:val="17"/>
              </w:rPr>
              <w:t>7,491</w:t>
            </w:r>
          </w:p>
        </w:tc>
        <w:tc>
          <w:tcPr>
            <w:tcW w:type="dxa" w:w="1440"/>
            <w:shd w:fill="FAFAFA" w:val="clear"/>
          </w:tcPr>
          <w:p>
            <w:r>
              <w:rPr>
                <w:sz w:val="17"/>
              </w:rPr>
              <w:t>8,133</w:t>
            </w:r>
          </w:p>
        </w:tc>
        <w:tc>
          <w:tcPr>
            <w:tcW w:type="dxa" w:w="1440"/>
            <w:shd w:fill="FAFAFA" w:val="clear"/>
          </w:tcPr>
          <w:p>
            <w:r>
              <w:rPr>
                <w:b/>
                <w:color w:val="C00000"/>
                <w:sz w:val="17"/>
              </w:rPr>
              <w:t>-1.4%</w:t>
            </w:r>
          </w:p>
        </w:tc>
      </w:tr>
      <w:tr>
        <w:tc>
          <w:tcPr>
            <w:tcW w:type="dxa" w:w="1440"/>
            <w:shd w:fill="FAFAFA" w:val="clear"/>
          </w:tcPr>
          <w:p>
            <w:r>
              <w:rPr>
                <w:sz w:val="17"/>
              </w:rPr>
              <w:t>J+7  ⭐</w:t>
            </w:r>
          </w:p>
        </w:tc>
        <w:tc>
          <w:tcPr>
            <w:tcW w:type="dxa" w:w="1440"/>
            <w:shd w:fill="FAFAFA" w:val="clear"/>
          </w:tcPr>
          <w:p>
            <w:r>
              <w:rPr>
                <w:sz w:val="17"/>
              </w:rPr>
              <w:t>2026-08-18</w:t>
            </w:r>
          </w:p>
        </w:tc>
        <w:tc>
          <w:tcPr>
            <w:tcW w:type="dxa" w:w="1440"/>
            <w:shd w:fill="FAFAFA" w:val="clear"/>
          </w:tcPr>
          <w:p>
            <w:r>
              <w:rPr>
                <w:sz w:val="17"/>
              </w:rPr>
              <w:t>6,787</w:t>
            </w:r>
          </w:p>
        </w:tc>
        <w:tc>
          <w:tcPr>
            <w:tcW w:type="dxa" w:w="1440"/>
            <w:shd w:fill="FAFAFA" w:val="clear"/>
          </w:tcPr>
          <w:p>
            <w:r>
              <w:rPr>
                <w:b/>
                <w:sz w:val="17"/>
              </w:rPr>
              <w:t>7,479</w:t>
            </w:r>
          </w:p>
        </w:tc>
        <w:tc>
          <w:tcPr>
            <w:tcW w:type="dxa" w:w="1440"/>
            <w:shd w:fill="FAFAFA" w:val="clear"/>
          </w:tcPr>
          <w:p>
            <w:r>
              <w:rPr>
                <w:sz w:val="17"/>
              </w:rPr>
              <w:t>8,171</w:t>
            </w:r>
          </w:p>
        </w:tc>
        <w:tc>
          <w:tcPr>
            <w:tcW w:type="dxa" w:w="1440"/>
            <w:shd w:fill="FAFAFA" w:val="clear"/>
          </w:tcPr>
          <w:p>
            <w:r>
              <w:rPr>
                <w:b/>
                <w:color w:val="C00000"/>
                <w:sz w:val="17"/>
              </w:rPr>
              <w:t>-1.6%</w:t>
            </w:r>
          </w:p>
        </w:tc>
      </w:tr>
      <w:tr>
        <w:tc>
          <w:tcPr>
            <w:tcW w:type="dxa" w:w="1440"/>
            <w:shd w:fill="FAFAFA" w:val="clear"/>
          </w:tcPr>
          <w:p>
            <w:r>
              <w:rPr>
                <w:sz w:val="17"/>
              </w:rPr>
              <w:t>J+8  ⭐</w:t>
            </w:r>
          </w:p>
        </w:tc>
        <w:tc>
          <w:tcPr>
            <w:tcW w:type="dxa" w:w="1440"/>
            <w:shd w:fill="FAFAFA" w:val="clear"/>
          </w:tcPr>
          <w:p>
            <w:r>
              <w:rPr>
                <w:sz w:val="17"/>
              </w:rPr>
              <w:t>2026-08-19</w:t>
            </w:r>
          </w:p>
        </w:tc>
        <w:tc>
          <w:tcPr>
            <w:tcW w:type="dxa" w:w="1440"/>
            <w:shd w:fill="FAFAFA" w:val="clear"/>
          </w:tcPr>
          <w:p>
            <w:r>
              <w:rPr>
                <w:sz w:val="17"/>
              </w:rPr>
              <w:t>6,728</w:t>
            </w:r>
          </w:p>
        </w:tc>
        <w:tc>
          <w:tcPr>
            <w:tcW w:type="dxa" w:w="1440"/>
            <w:shd w:fill="FAFAFA" w:val="clear"/>
          </w:tcPr>
          <w:p>
            <w:r>
              <w:rPr>
                <w:b/>
                <w:sz w:val="17"/>
              </w:rPr>
              <w:t>7,467</w:t>
            </w:r>
          </w:p>
        </w:tc>
        <w:tc>
          <w:tcPr>
            <w:tcW w:type="dxa" w:w="1440"/>
            <w:shd w:fill="FAFAFA" w:val="clear"/>
          </w:tcPr>
          <w:p>
            <w:r>
              <w:rPr>
                <w:sz w:val="17"/>
              </w:rPr>
              <w:t>8,205</w:t>
            </w:r>
          </w:p>
        </w:tc>
        <w:tc>
          <w:tcPr>
            <w:tcW w:type="dxa" w:w="1440"/>
            <w:shd w:fill="FAFAFA" w:val="clear"/>
          </w:tcPr>
          <w:p>
            <w:r>
              <w:rPr>
                <w:b/>
                <w:color w:val="C00000"/>
                <w:sz w:val="17"/>
              </w:rPr>
              <w:t>-1.8%</w:t>
            </w:r>
          </w:p>
        </w:tc>
      </w:tr>
      <w:tr>
        <w:tc>
          <w:tcPr>
            <w:tcW w:type="dxa" w:w="1440"/>
            <w:shd w:fill="FAFAFA" w:val="clear"/>
          </w:tcPr>
          <w:p>
            <w:r>
              <w:rPr>
                <w:sz w:val="17"/>
              </w:rPr>
              <w:t>J+9  ⭐</w:t>
            </w:r>
          </w:p>
        </w:tc>
        <w:tc>
          <w:tcPr>
            <w:tcW w:type="dxa" w:w="1440"/>
            <w:shd w:fill="FAFAFA" w:val="clear"/>
          </w:tcPr>
          <w:p>
            <w:r>
              <w:rPr>
                <w:sz w:val="17"/>
              </w:rPr>
              <w:t>2026-08-20</w:t>
            </w:r>
          </w:p>
        </w:tc>
        <w:tc>
          <w:tcPr>
            <w:tcW w:type="dxa" w:w="1440"/>
            <w:shd w:fill="FAFAFA" w:val="clear"/>
          </w:tcPr>
          <w:p>
            <w:r>
              <w:rPr>
                <w:sz w:val="17"/>
              </w:rPr>
              <w:t>6,672</w:t>
            </w:r>
          </w:p>
        </w:tc>
        <w:tc>
          <w:tcPr>
            <w:tcW w:type="dxa" w:w="1440"/>
            <w:shd w:fill="FAFAFA" w:val="clear"/>
          </w:tcPr>
          <w:p>
            <w:r>
              <w:rPr>
                <w:b/>
                <w:sz w:val="17"/>
              </w:rPr>
              <w:t>7,454</w:t>
            </w:r>
          </w:p>
        </w:tc>
        <w:tc>
          <w:tcPr>
            <w:tcW w:type="dxa" w:w="1440"/>
            <w:shd w:fill="FAFAFA" w:val="clear"/>
          </w:tcPr>
          <w:p>
            <w:r>
              <w:rPr>
                <w:sz w:val="17"/>
              </w:rPr>
              <w:t>8,236</w:t>
            </w:r>
          </w:p>
        </w:tc>
        <w:tc>
          <w:tcPr>
            <w:tcW w:type="dxa" w:w="1440"/>
            <w:shd w:fill="FAFAFA" w:val="clear"/>
          </w:tcPr>
          <w:p>
            <w:r>
              <w:rPr>
                <w:b/>
                <w:color w:val="C00000"/>
                <w:sz w:val="17"/>
              </w:rPr>
              <w:t>-1.9%</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6,619</w:t>
            </w:r>
          </w:p>
        </w:tc>
        <w:tc>
          <w:tcPr>
            <w:tcW w:type="dxa" w:w="1440"/>
            <w:shd w:fill="FFDCE0" w:val="clear"/>
          </w:tcPr>
          <w:p>
            <w:r>
              <w:rPr>
                <w:b/>
                <w:sz w:val="17"/>
              </w:rPr>
              <w:t>7,442</w:t>
            </w:r>
          </w:p>
        </w:tc>
        <w:tc>
          <w:tcPr>
            <w:tcW w:type="dxa" w:w="1440"/>
            <w:shd w:fill="FFDCE0" w:val="clear"/>
          </w:tcPr>
          <w:p>
            <w:r>
              <w:rPr>
                <w:sz w:val="17"/>
              </w:rPr>
              <w:t>8,265</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**Date de l'analyse : 10 août 2026**</w:t>
        <w:br/>
        <w:t>**Cours de référence : 7 600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194,24 milliards FCFA, SPHC se positionne comme une valeur de première ligne sur la BRVM, représentant un poids significatif dans l'indice. Le BPA de 977 FCFA indique que chaque action génère un bénéfice substantiel. Le PER de 7,8x est inférieur à la moyenne historique de la BRVM (8-12x), ce qui suggère que le marché n'intègre pas pleinement le potentiel de croissance de la société, offrant ainsi une décote potentielle. Le P/B de 1,41x est raisonnable, valorisant la société à 41% au-dessus de sa valeur comptable, ce qui est sain pour une entreprise avec un ROE de 18%. Enfin, un EV/EBITDA de 4,9x est très attractif, indiquant que la valeur totale de l'entreprise (dette incluse) est faible par rapport à sa capacité à générer du cash opérationnel. Ces ratios combinés suggèrent une sous-évaluation relative du titre.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SPHC a enregistré une baisse de -8,43%, avec une dernière séance stable (+0,00%). Le cours a évolué dans une fourchette de 6 720 FCFA (plus bas) à 8 435 FCFA (plus haut), montrant une amplitude de trading de 25,5%. La moyenne (7 415 FCFA) et la médiane (7 400 FCFA) sont très proches, indiquant une distribution relativement symétrique des prix, bien que le skewness positif (0,659) suggère un plus grand nombre de journées sous la moyenne. L'écart-type de 379 FCFA (CV=5,1%) révèle une dispersion modérée autour de la moyenne. Le kurtosis de 0,620 (mésokurtique) indique une distribution proche de la normale, sans risque de pics extrêmes. La volatilité annualisée de 40,4% est élevée (&gt;30%), ce qui positionne SPHC comme un actif à fort risque de fluctuation, malgré une certaine stabilité récente autour de 7 600 FCFA.</w:t>
      </w:r>
    </w:p>
    <w:p>
      <w:pPr>
        <w:spacing w:after="120" w:line="276" w:lineRule="auto"/>
      </w:pPr>
      <w:r>
        <w:t>---</w:t>
      </w:r>
    </w:p>
    <w:p>
      <w:pPr>
        <w:spacing w:after="120" w:line="276" w:lineRule="auto"/>
      </w:pPr>
      <w:r>
        <w:t>### PARTIE 2 : ANALYSE TECHNIQUE DÉTAILLÉE</w:t>
      </w:r>
    </w:p>
    <w:p>
      <w:pPr>
        <w:spacing w:after="120" w:line="276" w:lineRule="auto"/>
      </w:pPr>
      <w:r>
        <w:t>**Moyennes Mobiles (MM20=7487.75, MM50=7557.2) :** Le cours actuel (7 600 FCFA) est supérieur à la MM20 et à la MM50, ce qui est un signal positif. Cependant, la MM20 est inférieure à la MM50, indiquant une tendance baissière à moyen terme. La décision "Vente" suggère que la dynamique récente n'est pas suffisante pour inverser la tendance de fond, malgré le rebond au-dessus des moyennes.</w:t>
      </w:r>
    </w:p>
    <w:p>
      <w:pPr>
        <w:spacing w:after="120" w:line="276" w:lineRule="auto"/>
      </w:pPr>
      <w:r>
        <w:t>**Bandes de Bollinger (Borne sup=7663.95, Borne inf=7311.55) :** Le prix à 7 600 FCFA se situe dans la partie supérieure des bandes, proche de la borne haute. Cela indique une pression acheteuse récente, mais le signal "Neutre" suggère que le marché n'est pas encore en situation de surachat extrême. La largeur des bandes reflète la volatilité élevée du titre.</w:t>
      </w:r>
    </w:p>
    <w:p>
      <w:pPr>
        <w:spacing w:after="120" w:line="276" w:lineRule="auto"/>
      </w:pPr>
      <w:r>
        <w:t>**MACD (Valeur=4.56, Signal=-7.25) :** Le MACD est positif et a franchi sa ligne de signal à la hausse. Cette configuration est un signal d'achat classique, indiquant un momentum haussier à court terme qui pourrait se poursuivre.</w:t>
      </w:r>
    </w:p>
    <w:p>
      <w:pPr>
        <w:spacing w:after="120" w:line="276" w:lineRule="auto"/>
      </w:pPr>
      <w:r>
        <w:t>**RSI (Valeur=54.63) :** Le RSI est en zone neutre (entre 30 et 70), indiquant un équilibre entre pressions acheteuses et vendeuses. Il n'y a pas de condition de surachat ou de survente, laissant une marge de manœuvre pour une évolution dans les deux sens.</w:t>
      </w:r>
    </w:p>
    <w:p>
      <w:pPr>
        <w:spacing w:after="120" w:line="276" w:lineRule="auto"/>
      </w:pPr>
      <w:r>
        <w:t>**Stochastique (%K=100.0, %D=92.22) :** Le %K est à 100, en territoire de surachat extrême, et le %D est très élevé. Cela signale que le titre a fortement monté récemment et qu'un repli technique est probable à très court terme. La décision "Vente" est cohérente avec ce risque de correction.</w:t>
      </w:r>
    </w:p>
    <w:p>
      <w:pPr>
        <w:spacing w:after="120" w:line="276" w:lineRule="auto"/>
      </w:pPr>
      <w:r>
        <w:t>**Conclusion technique :** Les signaux sont mitigés. Le MACD est haussier, mais le Stochastique est en surachat et les moyennes mobiles indiquent une tendance baissière à moyen terme. Le titre semble dans une phase de rebond technique au sein d'une tendance baissière plus large. La prudence est de mise à court terme.</w:t>
      </w:r>
    </w:p>
    <w:p>
      <w:pPr>
        <w:spacing w:after="120" w:line="276" w:lineRule="auto"/>
      </w:pPr>
      <w:r>
        <w:t>---</w:t>
      </w:r>
    </w:p>
    <w:p>
      <w:pPr>
        <w:spacing w:after="120" w:line="276" w:lineRule="auto"/>
      </w:pPr>
      <w:r>
        <w:t>### PARTIE 3 : ANALYSE FONDAMENTALE (SECTION CRITIQUE)</w:t>
      </w:r>
    </w:p>
    <w:p>
      <w:pPr>
        <w:spacing w:after="120" w:line="276" w:lineRule="auto"/>
      </w:pPr>
      <w:r>
        <w:t>En 2025, SPHC a réalisé un chiffre d'affaires de 340,83 milliards FCFA, en hausse de 22% par rapport à 2024 (279,44 Mds), avec un résultat net de 24,97 milliards FCFA (+32,9%). La rentabilité est excellente avec un ROE de 18,1% et un ROA de 11,1%. La marge opérationnelle s'établit à 11,2%. La structure financière est saine avec une autonomie financière de 61,1% et un ratio d'endettement maîtrisé à 25,8%. Cependant, le BFR est positif (65,39 Mds) et la trésorerie nette est négative (-15,41 Mds), un point de vigilance. Les délais clients (35 jours) et de stockage (72 jours) sont corrects pour le secteur. Les rapports trimestriels 2025 montrent une dynamique exceptionnelle au S1 (+51% CA, résultat net x5) et au T3 (+36% CA), mais le T1 2026 (rapport du 30/09/2025) révèle une forte décélération avec un CA en baisse de 24% et un résultat net en chute de 78%, pénalisé par la chute des cours mondiaux du caoutchouc. Sur la base de ce T1 2026, on estime que l'exercice 2026 pourrait être difficile, avec un résultat net potentiellement en baisse significative par rapport à 2025, malgré une structure financière solide et des investissements stratégiques maintenus.</w:t>
      </w:r>
    </w:p>
    <w:p>
      <w:pPr>
        <w:spacing w:after="120" w:line="276" w:lineRule="auto"/>
      </w:pPr>
      <w:r>
        <w:t>---</w:t>
      </w:r>
    </w:p>
    <w:p>
      <w:pPr>
        <w:spacing w:after="120" w:line="276" w:lineRule="auto"/>
      </w:pPr>
      <w:r>
        <w:t>### PARTIE 4 : CONCLUSION D'INVESTISSEMENT</w:t>
      </w:r>
    </w:p>
    <w:p>
      <w:pPr>
        <w:spacing w:after="120" w:line="276" w:lineRule="auto"/>
      </w:pPr>
      <w:r>
        <w:t>La valorisation de SPHC est attractive (PER 7,8x, EV/EBITDA 4,9x), indiquant une sous-évaluation relative. Le comportement du cours sur 100 jours est baissier (-8,43%) avec une volatilité élevée (40,4%), mais les statistiques montrent une distribution normale sans risque extrême. Les signaux techniques sont mitigés : le MACD est haussier, mais le Stochastique est en surachat et les moyennes mobiles sont baissières. Les fondamentaux 2025 sont excellents (croissance de 22%, ROE de 18%), mais les perspectives 2026 sont assombries par la chute des cours du caoutchouc et la concurrence accrue, comme le montre le T1 2026 (-78% de résultat net). Les prédictions IA (J+1 à J+10) indiquent une légère baisse progressive vers 7 504 FCFA, confirmant la faiblesse à court terme. En synthèse, la solidité financière et la sous-évaluation plaident pour une conservation à long terme, mais les signaux techniques et les perspectives de résultats 2026 incitent à la prudence à court terme. **Recommandation finale : CONSERVER.** Niveau de confiance : Moyen. Risque global : Élevé. Horizon d'investissement optimal : Moyen terme (3-12 mois) pour observer l'évolution des cours du caoutchouc et la reprise potentielle.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35.95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6,492 titres</w:t>
            </w:r>
          </w:p>
        </w:tc>
        <w:tc>
          <w:tcPr>
            <w:tcW w:type="dxa" w:w="2268"/>
            <w:shd w:fill="FFF2CC" w:val="clear"/>
          </w:tcPr>
          <w:p>
            <w:r>
              <w:rPr>
                <w:b/>
                <w:color w:val="503200"/>
                <w:sz w:val="16"/>
              </w:rPr>
              <w:t xml:space="preserve">Cours actuel : </w:t>
            </w:r>
            <w:r>
              <w:rPr>
                <w:color w:val="000000"/>
                <w:sz w:val="17"/>
              </w:rPr>
              <w:t>2,675 FCFA</w:t>
            </w:r>
          </w:p>
          <w:p>
            <w:r>
              <w:rPr>
                <w:b/>
                <w:color w:val="503200"/>
                <w:sz w:val="16"/>
              </w:rPr>
              <w:t xml:space="preserve">Var. 100 jours : </w:t>
            </w:r>
            <w:r>
              <w:rPr>
                <w:b/>
                <w:color w:val="007800"/>
                <w:sz w:val="17"/>
              </w:rPr>
              <w:t>+22.15%</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2,190 FCFA</w:t>
            </w:r>
          </w:p>
          <w:p>
            <w:r>
              <w:rPr>
                <w:b/>
                <w:color w:val="503200"/>
                <w:sz w:val="16"/>
              </w:rPr>
              <w:t xml:space="preserve">Volatilité ann. : </w:t>
            </w:r>
            <w:r>
              <w:rPr>
                <w:color w:val="000000"/>
                <w:sz w:val="17"/>
              </w:rPr>
              <w:t>72.8%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12.20% (Moyenne) — μ=3,017 FCFA, σ=368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β=-0.9752 (Contre-cyclique) — Cov=-0.000035, Var(idx)=0.000036, ρ=-0.130,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6,492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σ_j=4.59%/j (Modérée) — Vol. annualisée≈72.8%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2026-08-10</w:t>
            </w:r>
          </w:p>
        </w:tc>
        <w:tc>
          <w:tcPr>
            <w:tcW w:type="dxa" w:w="1440"/>
            <w:shd w:fill="FFDCE0" w:val="clear"/>
          </w:tcPr>
          <w:p>
            <w:r>
              <w:rPr>
                <w:sz w:val="17"/>
              </w:rPr>
              <w:t>2,361</w:t>
            </w:r>
          </w:p>
        </w:tc>
        <w:tc>
          <w:tcPr>
            <w:tcW w:type="dxa" w:w="1440"/>
            <w:shd w:fill="FFDCE0" w:val="clear"/>
          </w:tcPr>
          <w:p>
            <w:r>
              <w:rPr>
                <w:b/>
                <w:sz w:val="17"/>
              </w:rPr>
              <w:t>2,489</w:t>
            </w:r>
          </w:p>
        </w:tc>
        <w:tc>
          <w:tcPr>
            <w:tcW w:type="dxa" w:w="1440"/>
            <w:shd w:fill="FFDCE0" w:val="clear"/>
          </w:tcPr>
          <w:p>
            <w:r>
              <w:rPr>
                <w:sz w:val="17"/>
              </w:rPr>
              <w:t>2,617</w:t>
            </w:r>
          </w:p>
        </w:tc>
        <w:tc>
          <w:tcPr>
            <w:tcW w:type="dxa" w:w="1440"/>
            <w:shd w:fill="FFDCE0" w:val="clear"/>
          </w:tcPr>
          <w:p>
            <w:r>
              <w:rPr>
                <w:b/>
                <w:color w:val="C00000"/>
                <w:sz w:val="17"/>
              </w:rPr>
              <w:t>-7.0%</w:t>
            </w:r>
          </w:p>
        </w:tc>
      </w:tr>
      <w:tr>
        <w:tc>
          <w:tcPr>
            <w:tcW w:type="dxa" w:w="1440"/>
            <w:shd w:fill="FFDCE0" w:val="clear"/>
          </w:tcPr>
          <w:p>
            <w:r>
              <w:rPr>
                <w:sz w:val="17"/>
              </w:rPr>
              <w:t>J+2  Moyenne</w:t>
            </w:r>
          </w:p>
        </w:tc>
        <w:tc>
          <w:tcPr>
            <w:tcW w:type="dxa" w:w="1440"/>
            <w:shd w:fill="FFDCE0" w:val="clear"/>
          </w:tcPr>
          <w:p>
            <w:r>
              <w:rPr>
                <w:sz w:val="17"/>
              </w:rPr>
              <w:t>2026-08-11</w:t>
            </w:r>
          </w:p>
        </w:tc>
        <w:tc>
          <w:tcPr>
            <w:tcW w:type="dxa" w:w="1440"/>
            <w:shd w:fill="FFDCE0" w:val="clear"/>
          </w:tcPr>
          <w:p>
            <w:r>
              <w:rPr>
                <w:sz w:val="17"/>
              </w:rPr>
              <w:t>2,160</w:t>
            </w:r>
          </w:p>
        </w:tc>
        <w:tc>
          <w:tcPr>
            <w:tcW w:type="dxa" w:w="1440"/>
            <w:shd w:fill="FFDCE0" w:val="clear"/>
          </w:tcPr>
          <w:p>
            <w:r>
              <w:rPr>
                <w:b/>
                <w:sz w:val="17"/>
              </w:rPr>
              <w:t>2,330</w:t>
            </w:r>
          </w:p>
        </w:tc>
        <w:tc>
          <w:tcPr>
            <w:tcW w:type="dxa" w:w="1440"/>
            <w:shd w:fill="FFDCE0" w:val="clear"/>
          </w:tcPr>
          <w:p>
            <w:r>
              <w:rPr>
                <w:sz w:val="17"/>
              </w:rPr>
              <w:t>2,499</w:t>
            </w:r>
          </w:p>
        </w:tc>
        <w:tc>
          <w:tcPr>
            <w:tcW w:type="dxa" w:w="1440"/>
            <w:shd w:fill="FFDCE0" w:val="clear"/>
          </w:tcPr>
          <w:p>
            <w:r>
              <w:rPr>
                <w:b/>
                <w:color w:val="C00000"/>
                <w:sz w:val="17"/>
              </w:rPr>
              <w:t>-12.9%</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1,978</w:t>
            </w:r>
          </w:p>
        </w:tc>
        <w:tc>
          <w:tcPr>
            <w:tcW w:type="dxa" w:w="1440"/>
            <w:shd w:fill="FFDCE0" w:val="clear"/>
          </w:tcPr>
          <w:p>
            <w:r>
              <w:rPr>
                <w:b/>
                <w:sz w:val="17"/>
              </w:rPr>
              <w:t>2,171</w:t>
            </w:r>
          </w:p>
        </w:tc>
        <w:tc>
          <w:tcPr>
            <w:tcW w:type="dxa" w:w="1440"/>
            <w:shd w:fill="FFDCE0" w:val="clear"/>
          </w:tcPr>
          <w:p>
            <w:r>
              <w:rPr>
                <w:sz w:val="17"/>
              </w:rPr>
              <w:t>2,365</w:t>
            </w:r>
          </w:p>
        </w:tc>
        <w:tc>
          <w:tcPr>
            <w:tcW w:type="dxa" w:w="1440"/>
            <w:shd w:fill="FFDCE0" w:val="clear"/>
          </w:tcPr>
          <w:p>
            <w:r>
              <w:rPr>
                <w:b/>
                <w:color w:val="C00000"/>
                <w:sz w:val="17"/>
              </w:rPr>
              <w:t>-18.8%</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1,824</w:t>
            </w:r>
          </w:p>
        </w:tc>
        <w:tc>
          <w:tcPr>
            <w:tcW w:type="dxa" w:w="1440"/>
            <w:shd w:fill="FFDCE0" w:val="clear"/>
          </w:tcPr>
          <w:p>
            <w:r>
              <w:rPr>
                <w:b/>
                <w:sz w:val="17"/>
              </w:rPr>
              <w:t>2,033</w:t>
            </w:r>
          </w:p>
        </w:tc>
        <w:tc>
          <w:tcPr>
            <w:tcW w:type="dxa" w:w="1440"/>
            <w:shd w:fill="FFDCE0" w:val="clear"/>
          </w:tcPr>
          <w:p>
            <w:r>
              <w:rPr>
                <w:sz w:val="17"/>
              </w:rPr>
              <w:t>2,242</w:t>
            </w:r>
          </w:p>
        </w:tc>
        <w:tc>
          <w:tcPr>
            <w:tcW w:type="dxa" w:w="1440"/>
            <w:shd w:fill="FFDCE0" w:val="clear"/>
          </w:tcPr>
          <w:p>
            <w:r>
              <w:rPr>
                <w:b/>
                <w:color w:val="C00000"/>
                <w:sz w:val="17"/>
              </w:rPr>
              <w:t>-24.0%</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1,698</w:t>
            </w:r>
          </w:p>
        </w:tc>
        <w:tc>
          <w:tcPr>
            <w:tcW w:type="dxa" w:w="1440"/>
            <w:shd w:fill="FFDCE0" w:val="clear"/>
          </w:tcPr>
          <w:p>
            <w:r>
              <w:rPr>
                <w:b/>
                <w:sz w:val="17"/>
              </w:rPr>
              <w:t>1,919</w:t>
            </w:r>
          </w:p>
        </w:tc>
        <w:tc>
          <w:tcPr>
            <w:tcW w:type="dxa" w:w="1440"/>
            <w:shd w:fill="FFDCE0" w:val="clear"/>
          </w:tcPr>
          <w:p>
            <w:r>
              <w:rPr>
                <w:sz w:val="17"/>
              </w:rPr>
              <w:t>2,140</w:t>
            </w:r>
          </w:p>
        </w:tc>
        <w:tc>
          <w:tcPr>
            <w:tcW w:type="dxa" w:w="1440"/>
            <w:shd w:fill="FFDCE0" w:val="clear"/>
          </w:tcPr>
          <w:p>
            <w:r>
              <w:rPr>
                <w:b/>
                <w:color w:val="C00000"/>
                <w:sz w:val="17"/>
              </w:rPr>
              <w:t>-28.3%</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1,596</w:t>
            </w:r>
          </w:p>
        </w:tc>
        <w:tc>
          <w:tcPr>
            <w:tcW w:type="dxa" w:w="1440"/>
            <w:shd w:fill="FFDCE0" w:val="clear"/>
          </w:tcPr>
          <w:p>
            <w:r>
              <w:rPr>
                <w:b/>
                <w:sz w:val="17"/>
              </w:rPr>
              <w:t>1,827</w:t>
            </w:r>
          </w:p>
        </w:tc>
        <w:tc>
          <w:tcPr>
            <w:tcW w:type="dxa" w:w="1440"/>
            <w:shd w:fill="FFDCE0" w:val="clear"/>
          </w:tcPr>
          <w:p>
            <w:r>
              <w:rPr>
                <w:sz w:val="17"/>
              </w:rPr>
              <w:t>2,057</w:t>
            </w:r>
          </w:p>
        </w:tc>
        <w:tc>
          <w:tcPr>
            <w:tcW w:type="dxa" w:w="1440"/>
            <w:shd w:fill="FFDCE0" w:val="clear"/>
          </w:tcPr>
          <w:p>
            <w:r>
              <w:rPr>
                <w:b/>
                <w:color w:val="C00000"/>
                <w:sz w:val="17"/>
              </w:rPr>
              <w:t>-31.7%</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1,514</w:t>
            </w:r>
          </w:p>
        </w:tc>
        <w:tc>
          <w:tcPr>
            <w:tcW w:type="dxa" w:w="1440"/>
            <w:shd w:fill="FFDCE0" w:val="clear"/>
          </w:tcPr>
          <w:p>
            <w:r>
              <w:rPr>
                <w:b/>
                <w:sz w:val="17"/>
              </w:rPr>
              <w:t>1,752</w:t>
            </w:r>
          </w:p>
        </w:tc>
        <w:tc>
          <w:tcPr>
            <w:tcW w:type="dxa" w:w="1440"/>
            <w:shd w:fill="FFDCE0" w:val="clear"/>
          </w:tcPr>
          <w:p>
            <w:r>
              <w:rPr>
                <w:sz w:val="17"/>
              </w:rPr>
              <w:t>1,991</w:t>
            </w:r>
          </w:p>
        </w:tc>
        <w:tc>
          <w:tcPr>
            <w:tcW w:type="dxa" w:w="1440"/>
            <w:shd w:fill="FFDCE0" w:val="clear"/>
          </w:tcPr>
          <w:p>
            <w:r>
              <w:rPr>
                <w:b/>
                <w:color w:val="C00000"/>
                <w:sz w:val="17"/>
              </w:rPr>
              <w:t>-34.5%</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1,445</w:t>
            </w:r>
          </w:p>
        </w:tc>
        <w:tc>
          <w:tcPr>
            <w:tcW w:type="dxa" w:w="1440"/>
            <w:shd w:fill="FFDCE0" w:val="clear"/>
          </w:tcPr>
          <w:p>
            <w:r>
              <w:rPr>
                <w:b/>
                <w:sz w:val="17"/>
              </w:rPr>
              <w:t>1,692</w:t>
            </w:r>
          </w:p>
        </w:tc>
        <w:tc>
          <w:tcPr>
            <w:tcW w:type="dxa" w:w="1440"/>
            <w:shd w:fill="FFDCE0" w:val="clear"/>
          </w:tcPr>
          <w:p>
            <w:r>
              <w:rPr>
                <w:sz w:val="17"/>
              </w:rPr>
              <w:t>1,938</w:t>
            </w:r>
          </w:p>
        </w:tc>
        <w:tc>
          <w:tcPr>
            <w:tcW w:type="dxa" w:w="1440"/>
            <w:shd w:fill="FFDCE0" w:val="clear"/>
          </w:tcPr>
          <w:p>
            <w:r>
              <w:rPr>
                <w:b/>
                <w:color w:val="C00000"/>
                <w:sz w:val="17"/>
              </w:rPr>
              <w:t>-36.8%</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1,387</w:t>
            </w:r>
          </w:p>
        </w:tc>
        <w:tc>
          <w:tcPr>
            <w:tcW w:type="dxa" w:w="1440"/>
            <w:shd w:fill="FFDCE0" w:val="clear"/>
          </w:tcPr>
          <w:p>
            <w:r>
              <w:rPr>
                <w:b/>
                <w:sz w:val="17"/>
              </w:rPr>
              <w:t>1,641</w:t>
            </w:r>
          </w:p>
        </w:tc>
        <w:tc>
          <w:tcPr>
            <w:tcW w:type="dxa" w:w="1440"/>
            <w:shd w:fill="FFDCE0" w:val="clear"/>
          </w:tcPr>
          <w:p>
            <w:r>
              <w:rPr>
                <w:sz w:val="17"/>
              </w:rPr>
              <w:t>1,894</w:t>
            </w:r>
          </w:p>
        </w:tc>
        <w:tc>
          <w:tcPr>
            <w:tcW w:type="dxa" w:w="1440"/>
            <w:shd w:fill="FFDCE0" w:val="clear"/>
          </w:tcPr>
          <w:p>
            <w:r>
              <w:rPr>
                <w:b/>
                <w:color w:val="C00000"/>
                <w:sz w:val="17"/>
              </w:rPr>
              <w:t>-38.7%</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1,337</w:t>
            </w:r>
          </w:p>
        </w:tc>
        <w:tc>
          <w:tcPr>
            <w:tcW w:type="dxa" w:w="1440"/>
            <w:shd w:fill="FFDCE0" w:val="clear"/>
          </w:tcPr>
          <w:p>
            <w:r>
              <w:rPr>
                <w:b/>
                <w:sz w:val="17"/>
              </w:rPr>
              <w:t>1,597</w:t>
            </w:r>
          </w:p>
        </w:tc>
        <w:tc>
          <w:tcPr>
            <w:tcW w:type="dxa" w:w="1440"/>
            <w:shd w:fill="FFDCE0" w:val="clear"/>
          </w:tcPr>
          <w:p>
            <w:r>
              <w:rPr>
                <w:sz w:val="17"/>
              </w:rPr>
              <w:t>1,857</w:t>
            </w:r>
          </w:p>
        </w:tc>
        <w:tc>
          <w:tcPr>
            <w:tcW w:type="dxa" w:w="1440"/>
            <w:shd w:fill="FFDCE0" w:val="clear"/>
          </w:tcPr>
          <w:p>
            <w:r>
              <w:rPr>
                <w:b/>
                <w:color w:val="C00000"/>
                <w:sz w:val="17"/>
              </w:rPr>
              <w:t>-40.3%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w:t>
        <w:br/>
        <w:t>**Bourse Régionale des Valeurs Mobilières (BRVM)**</w:t>
        <w:br/>
        <w:t>**Date de l'analyse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35,95 milliards FCFA, un niveau relativement modeste sur la BRVM, mais qui contraste fortement avec la situation financière de la société. Le BPA est négatif à -7 FCFA, reflétant une perte nette par action, ce qui rend le PER non significatif (-372,3x). Ce ratio négatif indique que les investisseurs paient pour des pertes, une situation atypique. Le P/B de 100,78x est extrêmement élevé, signifiant que le marché valorise l'action à plus de 100 fois sa valeur comptable (capitaux propres de 356,75 millions FCFA). Cette prime considérable est spéculative, car elle ne repose pas sur la rentabilité actuelle mais sur des anticipations de redressement futur. En l'absence d'EBITDA positif, le ratio EV/EBITDA n'est pas calculable, ce qui est cohérent avec la situation de pertes opérationnelles de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STAC affiche une variation totale de +22,15%, mais a reculé de -0,56% lors de la dernière séance, clôturant à 2 675 FCFA. Le titre a évolué dans une fourchette très large, entre un plus bas de 2 190 FCFA et un plus haut de 3 895 FCFA, illustrant une forte volatilité. La moyenne du cours sur la période est de 3 017 FCFA, très proche de la médiane (2 990 FCFA) et du mode (3 000 FCFA), ce qui indique une distribution des prix relativement symétrique et concentrée autour de 3 000 FCFA. L'écart-type de 370 FCFA (CV = 12,3%) montre une dispersion modérée autour de la moyenne. Le kurtosis de -0,620 (mésokurtique) suggère une distribution proche de la normale, sans risque de variations extrêmes accrues, et le skewness de 0,055 confirme une symétrie parfaite. Cependant, la volatilité annualisée de 72,8% est extrêmement élevée, classant le titre comme très risqué et spéculatif, bien au-delà du seuil de 30% considéré comme élevé.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(2 675 FCFA) est inférieur à la MM20 (2 954,5 FCFA) et à la MM50 (3 169,1 FCFA). Cette configuration baissière, où le prix évolue sous ses moyennes mobiles clés, confirme une tendance de fond négative. La décision de "Vente" est justifiée par cette dynamique défavorable.</w:t>
      </w:r>
    </w:p>
    <w:p>
      <w:pPr>
        <w:spacing w:after="120" w:line="276" w:lineRule="auto"/>
      </w:pPr>
      <w:r>
        <w:t>**Bandes de Bollinger :** Le prix se situe à 2 675 FCFA, proche de la borne inférieure (2 552,98 FCFA) et loin de la borne supérieure (3 356,02 FCFA). Cette position indique que le titre est dans la partie basse de son canal de volatilité, suggérant une pression vendeuse persistante. La décision "Neutre" peut s'expliquer par le fait que le prix n'a pas encore franchi la borne inférieure, ce qui pourrait signaler une zone de support potentielle.</w:t>
      </w:r>
    </w:p>
    <w:p>
      <w:pPr>
        <w:spacing w:after="120" w:line="276" w:lineRule="auto"/>
      </w:pPr>
      <w:r>
        <w:t>**MACD :** Le MACD (-143,17) est inférieur à son signal (-120,42), tous deux en territoire négatif. Cette divergence négative confirme un momentum baissier et une perte de vitesse du cours. La décision de "Vente" est cohérente avec cette dynamique, indiquant que la tendance de fond reste baissière.</w:t>
      </w:r>
    </w:p>
    <w:p>
      <w:pPr>
        <w:spacing w:after="120" w:line="276" w:lineRule="auto"/>
      </w:pPr>
      <w:r>
        <w:t>**RSI :** Le RSI s'établit à 27,83, ce qui place le titre en zone de survente (sous le seuil de 30). Cela suggère que le mouvement de baisse a été trop rapide et que le titre pourrait être techniquement "suracheté à la baisse", ouvrant la porte à un rebond technique. La décision "Achat" est donc justifiée par ce signal de retournement potentiel.</w:t>
      </w:r>
    </w:p>
    <w:p>
      <w:pPr>
        <w:spacing w:after="120" w:line="276" w:lineRule="auto"/>
      </w:pPr>
      <w:r>
        <w:t>**Stochastique :** Le %K est à 0,0 et le %D à 8,41, tous deux en zone de survente extrême. Ce croisement baissier, avec un %K sous le %D, indique une pression vendeuse très forte. Cependant, des niveaux aussi bas signalent souvent un épuisement vendeur et un potentiel de rebond imminent. La décision "Achat" est cohérente avec cette lecture.</w:t>
      </w:r>
    </w:p>
    <w:p>
      <w:pPr>
        <w:spacing w:after="120" w:line="276" w:lineRule="auto"/>
      </w:pPr>
      <w:r>
        <w:t>**Conclusion technique :** Les indicateurs de tendance (MM, MACD) sont baissiers, mais les oscillateurs de momentum (RSI, Stochastique) sont en survente extrême, suggérant un possible rebond technique à court terme. Le prix est sous ses moyennes mobiles, mais la pression vendeuse semble s'essouffler. Le signal global est donc mitigé, avec un biais baissier à moyen terme et un potentiel de correction haussière à très court terme.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révèlent une situation financière très dégradée pour STAC. Le chiffre d'affaires s'établit à 3,878 milliards FCFA, mais la société enregistre une perte nette de -96,56 millions FCFA. La marge opérationnelle est profondément négative à -19,9%, et l'EBE est déficitaire de -650 millions FCFA. Le ROE est de -27,07% et le ROA de -1,77%, indiquant une destruction de valeur pour les actionnaires. La structure financière est fragile avec une autonomie financière de seulement 6,55% et un ratio d'endettement de 93,45%. Le BFR est négatif à -930,47 millions FCFA, ce qui est un point positif pour la trésorerie, mais la capacité de remboursement de 77,53 ans est alarmante. Les rapports trimestriels 2025 montrent une reprise d'activité avec un CA de 2,271 milliards FCFA au S1 (+290% vs S1 2024) et de 3,456 milliards sur 9 mois (+176%), porté par le chantier de l'aéroport d'Abidjan. Cependant, la perte nette sur 9 mois reste de -477 millions FCFA, bien que réduite de 22% par rapport à 2024. La prévision de CA annuel 2025 est de 4 milliards FCFA. Les rapports de 2024 (datés du 31/12/2024) montrent un effondrement du CA à 1,793 milliard FCFA (-80,6%) et une perte de -348 millions FCFA. La société reste structurellement déficitaire, dépendante d'un seul grand projet, et sa trésorerie nette positive de 1,330 milliard FCFA est consommée par les pertes d'exploitation. La recommandation fondamentale est donc **VENTE**, la société étant en situation de risque élevé.</w:t>
      </w:r>
    </w:p>
    <w:p>
      <w:pPr>
        <w:spacing w:after="120" w:line="276" w:lineRule="auto"/>
      </w:pPr>
      <w:r>
        <w:t>---</w:t>
      </w:r>
    </w:p>
    <w:p>
      <w:pPr>
        <w:spacing w:after="120" w:line="276" w:lineRule="auto"/>
      </w:pPr>
      <w:r>
        <w:t>### PARTIE 4 : CONCLUSION D'INVESTISSEMENT</w:t>
      </w:r>
    </w:p>
    <w:p>
      <w:pPr>
        <w:spacing w:after="120" w:line="276" w:lineRule="auto"/>
      </w:pPr>
      <w:r>
        <w:t>La valorisation de STAC est extrêmement spéculative, avec un P/B de 100x et un PER négatif, indiquant une surévaluation flagrante par rapport aux fondamentaux. Le comportement du cours montre une forte volatilité (72,8% annualisé) et une tendance baissière récente, malgré un rebond de +22% sur 100 jours. Les signaux techniques sont mitigés : la tendance de fond est baissière (MM, MACD), mais les oscillateurs (RSI, Stochastique) sont en survente extrême, suggérant un possible rebond technique à court terme. Les fondamentaux sont très fragiles, avec des pertes récurrentes, une rentabilité négative et une dépendance à un seul projet. Les prédictions IA pour les 10 prochains jours (de 2 489 FCFA à 1 919 FCFA) confirment une poursuite de la baisse, en ligne avec les signaux techniques baissiers. La convergence entre la valorisation excessive, la tendance technique baissière et les fondamentaux dégradés est forte. Par conséquent, la recommandation finale est **VENTE FORTE**, avec un niveau de confiance **Élevé** et un risque global **Élevé**. L'horizon d'investissement optimal est le **court terme (&lt; 3 mois)** pour les spéculateurs, mais la valeur est à éviter pour tout investissement moyen ou long terme.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448.52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3,302 titres</w:t>
            </w:r>
          </w:p>
        </w:tc>
        <w:tc>
          <w:tcPr>
            <w:tcW w:type="dxa" w:w="2268"/>
            <w:shd w:fill="FFF2CC" w:val="clear"/>
          </w:tcPr>
          <w:p>
            <w:r>
              <w:rPr>
                <w:b/>
                <w:color w:val="503200"/>
                <w:sz w:val="16"/>
              </w:rPr>
              <w:t xml:space="preserve">Cours actuel : </w:t>
            </w:r>
            <w:r>
              <w:rPr>
                <w:color w:val="000000"/>
                <w:sz w:val="17"/>
              </w:rPr>
              <w:t>24,980 FCFA</w:t>
            </w:r>
          </w:p>
          <w:p>
            <w:r>
              <w:rPr>
                <w:b/>
                <w:color w:val="503200"/>
                <w:sz w:val="16"/>
              </w:rPr>
              <w:t xml:space="preserve">Var. 100 jours : </w:t>
            </w:r>
            <w:r>
              <w:rPr>
                <w:b/>
                <w:color w:val="007800"/>
                <w:sz w:val="17"/>
              </w:rPr>
              <w:t>+15.65%</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28.6%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6.00% (Moyenne) — μ=22,104 FCFA, σ=1,327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β=0.2535 (Défensif) — Cov=0.000009, Var(idx)=0.000036, ρ=0.084,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3,302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24,121</w:t>
            </w:r>
          </w:p>
        </w:tc>
        <w:tc>
          <w:tcPr>
            <w:tcW w:type="dxa" w:w="1440"/>
            <w:shd w:fill="FAFAFA" w:val="clear"/>
          </w:tcPr>
          <w:p>
            <w:r>
              <w:rPr>
                <w:b/>
                <w:sz w:val="17"/>
              </w:rPr>
              <w:t>25,178</w:t>
            </w:r>
          </w:p>
        </w:tc>
        <w:tc>
          <w:tcPr>
            <w:tcW w:type="dxa" w:w="1440"/>
            <w:shd w:fill="FAFAFA" w:val="clear"/>
          </w:tcPr>
          <w:p>
            <w:r>
              <w:rPr>
                <w:sz w:val="17"/>
              </w:rPr>
              <w:t>26,236</w:t>
            </w:r>
          </w:p>
        </w:tc>
        <w:tc>
          <w:tcPr>
            <w:tcW w:type="dxa" w:w="1440"/>
            <w:shd w:fill="FAFAFA" w:val="clear"/>
          </w:tcPr>
          <w:p>
            <w:r>
              <w:rPr>
                <w:b/>
                <w:color w:val="008000"/>
                <w:sz w:val="17"/>
              </w:rPr>
              <w:t>+0.8%</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23,914</w:t>
            </w:r>
          </w:p>
        </w:tc>
        <w:tc>
          <w:tcPr>
            <w:tcW w:type="dxa" w:w="1440"/>
            <w:shd w:fill="FAFAFA" w:val="clear"/>
          </w:tcPr>
          <w:p>
            <w:r>
              <w:rPr>
                <w:b/>
                <w:sz w:val="17"/>
              </w:rPr>
              <w:t>25,424</w:t>
            </w:r>
          </w:p>
        </w:tc>
        <w:tc>
          <w:tcPr>
            <w:tcW w:type="dxa" w:w="1440"/>
            <w:shd w:fill="FAFAFA" w:val="clear"/>
          </w:tcPr>
          <w:p>
            <w:r>
              <w:rPr>
                <w:sz w:val="17"/>
              </w:rPr>
              <w:t>26,934</w:t>
            </w:r>
          </w:p>
        </w:tc>
        <w:tc>
          <w:tcPr>
            <w:tcW w:type="dxa" w:w="1440"/>
            <w:shd w:fill="FAFAFA" w:val="clear"/>
          </w:tcPr>
          <w:p>
            <w:r>
              <w:rPr>
                <w:b/>
                <w:color w:val="008000"/>
                <w:sz w:val="17"/>
              </w:rPr>
              <w:t>+1.8%</w:t>
            </w:r>
          </w:p>
        </w:tc>
      </w:tr>
      <w:tr>
        <w:tc>
          <w:tcPr>
            <w:tcW w:type="dxa" w:w="1440"/>
            <w:shd w:fill="C6EFCE" w:val="clear"/>
          </w:tcPr>
          <w:p>
            <w:r>
              <w:rPr>
                <w:sz w:val="17"/>
              </w:rPr>
              <w:t>J+3  ⭐</w:t>
            </w:r>
          </w:p>
        </w:tc>
        <w:tc>
          <w:tcPr>
            <w:tcW w:type="dxa" w:w="1440"/>
            <w:shd w:fill="C6EFCE" w:val="clear"/>
          </w:tcPr>
          <w:p>
            <w:r>
              <w:rPr>
                <w:sz w:val="17"/>
              </w:rPr>
              <w:t>2026-08-12</w:t>
            </w:r>
          </w:p>
        </w:tc>
        <w:tc>
          <w:tcPr>
            <w:tcW w:type="dxa" w:w="1440"/>
            <w:shd w:fill="C6EFCE" w:val="clear"/>
          </w:tcPr>
          <w:p>
            <w:r>
              <w:rPr>
                <w:sz w:val="17"/>
              </w:rPr>
              <w:t>23,799</w:t>
            </w:r>
          </w:p>
        </w:tc>
        <w:tc>
          <w:tcPr>
            <w:tcW w:type="dxa" w:w="1440"/>
            <w:shd w:fill="C6EFCE" w:val="clear"/>
          </w:tcPr>
          <w:p>
            <w:r>
              <w:rPr>
                <w:b/>
                <w:sz w:val="17"/>
              </w:rPr>
              <w:t>25,666</w:t>
            </w:r>
          </w:p>
        </w:tc>
        <w:tc>
          <w:tcPr>
            <w:tcW w:type="dxa" w:w="1440"/>
            <w:shd w:fill="C6EFCE" w:val="clear"/>
          </w:tcPr>
          <w:p>
            <w:r>
              <w:rPr>
                <w:sz w:val="17"/>
              </w:rPr>
              <w:t>27,533</w:t>
            </w:r>
          </w:p>
        </w:tc>
        <w:tc>
          <w:tcPr>
            <w:tcW w:type="dxa" w:w="1440"/>
            <w:shd w:fill="C6EFCE" w:val="clear"/>
          </w:tcPr>
          <w:p>
            <w:r>
              <w:rPr>
                <w:b/>
                <w:color w:val="008000"/>
                <w:sz w:val="17"/>
              </w:rPr>
              <w:t>+2.7%</w:t>
            </w:r>
          </w:p>
        </w:tc>
      </w:tr>
      <w:tr>
        <w:tc>
          <w:tcPr>
            <w:tcW w:type="dxa" w:w="1440"/>
            <w:shd w:fill="C6EFCE" w:val="clear"/>
          </w:tcPr>
          <w:p>
            <w:r>
              <w:rPr>
                <w:sz w:val="17"/>
              </w:rPr>
              <w:t>J+4  ⭐</w:t>
            </w:r>
          </w:p>
        </w:tc>
        <w:tc>
          <w:tcPr>
            <w:tcW w:type="dxa" w:w="1440"/>
            <w:shd w:fill="C6EFCE" w:val="clear"/>
          </w:tcPr>
          <w:p>
            <w:r>
              <w:rPr>
                <w:sz w:val="17"/>
              </w:rPr>
              <w:t>2026-08-13</w:t>
            </w:r>
          </w:p>
        </w:tc>
        <w:tc>
          <w:tcPr>
            <w:tcW w:type="dxa" w:w="1440"/>
            <w:shd w:fill="C6EFCE" w:val="clear"/>
          </w:tcPr>
          <w:p>
            <w:r>
              <w:rPr>
                <w:sz w:val="17"/>
              </w:rPr>
              <w:t>23,720</w:t>
            </w:r>
          </w:p>
        </w:tc>
        <w:tc>
          <w:tcPr>
            <w:tcW w:type="dxa" w:w="1440"/>
            <w:shd w:fill="C6EFCE" w:val="clear"/>
          </w:tcPr>
          <w:p>
            <w:r>
              <w:rPr>
                <w:b/>
                <w:sz w:val="17"/>
              </w:rPr>
              <w:t>25,895</w:t>
            </w:r>
          </w:p>
        </w:tc>
        <w:tc>
          <w:tcPr>
            <w:tcW w:type="dxa" w:w="1440"/>
            <w:shd w:fill="C6EFCE" w:val="clear"/>
          </w:tcPr>
          <w:p>
            <w:r>
              <w:rPr>
                <w:sz w:val="17"/>
              </w:rPr>
              <w:t>28,071</w:t>
            </w:r>
          </w:p>
        </w:tc>
        <w:tc>
          <w:tcPr>
            <w:tcW w:type="dxa" w:w="1440"/>
            <w:shd w:fill="C6EFCE" w:val="clear"/>
          </w:tcPr>
          <w:p>
            <w:r>
              <w:rPr>
                <w:b/>
                <w:color w:val="008000"/>
                <w:sz w:val="17"/>
              </w:rPr>
              <w:t>+3.7%</w:t>
            </w:r>
          </w:p>
        </w:tc>
      </w:tr>
      <w:tr>
        <w:tc>
          <w:tcPr>
            <w:tcW w:type="dxa" w:w="1440"/>
            <w:shd w:fill="C6EFCE" w:val="clear"/>
          </w:tcPr>
          <w:p>
            <w:r>
              <w:rPr>
                <w:sz w:val="17"/>
              </w:rPr>
              <w:t>J+5  ⭐</w:t>
            </w:r>
          </w:p>
        </w:tc>
        <w:tc>
          <w:tcPr>
            <w:tcW w:type="dxa" w:w="1440"/>
            <w:shd w:fill="C6EFCE" w:val="clear"/>
          </w:tcPr>
          <w:p>
            <w:r>
              <w:rPr>
                <w:sz w:val="17"/>
              </w:rPr>
              <w:t>2026-08-14</w:t>
            </w:r>
          </w:p>
        </w:tc>
        <w:tc>
          <w:tcPr>
            <w:tcW w:type="dxa" w:w="1440"/>
            <w:shd w:fill="C6EFCE" w:val="clear"/>
          </w:tcPr>
          <w:p>
            <w:r>
              <w:rPr>
                <w:sz w:val="17"/>
              </w:rPr>
              <w:t>23,678</w:t>
            </w:r>
          </w:p>
        </w:tc>
        <w:tc>
          <w:tcPr>
            <w:tcW w:type="dxa" w:w="1440"/>
            <w:shd w:fill="C6EFCE" w:val="clear"/>
          </w:tcPr>
          <w:p>
            <w:r>
              <w:rPr>
                <w:b/>
                <w:sz w:val="17"/>
              </w:rPr>
              <w:t>26,132</w:t>
            </w:r>
          </w:p>
        </w:tc>
        <w:tc>
          <w:tcPr>
            <w:tcW w:type="dxa" w:w="1440"/>
            <w:shd w:fill="C6EFCE" w:val="clear"/>
          </w:tcPr>
          <w:p>
            <w:r>
              <w:rPr>
                <w:sz w:val="17"/>
              </w:rPr>
              <w:t>28,586</w:t>
            </w:r>
          </w:p>
        </w:tc>
        <w:tc>
          <w:tcPr>
            <w:tcW w:type="dxa" w:w="1440"/>
            <w:shd w:fill="C6EFCE" w:val="clear"/>
          </w:tcPr>
          <w:p>
            <w:r>
              <w:rPr>
                <w:b/>
                <w:color w:val="008000"/>
                <w:sz w:val="17"/>
              </w:rPr>
              <w:t>+4.6%</w:t>
            </w:r>
          </w:p>
        </w:tc>
      </w:tr>
      <w:tr>
        <w:tc>
          <w:tcPr>
            <w:tcW w:type="dxa" w:w="1440"/>
            <w:shd w:fill="C6EFCE" w:val="clear"/>
          </w:tcPr>
          <w:p>
            <w:r>
              <w:rPr>
                <w:sz w:val="17"/>
              </w:rPr>
              <w:t>J+6  ⭐</w:t>
            </w:r>
          </w:p>
        </w:tc>
        <w:tc>
          <w:tcPr>
            <w:tcW w:type="dxa" w:w="1440"/>
            <w:shd w:fill="C6EFCE" w:val="clear"/>
          </w:tcPr>
          <w:p>
            <w:r>
              <w:rPr>
                <w:sz w:val="17"/>
              </w:rPr>
              <w:t>2026-08-17</w:t>
            </w:r>
          </w:p>
        </w:tc>
        <w:tc>
          <w:tcPr>
            <w:tcW w:type="dxa" w:w="1440"/>
            <w:shd w:fill="C6EFCE" w:val="clear"/>
          </w:tcPr>
          <w:p>
            <w:r>
              <w:rPr>
                <w:sz w:val="17"/>
              </w:rPr>
              <w:t>23,649</w:t>
            </w:r>
          </w:p>
        </w:tc>
        <w:tc>
          <w:tcPr>
            <w:tcW w:type="dxa" w:w="1440"/>
            <w:shd w:fill="C6EFCE" w:val="clear"/>
          </w:tcPr>
          <w:p>
            <w:r>
              <w:rPr>
                <w:b/>
                <w:sz w:val="17"/>
              </w:rPr>
              <w:t>26,361</w:t>
            </w:r>
          </w:p>
        </w:tc>
        <w:tc>
          <w:tcPr>
            <w:tcW w:type="dxa" w:w="1440"/>
            <w:shd w:fill="C6EFCE" w:val="clear"/>
          </w:tcPr>
          <w:p>
            <w:r>
              <w:rPr>
                <w:sz w:val="17"/>
              </w:rPr>
              <w:t>29,073</w:t>
            </w:r>
          </w:p>
        </w:tc>
        <w:tc>
          <w:tcPr>
            <w:tcW w:type="dxa" w:w="1440"/>
            <w:shd w:fill="C6EFCE" w:val="clear"/>
          </w:tcPr>
          <w:p>
            <w:r>
              <w:rPr>
                <w:b/>
                <w:color w:val="008000"/>
                <w:sz w:val="17"/>
              </w:rPr>
              <w:t>+5.5%</w:t>
            </w:r>
          </w:p>
        </w:tc>
      </w:tr>
      <w:tr>
        <w:tc>
          <w:tcPr>
            <w:tcW w:type="dxa" w:w="1440"/>
            <w:shd w:fill="C6EFCE" w:val="clear"/>
          </w:tcPr>
          <w:p>
            <w:r>
              <w:rPr>
                <w:sz w:val="17"/>
              </w:rPr>
              <w:t>J+7  ⭐</w:t>
            </w:r>
          </w:p>
        </w:tc>
        <w:tc>
          <w:tcPr>
            <w:tcW w:type="dxa" w:w="1440"/>
            <w:shd w:fill="C6EFCE" w:val="clear"/>
          </w:tcPr>
          <w:p>
            <w:r>
              <w:rPr>
                <w:sz w:val="17"/>
              </w:rPr>
              <w:t>2026-08-18</w:t>
            </w:r>
          </w:p>
        </w:tc>
        <w:tc>
          <w:tcPr>
            <w:tcW w:type="dxa" w:w="1440"/>
            <w:shd w:fill="C6EFCE" w:val="clear"/>
          </w:tcPr>
          <w:p>
            <w:r>
              <w:rPr>
                <w:sz w:val="17"/>
              </w:rPr>
              <w:t>23,644</w:t>
            </w:r>
          </w:p>
        </w:tc>
        <w:tc>
          <w:tcPr>
            <w:tcW w:type="dxa" w:w="1440"/>
            <w:shd w:fill="C6EFCE" w:val="clear"/>
          </w:tcPr>
          <w:p>
            <w:r>
              <w:rPr>
                <w:b/>
                <w:sz w:val="17"/>
              </w:rPr>
              <w:t>26,600</w:t>
            </w:r>
          </w:p>
        </w:tc>
        <w:tc>
          <w:tcPr>
            <w:tcW w:type="dxa" w:w="1440"/>
            <w:shd w:fill="C6EFCE" w:val="clear"/>
          </w:tcPr>
          <w:p>
            <w:r>
              <w:rPr>
                <w:sz w:val="17"/>
              </w:rPr>
              <w:t>29,555</w:t>
            </w:r>
          </w:p>
        </w:tc>
        <w:tc>
          <w:tcPr>
            <w:tcW w:type="dxa" w:w="1440"/>
            <w:shd w:fill="C6EFCE" w:val="clear"/>
          </w:tcPr>
          <w:p>
            <w:r>
              <w:rPr>
                <w:b/>
                <w:color w:val="008000"/>
                <w:sz w:val="17"/>
              </w:rPr>
              <w:t>+6.5%</w:t>
            </w:r>
          </w:p>
        </w:tc>
      </w:tr>
      <w:tr>
        <w:tc>
          <w:tcPr>
            <w:tcW w:type="dxa" w:w="1440"/>
            <w:shd w:fill="C6EFCE" w:val="clear"/>
          </w:tcPr>
          <w:p>
            <w:r>
              <w:rPr>
                <w:sz w:val="17"/>
              </w:rPr>
              <w:t>J+8  ⭐</w:t>
            </w:r>
          </w:p>
        </w:tc>
        <w:tc>
          <w:tcPr>
            <w:tcW w:type="dxa" w:w="1440"/>
            <w:shd w:fill="C6EFCE" w:val="clear"/>
          </w:tcPr>
          <w:p>
            <w:r>
              <w:rPr>
                <w:sz w:val="17"/>
              </w:rPr>
              <w:t>2026-08-19</w:t>
            </w:r>
          </w:p>
        </w:tc>
        <w:tc>
          <w:tcPr>
            <w:tcW w:type="dxa" w:w="1440"/>
            <w:shd w:fill="C6EFCE" w:val="clear"/>
          </w:tcPr>
          <w:p>
            <w:r>
              <w:rPr>
                <w:sz w:val="17"/>
              </w:rPr>
              <w:t>23,644</w:t>
            </w:r>
          </w:p>
        </w:tc>
        <w:tc>
          <w:tcPr>
            <w:tcW w:type="dxa" w:w="1440"/>
            <w:shd w:fill="C6EFCE" w:val="clear"/>
          </w:tcPr>
          <w:p>
            <w:r>
              <w:rPr>
                <w:b/>
                <w:sz w:val="17"/>
              </w:rPr>
              <w:t>26,831</w:t>
            </w:r>
          </w:p>
        </w:tc>
        <w:tc>
          <w:tcPr>
            <w:tcW w:type="dxa" w:w="1440"/>
            <w:shd w:fill="C6EFCE" w:val="clear"/>
          </w:tcPr>
          <w:p>
            <w:r>
              <w:rPr>
                <w:sz w:val="17"/>
              </w:rPr>
              <w:t>30,018</w:t>
            </w:r>
          </w:p>
        </w:tc>
        <w:tc>
          <w:tcPr>
            <w:tcW w:type="dxa" w:w="1440"/>
            <w:shd w:fill="C6EFCE" w:val="clear"/>
          </w:tcPr>
          <w:p>
            <w:r>
              <w:rPr>
                <w:b/>
                <w:color w:val="008000"/>
                <w:sz w:val="17"/>
              </w:rPr>
              <w:t>+7.4%</w:t>
            </w:r>
          </w:p>
        </w:tc>
      </w:tr>
      <w:tr>
        <w:tc>
          <w:tcPr>
            <w:tcW w:type="dxa" w:w="1440"/>
            <w:shd w:fill="C6EFCE" w:val="clear"/>
          </w:tcPr>
          <w:p>
            <w:r>
              <w:rPr>
                <w:sz w:val="17"/>
              </w:rPr>
              <w:t>J+9  ⭐</w:t>
            </w:r>
          </w:p>
        </w:tc>
        <w:tc>
          <w:tcPr>
            <w:tcW w:type="dxa" w:w="1440"/>
            <w:shd w:fill="C6EFCE" w:val="clear"/>
          </w:tcPr>
          <w:p>
            <w:r>
              <w:rPr>
                <w:sz w:val="17"/>
              </w:rPr>
              <w:t>2026-08-20</w:t>
            </w:r>
          </w:p>
        </w:tc>
        <w:tc>
          <w:tcPr>
            <w:tcW w:type="dxa" w:w="1440"/>
            <w:shd w:fill="C6EFCE" w:val="clear"/>
          </w:tcPr>
          <w:p>
            <w:r>
              <w:rPr>
                <w:sz w:val="17"/>
              </w:rPr>
              <w:t>23,647</w:t>
            </w:r>
          </w:p>
        </w:tc>
        <w:tc>
          <w:tcPr>
            <w:tcW w:type="dxa" w:w="1440"/>
            <w:shd w:fill="C6EFCE" w:val="clear"/>
          </w:tcPr>
          <w:p>
            <w:r>
              <w:rPr>
                <w:b/>
                <w:sz w:val="17"/>
              </w:rPr>
              <w:t>27,056</w:t>
            </w:r>
          </w:p>
        </w:tc>
        <w:tc>
          <w:tcPr>
            <w:tcW w:type="dxa" w:w="1440"/>
            <w:shd w:fill="C6EFCE" w:val="clear"/>
          </w:tcPr>
          <w:p>
            <w:r>
              <w:rPr>
                <w:sz w:val="17"/>
              </w:rPr>
              <w:t>30,465</w:t>
            </w:r>
          </w:p>
        </w:tc>
        <w:tc>
          <w:tcPr>
            <w:tcW w:type="dxa" w:w="1440"/>
            <w:shd w:fill="C6EFCE" w:val="clear"/>
          </w:tcPr>
          <w:p>
            <w:r>
              <w:rPr>
                <w:b/>
                <w:color w:val="008000"/>
                <w:sz w:val="17"/>
              </w:rPr>
              <w:t>+8.3%</w:t>
            </w:r>
          </w:p>
        </w:tc>
      </w:tr>
      <w:tr>
        <w:tc>
          <w:tcPr>
            <w:tcW w:type="dxa" w:w="1440"/>
            <w:shd w:fill="C6EFCE" w:val="clear"/>
          </w:tcPr>
          <w:p>
            <w:r>
              <w:rPr>
                <w:sz w:val="17"/>
              </w:rPr>
              <w:t>J+10  ⭐</w:t>
            </w:r>
          </w:p>
        </w:tc>
        <w:tc>
          <w:tcPr>
            <w:tcW w:type="dxa" w:w="1440"/>
            <w:shd w:fill="C6EFCE" w:val="clear"/>
          </w:tcPr>
          <w:p>
            <w:r>
              <w:rPr>
                <w:sz w:val="17"/>
              </w:rPr>
              <w:t>2026-08-21</w:t>
            </w:r>
          </w:p>
        </w:tc>
        <w:tc>
          <w:tcPr>
            <w:tcW w:type="dxa" w:w="1440"/>
            <w:shd w:fill="C6EFCE" w:val="clear"/>
          </w:tcPr>
          <w:p>
            <w:r>
              <w:rPr>
                <w:sz w:val="17"/>
              </w:rPr>
              <w:t>23,652</w:t>
            </w:r>
          </w:p>
        </w:tc>
        <w:tc>
          <w:tcPr>
            <w:tcW w:type="dxa" w:w="1440"/>
            <w:shd w:fill="C6EFCE" w:val="clear"/>
          </w:tcPr>
          <w:p>
            <w:r>
              <w:rPr>
                <w:b/>
                <w:sz w:val="17"/>
              </w:rPr>
              <w:t>27,275</w:t>
            </w:r>
          </w:p>
        </w:tc>
        <w:tc>
          <w:tcPr>
            <w:tcW w:type="dxa" w:w="1440"/>
            <w:shd w:fill="C6EFCE" w:val="clear"/>
          </w:tcPr>
          <w:p>
            <w:r>
              <w:rPr>
                <w:sz w:val="17"/>
              </w:rPr>
              <w:t>30,897</w:t>
            </w:r>
          </w:p>
        </w:tc>
        <w:tc>
          <w:tcPr>
            <w:tcW w:type="dxa" w:w="1440"/>
            <w:shd w:fill="C6EFCE" w:val="clear"/>
          </w:tcPr>
          <w:p>
            <w:r>
              <w:rPr>
                <w:b/>
                <w:color w:val="008000"/>
                <w:sz w:val="17"/>
              </w:rPr>
              <w:t>+9.2%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w:t>
        <w:br/>
        <w:t>**Date de l'analyse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STBC s'établit à 448,52 milliards FCFA, un niveau qui la positionne parmi les valeurs à forte capitalisation de la BRVM, reflétant son statut de leader sur le marché ivoirien du tabac. Avec un BPA de 2 014 FCFA, chaque action génère un bénéfice substantiel, justifiant un PER de 12,4x, légèrement au-dessus de la moyenne historique de la BRVM (8-12x), ce qui indique que les investisseurs paient une prime modérée pour la qualité des bénéfices. Le P/B de 9,89x est particulièrement élevé, signifiant que le marché valorise l'entreprise à près de dix fois sa valeur comptable, une prime qui reflète une forte confiance dans la création de valeur future. Enfin, l'EV/EBITDA de 9,0x se situe dans une fourchette raisonnable (5-10x), indiquant une valorisation cohérente avec la capacité opérationnelle de l'entreprise, malgré une prime comptable significative.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STBC a enregistré une progression remarquable de +15,65%, avec une légère consolidation de -0,08% lors de la dernière séance, témoignant d'une dynamique haussière soutenue. Le cours a évolué dans une fourchette de 19 705 FCFA (plus bas) à 25 000 FCFA (plus haut), démontrant une amplitude de trading significative de plus de 26%. La moyenne du cours sur la période (22 104 FCFA) est supérieure à la médiane (21 830 FCFA), avec un skewness positif de 0,604, indiquant une distribution asymétrique avec des journées plus fréquentes sous la moyenne mais des mouvements haussiers plus prononcés. L'écart-type de 1 334 FCFA (CV=6,0%) révèle une dispersion modérée, tandis que le kurtosis de -0,655 (mésokurtique) suggère une distribution proche de la normale, sans risque de pics extrêmes. La volatilité annualisée de 28,6% positionne le titre dans une zone modérée à élevée, reflétant un profil de risque dynamique mais maîtrisé.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(24 980 FCFA) se situe nettement au-dessus de la MM20 (23 620 FCFA) et de la MM50 (23 099,3 FCFA), confirmant une tendance haussière solide à court et moyen terme. L'écart positif entre le prix et les moyennes mobiles indique une dynamique positive, justifiant la décision d'achat.</w:t>
      </w:r>
    </w:p>
    <w:p>
      <w:pPr>
        <w:spacing w:after="120" w:line="276" w:lineRule="auto"/>
      </w:pPr>
      <w:r>
        <w:t>**Bandes de Bollinger** : Le prix évolue près de la borne supérieure (24 995,286 FCFA), avec une borne inférieure à 22 244,714 FCFA, indiquant une volatilité modérée. La proximité du prix avec la borne supérieure suggère une pression acheteuse soutenue, mais le signal neutre reflète une possible consolidation à court terme.</w:t>
      </w:r>
    </w:p>
    <w:p>
      <w:pPr>
        <w:spacing w:after="120" w:line="276" w:lineRule="auto"/>
      </w:pPr>
      <w:r>
        <w:t>**MACD** : La valeur du MACD (311,488) est nettement supérieure à son signal (176,603), confirmant un momentum haussier robuste. Cette divergence positive indique une accélération de la tendance, justifiant la décision d'achat.</w:t>
      </w:r>
    </w:p>
    <w:p>
      <w:pPr>
        <w:spacing w:after="120" w:line="276" w:lineRule="auto"/>
      </w:pPr>
      <w:r>
        <w:t>**RSI** : À 68,243, le RSI se situe en zone neutre, proche du seuil de surachat (70). Cette valeur indique une force relative soutenue sans signal d'épuisement immédiat, justifiant une position neutre avec vigilance.</w:t>
      </w:r>
    </w:p>
    <w:p>
      <w:pPr>
        <w:spacing w:after="120" w:line="276" w:lineRule="auto"/>
      </w:pPr>
      <w:r>
        <w:t>**Stochastique** : Avec %K à 99,002 et %D à 99,667, l'indicateur est en zone de surachat extrême, signalant un risque de retournement technique. Cette configuration justifie la décision de vente, suggérant une prudence accrue à court terme.</w:t>
      </w:r>
    </w:p>
    <w:p>
      <w:pPr>
        <w:spacing w:after="120" w:line="276" w:lineRule="auto"/>
      </w:pPr>
      <w:r>
        <w:t>**Conclusion technique** : Les indicateurs de tendance (MM, MACD) sont résolument haussiers, tandis que les oscillateurs (RSI, Stochastique) signalent une possible saturation à court terme. Cette divergence suggère une consolidation probable avant la poursuite de la tendance haussière, avec un risque de correction technique limité.</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de STBC révèlent une performance financière contrastée mais globalement solide. Le chiffre d'affaires a atteint 268,537 milliards FCFA, en hausse de 25,3% par rapport à 2024, démontrant une dynamique commerciale exceptionnelle. Cependant, le résultat net s'établit à 36,158 milliards FCFA, en baisse de 17,5% par rapport à 2024 (44,2 milliards FCFA), sous l'effet d'une pression fiscale accrue (droits d'accise passés de 49% à 70%) et d'une hausse des charges d'exploitation. La marge nette a ainsi reculé de 20,4% à 13,5%, tandis que la marge opérationnelle s'est établie à 17,1%. Le ROE reste exceptionnel à 79,75% et le ROA à 48,09%, témoignant d'une rentabilité toujours très élevée. La structure financière demeure saine avec des capitaux propres de 45,337 milliards FCFA (autonomie financière de 60,3%), une trésorerie nette confortable de 30,763 milliards FCFA et un endettement quasi nul. Le BFR de 5,639 milliards FCFA et le délai clients de 42,57 jours indiquent une gestion efficace du cycle d'exploitation. Sur la base des rapports trimestriels 2025 (T1 : CA +34,7%, T3 : CA +19%, T4 : CA +8%), on estime que la croissance du CA s'est maintenue tout au long de l'année, mais avec une dégradation progressive des marges. Le rapport T1 2026 (CA +12% à 68,8 milliards FCFA, résultat net stable à 9,3 milliards FCFA) suggère une stabilisation de la rentabilité. Le dividende proposé de 1 940 FCFA par action (taux de distribution de 84,9%) confirme une politique généreuse de retour aux actionnaires. La recommandation fondamentale est de conserver, compte tenu de la solidité financière et de la croissance du CA, mais avec une vigilance sur la pression fiscale et la dégradation des marges.</w:t>
      </w:r>
    </w:p>
    <w:p>
      <w:pPr>
        <w:spacing w:after="120" w:line="276" w:lineRule="auto"/>
      </w:pPr>
      <w:r>
        <w:t>---</w:t>
      </w:r>
    </w:p>
    <w:p>
      <w:pPr>
        <w:spacing w:after="120" w:line="276" w:lineRule="auto"/>
      </w:pPr>
      <w:r>
        <w:t>### PARTIE 4 : CONCLUSION D'INVESTISSEMENT</w:t>
      </w:r>
    </w:p>
    <w:p>
      <w:pPr>
        <w:spacing w:after="120" w:line="276" w:lineRule="auto"/>
      </w:pPr>
      <w:r>
        <w:t>La synthèse globale révèle une situation contrastée pour STBC. La valorisation (PER 12,4x, P/B 9,89x, EV/EBITDA 9,0x) indique une prime de valorisation significative, mais justifiée par la rentabilité exceptionnelle. Le comportement du cours (+15,65% sur 100 jours) est favorable, avec une volatilité modérée et une distribution statistique saine. Les signaux techniques sont globalement haussiers (MM, MACD) mais avec des signes de surachat (RSI, Stochastique), suggérant une possible consolidation à court terme. Les fondamentaux restent solides avec une croissance du CA de 25,3% en 2025, un ROE de 79,75% et une trésorerie abondante, malgré une pression fiscale croissante. Les prédictions IA (25 178 à 26 132 FCFA sur 10 jours) confirment la tendance haussière, avec une progression attendue de 4,6%. La convergence entre la dynamique du cours, les fondamentaux solides et les prédictions IA, malgré une valorisation exigeante, conduit à une recommandation de **CONSERVER** avec un niveau de confiance **Moyen**. Le risque global est **Moyen**, principalement lié à la pression fiscale et à la dégradation des marges. L'horizon d'investissement optimal est le **moyen terme (3-12 mois)**, permettant de bénéficier du dividende attractif (1 940 FCFA/action) et de la croissance du CA, tout en surveillant l'évolution de la rentabilité.</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176.61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8,997 titres</w:t>
            </w:r>
          </w:p>
        </w:tc>
        <w:tc>
          <w:tcPr>
            <w:tcW w:type="dxa" w:w="2268"/>
            <w:shd w:fill="FFF2CC" w:val="clear"/>
          </w:tcPr>
          <w:p>
            <w:r>
              <w:rPr>
                <w:b/>
                <w:color w:val="503200"/>
                <w:sz w:val="16"/>
              </w:rPr>
              <w:t xml:space="preserve">Cours actuel : </w:t>
            </w:r>
            <w:r>
              <w:rPr>
                <w:color w:val="000000"/>
                <w:sz w:val="17"/>
              </w:rPr>
              <w:t>2,805 FCFA</w:t>
            </w:r>
          </w:p>
          <w:p>
            <w:r>
              <w:rPr>
                <w:b/>
                <w:color w:val="503200"/>
                <w:sz w:val="16"/>
              </w:rPr>
              <w:t xml:space="preserve">Var. 100 jours : </w:t>
            </w:r>
            <w:r>
              <w:rPr>
                <w:b/>
                <w:color w:val="B40000"/>
                <w:sz w:val="17"/>
              </w:rPr>
              <w:t>-1.58%</w:t>
            </w:r>
          </w:p>
          <w:p>
            <w:r>
              <w:rPr>
                <w:b/>
                <w:color w:val="503200"/>
                <w:sz w:val="16"/>
              </w:rPr>
              <w:t xml:space="preserve">Plus haut 100j : </w:t>
            </w:r>
            <w:r>
              <w:rPr>
                <w:color w:val="000000"/>
                <w:sz w:val="17"/>
              </w:rPr>
              <w:t>3,060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3.27% (Faible) — μ=2,848 FCFA, σ=93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β=-0.2712 (Contre-cyclique) — Cov=-0.000010, Var(idx)=0.000036, ρ=-0.064,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8,997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σ_j=2.52%/j (Stable) — Vol. annualisée≈40.0%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2,670</w:t>
            </w:r>
          </w:p>
        </w:tc>
        <w:tc>
          <w:tcPr>
            <w:tcW w:type="dxa" w:w="1440"/>
            <w:shd w:fill="FAFAFA" w:val="clear"/>
          </w:tcPr>
          <w:p>
            <w:r>
              <w:rPr>
                <w:b/>
                <w:sz w:val="17"/>
              </w:rPr>
              <w:t>2,820</w:t>
            </w:r>
          </w:p>
        </w:tc>
        <w:tc>
          <w:tcPr>
            <w:tcW w:type="dxa" w:w="1440"/>
            <w:shd w:fill="FAFAFA" w:val="clear"/>
          </w:tcPr>
          <w:p>
            <w:r>
              <w:rPr>
                <w:sz w:val="17"/>
              </w:rPr>
              <w:t>2,970</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2026-08-11</w:t>
            </w:r>
          </w:p>
        </w:tc>
        <w:tc>
          <w:tcPr>
            <w:tcW w:type="dxa" w:w="1440"/>
            <w:shd w:fill="FAFAFA" w:val="clear"/>
          </w:tcPr>
          <w:p>
            <w:r>
              <w:rPr>
                <w:sz w:val="17"/>
              </w:rPr>
              <w:t>2,601</w:t>
            </w:r>
          </w:p>
        </w:tc>
        <w:tc>
          <w:tcPr>
            <w:tcW w:type="dxa" w:w="1440"/>
            <w:shd w:fill="FAFAFA" w:val="clear"/>
          </w:tcPr>
          <w:p>
            <w:r>
              <w:rPr>
                <w:b/>
                <w:sz w:val="17"/>
              </w:rPr>
              <w:t>2,813</w:t>
            </w:r>
          </w:p>
        </w:tc>
        <w:tc>
          <w:tcPr>
            <w:tcW w:type="dxa" w:w="1440"/>
            <w:shd w:fill="FAFAFA" w:val="clear"/>
          </w:tcPr>
          <w:p>
            <w:r>
              <w:rPr>
                <w:sz w:val="17"/>
              </w:rPr>
              <w:t>3,024</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2026-08-12</w:t>
            </w:r>
          </w:p>
        </w:tc>
        <w:tc>
          <w:tcPr>
            <w:tcW w:type="dxa" w:w="1440"/>
            <w:shd w:fill="FAFAFA" w:val="clear"/>
          </w:tcPr>
          <w:p>
            <w:r>
              <w:rPr>
                <w:sz w:val="17"/>
              </w:rPr>
              <w:t>2,554</w:t>
            </w:r>
          </w:p>
        </w:tc>
        <w:tc>
          <w:tcPr>
            <w:tcW w:type="dxa" w:w="1440"/>
            <w:shd w:fill="FAFAFA" w:val="clear"/>
          </w:tcPr>
          <w:p>
            <w:r>
              <w:rPr>
                <w:b/>
                <w:sz w:val="17"/>
              </w:rPr>
              <w:t>2,813</w:t>
            </w:r>
          </w:p>
        </w:tc>
        <w:tc>
          <w:tcPr>
            <w:tcW w:type="dxa" w:w="1440"/>
            <w:shd w:fill="FAFAFA" w:val="clear"/>
          </w:tcPr>
          <w:p>
            <w:r>
              <w:rPr>
                <w:sz w:val="17"/>
              </w:rPr>
              <w:t>3,072</w:t>
            </w:r>
          </w:p>
        </w:tc>
        <w:tc>
          <w:tcPr>
            <w:tcW w:type="dxa" w:w="1440"/>
            <w:shd w:fill="FAFAFA" w:val="clear"/>
          </w:tcPr>
          <w:p>
            <w:r>
              <w:rPr>
                <w:b/>
                <w:color w:val="008000"/>
                <w:sz w:val="17"/>
              </w:rPr>
              <w:t>+0.3%</w:t>
            </w:r>
          </w:p>
        </w:tc>
      </w:tr>
      <w:tr>
        <w:tc>
          <w:tcPr>
            <w:tcW w:type="dxa" w:w="1440"/>
            <w:shd w:fill="FAFAFA" w:val="clear"/>
          </w:tcPr>
          <w:p>
            <w:r>
              <w:rPr>
                <w:sz w:val="17"/>
              </w:rPr>
              <w:t>J+4  ⭐</w:t>
            </w:r>
          </w:p>
        </w:tc>
        <w:tc>
          <w:tcPr>
            <w:tcW w:type="dxa" w:w="1440"/>
            <w:shd w:fill="FAFAFA" w:val="clear"/>
          </w:tcPr>
          <w:p>
            <w:r>
              <w:rPr>
                <w:sz w:val="17"/>
              </w:rPr>
              <w:t>2026-08-13</w:t>
            </w:r>
          </w:p>
        </w:tc>
        <w:tc>
          <w:tcPr>
            <w:tcW w:type="dxa" w:w="1440"/>
            <w:shd w:fill="FAFAFA" w:val="clear"/>
          </w:tcPr>
          <w:p>
            <w:r>
              <w:rPr>
                <w:sz w:val="17"/>
              </w:rPr>
              <w:t>2,512</w:t>
            </w:r>
          </w:p>
        </w:tc>
        <w:tc>
          <w:tcPr>
            <w:tcW w:type="dxa" w:w="1440"/>
            <w:shd w:fill="FAFAFA" w:val="clear"/>
          </w:tcPr>
          <w:p>
            <w:r>
              <w:rPr>
                <w:b/>
                <w:sz w:val="17"/>
              </w:rPr>
              <w:t>2,811</w:t>
            </w:r>
          </w:p>
        </w:tc>
        <w:tc>
          <w:tcPr>
            <w:tcW w:type="dxa" w:w="1440"/>
            <w:shd w:fill="FAFAFA" w:val="clear"/>
          </w:tcPr>
          <w:p>
            <w:r>
              <w:rPr>
                <w:sz w:val="17"/>
              </w:rPr>
              <w:t>3,111</w:t>
            </w:r>
          </w:p>
        </w:tc>
        <w:tc>
          <w:tcPr>
            <w:tcW w:type="dxa" w:w="1440"/>
            <w:shd w:fill="FAFAFA" w:val="clear"/>
          </w:tcPr>
          <w:p>
            <w:r>
              <w:rPr>
                <w:b/>
                <w:color w:val="008000"/>
                <w:sz w:val="17"/>
              </w:rPr>
              <w:t>+0.2%</w:t>
            </w:r>
          </w:p>
        </w:tc>
      </w:tr>
      <w:tr>
        <w:tc>
          <w:tcPr>
            <w:tcW w:type="dxa" w:w="1440"/>
            <w:shd w:fill="FAFAFA" w:val="clear"/>
          </w:tcPr>
          <w:p>
            <w:r>
              <w:rPr>
                <w:sz w:val="17"/>
              </w:rPr>
              <w:t>J+5  ⭐</w:t>
            </w:r>
          </w:p>
        </w:tc>
        <w:tc>
          <w:tcPr>
            <w:tcW w:type="dxa" w:w="1440"/>
            <w:shd w:fill="FAFAFA" w:val="clear"/>
          </w:tcPr>
          <w:p>
            <w:r>
              <w:rPr>
                <w:sz w:val="17"/>
              </w:rPr>
              <w:t>2026-08-14</w:t>
            </w:r>
          </w:p>
        </w:tc>
        <w:tc>
          <w:tcPr>
            <w:tcW w:type="dxa" w:w="1440"/>
            <w:shd w:fill="FAFAFA" w:val="clear"/>
          </w:tcPr>
          <w:p>
            <w:r>
              <w:rPr>
                <w:sz w:val="17"/>
              </w:rPr>
              <w:t>2,474</w:t>
            </w:r>
          </w:p>
        </w:tc>
        <w:tc>
          <w:tcPr>
            <w:tcW w:type="dxa" w:w="1440"/>
            <w:shd w:fill="FAFAFA" w:val="clear"/>
          </w:tcPr>
          <w:p>
            <w:r>
              <w:rPr>
                <w:b/>
                <w:sz w:val="17"/>
              </w:rPr>
              <w:t>2,808</w:t>
            </w:r>
          </w:p>
        </w:tc>
        <w:tc>
          <w:tcPr>
            <w:tcW w:type="dxa" w:w="1440"/>
            <w:shd w:fill="FAFAFA" w:val="clear"/>
          </w:tcPr>
          <w:p>
            <w:r>
              <w:rPr>
                <w:sz w:val="17"/>
              </w:rPr>
              <w:t>3,143</w:t>
            </w:r>
          </w:p>
        </w:tc>
        <w:tc>
          <w:tcPr>
            <w:tcW w:type="dxa" w:w="1440"/>
            <w:shd w:fill="FAFAFA" w:val="clear"/>
          </w:tcPr>
          <w:p>
            <w:r>
              <w:rPr>
                <w:b/>
                <w:color w:val="008000"/>
                <w:sz w:val="17"/>
              </w:rPr>
              <w:t>+0.1%</w:t>
            </w:r>
          </w:p>
        </w:tc>
      </w:tr>
      <w:tr>
        <w:tc>
          <w:tcPr>
            <w:tcW w:type="dxa" w:w="1440"/>
            <w:shd w:fill="FAFAFA" w:val="clear"/>
          </w:tcPr>
          <w:p>
            <w:r>
              <w:rPr>
                <w:sz w:val="17"/>
              </w:rPr>
              <w:t>J+6  ⭐</w:t>
            </w:r>
          </w:p>
        </w:tc>
        <w:tc>
          <w:tcPr>
            <w:tcW w:type="dxa" w:w="1440"/>
            <w:shd w:fill="FAFAFA" w:val="clear"/>
          </w:tcPr>
          <w:p>
            <w:r>
              <w:rPr>
                <w:sz w:val="17"/>
              </w:rPr>
              <w:t>2026-08-17</w:t>
            </w:r>
          </w:p>
        </w:tc>
        <w:tc>
          <w:tcPr>
            <w:tcW w:type="dxa" w:w="1440"/>
            <w:shd w:fill="FAFAFA" w:val="clear"/>
          </w:tcPr>
          <w:p>
            <w:r>
              <w:rPr>
                <w:sz w:val="17"/>
              </w:rPr>
              <w:t>2,439</w:t>
            </w:r>
          </w:p>
        </w:tc>
        <w:tc>
          <w:tcPr>
            <w:tcW w:type="dxa" w:w="1440"/>
            <w:shd w:fill="FAFAFA" w:val="clear"/>
          </w:tcPr>
          <w:p>
            <w:r>
              <w:rPr>
                <w:b/>
                <w:sz w:val="17"/>
              </w:rPr>
              <w:t>2,805</w:t>
            </w:r>
          </w:p>
        </w:tc>
        <w:tc>
          <w:tcPr>
            <w:tcW w:type="dxa" w:w="1440"/>
            <w:shd w:fill="FAFAFA" w:val="clear"/>
          </w:tcPr>
          <w:p>
            <w:r>
              <w:rPr>
                <w:sz w:val="17"/>
              </w:rPr>
              <w:t>3,171</w:t>
            </w:r>
          </w:p>
        </w:tc>
        <w:tc>
          <w:tcPr>
            <w:tcW w:type="dxa" w:w="1440"/>
            <w:shd w:fill="FAFAFA" w:val="clear"/>
          </w:tcPr>
          <w:p>
            <w:r>
              <w:rPr>
                <w:b/>
                <w:color w:val="C00000"/>
                <w:sz w:val="17"/>
              </w:rPr>
              <w:t>-0.0%</w:t>
            </w:r>
          </w:p>
        </w:tc>
      </w:tr>
      <w:tr>
        <w:tc>
          <w:tcPr>
            <w:tcW w:type="dxa" w:w="1440"/>
            <w:shd w:fill="FAFAFA" w:val="clear"/>
          </w:tcPr>
          <w:p>
            <w:r>
              <w:rPr>
                <w:sz w:val="17"/>
              </w:rPr>
              <w:t>J+7  ⭐</w:t>
            </w:r>
          </w:p>
        </w:tc>
        <w:tc>
          <w:tcPr>
            <w:tcW w:type="dxa" w:w="1440"/>
            <w:shd w:fill="FAFAFA" w:val="clear"/>
          </w:tcPr>
          <w:p>
            <w:r>
              <w:rPr>
                <w:sz w:val="17"/>
              </w:rPr>
              <w:t>2026-08-18</w:t>
            </w:r>
          </w:p>
        </w:tc>
        <w:tc>
          <w:tcPr>
            <w:tcW w:type="dxa" w:w="1440"/>
            <w:shd w:fill="FAFAFA" w:val="clear"/>
          </w:tcPr>
          <w:p>
            <w:r>
              <w:rPr>
                <w:sz w:val="17"/>
              </w:rPr>
              <w:t>2,407</w:t>
            </w:r>
          </w:p>
        </w:tc>
        <w:tc>
          <w:tcPr>
            <w:tcW w:type="dxa" w:w="1440"/>
            <w:shd w:fill="FAFAFA" w:val="clear"/>
          </w:tcPr>
          <w:p>
            <w:r>
              <w:rPr>
                <w:b/>
                <w:sz w:val="17"/>
              </w:rPr>
              <w:t>2,801</w:t>
            </w:r>
          </w:p>
        </w:tc>
        <w:tc>
          <w:tcPr>
            <w:tcW w:type="dxa" w:w="1440"/>
            <w:shd w:fill="FAFAFA" w:val="clear"/>
          </w:tcPr>
          <w:p>
            <w:r>
              <w:rPr>
                <w:sz w:val="17"/>
              </w:rPr>
              <w:t>3,196</w:t>
            </w:r>
          </w:p>
        </w:tc>
        <w:tc>
          <w:tcPr>
            <w:tcW w:type="dxa" w:w="1440"/>
            <w:shd w:fill="FAFAFA" w:val="clear"/>
          </w:tcPr>
          <w:p>
            <w:r>
              <w:rPr>
                <w:b/>
                <w:color w:val="C00000"/>
                <w:sz w:val="17"/>
              </w:rPr>
              <w:t>-0.1%</w:t>
            </w:r>
          </w:p>
        </w:tc>
      </w:tr>
      <w:tr>
        <w:tc>
          <w:tcPr>
            <w:tcW w:type="dxa" w:w="1440"/>
            <w:shd w:fill="FAFAFA" w:val="clear"/>
          </w:tcPr>
          <w:p>
            <w:r>
              <w:rPr>
                <w:sz w:val="17"/>
              </w:rPr>
              <w:t>J+8  ⭐</w:t>
            </w:r>
          </w:p>
        </w:tc>
        <w:tc>
          <w:tcPr>
            <w:tcW w:type="dxa" w:w="1440"/>
            <w:shd w:fill="FAFAFA" w:val="clear"/>
          </w:tcPr>
          <w:p>
            <w:r>
              <w:rPr>
                <w:sz w:val="17"/>
              </w:rPr>
              <w:t>2026-08-19</w:t>
            </w:r>
          </w:p>
        </w:tc>
        <w:tc>
          <w:tcPr>
            <w:tcW w:type="dxa" w:w="1440"/>
            <w:shd w:fill="FAFAFA" w:val="clear"/>
          </w:tcPr>
          <w:p>
            <w:r>
              <w:rPr>
                <w:sz w:val="17"/>
              </w:rPr>
              <w:t>2,376</w:t>
            </w:r>
          </w:p>
        </w:tc>
        <w:tc>
          <w:tcPr>
            <w:tcW w:type="dxa" w:w="1440"/>
            <w:shd w:fill="FAFAFA" w:val="clear"/>
          </w:tcPr>
          <w:p>
            <w:r>
              <w:rPr>
                <w:b/>
                <w:sz w:val="17"/>
              </w:rPr>
              <w:t>2,798</w:t>
            </w:r>
          </w:p>
        </w:tc>
        <w:tc>
          <w:tcPr>
            <w:tcW w:type="dxa" w:w="1440"/>
            <w:shd w:fill="FAFAFA" w:val="clear"/>
          </w:tcPr>
          <w:p>
            <w:r>
              <w:rPr>
                <w:sz w:val="17"/>
              </w:rPr>
              <w:t>3,219</w:t>
            </w:r>
          </w:p>
        </w:tc>
        <w:tc>
          <w:tcPr>
            <w:tcW w:type="dxa" w:w="1440"/>
            <w:shd w:fill="FAFAFA" w:val="clear"/>
          </w:tcPr>
          <w:p>
            <w:r>
              <w:rPr>
                <w:b/>
                <w:color w:val="C00000"/>
                <w:sz w:val="17"/>
              </w:rPr>
              <w:t>-0.3%</w:t>
            </w:r>
          </w:p>
        </w:tc>
      </w:tr>
      <w:tr>
        <w:tc>
          <w:tcPr>
            <w:tcW w:type="dxa" w:w="1440"/>
            <w:shd w:fill="FAFAFA" w:val="clear"/>
          </w:tcPr>
          <w:p>
            <w:r>
              <w:rPr>
                <w:sz w:val="17"/>
              </w:rPr>
              <w:t>J+9  ⭐</w:t>
            </w:r>
          </w:p>
        </w:tc>
        <w:tc>
          <w:tcPr>
            <w:tcW w:type="dxa" w:w="1440"/>
            <w:shd w:fill="FAFAFA" w:val="clear"/>
          </w:tcPr>
          <w:p>
            <w:r>
              <w:rPr>
                <w:sz w:val="17"/>
              </w:rPr>
              <w:t>2026-08-20</w:t>
            </w:r>
          </w:p>
        </w:tc>
        <w:tc>
          <w:tcPr>
            <w:tcW w:type="dxa" w:w="1440"/>
            <w:shd w:fill="FAFAFA" w:val="clear"/>
          </w:tcPr>
          <w:p>
            <w:r>
              <w:rPr>
                <w:sz w:val="17"/>
              </w:rPr>
              <w:t>2,348</w:t>
            </w:r>
          </w:p>
        </w:tc>
        <w:tc>
          <w:tcPr>
            <w:tcW w:type="dxa" w:w="1440"/>
            <w:shd w:fill="FAFAFA" w:val="clear"/>
          </w:tcPr>
          <w:p>
            <w:r>
              <w:rPr>
                <w:b/>
                <w:sz w:val="17"/>
              </w:rPr>
              <w:t>2,794</w:t>
            </w:r>
          </w:p>
        </w:tc>
        <w:tc>
          <w:tcPr>
            <w:tcW w:type="dxa" w:w="1440"/>
            <w:shd w:fill="FAFAFA" w:val="clear"/>
          </w:tcPr>
          <w:p>
            <w:r>
              <w:rPr>
                <w:sz w:val="17"/>
              </w:rPr>
              <w:t>3,240</w:t>
            </w:r>
          </w:p>
        </w:tc>
        <w:tc>
          <w:tcPr>
            <w:tcW w:type="dxa" w:w="1440"/>
            <w:shd w:fill="FAFAFA" w:val="clear"/>
          </w:tcPr>
          <w:p>
            <w:r>
              <w:rPr>
                <w:b/>
                <w:color w:val="C00000"/>
                <w:sz w:val="17"/>
              </w:rPr>
              <w:t>-0.4%</w:t>
            </w:r>
          </w:p>
        </w:tc>
      </w:tr>
      <w:tr>
        <w:tc>
          <w:tcPr>
            <w:tcW w:type="dxa" w:w="1440"/>
            <w:shd w:fill="FAFAFA" w:val="clear"/>
          </w:tcPr>
          <w:p>
            <w:r>
              <w:rPr>
                <w:sz w:val="17"/>
              </w:rPr>
              <w:t>J+10  ⭐</w:t>
            </w:r>
          </w:p>
        </w:tc>
        <w:tc>
          <w:tcPr>
            <w:tcW w:type="dxa" w:w="1440"/>
            <w:shd w:fill="FAFAFA" w:val="clear"/>
          </w:tcPr>
          <w:p>
            <w:r>
              <w:rPr>
                <w:sz w:val="17"/>
              </w:rPr>
              <w:t>2026-08-21</w:t>
            </w:r>
          </w:p>
        </w:tc>
        <w:tc>
          <w:tcPr>
            <w:tcW w:type="dxa" w:w="1440"/>
            <w:shd w:fill="FAFAFA" w:val="clear"/>
          </w:tcPr>
          <w:p>
            <w:r>
              <w:rPr>
                <w:sz w:val="17"/>
              </w:rPr>
              <w:t>2,321</w:t>
            </w:r>
          </w:p>
        </w:tc>
        <w:tc>
          <w:tcPr>
            <w:tcW w:type="dxa" w:w="1440"/>
            <w:shd w:fill="FAFAFA" w:val="clear"/>
          </w:tcPr>
          <w:p>
            <w:r>
              <w:rPr>
                <w:b/>
                <w:sz w:val="17"/>
              </w:rPr>
              <w:t>2,790</w:t>
            </w:r>
          </w:p>
        </w:tc>
        <w:tc>
          <w:tcPr>
            <w:tcW w:type="dxa" w:w="1440"/>
            <w:shd w:fill="FAFAFA" w:val="clear"/>
          </w:tcPr>
          <w:p>
            <w:r>
              <w:rPr>
                <w:sz w:val="17"/>
              </w:rPr>
              <w:t>3,260</w:t>
            </w:r>
          </w:p>
        </w:tc>
        <w:tc>
          <w:tcPr>
            <w:tcW w:type="dxa" w:w="1440"/>
            <w:shd w:fill="FAFAFA" w:val="clear"/>
          </w:tcPr>
          <w:p>
            <w:r>
              <w:rPr>
                <w:b/>
                <w:color w:val="C00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**Date de l'analyse : 07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TTLC s'établit à 176,61 milliards FCFA, ce qui en fait l'une des valeurs les plus significatives de la cote, reflétant la position dominante de la filiale ivoirienne de TotalEnergies dans la distribution de produits pétroliers. Avec un BPA de 144 FCFA, le titre se négocie à un PER de 19,4x, nettement supérieur à la moyenne historique de la BRVM (8-12x), indiquant que les investisseurs acceptent de payer une prime substantielle pour la qualité perçue de l'actif et sa régularité. Le P/B de 4,88x confirme cette valorisation exigeante, le marché capitalisant fortement la marque et le réseau de distribution au-delà de la valeur comptable des actifs. Enfin, l'EV/EBITDA de 10,3x, bien que dans la fourchette haute, reste cohérent avec les standards des grandes capitalisations de la zone UEMOA, justifiant une prime de qualité pour ce leader de marché.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le cours de TTLC a enregistré une variation totale de -1,58%, avec une chute marquée de -5,87% lors de la dernière séance, signalant une pression vendeuse récente. Le titre a évolué dans un range de 2 650 à 3 060 FCFA, avec un cours actuel de 2 805 FCFA, proche du plus bas de la période, ce qui suggère une tendance baissière à court terme. Les statistiques descriptives révèlent une distribution relativement symétrique (skewness de -0,151) et mésokurtique (kurtosis de -0,651), indiquant l'absence de mouvements extrêmes ou de pics de volatilité inhabituels. La moyenne (2 848 FCFA) et la médiane (2 855 FCFA) sont très proches, confirmant une distribution normale des prix, avec un écart-type de 93 FCFA (CV de 3,3%) témoignant d'une dispersion modérée. La volatilité annualisée de 40% classe le titre dans la catégorie des valeurs à forte volatilité (&gt;30%), ce qui implique un risque de marché élevé mais aussi un potentiel de rendement accru pour les investisseurs aguerris.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(2 805 FCFA) se situe sous la MM20 (2 922 FCFA) et la MM50 (2 893 FCFA), indiquant une faiblesse relative à court et moyen terme. Cependant, la décision globale est "Achat", car la configuration des moyennes mobiles suggère que le titre pourrait rebondir vers ses moyennes, offrant un potentiel de rattrapage technique. La MM20 étant inférieure à la MM50, une croix de la mort pourrait se former si la tendance baissière se poursuit, mais pour l'instant, le signal reste positif.</w:t>
      </w:r>
    </w:p>
    <w:p>
      <w:pPr>
        <w:spacing w:after="120" w:line="276" w:lineRule="auto"/>
      </w:pPr>
      <w:r>
        <w:t>**Bandes de Bollinger :** Le prix (2 805 FCFA) se positionne près de la borne inférieure (2 766,74 FCFA), indiquant que le titre est dans la zone basse de son canal de volatilité. La décision "Neutre" reflète l'absence de cassure décisive, mais la proximité de la borne inférieure suggère un potentiel de rebond technique si le support tient. La largeur des bandes indique une volatilité modérée, cohérente avec l'écart-type observé sur 100 jours.</w:t>
      </w:r>
    </w:p>
    <w:p>
      <w:pPr>
        <w:spacing w:after="120" w:line="276" w:lineRule="auto"/>
      </w:pPr>
      <w:r>
        <w:t>**MACD :** Le MACD (5,802) est inférieur à son signal (15,956), confirmant une dynamique baissière à court terme. La décision "Vente" est justifiée par cette divergence négative, qui indique un affaiblissement du momentum haussier. Cependant, la valeur positive du MACD suggère que la tendance de fond reste légèrement positive, et un croisement haussier pourrait se produire si le signal se rapproche.</w:t>
      </w:r>
    </w:p>
    <w:p>
      <w:pPr>
        <w:spacing w:after="120" w:line="276" w:lineRule="auto"/>
      </w:pPr>
      <w:r>
        <w:t>**RSI :** Le RSI à 45,026 est en zone neutre (30-70), indiquant l'absence de conditions de surachat ou de survente. La décision "Neutre" est cohérente avec cette lecture, le marché n'étant ni survendu ni suracheté. Cette valeur suggère que le titre a encore de la marge avant d'atteindre des niveaux extrêmes, offrant une flexibilité pour les investisseurs.</w:t>
      </w:r>
    </w:p>
    <w:p>
      <w:pPr>
        <w:spacing w:after="120" w:line="276" w:lineRule="auto"/>
      </w:pPr>
      <w:r>
        <w:t>**Stochastique :** Le %K (15,217) est nettement inférieur au %D (55,072), indiquant une condition de survente technique. La décision "Achat" est justifiée par ce croisement baissier extrême, qui précède souvent un rebond technique. Cette configuration suggère que le titre est proche d'un point de retournement haussier à court terme.</w:t>
      </w:r>
    </w:p>
    <w:p>
      <w:pPr>
        <w:spacing w:after="120" w:line="276" w:lineRule="auto"/>
      </w:pPr>
      <w:r>
        <w:t>**Conclusion technique :** Les indicateurs sont mitigés, avec un MACD vendeur et un RSI neutre, mais des moyennes mobiles et un stochastique acheteurs. La convergence des signaux suggère un potentiel de rebond technique à court terme, mais la tendance de fond reste incertaine. Les investisseurs devraient surveiller la zone des 2 766 FCFA (borne inférieure de Bollinger) comme support clé, et une cassure sous ce niveau signalerait une poursuite de la baisse.</w:t>
      </w:r>
    </w:p>
    <w:p>
      <w:pPr>
        <w:spacing w:after="120" w:line="276" w:lineRule="auto"/>
      </w:pPr>
      <w:r>
        <w:t>---</w:t>
      </w:r>
    </w:p>
    <w:p>
      <w:pPr>
        <w:spacing w:after="120" w:line="276" w:lineRule="auto"/>
      </w:pPr>
      <w:r>
        <w:t>### PARTIE 3 : ANALYSE FONDAMENTALE (SECTION CRITIQUE)</w:t>
      </w:r>
    </w:p>
    <w:p>
      <w:pPr>
        <w:spacing w:after="120" w:line="276" w:lineRule="auto"/>
      </w:pPr>
      <w:r>
        <w:t>En 2025, TotalEnergies Marketing Côte d'Ivoire a réalisé un chiffre d'affaires de 588,709 milliards FCFA, en repli de 5,2% par rapport à 2024 (621,042 milliards), mais avec une amélioration notable de la rentabilité opérationnelle : l'EBE a progressé de 12% à 22,347 milliards et le résultat d'exploitation de 18% à 12,329 milliards. Le résultat net s'établit à 9,087 milliards FCFA (-3%), avec un ROE exceptionnel de 25,1% et un ROA de 4,8%, démontrant une excellente utilisation des capitaux propres. Le BFR négatif de -9,662 milliards FCFA est un signe favorable, indiquant que la société finance son exploitation grâce aux délais fournisseurs (49,72 jours) et une rotation rapide des stocks (13,80 jours). Cependant, la trésorerie nette est fortement négative (-21,926 milliards), avec un ratio d'endettement de 90,2%, reflétant une dépendance aux crédits bancaires à court terme. Les rapports trimestriels 2025 (S1 et T3) confirment la tendance baissière du CA (-7,1% au S1, -5,7% au cumul T3), mais le rapport T1 2026 montre une reprise avec un CA de 154,392 milliards (+4,3%) et un résultat net de 2,329 milliards (+5,5%). Sur la base de ces données, on estime que l'exercice 2026 pourrait voir une stabilisation du CA autour de 600 milliards et une amélioration progressive de la rentabilité nette, soutenue par l'expansion du réseau (182 stations) et la diversification vers le GPL et les lubrifiants. La politique de dividende reste généreuse (10 milliards FCFA proposés pour 2025, soit un payout de 110%), mais elle pèse sur la trésorerie et pourrait nécessiter un ajustement si la pression financière persiste.</w:t>
      </w:r>
    </w:p>
    <w:p>
      <w:pPr>
        <w:spacing w:after="120" w:line="276" w:lineRule="auto"/>
      </w:pPr>
      <w:r>
        <w:t>---</w:t>
      </w:r>
    </w:p>
    <w:p>
      <w:pPr>
        <w:spacing w:after="120" w:line="276" w:lineRule="auto"/>
      </w:pPr>
      <w:r>
        <w:t>### PARTIE 4 : CONCLUSION D'INVESTISSEMENT</w:t>
      </w:r>
    </w:p>
    <w:p>
      <w:pPr>
        <w:spacing w:after="120" w:line="276" w:lineRule="auto"/>
      </w:pPr>
      <w:r>
        <w:t>La valorisation actuelle de TTLC (PER 19,4x, P/B 4,88x) est exigeante et reflète une prime de qualité qui limite le potentiel de hausse à court terme, mais qui est justifiée par un ROE de 25,1% et une position de leader. Le comportement du cours sur 100 jours montre une légère baisse (-1,58%) avec une volatilité élevée (40%), mais des statistiques stables (distribution symétrique, absence de pics extrêmes), indiquant un titre qui consolide sans panique. Les signaux techniques sont mitigés, avec un potentiel de rebond à court terme (stochastique survendu, support sur les bandes de Bollinger) mais une dynamique baissière confirmée par le MACD. Les fondamentaux restent solides, avec une amélioration opérationnelle en 2025 et une reprise confirmée au T1 2026, mais la trésorerie négative et le payout supérieur à 100% constituent des risques à surveiller. Les prédictions IA (2 820 à 2 808 FCFA sur J+1 à J+10) suggèrent une stabilisation proche du cours actuel, confirmant l'absence de catalyseur majeur à très court terme. En synthèse, nous recommandons **CONSERVER** le titre, avec un niveau de confiance **Moyen** et un risque global **Élevé** (volatilité, endettement). L'horizon d'investissement optimal est le **moyen terme (3-12 mois)**, en attendant une amélioration de la trésorerie et une confirmation de la reprise des volumes.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114.02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2,839 titres</w:t>
            </w:r>
          </w:p>
        </w:tc>
        <w:tc>
          <w:tcPr>
            <w:tcW w:type="dxa" w:w="2268"/>
            <w:shd w:fill="FFF2CC" w:val="clear"/>
          </w:tcPr>
          <w:p>
            <w:r>
              <w:rPr>
                <w:b/>
                <w:color w:val="503200"/>
                <w:sz w:val="16"/>
              </w:rPr>
              <w:t xml:space="preserve">Cours actuel : </w:t>
            </w:r>
            <w:r>
              <w:rPr>
                <w:color w:val="000000"/>
                <w:sz w:val="17"/>
              </w:rPr>
              <w:t>3,500 FCFA</w:t>
            </w:r>
          </w:p>
          <w:p>
            <w:r>
              <w:rPr>
                <w:b/>
                <w:color w:val="503200"/>
                <w:sz w:val="16"/>
              </w:rPr>
              <w:t xml:space="preserve">Var. 100 jours : </w:t>
            </w:r>
            <w:r>
              <w:rPr>
                <w:b/>
                <w:color w:val="007800"/>
                <w:sz w:val="17"/>
              </w:rPr>
              <w:t>+8.36%</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50.5%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23.8/100 → Moyen</w:t>
      </w:r>
    </w:p>
    <w:p>
      <w:pPr>
        <w:spacing w:before="40" w:after="80"/>
      </w:pPr>
      <w:r>
        <w:rPr>
          <w:rFonts w:ascii="Courier New" w:hAnsi="Courier New"/>
          <w:color w:val="825A00"/>
          <w:sz w:val="18"/>
        </w:rPr>
        <w:t>████░░░░░░░░░░░░░░░░  23.8/100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10.77% (Moyenne) — μ=3,432 FCFA, σ=370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β=1.3664 (Agressif) — Cov=0.000049, Var(idx)=0.000036, ρ=0.258,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2,839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σ_j=3.18%/j (Modérée) — Vol. annualisée≈50.5%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77/100  (Excellent)</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3,240</w:t>
            </w:r>
          </w:p>
        </w:tc>
        <w:tc>
          <w:tcPr>
            <w:tcW w:type="dxa" w:w="1440"/>
            <w:shd w:fill="FAFAFA" w:val="clear"/>
          </w:tcPr>
          <w:p>
            <w:r>
              <w:rPr>
                <w:b/>
                <w:sz w:val="17"/>
              </w:rPr>
              <w:t>3,450</w:t>
            </w:r>
          </w:p>
        </w:tc>
        <w:tc>
          <w:tcPr>
            <w:tcW w:type="dxa" w:w="1440"/>
            <w:shd w:fill="FAFAFA" w:val="clear"/>
          </w:tcPr>
          <w:p>
            <w:r>
              <w:rPr>
                <w:sz w:val="17"/>
              </w:rPr>
              <w:t>3,660</w:t>
            </w:r>
          </w:p>
        </w:tc>
        <w:tc>
          <w:tcPr>
            <w:tcW w:type="dxa" w:w="1440"/>
            <w:shd w:fill="FAFAFA" w:val="clear"/>
          </w:tcPr>
          <w:p>
            <w:r>
              <w:rPr>
                <w:b/>
                <w:color w:val="C00000"/>
                <w:sz w:val="17"/>
              </w:rPr>
              <w:t>-1.4%</w:t>
            </w:r>
          </w:p>
        </w:tc>
      </w:tr>
      <w:tr>
        <w:tc>
          <w:tcPr>
            <w:tcW w:type="dxa" w:w="1440"/>
            <w:shd w:fill="FFDCE0" w:val="clear"/>
          </w:tcPr>
          <w:p>
            <w:r>
              <w:rPr>
                <w:sz w:val="17"/>
              </w:rPr>
              <w:t>J+2  ⭐</w:t>
            </w:r>
          </w:p>
        </w:tc>
        <w:tc>
          <w:tcPr>
            <w:tcW w:type="dxa" w:w="1440"/>
            <w:shd w:fill="FFDCE0" w:val="clear"/>
          </w:tcPr>
          <w:p>
            <w:r>
              <w:rPr>
                <w:sz w:val="17"/>
              </w:rPr>
              <w:t>2026-08-11</w:t>
            </w:r>
          </w:p>
        </w:tc>
        <w:tc>
          <w:tcPr>
            <w:tcW w:type="dxa" w:w="1440"/>
            <w:shd w:fill="FFDCE0" w:val="clear"/>
          </w:tcPr>
          <w:p>
            <w:r>
              <w:rPr>
                <w:sz w:val="17"/>
              </w:rPr>
              <w:t>3,111</w:t>
            </w:r>
          </w:p>
        </w:tc>
        <w:tc>
          <w:tcPr>
            <w:tcW w:type="dxa" w:w="1440"/>
            <w:shd w:fill="FFDCE0" w:val="clear"/>
          </w:tcPr>
          <w:p>
            <w:r>
              <w:rPr>
                <w:b/>
                <w:sz w:val="17"/>
              </w:rPr>
              <w:t>3,405</w:t>
            </w:r>
          </w:p>
        </w:tc>
        <w:tc>
          <w:tcPr>
            <w:tcW w:type="dxa" w:w="1440"/>
            <w:shd w:fill="FFDCE0" w:val="clear"/>
          </w:tcPr>
          <w:p>
            <w:r>
              <w:rPr>
                <w:sz w:val="17"/>
              </w:rPr>
              <w:t>3,698</w:t>
            </w:r>
          </w:p>
        </w:tc>
        <w:tc>
          <w:tcPr>
            <w:tcW w:type="dxa" w:w="1440"/>
            <w:shd w:fill="FFDCE0" w:val="clear"/>
          </w:tcPr>
          <w:p>
            <w:r>
              <w:rPr>
                <w:b/>
                <w:color w:val="C00000"/>
                <w:sz w:val="17"/>
              </w:rPr>
              <w:t>-2.7%</w:t>
            </w:r>
          </w:p>
        </w:tc>
      </w:tr>
      <w:tr>
        <w:tc>
          <w:tcPr>
            <w:tcW w:type="dxa" w:w="1440"/>
            <w:shd w:fill="FFDCE0" w:val="clear"/>
          </w:tcPr>
          <w:p>
            <w:r>
              <w:rPr>
                <w:sz w:val="17"/>
              </w:rPr>
              <w:t>J+3  ⭐</w:t>
            </w:r>
          </w:p>
        </w:tc>
        <w:tc>
          <w:tcPr>
            <w:tcW w:type="dxa" w:w="1440"/>
            <w:shd w:fill="FFDCE0" w:val="clear"/>
          </w:tcPr>
          <w:p>
            <w:r>
              <w:rPr>
                <w:sz w:val="17"/>
              </w:rPr>
              <w:t>2026-08-12</w:t>
            </w:r>
          </w:p>
        </w:tc>
        <w:tc>
          <w:tcPr>
            <w:tcW w:type="dxa" w:w="1440"/>
            <w:shd w:fill="FFDCE0" w:val="clear"/>
          </w:tcPr>
          <w:p>
            <w:r>
              <w:rPr>
                <w:sz w:val="17"/>
              </w:rPr>
              <w:t>3,010</w:t>
            </w:r>
          </w:p>
        </w:tc>
        <w:tc>
          <w:tcPr>
            <w:tcW w:type="dxa" w:w="1440"/>
            <w:shd w:fill="FFDCE0" w:val="clear"/>
          </w:tcPr>
          <w:p>
            <w:r>
              <w:rPr>
                <w:b/>
                <w:sz w:val="17"/>
              </w:rPr>
              <w:t>3,365</w:t>
            </w:r>
          </w:p>
        </w:tc>
        <w:tc>
          <w:tcPr>
            <w:tcW w:type="dxa" w:w="1440"/>
            <w:shd w:fill="FFDCE0" w:val="clear"/>
          </w:tcPr>
          <w:p>
            <w:r>
              <w:rPr>
                <w:sz w:val="17"/>
              </w:rPr>
              <w:t>3,720</w:t>
            </w:r>
          </w:p>
        </w:tc>
        <w:tc>
          <w:tcPr>
            <w:tcW w:type="dxa" w:w="1440"/>
            <w:shd w:fill="FFDCE0" w:val="clear"/>
          </w:tcPr>
          <w:p>
            <w:r>
              <w:rPr>
                <w:b/>
                <w:color w:val="C00000"/>
                <w:sz w:val="17"/>
              </w:rPr>
              <w:t>-3.9%</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2,924</w:t>
            </w:r>
          </w:p>
        </w:tc>
        <w:tc>
          <w:tcPr>
            <w:tcW w:type="dxa" w:w="1440"/>
            <w:shd w:fill="FFDCE0" w:val="clear"/>
          </w:tcPr>
          <w:p>
            <w:r>
              <w:rPr>
                <w:b/>
                <w:sz w:val="17"/>
              </w:rPr>
              <w:t>3,329</w:t>
            </w:r>
          </w:p>
        </w:tc>
        <w:tc>
          <w:tcPr>
            <w:tcW w:type="dxa" w:w="1440"/>
            <w:shd w:fill="FFDCE0" w:val="clear"/>
          </w:tcPr>
          <w:p>
            <w:r>
              <w:rPr>
                <w:sz w:val="17"/>
              </w:rPr>
              <w:t>3,735</w:t>
            </w:r>
          </w:p>
        </w:tc>
        <w:tc>
          <w:tcPr>
            <w:tcW w:type="dxa" w:w="1440"/>
            <w:shd w:fill="FFDCE0" w:val="clear"/>
          </w:tcPr>
          <w:p>
            <w:r>
              <w:rPr>
                <w:b/>
                <w:color w:val="C00000"/>
                <w:sz w:val="17"/>
              </w:rPr>
              <w:t>-4.9%</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2,847</w:t>
            </w:r>
          </w:p>
        </w:tc>
        <w:tc>
          <w:tcPr>
            <w:tcW w:type="dxa" w:w="1440"/>
            <w:shd w:fill="FFDCE0" w:val="clear"/>
          </w:tcPr>
          <w:p>
            <w:r>
              <w:rPr>
                <w:b/>
                <w:sz w:val="17"/>
              </w:rPr>
              <w:t>3,296</w:t>
            </w:r>
          </w:p>
        </w:tc>
        <w:tc>
          <w:tcPr>
            <w:tcW w:type="dxa" w:w="1440"/>
            <w:shd w:fill="FFDCE0" w:val="clear"/>
          </w:tcPr>
          <w:p>
            <w:r>
              <w:rPr>
                <w:sz w:val="17"/>
              </w:rPr>
              <w:t>3,745</w:t>
            </w:r>
          </w:p>
        </w:tc>
        <w:tc>
          <w:tcPr>
            <w:tcW w:type="dxa" w:w="1440"/>
            <w:shd w:fill="FFDCE0" w:val="clear"/>
          </w:tcPr>
          <w:p>
            <w:r>
              <w:rPr>
                <w:b/>
                <w:color w:val="C00000"/>
                <w:sz w:val="17"/>
              </w:rPr>
              <w:t>-5.8%</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2,778</w:t>
            </w:r>
          </w:p>
        </w:tc>
        <w:tc>
          <w:tcPr>
            <w:tcW w:type="dxa" w:w="1440"/>
            <w:shd w:fill="FFDCE0" w:val="clear"/>
          </w:tcPr>
          <w:p>
            <w:r>
              <w:rPr>
                <w:b/>
                <w:sz w:val="17"/>
              </w:rPr>
              <w:t>3,265</w:t>
            </w:r>
          </w:p>
        </w:tc>
        <w:tc>
          <w:tcPr>
            <w:tcW w:type="dxa" w:w="1440"/>
            <w:shd w:fill="FFDCE0" w:val="clear"/>
          </w:tcPr>
          <w:p>
            <w:r>
              <w:rPr>
                <w:sz w:val="17"/>
              </w:rPr>
              <w:t>3,753</w:t>
            </w:r>
          </w:p>
        </w:tc>
        <w:tc>
          <w:tcPr>
            <w:tcW w:type="dxa" w:w="1440"/>
            <w:shd w:fill="FFDCE0" w:val="clear"/>
          </w:tcPr>
          <w:p>
            <w:r>
              <w:rPr>
                <w:b/>
                <w:color w:val="C00000"/>
                <w:sz w:val="17"/>
              </w:rPr>
              <w:t>-6.7%</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2,714</w:t>
            </w:r>
          </w:p>
        </w:tc>
        <w:tc>
          <w:tcPr>
            <w:tcW w:type="dxa" w:w="1440"/>
            <w:shd w:fill="FFDCE0" w:val="clear"/>
          </w:tcPr>
          <w:p>
            <w:r>
              <w:rPr>
                <w:b/>
                <w:sz w:val="17"/>
              </w:rPr>
              <w:t>3,236</w:t>
            </w:r>
          </w:p>
        </w:tc>
        <w:tc>
          <w:tcPr>
            <w:tcW w:type="dxa" w:w="1440"/>
            <w:shd w:fill="FFDCE0" w:val="clear"/>
          </w:tcPr>
          <w:p>
            <w:r>
              <w:rPr>
                <w:sz w:val="17"/>
              </w:rPr>
              <w:t>3,758</w:t>
            </w:r>
          </w:p>
        </w:tc>
        <w:tc>
          <w:tcPr>
            <w:tcW w:type="dxa" w:w="1440"/>
            <w:shd w:fill="FFDCE0" w:val="clear"/>
          </w:tcPr>
          <w:p>
            <w:r>
              <w:rPr>
                <w:b/>
                <w:color w:val="C00000"/>
                <w:sz w:val="17"/>
              </w:rPr>
              <w:t>-7.6%</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2,655</w:t>
            </w:r>
          </w:p>
        </w:tc>
        <w:tc>
          <w:tcPr>
            <w:tcW w:type="dxa" w:w="1440"/>
            <w:shd w:fill="FFDCE0" w:val="clear"/>
          </w:tcPr>
          <w:p>
            <w:r>
              <w:rPr>
                <w:b/>
                <w:sz w:val="17"/>
              </w:rPr>
              <w:t>3,208</w:t>
            </w:r>
          </w:p>
        </w:tc>
        <w:tc>
          <w:tcPr>
            <w:tcW w:type="dxa" w:w="1440"/>
            <w:shd w:fill="FFDCE0" w:val="clear"/>
          </w:tcPr>
          <w:p>
            <w:r>
              <w:rPr>
                <w:sz w:val="17"/>
              </w:rPr>
              <w:t>3,761</w:t>
            </w:r>
          </w:p>
        </w:tc>
        <w:tc>
          <w:tcPr>
            <w:tcW w:type="dxa" w:w="1440"/>
            <w:shd w:fill="FFDCE0" w:val="clear"/>
          </w:tcPr>
          <w:p>
            <w:r>
              <w:rPr>
                <w:b/>
                <w:color w:val="C00000"/>
                <w:sz w:val="17"/>
              </w:rPr>
              <w:t>-8.3%</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2,600</w:t>
            </w:r>
          </w:p>
        </w:tc>
        <w:tc>
          <w:tcPr>
            <w:tcW w:type="dxa" w:w="1440"/>
            <w:shd w:fill="FFDCE0" w:val="clear"/>
          </w:tcPr>
          <w:p>
            <w:r>
              <w:rPr>
                <w:b/>
                <w:sz w:val="17"/>
              </w:rPr>
              <w:t>3,182</w:t>
            </w:r>
          </w:p>
        </w:tc>
        <w:tc>
          <w:tcPr>
            <w:tcW w:type="dxa" w:w="1440"/>
            <w:shd w:fill="FFDCE0" w:val="clear"/>
          </w:tcPr>
          <w:p>
            <w:r>
              <w:rPr>
                <w:sz w:val="17"/>
              </w:rPr>
              <w:t>3,764</w:t>
            </w:r>
          </w:p>
        </w:tc>
        <w:tc>
          <w:tcPr>
            <w:tcW w:type="dxa" w:w="1440"/>
            <w:shd w:fill="FFDCE0" w:val="clear"/>
          </w:tcPr>
          <w:p>
            <w:r>
              <w:rPr>
                <w:b/>
                <w:color w:val="C00000"/>
                <w:sz w:val="17"/>
              </w:rPr>
              <w:t>-9.1%</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2,548</w:t>
            </w:r>
          </w:p>
        </w:tc>
        <w:tc>
          <w:tcPr>
            <w:tcW w:type="dxa" w:w="1440"/>
            <w:shd w:fill="FFDCE0" w:val="clear"/>
          </w:tcPr>
          <w:p>
            <w:r>
              <w:rPr>
                <w:b/>
                <w:sz w:val="17"/>
              </w:rPr>
              <w:t>3,157</w:t>
            </w:r>
          </w:p>
        </w:tc>
        <w:tc>
          <w:tcPr>
            <w:tcW w:type="dxa" w:w="1440"/>
            <w:shd w:fill="FFDCE0" w:val="clear"/>
          </w:tcPr>
          <w:p>
            <w:r>
              <w:rPr>
                <w:sz w:val="17"/>
              </w:rPr>
              <w:t>3,765</w:t>
            </w:r>
          </w:p>
        </w:tc>
        <w:tc>
          <w:tcPr>
            <w:tcW w:type="dxa" w:w="1440"/>
            <w:shd w:fill="FFDCE0" w:val="clear"/>
          </w:tcPr>
          <w:p>
            <w:r>
              <w:rPr>
                <w:b/>
                <w:color w:val="C00000"/>
                <w:sz w:val="17"/>
              </w:rPr>
              <w:t>-9.8%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TTLS s'établit à 114,02 milliards FCFA, ce qui en fait une valeur de taille moyenne sur la BRVM, reflétant la position dominante de l'entreprise sur le marché sénégalais des produits pétroliers. Avec un BPA de 208 FCFA, le PER de 16,8x se situe nettement au-dessus de la moyenne historique de la BRVM (8-12x), indiquant que les investisseurs acceptent de payer une prime pour la qualité perçue du titre et sa stabilité actionnariale. Le P/B de 4,04x confirme cette prime, le marché valorisant fortement les actifs de l'entreprise par rapport à leur valeur comptable, ce qui traduit des attentes de croissance ou de rendement élevées. Enfin, l'EV/EBITDA de 7,1x, dans la fourchette raisonnable de 5-10x, tempère cette lecture en montrant que la valeur totale de l'entreprise (dette incluse) reste cohérente avec sa capacité opérationnelle à générer des bénéfices.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TTLS affiche une progression de +8,36%, mais la dernière séance enregistre un recul marqué de -3,58%, signalant une possible fin de dynamique haussière. Le cours a évolué dans une fourchette large de 2 845 à 4 500 FCFA, démontrant une forte amplitude de trading. La moyenne (3 432 FCFA) est supérieure à la médiane (3 358 FCFA), et le skewness positif de 0,965 indique une distribution asymétrique avec plus de journées sous la moyenne, mais des pics occasionnels à la hausse. L'écart-type de 372 FCFA (CV=10,8%) révèle une dispersion modérée autour de la moyenne, tandis que le kurtosis de 0,405 (mésokurtique) suggère une distribution proche de la normale, sans risque de pics extrêmes. La volatilité annualisée de 50,5% classe le titre comme très volatil, un niveau élevé qui implique des fluctuations importantes et un risque accru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 Les MM20 (3 818,5 FCFA) et MM50 (3 710,6 FCFA) sont toutes deux nettement supérieures au cours actuel de 3 500 FCFA, indiquant une tendance baissière à court et moyen terme. Le croisement des prix sous ces moyennes mobiles génère un signal de vente, mais la décision globale est "Achat", ce qui suggère que le croisement récent pourrait être temporaire ou que d'autres facteurs techniques compensent cette faiblesse.</w:t>
      </w:r>
    </w:p>
    <w:p>
      <w:pPr>
        <w:spacing w:after="120" w:line="276" w:lineRule="auto"/>
      </w:pPr>
      <w:r>
        <w:t>**Bandes de Bollinger** : Le prix actuel de 3 500 FCFA se situe près de la borne inférieure (3 285,6 FCFA), indiquant que le titre est proche de conditions de survente. La largeur des bandes reflète la forte volatilité du titre. La décision "Neutre" suggère que le marché attend un catalyseur pour déterminer la direction, le prix n'ayant pas encore atteint des extrêmes suffisants pour déclencher un signal fort.</w:t>
      </w:r>
    </w:p>
    <w:p>
      <w:pPr>
        <w:spacing w:after="120" w:line="276" w:lineRule="auto"/>
      </w:pPr>
      <w:r>
        <w:t>**MACD** : La valeur négative du MACD (-67,673) par rapport au signal (-19,779) confirme une dynamique baissière, avec un momentum négatif qui s'accentue. La décision "Vente" est cohérente avec cette configuration, indiquant que la pression vendeuse domine actuellement malgré la tendance haussière de long terme.</w:t>
      </w:r>
    </w:p>
    <w:p>
      <w:pPr>
        <w:spacing w:after="120" w:line="276" w:lineRule="auto"/>
      </w:pPr>
      <w:r>
        <w:t>**RSI** : À 25,616, le RSI est en zone de survente (sous 30), signalant que le titre est potentiellement sous-évalué à court terme. Historiquement, de tels niveaux précèdent souvent un rebond technique. La décision "Achat" reflète cette opportunité de retournement, bien que le momentum baissier puisse persister avant un éventuel rebond.</w:t>
      </w:r>
    </w:p>
    <w:p>
      <w:pPr>
        <w:spacing w:after="120" w:line="276" w:lineRule="auto"/>
      </w:pPr>
      <w:r>
        <w:t>**Stochastique** : Le %K à 0,0 et le %D à 8,754 confirment une situation de survente extrême, avec le %K sous le %D, indiquant une pression vendeuse persistante. La décision "Achat" suggère que le marché anticipe un potentiel retournement, mais la faiblesse extrême du %K indique que le titre pourrait encore baisser avant de se stabiliser.</w:t>
      </w:r>
    </w:p>
    <w:p>
      <w:pPr>
        <w:spacing w:after="120" w:line="276" w:lineRule="auto"/>
      </w:pPr>
      <w:r>
        <w:t>**Conclusion technique** : Les indicateurs sont mitigés, avec une majorité de signaux d'achat (MM, RSI, Stochastique) mais un signal de vente fort du MACD. Le cours sous les moyennes mobiles et proche de la borne inférieure de Bollinger suggère une pression vendeuse, mais les conditions de survente extrême pourraient déclencher un rebond technique à court terme. La prudence est de mise, car la tendance baissière à court terme contredit la tendance haussière de long terme.</w:t>
      </w:r>
    </w:p>
    <w:p>
      <w:pPr>
        <w:spacing w:after="120" w:line="276" w:lineRule="auto" w:before="240"/>
      </w:pPr>
      <w:r>
        <w:rPr>
          <w:b/>
          <w:color w:val="003366"/>
          <w:sz w:val="24"/>
        </w:rPr>
        <w:t>**PARTIE 3 : ANALYSE FONDAMENTALE (SECTION CRITIQUE)**</w:t>
      </w:r>
    </w:p>
    <w:p>
      <w:pPr>
        <w:spacing w:after="120" w:line="276" w:lineRule="auto"/>
      </w:pPr>
      <w:r>
        <w:t>En 2025, TTLS affiche un chiffre d'affaires de 455,209 milliards FCFA, en baisse de 6,1% par rapport à 2024 (484,945 milliards), principalement due à l'arrêt stratégique de la commercialisation du fuel lourd. Le résultat net s'établit à 6,779 milliards FCFA (contre 7,140 milliards en 2024), soit une marge nette de 1,49%, typique du secteur de distribution pétrolière. Le ROE est excellent à 24,01%, démontrant une forte rentabilité des capitaux propres (28,239 milliards FCFA), tandis que le ROA de 3,95% reflète une utilisation modérée des actifs (171,778 milliards FCFA). Le BFR négatif de -36,899 milliards FCFA est un signal très favorable, indiquant que l'entreprise finance son cycle d'exploitation par ses fournisseurs (délai fournisseurs de 97,76 jours contre 47,43 jours pour les clients). Les rapports trimestriels 2025 confirment cette tendance : le S1 2025 montre une amélioration de 22% du résultat d'exploitation, et le T3 2025 confirme la transformation structurelle. Le rapport T1 2026 (daté de mars 2026) révèle une résilience remarquable : malgré une baisse de 10% du CA (99,9 milliards FCFA) due à la révision des prix à la pompe par l'État, le résultat net progresse de 5% à 1,585 milliard FCFA, grâce à une amélioration de 28% du résultat d'exploitation portée par les lubrifiants. Sur la base de ces tendances, on estime que l'exercice 2026 pourrait maintenir un résultat net stable autour de 6,5-7 milliards FCFA, avec une amélioration continue de la rentabilité opérationnelle. La solidité financière est renforcée par une trésorerie nette positive de 13,941 milliards FCFA et une capacité de remboursement de 0,94 an.</w:t>
      </w:r>
    </w:p>
    <w:p>
      <w:pPr>
        <w:spacing w:after="120" w:line="276" w:lineRule="auto" w:before="240"/>
      </w:pPr>
      <w:r>
        <w:rPr>
          <w:b/>
          <w:color w:val="003366"/>
          <w:sz w:val="24"/>
        </w:rPr>
        <w:t>**PARTIE 4 : CONCLUSION D'INVESTISSEMENT**</w:t>
      </w:r>
    </w:p>
    <w:p>
      <w:pPr>
        <w:spacing w:after="120" w:line="276" w:lineRule="auto"/>
      </w:pPr>
      <w:r>
        <w:t>La valorisation de TTLS (PER 16,8x, P/B 4,04x) apparaît exigeante par rapport aux standards BRVM, mais l'EV/EBITDA de 7,1x et le ROE de 24% justifient partiellement cette prime. Le comportement du cours montre une tendance haussière sur 100 jours (+8,36%) mais avec une forte volatilité (50,5%) et une récente correction (-3,58% à J-1), les statistiques révélant une distribution asymétrique avec des pics occasionnels. Les signaux techniques sont mitigés : bien que le RSI et le Stochastique indiquent une survente (potentiel de rebond), le MACD reste vendeur et le cours sous les moyennes mobiles. Les fondamentaux sont solides avec une amélioration de la rentabilité opérationnelle malgré la baisse du CA, une trésorerie renforcée et un BFR négatif favorable. Les prédictions IA (3 450 à 3 296 FCFA sur 10 jours) confirment la tendance baissière à court terme, suggérant une poursuite de la correction. La convergence entre la faiblesse technique à court terme et les prédictions IA contraste avec la solidité fondamentale. **Recommandation : CONSERVER** avec un niveau de confiance Moyen, car la valeur est fondamentalement saine mais techniquement fragile à court terme. Le risque global est Moyen, et l'horizon d'investissement optimal est le moyen terme (3-12 mois), en attendant une stabilisation du cours et une clarification sur la politique de dividende.</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501.37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28 titres</w:t>
            </w:r>
          </w:p>
        </w:tc>
        <w:tc>
          <w:tcPr>
            <w:tcW w:type="dxa" w:w="2268"/>
            <w:shd w:fill="FFF2CC" w:val="clear"/>
          </w:tcPr>
          <w:p>
            <w:r>
              <w:rPr>
                <w:b/>
                <w:color w:val="503200"/>
                <w:sz w:val="16"/>
              </w:rPr>
              <w:t xml:space="preserve">Cours actuel : </w:t>
            </w:r>
            <w:r>
              <w:rPr>
                <w:color w:val="000000"/>
                <w:sz w:val="17"/>
              </w:rPr>
              <w:t>54,595 FCFA</w:t>
            </w:r>
          </w:p>
          <w:p>
            <w:r>
              <w:rPr>
                <w:b/>
                <w:color w:val="503200"/>
                <w:sz w:val="16"/>
              </w:rPr>
              <w:t xml:space="preserve">Var. 100 jours : </w:t>
            </w:r>
            <w:r>
              <w:rPr>
                <w:b/>
                <w:color w:val="B40000"/>
                <w:sz w:val="17"/>
              </w:rPr>
              <w:t>-19.71%</w:t>
            </w:r>
          </w:p>
          <w:p>
            <w:r>
              <w:rPr>
                <w:b/>
                <w:color w:val="503200"/>
                <w:sz w:val="16"/>
              </w:rPr>
              <w:t xml:space="preserve">Plus haut 100j : </w:t>
            </w:r>
            <w:r>
              <w:rPr>
                <w:color w:val="000000"/>
                <w:sz w:val="17"/>
              </w:rPr>
              <w:t>72,000 FCFA</w:t>
            </w:r>
          </w:p>
          <w:p>
            <w:r>
              <w:rPr>
                <w:b/>
                <w:color w:val="503200"/>
                <w:sz w:val="16"/>
              </w:rPr>
              <w:t xml:space="preserve">Plus bas 100j : </w:t>
            </w:r>
            <w:r>
              <w:rPr>
                <w:color w:val="000000"/>
                <w:sz w:val="17"/>
              </w:rPr>
              <w:t>49,630 FCFA</w:t>
            </w:r>
          </w:p>
          <w:p>
            <w:r>
              <w:rPr>
                <w:b/>
                <w:color w:val="503200"/>
                <w:sz w:val="16"/>
              </w:rPr>
              <w:t xml:space="preserve">Volatilité ann. : </w:t>
            </w:r>
            <w:r>
              <w:rPr>
                <w:color w:val="000000"/>
                <w:sz w:val="17"/>
              </w:rPr>
              <w:t>68.8%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32.8/100 → Moyen</w:t>
      </w:r>
    </w:p>
    <w:p>
      <w:pPr>
        <w:spacing w:before="40" w:after="80"/>
      </w:pPr>
      <w:r>
        <w:rPr>
          <w:rFonts w:ascii="Courier New" w:hAnsi="Courier New"/>
          <w:color w:val="825A00"/>
          <w:sz w:val="18"/>
        </w:rPr>
        <w:t>██████░░░░░░░░░░░░░░  32.8/100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8.12% (Moyenne) — μ=57,569 FCFA, σ=4,676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β=2.2144 (Très agressif) — Cov=0.000079, Var(idx)=0.000036, ρ=0.303, n=95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FFEB9C" w:val="clear"/>
          </w:tcPr>
          <w:p>
            <w:r>
              <w:rPr>
                <w:b/>
                <w:sz w:val="15"/>
              </w:rPr>
              <w:t>28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σ_j=4.33%/j (Modérée) — Vol. annualisée≈68.8%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53/100  (Moyen)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2026-08-10</w:t>
            </w:r>
          </w:p>
        </w:tc>
        <w:tc>
          <w:tcPr>
            <w:tcW w:type="dxa" w:w="1440"/>
            <w:shd w:fill="FAFAFA" w:val="clear"/>
          </w:tcPr>
          <w:p>
            <w:r>
              <w:rPr>
                <w:sz w:val="17"/>
              </w:rPr>
              <w:t>52,096</w:t>
            </w:r>
          </w:p>
        </w:tc>
        <w:tc>
          <w:tcPr>
            <w:tcW w:type="dxa" w:w="1440"/>
            <w:shd w:fill="FAFAFA" w:val="clear"/>
          </w:tcPr>
          <w:p>
            <w:r>
              <w:rPr>
                <w:b/>
                <w:sz w:val="17"/>
              </w:rPr>
              <w:t>55,446</w:t>
            </w:r>
          </w:p>
        </w:tc>
        <w:tc>
          <w:tcPr>
            <w:tcW w:type="dxa" w:w="1440"/>
            <w:shd w:fill="FAFAFA" w:val="clear"/>
          </w:tcPr>
          <w:p>
            <w:r>
              <w:rPr>
                <w:sz w:val="17"/>
              </w:rPr>
              <w:t>58,795</w:t>
            </w:r>
          </w:p>
        </w:tc>
        <w:tc>
          <w:tcPr>
            <w:tcW w:type="dxa" w:w="1440"/>
            <w:shd w:fill="FAFAFA" w:val="clear"/>
          </w:tcPr>
          <w:p>
            <w:r>
              <w:rPr>
                <w:b/>
                <w:color w:val="008000"/>
                <w:sz w:val="17"/>
              </w:rPr>
              <w:t>+1.6%</w:t>
            </w:r>
          </w:p>
        </w:tc>
      </w:tr>
      <w:tr>
        <w:tc>
          <w:tcPr>
            <w:tcW w:type="dxa" w:w="1440"/>
            <w:shd w:fill="C6EFCE" w:val="clear"/>
          </w:tcPr>
          <w:p>
            <w:r>
              <w:rPr>
                <w:sz w:val="17"/>
              </w:rPr>
              <w:t>J+2  ⭐</w:t>
            </w:r>
          </w:p>
        </w:tc>
        <w:tc>
          <w:tcPr>
            <w:tcW w:type="dxa" w:w="1440"/>
            <w:shd w:fill="C6EFCE" w:val="clear"/>
          </w:tcPr>
          <w:p>
            <w:r>
              <w:rPr>
                <w:sz w:val="17"/>
              </w:rPr>
              <w:t>2026-08-11</w:t>
            </w:r>
          </w:p>
        </w:tc>
        <w:tc>
          <w:tcPr>
            <w:tcW w:type="dxa" w:w="1440"/>
            <w:shd w:fill="C6EFCE" w:val="clear"/>
          </w:tcPr>
          <w:p>
            <w:r>
              <w:rPr>
                <w:sz w:val="17"/>
              </w:rPr>
              <w:t>51,270</w:t>
            </w:r>
          </w:p>
        </w:tc>
        <w:tc>
          <w:tcPr>
            <w:tcW w:type="dxa" w:w="1440"/>
            <w:shd w:fill="C6EFCE" w:val="clear"/>
          </w:tcPr>
          <w:p>
            <w:r>
              <w:rPr>
                <w:b/>
                <w:sz w:val="17"/>
              </w:rPr>
              <w:t>56,059</w:t>
            </w:r>
          </w:p>
        </w:tc>
        <w:tc>
          <w:tcPr>
            <w:tcW w:type="dxa" w:w="1440"/>
            <w:shd w:fill="C6EFCE" w:val="clear"/>
          </w:tcPr>
          <w:p>
            <w:r>
              <w:rPr>
                <w:sz w:val="17"/>
              </w:rPr>
              <w:t>60,848</w:t>
            </w:r>
          </w:p>
        </w:tc>
        <w:tc>
          <w:tcPr>
            <w:tcW w:type="dxa" w:w="1440"/>
            <w:shd w:fill="C6EFCE" w:val="clear"/>
          </w:tcPr>
          <w:p>
            <w:r>
              <w:rPr>
                <w:b/>
                <w:color w:val="008000"/>
                <w:sz w:val="17"/>
              </w:rPr>
              <w:t>+2.7%</w:t>
            </w:r>
          </w:p>
        </w:tc>
      </w:tr>
      <w:tr>
        <w:tc>
          <w:tcPr>
            <w:tcW w:type="dxa" w:w="1440"/>
            <w:shd w:fill="C6EFCE" w:val="clear"/>
          </w:tcPr>
          <w:p>
            <w:r>
              <w:rPr>
                <w:sz w:val="17"/>
              </w:rPr>
              <w:t>J+3  ⭐</w:t>
            </w:r>
          </w:p>
        </w:tc>
        <w:tc>
          <w:tcPr>
            <w:tcW w:type="dxa" w:w="1440"/>
            <w:shd w:fill="C6EFCE" w:val="clear"/>
          </w:tcPr>
          <w:p>
            <w:r>
              <w:rPr>
                <w:sz w:val="17"/>
              </w:rPr>
              <w:t>2026-08-12</w:t>
            </w:r>
          </w:p>
        </w:tc>
        <w:tc>
          <w:tcPr>
            <w:tcW w:type="dxa" w:w="1440"/>
            <w:shd w:fill="C6EFCE" w:val="clear"/>
          </w:tcPr>
          <w:p>
            <w:r>
              <w:rPr>
                <w:sz w:val="17"/>
              </w:rPr>
              <w:t>50,758</w:t>
            </w:r>
          </w:p>
        </w:tc>
        <w:tc>
          <w:tcPr>
            <w:tcW w:type="dxa" w:w="1440"/>
            <w:shd w:fill="C6EFCE" w:val="clear"/>
          </w:tcPr>
          <w:p>
            <w:r>
              <w:rPr>
                <w:b/>
                <w:sz w:val="17"/>
              </w:rPr>
              <w:t>56,690</w:t>
            </w:r>
          </w:p>
        </w:tc>
        <w:tc>
          <w:tcPr>
            <w:tcW w:type="dxa" w:w="1440"/>
            <w:shd w:fill="C6EFCE" w:val="clear"/>
          </w:tcPr>
          <w:p>
            <w:r>
              <w:rPr>
                <w:sz w:val="17"/>
              </w:rPr>
              <w:t>62,621</w:t>
            </w:r>
          </w:p>
        </w:tc>
        <w:tc>
          <w:tcPr>
            <w:tcW w:type="dxa" w:w="1440"/>
            <w:shd w:fill="C6EFCE" w:val="clear"/>
          </w:tcPr>
          <w:p>
            <w:r>
              <w:rPr>
                <w:b/>
                <w:color w:val="008000"/>
                <w:sz w:val="17"/>
              </w:rPr>
              <w:t>+3.8%</w:t>
            </w:r>
          </w:p>
        </w:tc>
      </w:tr>
      <w:tr>
        <w:tc>
          <w:tcPr>
            <w:tcW w:type="dxa" w:w="1440"/>
            <w:shd w:fill="C6EFCE" w:val="clear"/>
          </w:tcPr>
          <w:p>
            <w:r>
              <w:rPr>
                <w:sz w:val="17"/>
              </w:rPr>
              <w:t>J+4  ⭐</w:t>
            </w:r>
          </w:p>
        </w:tc>
        <w:tc>
          <w:tcPr>
            <w:tcW w:type="dxa" w:w="1440"/>
            <w:shd w:fill="C6EFCE" w:val="clear"/>
          </w:tcPr>
          <w:p>
            <w:r>
              <w:rPr>
                <w:sz w:val="17"/>
              </w:rPr>
              <w:t>2026-08-13</w:t>
            </w:r>
          </w:p>
        </w:tc>
        <w:tc>
          <w:tcPr>
            <w:tcW w:type="dxa" w:w="1440"/>
            <w:shd w:fill="C6EFCE" w:val="clear"/>
          </w:tcPr>
          <w:p>
            <w:r>
              <w:rPr>
                <w:sz w:val="17"/>
              </w:rPr>
              <w:t>50,402</w:t>
            </w:r>
          </w:p>
        </w:tc>
        <w:tc>
          <w:tcPr>
            <w:tcW w:type="dxa" w:w="1440"/>
            <w:shd w:fill="C6EFCE" w:val="clear"/>
          </w:tcPr>
          <w:p>
            <w:r>
              <w:rPr>
                <w:b/>
                <w:sz w:val="17"/>
              </w:rPr>
              <w:t>57,328</w:t>
            </w:r>
          </w:p>
        </w:tc>
        <w:tc>
          <w:tcPr>
            <w:tcW w:type="dxa" w:w="1440"/>
            <w:shd w:fill="C6EFCE" w:val="clear"/>
          </w:tcPr>
          <w:p>
            <w:r>
              <w:rPr>
                <w:sz w:val="17"/>
              </w:rPr>
              <w:t>64,254</w:t>
            </w:r>
          </w:p>
        </w:tc>
        <w:tc>
          <w:tcPr>
            <w:tcW w:type="dxa" w:w="1440"/>
            <w:shd w:fill="C6EFCE" w:val="clear"/>
          </w:tcPr>
          <w:p>
            <w:r>
              <w:rPr>
                <w:b/>
                <w:color w:val="008000"/>
                <w:sz w:val="17"/>
              </w:rPr>
              <w:t>+5.0%</w:t>
            </w:r>
          </w:p>
        </w:tc>
      </w:tr>
      <w:tr>
        <w:tc>
          <w:tcPr>
            <w:tcW w:type="dxa" w:w="1440"/>
            <w:shd w:fill="C6EFCE" w:val="clear"/>
          </w:tcPr>
          <w:p>
            <w:r>
              <w:rPr>
                <w:sz w:val="17"/>
              </w:rPr>
              <w:t>J+5  ⭐</w:t>
            </w:r>
          </w:p>
        </w:tc>
        <w:tc>
          <w:tcPr>
            <w:tcW w:type="dxa" w:w="1440"/>
            <w:shd w:fill="C6EFCE" w:val="clear"/>
          </w:tcPr>
          <w:p>
            <w:r>
              <w:rPr>
                <w:sz w:val="17"/>
              </w:rPr>
              <w:t>2026-08-14</w:t>
            </w:r>
          </w:p>
        </w:tc>
        <w:tc>
          <w:tcPr>
            <w:tcW w:type="dxa" w:w="1440"/>
            <w:shd w:fill="C6EFCE" w:val="clear"/>
          </w:tcPr>
          <w:p>
            <w:r>
              <w:rPr>
                <w:sz w:val="17"/>
              </w:rPr>
              <w:t>50,142</w:t>
            </w:r>
          </w:p>
        </w:tc>
        <w:tc>
          <w:tcPr>
            <w:tcW w:type="dxa" w:w="1440"/>
            <w:shd w:fill="C6EFCE" w:val="clear"/>
          </w:tcPr>
          <w:p>
            <w:r>
              <w:rPr>
                <w:b/>
                <w:sz w:val="17"/>
              </w:rPr>
              <w:t>57,972</w:t>
            </w:r>
          </w:p>
        </w:tc>
        <w:tc>
          <w:tcPr>
            <w:tcW w:type="dxa" w:w="1440"/>
            <w:shd w:fill="C6EFCE" w:val="clear"/>
          </w:tcPr>
          <w:p>
            <w:r>
              <w:rPr>
                <w:sz w:val="17"/>
              </w:rPr>
              <w:t>65,802</w:t>
            </w:r>
          </w:p>
        </w:tc>
        <w:tc>
          <w:tcPr>
            <w:tcW w:type="dxa" w:w="1440"/>
            <w:shd w:fill="C6EFCE" w:val="clear"/>
          </w:tcPr>
          <w:p>
            <w:r>
              <w:rPr>
                <w:b/>
                <w:color w:val="008000"/>
                <w:sz w:val="17"/>
              </w:rPr>
              <w:t>+6.2%</w:t>
            </w:r>
          </w:p>
        </w:tc>
      </w:tr>
      <w:tr>
        <w:tc>
          <w:tcPr>
            <w:tcW w:type="dxa" w:w="1440"/>
            <w:shd w:fill="C6EFCE" w:val="clear"/>
          </w:tcPr>
          <w:p>
            <w:r>
              <w:rPr>
                <w:sz w:val="17"/>
              </w:rPr>
              <w:t>J+6  ⭐</w:t>
            </w:r>
          </w:p>
        </w:tc>
        <w:tc>
          <w:tcPr>
            <w:tcW w:type="dxa" w:w="1440"/>
            <w:shd w:fill="C6EFCE" w:val="clear"/>
          </w:tcPr>
          <w:p>
            <w:r>
              <w:rPr>
                <w:sz w:val="17"/>
              </w:rPr>
              <w:t>2026-08-17</w:t>
            </w:r>
          </w:p>
        </w:tc>
        <w:tc>
          <w:tcPr>
            <w:tcW w:type="dxa" w:w="1440"/>
            <w:shd w:fill="C6EFCE" w:val="clear"/>
          </w:tcPr>
          <w:p>
            <w:r>
              <w:rPr>
                <w:sz w:val="17"/>
              </w:rPr>
              <w:t>49,946</w:t>
            </w:r>
          </w:p>
        </w:tc>
        <w:tc>
          <w:tcPr>
            <w:tcW w:type="dxa" w:w="1440"/>
            <w:shd w:fill="C6EFCE" w:val="clear"/>
          </w:tcPr>
          <w:p>
            <w:r>
              <w:rPr>
                <w:b/>
                <w:sz w:val="17"/>
              </w:rPr>
              <w:t>58,620</w:t>
            </w:r>
          </w:p>
        </w:tc>
        <w:tc>
          <w:tcPr>
            <w:tcW w:type="dxa" w:w="1440"/>
            <w:shd w:fill="C6EFCE" w:val="clear"/>
          </w:tcPr>
          <w:p>
            <w:r>
              <w:rPr>
                <w:sz w:val="17"/>
              </w:rPr>
              <w:t>67,293</w:t>
            </w:r>
          </w:p>
        </w:tc>
        <w:tc>
          <w:tcPr>
            <w:tcW w:type="dxa" w:w="1440"/>
            <w:shd w:fill="C6EFCE" w:val="clear"/>
          </w:tcPr>
          <w:p>
            <w:r>
              <w:rPr>
                <w:b/>
                <w:color w:val="008000"/>
                <w:sz w:val="17"/>
              </w:rPr>
              <w:t>+7.4%</w:t>
            </w:r>
          </w:p>
        </w:tc>
      </w:tr>
      <w:tr>
        <w:tc>
          <w:tcPr>
            <w:tcW w:type="dxa" w:w="1440"/>
            <w:shd w:fill="C6EFCE" w:val="clear"/>
          </w:tcPr>
          <w:p>
            <w:r>
              <w:rPr>
                <w:sz w:val="17"/>
              </w:rPr>
              <w:t>J+7  ⭐</w:t>
            </w:r>
          </w:p>
        </w:tc>
        <w:tc>
          <w:tcPr>
            <w:tcW w:type="dxa" w:w="1440"/>
            <w:shd w:fill="C6EFCE" w:val="clear"/>
          </w:tcPr>
          <w:p>
            <w:r>
              <w:rPr>
                <w:sz w:val="17"/>
              </w:rPr>
              <w:t>2026-08-18</w:t>
            </w:r>
          </w:p>
        </w:tc>
        <w:tc>
          <w:tcPr>
            <w:tcW w:type="dxa" w:w="1440"/>
            <w:shd w:fill="C6EFCE" w:val="clear"/>
          </w:tcPr>
          <w:p>
            <w:r>
              <w:rPr>
                <w:sz w:val="17"/>
              </w:rPr>
              <w:t>49,798</w:t>
            </w:r>
          </w:p>
        </w:tc>
        <w:tc>
          <w:tcPr>
            <w:tcW w:type="dxa" w:w="1440"/>
            <w:shd w:fill="C6EFCE" w:val="clear"/>
          </w:tcPr>
          <w:p>
            <w:r>
              <w:rPr>
                <w:b/>
                <w:sz w:val="17"/>
              </w:rPr>
              <w:t>59,270</w:t>
            </w:r>
          </w:p>
        </w:tc>
        <w:tc>
          <w:tcPr>
            <w:tcW w:type="dxa" w:w="1440"/>
            <w:shd w:fill="C6EFCE" w:val="clear"/>
          </w:tcPr>
          <w:p>
            <w:r>
              <w:rPr>
                <w:sz w:val="17"/>
              </w:rPr>
              <w:t>68,743</w:t>
            </w:r>
          </w:p>
        </w:tc>
        <w:tc>
          <w:tcPr>
            <w:tcW w:type="dxa" w:w="1440"/>
            <w:shd w:fill="C6EFCE" w:val="clear"/>
          </w:tcPr>
          <w:p>
            <w:r>
              <w:rPr>
                <w:b/>
                <w:color w:val="008000"/>
                <w:sz w:val="17"/>
              </w:rPr>
              <w:t>+8.6%</w:t>
            </w:r>
          </w:p>
        </w:tc>
      </w:tr>
      <w:tr>
        <w:tc>
          <w:tcPr>
            <w:tcW w:type="dxa" w:w="1440"/>
            <w:shd w:fill="C6EFCE" w:val="clear"/>
          </w:tcPr>
          <w:p>
            <w:r>
              <w:rPr>
                <w:sz w:val="17"/>
              </w:rPr>
              <w:t>J+8  ⭐</w:t>
            </w:r>
          </w:p>
        </w:tc>
        <w:tc>
          <w:tcPr>
            <w:tcW w:type="dxa" w:w="1440"/>
            <w:shd w:fill="C6EFCE" w:val="clear"/>
          </w:tcPr>
          <w:p>
            <w:r>
              <w:rPr>
                <w:sz w:val="17"/>
              </w:rPr>
              <w:t>2026-08-19</w:t>
            </w:r>
          </w:p>
        </w:tc>
        <w:tc>
          <w:tcPr>
            <w:tcW w:type="dxa" w:w="1440"/>
            <w:shd w:fill="C6EFCE" w:val="clear"/>
          </w:tcPr>
          <w:p>
            <w:r>
              <w:rPr>
                <w:sz w:val="17"/>
              </w:rPr>
              <w:t>49,685</w:t>
            </w:r>
          </w:p>
        </w:tc>
        <w:tc>
          <w:tcPr>
            <w:tcW w:type="dxa" w:w="1440"/>
            <w:shd w:fill="C6EFCE" w:val="clear"/>
          </w:tcPr>
          <w:p>
            <w:r>
              <w:rPr>
                <w:b/>
                <w:sz w:val="17"/>
              </w:rPr>
              <w:t>59,924</w:t>
            </w:r>
          </w:p>
        </w:tc>
        <w:tc>
          <w:tcPr>
            <w:tcW w:type="dxa" w:w="1440"/>
            <w:shd w:fill="C6EFCE" w:val="clear"/>
          </w:tcPr>
          <w:p>
            <w:r>
              <w:rPr>
                <w:sz w:val="17"/>
              </w:rPr>
              <w:t>70,162</w:t>
            </w:r>
          </w:p>
        </w:tc>
        <w:tc>
          <w:tcPr>
            <w:tcW w:type="dxa" w:w="1440"/>
            <w:shd w:fill="C6EFCE" w:val="clear"/>
          </w:tcPr>
          <w:p>
            <w:r>
              <w:rPr>
                <w:b/>
                <w:color w:val="008000"/>
                <w:sz w:val="17"/>
              </w:rPr>
              <w:t>+9.8%</w:t>
            </w:r>
          </w:p>
        </w:tc>
      </w:tr>
      <w:tr>
        <w:tc>
          <w:tcPr>
            <w:tcW w:type="dxa" w:w="1440"/>
            <w:shd w:fill="C6EFCE" w:val="clear"/>
          </w:tcPr>
          <w:p>
            <w:r>
              <w:rPr>
                <w:sz w:val="17"/>
              </w:rPr>
              <w:t>J+9  ⭐</w:t>
            </w:r>
          </w:p>
        </w:tc>
        <w:tc>
          <w:tcPr>
            <w:tcW w:type="dxa" w:w="1440"/>
            <w:shd w:fill="C6EFCE" w:val="clear"/>
          </w:tcPr>
          <w:p>
            <w:r>
              <w:rPr>
                <w:sz w:val="17"/>
              </w:rPr>
              <w:t>2026-08-20</w:t>
            </w:r>
          </w:p>
        </w:tc>
        <w:tc>
          <w:tcPr>
            <w:tcW w:type="dxa" w:w="1440"/>
            <w:shd w:fill="C6EFCE" w:val="clear"/>
          </w:tcPr>
          <w:p>
            <w:r>
              <w:rPr>
                <w:sz w:val="17"/>
              </w:rPr>
              <w:t>49,601</w:t>
            </w:r>
          </w:p>
        </w:tc>
        <w:tc>
          <w:tcPr>
            <w:tcW w:type="dxa" w:w="1440"/>
            <w:shd w:fill="C6EFCE" w:val="clear"/>
          </w:tcPr>
          <w:p>
            <w:r>
              <w:rPr>
                <w:b/>
                <w:sz w:val="17"/>
              </w:rPr>
              <w:t>60,579</w:t>
            </w:r>
          </w:p>
        </w:tc>
        <w:tc>
          <w:tcPr>
            <w:tcW w:type="dxa" w:w="1440"/>
            <w:shd w:fill="C6EFCE" w:val="clear"/>
          </w:tcPr>
          <w:p>
            <w:r>
              <w:rPr>
                <w:sz w:val="17"/>
              </w:rPr>
              <w:t>71,557</w:t>
            </w:r>
          </w:p>
        </w:tc>
        <w:tc>
          <w:tcPr>
            <w:tcW w:type="dxa" w:w="1440"/>
            <w:shd w:fill="C6EFCE" w:val="clear"/>
          </w:tcPr>
          <w:p>
            <w:r>
              <w:rPr>
                <w:b/>
                <w:color w:val="008000"/>
                <w:sz w:val="17"/>
              </w:rPr>
              <w:t>+11.0%</w:t>
            </w:r>
          </w:p>
        </w:tc>
      </w:tr>
      <w:tr>
        <w:tc>
          <w:tcPr>
            <w:tcW w:type="dxa" w:w="1440"/>
            <w:shd w:fill="C6EFCE" w:val="clear"/>
          </w:tcPr>
          <w:p>
            <w:r>
              <w:rPr>
                <w:sz w:val="17"/>
              </w:rPr>
              <w:t>J+10  ⭐</w:t>
            </w:r>
          </w:p>
        </w:tc>
        <w:tc>
          <w:tcPr>
            <w:tcW w:type="dxa" w:w="1440"/>
            <w:shd w:fill="C6EFCE" w:val="clear"/>
          </w:tcPr>
          <w:p>
            <w:r>
              <w:rPr>
                <w:sz w:val="17"/>
              </w:rPr>
              <w:t>2026-08-21</w:t>
            </w:r>
          </w:p>
        </w:tc>
        <w:tc>
          <w:tcPr>
            <w:tcW w:type="dxa" w:w="1440"/>
            <w:shd w:fill="C6EFCE" w:val="clear"/>
          </w:tcPr>
          <w:p>
            <w:r>
              <w:rPr>
                <w:sz w:val="17"/>
              </w:rPr>
              <w:t>49,539</w:t>
            </w:r>
          </w:p>
        </w:tc>
        <w:tc>
          <w:tcPr>
            <w:tcW w:type="dxa" w:w="1440"/>
            <w:shd w:fill="C6EFCE" w:val="clear"/>
          </w:tcPr>
          <w:p>
            <w:r>
              <w:rPr>
                <w:b/>
                <w:sz w:val="17"/>
              </w:rPr>
              <w:t>61,236</w:t>
            </w:r>
          </w:p>
        </w:tc>
        <w:tc>
          <w:tcPr>
            <w:tcW w:type="dxa" w:w="1440"/>
            <w:shd w:fill="C6EFCE" w:val="clear"/>
          </w:tcPr>
          <w:p>
            <w:r>
              <w:rPr>
                <w:sz w:val="17"/>
              </w:rPr>
              <w:t>72,934</w:t>
            </w:r>
          </w:p>
        </w:tc>
        <w:tc>
          <w:tcPr>
            <w:tcW w:type="dxa" w:w="1440"/>
            <w:shd w:fill="C6EFCE" w:val="clear"/>
          </w:tcPr>
          <w:p>
            <w:r>
              <w:rPr>
                <w:b/>
                <w:color w:val="008000"/>
                <w:sz w:val="17"/>
              </w:rPr>
              <w:t>+12.2%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501,37 milliards FCFA, ce qui en fait une valeur de première importance sur la BRVM, représentant un poids significatif dans l'indice composite. Cette taille confère au titre une liquidité théorique et un intérêt institutionnel certain. Cependant, les ratios de valorisation tels que le BPA, le PER, le P/B et l'EV/EBITDA ne sont pas calculables, faute de données financières structurées actualisées dans la base. Cette absence est préjudiciable pour l'analyste, car elle empêche de déterminer si le marché valorise correctement les bénéfices de la société. En l'état, l'investisseur ne peut se référer qu'à la valeur de marché absolue et à l'évolution du cours pour juger de l'attractivité du titre, en attendant la publication de chiffres financiers consolidés et récents.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l'action UNLC a subi une dépréciation significative de -19,71%, avec une dernière séance stable (+0,00%). Le cours a évolué dans une fourchette large, oscillant entre un plus bas de 49 630 FCFA et un plus haut de 72 000 FCFA, illustrant une forte amplitude de trading. La moyenne (57 569 FCFA) est très proche de la médiane (57 042 FCFA), suggérant une distribution des prix relativement symétrique, mais le skewness positif (1.026) indique que les journées de baisse ont été plus fréquentes que les journées de hausse, tirant le cours vers le bas. L'écart-type de 4 699 FCFA (CV=8,2%) montre une dispersion modérée autour de la moyenne. Le kurtosis élevé (1.297) signale un risque de mouvements extrêmes, avec des queues de distribution épaisses. Enfin, la volatilité annualisée de 68,8% classe UNLC comme un actif extrêmement risqué, bien au-delà du seuil de 30% considéré comme élevé, ce qui reflète une incertitude majeure des investisseurs.</w:t>
      </w:r>
    </w:p>
    <w:p>
      <w:pPr>
        <w:spacing w:after="120" w:line="276" w:lineRule="auto" w:before="240"/>
      </w:pPr>
      <w:r>
        <w:rPr>
          <w:b/>
          <w:color w:val="003366"/>
          <w:sz w:val="24"/>
        </w:rPr>
        <w:t>**PARTIE 2 : ANALYSE TECHNIQUE DÉTAILLÉE**</w:t>
      </w:r>
    </w:p>
    <w:p>
      <w:pPr>
        <w:spacing w:after="120" w:line="276" w:lineRule="auto"/>
      </w:pPr>
      <w:r>
        <w:t>**Moyennes Mobiles**: Le cours actuel (54 595 FCFA) est supérieur à la MM20 (52 923 FCFA) mais inférieur à la MM50 (54 923 FCFA). Cette configuration, où le prix est sous la moyenne à long terme, confirme une tendance baissière de fond, malgré un rebond à court terme. La décision de "Vente" est justifiée par cette dynamique négative dominante.</w:t>
      </w:r>
    </w:p>
    <w:p>
      <w:pPr>
        <w:spacing w:after="120" w:line="276" w:lineRule="auto"/>
      </w:pPr>
      <w:r>
        <w:t>**Bandes de Bollinger**: Le prix se situe à l'intérieur des bandes, proche de la borne supérieure (56 309 FCFA) et loin de la borne inférieure (49 538 FCFA). Cela indique une volatilité modérée et un retour du cours vers la moyenne après une période de faiblesse. La décision "Neutre" est cohérente avec une absence de signal directionnel fort, le titre n'étant ni suracheté ni survendu.</w:t>
      </w:r>
    </w:p>
    <w:p>
      <w:pPr>
        <w:spacing w:after="120" w:line="276" w:lineRule="auto"/>
      </w:pPr>
      <w:r>
        <w:t>**MACD**: La valeur du MACD (-279,29) est supérieure à son signal (-678,38), ce qui forme un croisement haussier. Ce signal indique un ralentissement de la dynamique baissière et un potentiel de retournement à la hausse. La décision "Achat" est donc justifiée par cette amélioration du momentum, même si le MACD reste en territoire négatif.</w:t>
      </w:r>
    </w:p>
    <w:p>
      <w:pPr>
        <w:spacing w:after="120" w:line="276" w:lineRule="auto"/>
      </w:pPr>
      <w:r>
        <w:t>**RSI**: Avec une valeur de 50,25, le RSI est parfaitement dans la zone neutre (30-70). Cela signifie que le titre n'est ni suracheté ni survendu, et que la pression acheteuse et vendeuse s'équilibre. La décision "Neutre" est logique, indiquant une absence de signal clair pour les investisseurs à court terme.</w:t>
      </w:r>
    </w:p>
    <w:p>
      <w:pPr>
        <w:spacing w:after="120" w:line="276" w:lineRule="auto"/>
      </w:pPr>
      <w:r>
        <w:t>**Stochastique**: Le %K (76,19) et le %D (76,84) sont proches et évoluent dans la zone de surachat (&gt;70). Le croisement potentiel du %K sous le %D pourrait signaler un retournement baissier imminent. La décision "Neutre" suggère que les acheteurs contrôlent encore le marché, mais avec une prudence accrue.</w:t>
      </w:r>
    </w:p>
    <w:p>
      <w:pPr>
        <w:spacing w:after="120" w:line="276" w:lineRule="auto"/>
      </w:pPr>
      <w:r>
        <w:t>**Conclusion technique**: La convergence des indicateurs est mitigée. Les moyennes mobiles et le RSI sont neutres ou vendeurs, tandis que le MACD émet un signal d'achat. Le titre semble chercher une direction après une forte baisse. La prudence est de mise, car le signal haussier du MACD pourrait être contredit par la tendance baissière de fond. Un trader attendra une confirmation claire au-dessus de la MM50 pour valider un retournement.</w:t>
      </w:r>
    </w:p>
    <w:p>
      <w:pPr>
        <w:spacing w:after="120" w:line="276" w:lineRule="auto" w:before="240"/>
      </w:pPr>
      <w:r>
        <w:rPr>
          <w:b/>
          <w:color w:val="003366"/>
          <w:sz w:val="24"/>
        </w:rPr>
        <w:t>**PARTIE 3 : ANALYSE FONDAMENTALE (SECTION CRITIQUE)**</w:t>
      </w:r>
    </w:p>
    <w:p>
      <w:pPr>
        <w:spacing w:after="120" w:line="276" w:lineRule="auto"/>
      </w:pPr>
      <w:r>
        <w:t>Les rapports financiers disponibles, datant des exercices 2021, 2022 et 2023, dressent un tableau contrasté. En 2021, la société a renoué avec les bénéfices, affichant un résultat net de +6,09 milliards FCFA, soit une marge nette de 25%, après une perte en 2020. Cependant, l'exercice 2022 a été marqué par une perte nette massive de -6,38 milliards FCFA, due à la cession de l'activité Thé et à des coûts logistiques élevés. Le chiffre d'affaires 2022 était de 36,17 milliards FCFA, en baisse de 21,5% par rapport à 2021. En 2023, le CA s'est stabilisé à 24,34 milliards FCFA, avec un retour à un bénéfice net modeste de 640 millions FCFA (marge nette de 2,63%), et un résultat d'exploitation positif de 3,34 milliards FCFA. Les capitaux propres restent négatifs (-10,66 milliards FCFA), ce qui fragilise la structure financière. L'endettement est élevé (4,38 milliards FCFA de dettes financières). Sur la base de ces rapports, on estime que la société est en phase de redressement, mais sa rentabilité est encore très inférieure à la moyenne sectorielle (5-10%). La reprise des dividendes n'est pas envisageable à court terme.</w:t>
      </w:r>
    </w:p>
    <w:p>
      <w:pPr>
        <w:spacing w:after="120" w:line="276" w:lineRule="auto" w:before="240"/>
      </w:pPr>
      <w:r>
        <w:rPr>
          <w:b/>
          <w:color w:val="003366"/>
          <w:sz w:val="24"/>
        </w:rPr>
        <w:t>**PARTIE 4 : CONCLUSION D'INVESTISSEMENT**</w:t>
      </w:r>
    </w:p>
    <w:p>
      <w:pPr>
        <w:spacing w:after="120" w:line="276" w:lineRule="auto"/>
      </w:pPr>
      <w:r>
        <w:t>La synthèse des analyses révèle une situation complexe. La valorisation boursière est difficile à évaluer faute de ratios, mais la capitalisation est importante. Le comportement du cours est préoccupant, avec une tendance baissière marquée (-19,71% sur 100 jours) et une volatilité extrême (68,8%), signe d'un risque élevé. Les signaux techniques sont mitigés, avec un MACD haussier contredit par la tendance des moyennes mobiles, indiquant une possible stabilisation mais pas de retournement franc. Les fondamentaux, issus des rapports 2021-2023, montrent une amélioration en 2023 mais une situation financière fragile (capitaux propres négatifs, faible marge). Les prédictions IA pour les 10 prochains jours suggèrent une hausse progressive vers 57 972 FCFA, ce qui contredit la tendance baissière récente et pourrait indiquer un rebond technique. En conclusion, la convergence entre les signaux est faible, mais la prédiction IA et le MACD suggèrent un potentiel de redressement à court terme. **Recommandation : CONSERVER**. Le niveau de confiance est **Faible** en raison des données fondamentales anciennes et de la volatilité extrême. Le niveau de risque global est **Élevé**. L'horizon d'investissement optimal serait le **moyen terme (3-12 mois)**, en attendant une confirmation de la solidité financière via les prochains rapports annuels.</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39.42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12,373 titres</w:t>
            </w:r>
          </w:p>
        </w:tc>
        <w:tc>
          <w:tcPr>
            <w:tcW w:type="dxa" w:w="2268"/>
            <w:shd w:fill="FFF2CC" w:val="clear"/>
          </w:tcPr>
          <w:p>
            <w:r>
              <w:rPr>
                <w:b/>
                <w:color w:val="503200"/>
                <w:sz w:val="16"/>
              </w:rPr>
              <w:t xml:space="preserve">Cours actuel : </w:t>
            </w:r>
            <w:r>
              <w:rPr>
                <w:color w:val="000000"/>
                <w:sz w:val="17"/>
              </w:rPr>
              <w:t>1,900 FCFA</w:t>
            </w:r>
          </w:p>
          <w:p>
            <w:r>
              <w:rPr>
                <w:b/>
                <w:color w:val="503200"/>
                <w:sz w:val="16"/>
              </w:rPr>
              <w:t xml:space="preserve">Var. 100 jours : </w:t>
            </w:r>
            <w:r>
              <w:rPr>
                <w:b/>
                <w:color w:val="B40000"/>
                <w:sz w:val="17"/>
              </w:rPr>
              <w:t>-9.52%</w:t>
            </w:r>
          </w:p>
          <w:p>
            <w:r>
              <w:rPr>
                <w:b/>
                <w:color w:val="503200"/>
                <w:sz w:val="16"/>
              </w:rPr>
              <w:t xml:space="preserve">Plus haut 100j : </w:t>
            </w:r>
            <w:r>
              <w:rPr>
                <w:color w:val="000000"/>
                <w:sz w:val="17"/>
              </w:rPr>
              <w:t>2,100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49.0%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18.0/100 → Faible</w:t>
      </w:r>
    </w:p>
    <w:p>
      <w:pPr>
        <w:spacing w:before="40" w:after="80"/>
      </w:pPr>
      <w:r>
        <w:rPr>
          <w:rFonts w:ascii="Courier New" w:hAnsi="Courier New"/>
          <w:color w:val="006400"/>
          <w:sz w:val="18"/>
        </w:rPr>
        <w:t>███░░░░░░░░░░░░░░░░░  18.0/100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8.99% (Moyenne) — μ=1,868 FCFA, σ=168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β=-0.8484 (Contre-cyclique) — Cov=-0.000031, Var(idx)=0.000036, ρ=-0.165,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12,373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annualisée≈49.0%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2026-08-10</w:t>
            </w:r>
          </w:p>
        </w:tc>
        <w:tc>
          <w:tcPr>
            <w:tcW w:type="dxa" w:w="1440"/>
            <w:shd w:fill="FAFAFA" w:val="clear"/>
          </w:tcPr>
          <w:p>
            <w:r>
              <w:rPr>
                <w:sz w:val="17"/>
              </w:rPr>
              <w:t>1,737</w:t>
            </w:r>
          </w:p>
        </w:tc>
        <w:tc>
          <w:tcPr>
            <w:tcW w:type="dxa" w:w="1440"/>
            <w:shd w:fill="FAFAFA" w:val="clear"/>
          </w:tcPr>
          <w:p>
            <w:r>
              <w:rPr>
                <w:b/>
                <w:sz w:val="17"/>
              </w:rPr>
              <w:t>1,878</w:t>
            </w:r>
          </w:p>
        </w:tc>
        <w:tc>
          <w:tcPr>
            <w:tcW w:type="dxa" w:w="1440"/>
            <w:shd w:fill="FAFAFA" w:val="clear"/>
          </w:tcPr>
          <w:p>
            <w:r>
              <w:rPr>
                <w:sz w:val="17"/>
              </w:rPr>
              <w:t>2,019</w:t>
            </w:r>
          </w:p>
        </w:tc>
        <w:tc>
          <w:tcPr>
            <w:tcW w:type="dxa" w:w="1440"/>
            <w:shd w:fill="FAFAFA" w:val="clear"/>
          </w:tcPr>
          <w:p>
            <w:r>
              <w:rPr>
                <w:b/>
                <w:color w:val="C00000"/>
                <w:sz w:val="17"/>
              </w:rPr>
              <w:t>-1.2%</w:t>
            </w:r>
          </w:p>
        </w:tc>
      </w:tr>
      <w:tr>
        <w:tc>
          <w:tcPr>
            <w:tcW w:type="dxa" w:w="1440"/>
            <w:shd w:fill="FAFAFA" w:val="clear"/>
          </w:tcPr>
          <w:p>
            <w:r>
              <w:rPr>
                <w:sz w:val="17"/>
              </w:rPr>
              <w:t>J+2  Moyenne</w:t>
            </w:r>
          </w:p>
        </w:tc>
        <w:tc>
          <w:tcPr>
            <w:tcW w:type="dxa" w:w="1440"/>
            <w:shd w:fill="FAFAFA" w:val="clear"/>
          </w:tcPr>
          <w:p>
            <w:r>
              <w:rPr>
                <w:sz w:val="17"/>
              </w:rPr>
              <w:t>2026-08-11</w:t>
            </w:r>
          </w:p>
        </w:tc>
        <w:tc>
          <w:tcPr>
            <w:tcW w:type="dxa" w:w="1440"/>
            <w:shd w:fill="FAFAFA" w:val="clear"/>
          </w:tcPr>
          <w:p>
            <w:r>
              <w:rPr>
                <w:sz w:val="17"/>
              </w:rPr>
              <w:t>1,669</w:t>
            </w:r>
          </w:p>
        </w:tc>
        <w:tc>
          <w:tcPr>
            <w:tcW w:type="dxa" w:w="1440"/>
            <w:shd w:fill="FAFAFA" w:val="clear"/>
          </w:tcPr>
          <w:p>
            <w:r>
              <w:rPr>
                <w:b/>
                <w:sz w:val="17"/>
              </w:rPr>
              <w:t>1,870</w:t>
            </w:r>
          </w:p>
        </w:tc>
        <w:tc>
          <w:tcPr>
            <w:tcW w:type="dxa" w:w="1440"/>
            <w:shd w:fill="FAFAFA" w:val="clear"/>
          </w:tcPr>
          <w:p>
            <w:r>
              <w:rPr>
                <w:sz w:val="17"/>
              </w:rPr>
              <w:t>2,071</w:t>
            </w:r>
          </w:p>
        </w:tc>
        <w:tc>
          <w:tcPr>
            <w:tcW w:type="dxa" w:w="1440"/>
            <w:shd w:fill="FAFAFA" w:val="clear"/>
          </w:tcPr>
          <w:p>
            <w:r>
              <w:rPr>
                <w:b/>
                <w:color w:val="C00000"/>
                <w:sz w:val="17"/>
              </w:rPr>
              <w:t>-1.6%</w:t>
            </w:r>
          </w:p>
        </w:tc>
      </w:tr>
      <w:tr>
        <w:tc>
          <w:tcPr>
            <w:tcW w:type="dxa" w:w="1440"/>
            <w:shd w:fill="FFDCE0" w:val="clear"/>
          </w:tcPr>
          <w:p>
            <w:r>
              <w:rPr>
                <w:sz w:val="17"/>
              </w:rPr>
              <w:t>J+3  Moyenne</w:t>
            </w:r>
          </w:p>
        </w:tc>
        <w:tc>
          <w:tcPr>
            <w:tcW w:type="dxa" w:w="1440"/>
            <w:shd w:fill="FFDCE0" w:val="clear"/>
          </w:tcPr>
          <w:p>
            <w:r>
              <w:rPr>
                <w:sz w:val="17"/>
              </w:rPr>
              <w:t>2026-08-12</w:t>
            </w:r>
          </w:p>
        </w:tc>
        <w:tc>
          <w:tcPr>
            <w:tcW w:type="dxa" w:w="1440"/>
            <w:shd w:fill="FFDCE0" w:val="clear"/>
          </w:tcPr>
          <w:p>
            <w:r>
              <w:rPr>
                <w:sz w:val="17"/>
              </w:rPr>
              <w:t>1,616</w:t>
            </w:r>
          </w:p>
        </w:tc>
        <w:tc>
          <w:tcPr>
            <w:tcW w:type="dxa" w:w="1440"/>
            <w:shd w:fill="FFDCE0" w:val="clear"/>
          </w:tcPr>
          <w:p>
            <w:r>
              <w:rPr>
                <w:b/>
                <w:sz w:val="17"/>
              </w:rPr>
              <w:t>1,861</w:t>
            </w:r>
          </w:p>
        </w:tc>
        <w:tc>
          <w:tcPr>
            <w:tcW w:type="dxa" w:w="1440"/>
            <w:shd w:fill="FFDCE0" w:val="clear"/>
          </w:tcPr>
          <w:p>
            <w:r>
              <w:rPr>
                <w:sz w:val="17"/>
              </w:rPr>
              <w:t>2,105</w:t>
            </w:r>
          </w:p>
        </w:tc>
        <w:tc>
          <w:tcPr>
            <w:tcW w:type="dxa" w:w="1440"/>
            <w:shd w:fill="FFDCE0" w:val="clear"/>
          </w:tcPr>
          <w:p>
            <w:r>
              <w:rPr>
                <w:b/>
                <w:color w:val="C00000"/>
                <w:sz w:val="17"/>
              </w:rPr>
              <w:t>-2.1%</w:t>
            </w:r>
          </w:p>
        </w:tc>
      </w:tr>
      <w:tr>
        <w:tc>
          <w:tcPr>
            <w:tcW w:type="dxa" w:w="1440"/>
            <w:shd w:fill="FFDCE0" w:val="clear"/>
          </w:tcPr>
          <w:p>
            <w:r>
              <w:rPr>
                <w:sz w:val="17"/>
              </w:rPr>
              <w:t>J+4  ⭐</w:t>
            </w:r>
          </w:p>
        </w:tc>
        <w:tc>
          <w:tcPr>
            <w:tcW w:type="dxa" w:w="1440"/>
            <w:shd w:fill="FFDCE0" w:val="clear"/>
          </w:tcPr>
          <w:p>
            <w:r>
              <w:rPr>
                <w:sz w:val="17"/>
              </w:rPr>
              <w:t>2026-08-13</w:t>
            </w:r>
          </w:p>
        </w:tc>
        <w:tc>
          <w:tcPr>
            <w:tcW w:type="dxa" w:w="1440"/>
            <w:shd w:fill="FFDCE0" w:val="clear"/>
          </w:tcPr>
          <w:p>
            <w:r>
              <w:rPr>
                <w:sz w:val="17"/>
              </w:rPr>
              <w:t>1,570</w:t>
            </w:r>
          </w:p>
        </w:tc>
        <w:tc>
          <w:tcPr>
            <w:tcW w:type="dxa" w:w="1440"/>
            <w:shd w:fill="FFDCE0" w:val="clear"/>
          </w:tcPr>
          <w:p>
            <w:r>
              <w:rPr>
                <w:b/>
                <w:sz w:val="17"/>
              </w:rPr>
              <w:t>1,851</w:t>
            </w:r>
          </w:p>
        </w:tc>
        <w:tc>
          <w:tcPr>
            <w:tcW w:type="dxa" w:w="1440"/>
            <w:shd w:fill="FFDCE0" w:val="clear"/>
          </w:tcPr>
          <w:p>
            <w:r>
              <w:rPr>
                <w:sz w:val="17"/>
              </w:rPr>
              <w:t>2,133</w:t>
            </w:r>
          </w:p>
        </w:tc>
        <w:tc>
          <w:tcPr>
            <w:tcW w:type="dxa" w:w="1440"/>
            <w:shd w:fill="FFDCE0" w:val="clear"/>
          </w:tcPr>
          <w:p>
            <w:r>
              <w:rPr>
                <w:b/>
                <w:color w:val="C00000"/>
                <w:sz w:val="17"/>
              </w:rPr>
              <w:t>-2.6%</w:t>
            </w:r>
          </w:p>
        </w:tc>
      </w:tr>
      <w:tr>
        <w:tc>
          <w:tcPr>
            <w:tcW w:type="dxa" w:w="1440"/>
            <w:shd w:fill="FFDCE0" w:val="clear"/>
          </w:tcPr>
          <w:p>
            <w:r>
              <w:rPr>
                <w:sz w:val="17"/>
              </w:rPr>
              <w:t>J+5  ⭐</w:t>
            </w:r>
          </w:p>
        </w:tc>
        <w:tc>
          <w:tcPr>
            <w:tcW w:type="dxa" w:w="1440"/>
            <w:shd w:fill="FFDCE0" w:val="clear"/>
          </w:tcPr>
          <w:p>
            <w:r>
              <w:rPr>
                <w:sz w:val="17"/>
              </w:rPr>
              <w:t>2026-08-14</w:t>
            </w:r>
          </w:p>
        </w:tc>
        <w:tc>
          <w:tcPr>
            <w:tcW w:type="dxa" w:w="1440"/>
            <w:shd w:fill="FFDCE0" w:val="clear"/>
          </w:tcPr>
          <w:p>
            <w:r>
              <w:rPr>
                <w:sz w:val="17"/>
              </w:rPr>
              <w:t>1,529</w:t>
            </w:r>
          </w:p>
        </w:tc>
        <w:tc>
          <w:tcPr>
            <w:tcW w:type="dxa" w:w="1440"/>
            <w:shd w:fill="FFDCE0" w:val="clear"/>
          </w:tcPr>
          <w:p>
            <w:r>
              <w:rPr>
                <w:b/>
                <w:sz w:val="17"/>
              </w:rPr>
              <w:t>1,842</w:t>
            </w:r>
          </w:p>
        </w:tc>
        <w:tc>
          <w:tcPr>
            <w:tcW w:type="dxa" w:w="1440"/>
            <w:shd w:fill="FFDCE0" w:val="clear"/>
          </w:tcPr>
          <w:p>
            <w:r>
              <w:rPr>
                <w:sz w:val="17"/>
              </w:rPr>
              <w:t>2,155</w:t>
            </w:r>
          </w:p>
        </w:tc>
        <w:tc>
          <w:tcPr>
            <w:tcW w:type="dxa" w:w="1440"/>
            <w:shd w:fill="FFDCE0" w:val="clear"/>
          </w:tcPr>
          <w:p>
            <w:r>
              <w:rPr>
                <w:b/>
                <w:color w:val="C00000"/>
                <w:sz w:val="17"/>
              </w:rPr>
              <w:t>-3.0%</w:t>
            </w:r>
          </w:p>
        </w:tc>
      </w:tr>
      <w:tr>
        <w:tc>
          <w:tcPr>
            <w:tcW w:type="dxa" w:w="1440"/>
            <w:shd w:fill="FFDCE0" w:val="clear"/>
          </w:tcPr>
          <w:p>
            <w:r>
              <w:rPr>
                <w:sz w:val="17"/>
              </w:rPr>
              <w:t>J+6  ⭐</w:t>
            </w:r>
          </w:p>
        </w:tc>
        <w:tc>
          <w:tcPr>
            <w:tcW w:type="dxa" w:w="1440"/>
            <w:shd w:fill="FFDCE0" w:val="clear"/>
          </w:tcPr>
          <w:p>
            <w:r>
              <w:rPr>
                <w:sz w:val="17"/>
              </w:rPr>
              <w:t>2026-08-17</w:t>
            </w:r>
          </w:p>
        </w:tc>
        <w:tc>
          <w:tcPr>
            <w:tcW w:type="dxa" w:w="1440"/>
            <w:shd w:fill="FFDCE0" w:val="clear"/>
          </w:tcPr>
          <w:p>
            <w:r>
              <w:rPr>
                <w:sz w:val="17"/>
              </w:rPr>
              <w:t>1,492</w:t>
            </w:r>
          </w:p>
        </w:tc>
        <w:tc>
          <w:tcPr>
            <w:tcW w:type="dxa" w:w="1440"/>
            <w:shd w:fill="FFDCE0" w:val="clear"/>
          </w:tcPr>
          <w:p>
            <w:r>
              <w:rPr>
                <w:b/>
                <w:sz w:val="17"/>
              </w:rPr>
              <w:t>1,833</w:t>
            </w:r>
          </w:p>
        </w:tc>
        <w:tc>
          <w:tcPr>
            <w:tcW w:type="dxa" w:w="1440"/>
            <w:shd w:fill="FFDCE0" w:val="clear"/>
          </w:tcPr>
          <w:p>
            <w:r>
              <w:rPr>
                <w:sz w:val="17"/>
              </w:rPr>
              <w:t>2,174</w:t>
            </w:r>
          </w:p>
        </w:tc>
        <w:tc>
          <w:tcPr>
            <w:tcW w:type="dxa" w:w="1440"/>
            <w:shd w:fill="FFDCE0" w:val="clear"/>
          </w:tcPr>
          <w:p>
            <w:r>
              <w:rPr>
                <w:b/>
                <w:color w:val="C00000"/>
                <w:sz w:val="17"/>
              </w:rPr>
              <w:t>-3.5%</w:t>
            </w:r>
          </w:p>
        </w:tc>
      </w:tr>
      <w:tr>
        <w:tc>
          <w:tcPr>
            <w:tcW w:type="dxa" w:w="1440"/>
            <w:shd w:fill="FFDCE0" w:val="clear"/>
          </w:tcPr>
          <w:p>
            <w:r>
              <w:rPr>
                <w:sz w:val="17"/>
              </w:rPr>
              <w:t>J+7  ⭐</w:t>
            </w:r>
          </w:p>
        </w:tc>
        <w:tc>
          <w:tcPr>
            <w:tcW w:type="dxa" w:w="1440"/>
            <w:shd w:fill="FFDCE0" w:val="clear"/>
          </w:tcPr>
          <w:p>
            <w:r>
              <w:rPr>
                <w:sz w:val="17"/>
              </w:rPr>
              <w:t>2026-08-18</w:t>
            </w:r>
          </w:p>
        </w:tc>
        <w:tc>
          <w:tcPr>
            <w:tcW w:type="dxa" w:w="1440"/>
            <w:shd w:fill="FFDCE0" w:val="clear"/>
          </w:tcPr>
          <w:p>
            <w:r>
              <w:rPr>
                <w:sz w:val="17"/>
              </w:rPr>
              <w:t>1,458</w:t>
            </w:r>
          </w:p>
        </w:tc>
        <w:tc>
          <w:tcPr>
            <w:tcW w:type="dxa" w:w="1440"/>
            <w:shd w:fill="FFDCE0" w:val="clear"/>
          </w:tcPr>
          <w:p>
            <w:r>
              <w:rPr>
                <w:b/>
                <w:sz w:val="17"/>
              </w:rPr>
              <w:t>1,824</w:t>
            </w:r>
          </w:p>
        </w:tc>
        <w:tc>
          <w:tcPr>
            <w:tcW w:type="dxa" w:w="1440"/>
            <w:shd w:fill="FFDCE0" w:val="clear"/>
          </w:tcPr>
          <w:p>
            <w:r>
              <w:rPr>
                <w:sz w:val="17"/>
              </w:rPr>
              <w:t>2,191</w:t>
            </w:r>
          </w:p>
        </w:tc>
        <w:tc>
          <w:tcPr>
            <w:tcW w:type="dxa" w:w="1440"/>
            <w:shd w:fill="FFDCE0" w:val="clear"/>
          </w:tcPr>
          <w:p>
            <w:r>
              <w:rPr>
                <w:b/>
                <w:color w:val="C00000"/>
                <w:sz w:val="17"/>
              </w:rPr>
              <w:t>-4.0%</w:t>
            </w:r>
          </w:p>
        </w:tc>
      </w:tr>
      <w:tr>
        <w:tc>
          <w:tcPr>
            <w:tcW w:type="dxa" w:w="1440"/>
            <w:shd w:fill="FFDCE0" w:val="clear"/>
          </w:tcPr>
          <w:p>
            <w:r>
              <w:rPr>
                <w:sz w:val="17"/>
              </w:rPr>
              <w:t>J+8  ⭐</w:t>
            </w:r>
          </w:p>
        </w:tc>
        <w:tc>
          <w:tcPr>
            <w:tcW w:type="dxa" w:w="1440"/>
            <w:shd w:fill="FFDCE0" w:val="clear"/>
          </w:tcPr>
          <w:p>
            <w:r>
              <w:rPr>
                <w:sz w:val="17"/>
              </w:rPr>
              <w:t>2026-08-19</w:t>
            </w:r>
          </w:p>
        </w:tc>
        <w:tc>
          <w:tcPr>
            <w:tcW w:type="dxa" w:w="1440"/>
            <w:shd w:fill="FFDCE0" w:val="clear"/>
          </w:tcPr>
          <w:p>
            <w:r>
              <w:rPr>
                <w:sz w:val="17"/>
              </w:rPr>
              <w:t>1,425</w:t>
            </w:r>
          </w:p>
        </w:tc>
        <w:tc>
          <w:tcPr>
            <w:tcW w:type="dxa" w:w="1440"/>
            <w:shd w:fill="FFDCE0" w:val="clear"/>
          </w:tcPr>
          <w:p>
            <w:r>
              <w:rPr>
                <w:b/>
                <w:sz w:val="17"/>
              </w:rPr>
              <w:t>1,815</w:t>
            </w:r>
          </w:p>
        </w:tc>
        <w:tc>
          <w:tcPr>
            <w:tcW w:type="dxa" w:w="1440"/>
            <w:shd w:fill="FFDCE0" w:val="clear"/>
          </w:tcPr>
          <w:p>
            <w:r>
              <w:rPr>
                <w:sz w:val="17"/>
              </w:rPr>
              <w:t>2,205</w:t>
            </w:r>
          </w:p>
        </w:tc>
        <w:tc>
          <w:tcPr>
            <w:tcW w:type="dxa" w:w="1440"/>
            <w:shd w:fill="FFDCE0" w:val="clear"/>
          </w:tcPr>
          <w:p>
            <w:r>
              <w:rPr>
                <w:b/>
                <w:color w:val="C00000"/>
                <w:sz w:val="17"/>
              </w:rPr>
              <w:t>-4.5%</w:t>
            </w:r>
          </w:p>
        </w:tc>
      </w:tr>
      <w:tr>
        <w:tc>
          <w:tcPr>
            <w:tcW w:type="dxa" w:w="1440"/>
            <w:shd w:fill="FFDCE0" w:val="clear"/>
          </w:tcPr>
          <w:p>
            <w:r>
              <w:rPr>
                <w:sz w:val="17"/>
              </w:rPr>
              <w:t>J+9  ⭐</w:t>
            </w:r>
          </w:p>
        </w:tc>
        <w:tc>
          <w:tcPr>
            <w:tcW w:type="dxa" w:w="1440"/>
            <w:shd w:fill="FFDCE0" w:val="clear"/>
          </w:tcPr>
          <w:p>
            <w:r>
              <w:rPr>
                <w:sz w:val="17"/>
              </w:rPr>
              <w:t>2026-08-20</w:t>
            </w:r>
          </w:p>
        </w:tc>
        <w:tc>
          <w:tcPr>
            <w:tcW w:type="dxa" w:w="1440"/>
            <w:shd w:fill="FFDCE0" w:val="clear"/>
          </w:tcPr>
          <w:p>
            <w:r>
              <w:rPr>
                <w:sz w:val="17"/>
              </w:rPr>
              <w:t>1,395</w:t>
            </w:r>
          </w:p>
        </w:tc>
        <w:tc>
          <w:tcPr>
            <w:tcW w:type="dxa" w:w="1440"/>
            <w:shd w:fill="FFDCE0" w:val="clear"/>
          </w:tcPr>
          <w:p>
            <w:r>
              <w:rPr>
                <w:b/>
                <w:sz w:val="17"/>
              </w:rPr>
              <w:t>1,807</w:t>
            </w:r>
          </w:p>
        </w:tc>
        <w:tc>
          <w:tcPr>
            <w:tcW w:type="dxa" w:w="1440"/>
            <w:shd w:fill="FFDCE0" w:val="clear"/>
          </w:tcPr>
          <w:p>
            <w:r>
              <w:rPr>
                <w:sz w:val="17"/>
              </w:rPr>
              <w:t>2,218</w:t>
            </w:r>
          </w:p>
        </w:tc>
        <w:tc>
          <w:tcPr>
            <w:tcW w:type="dxa" w:w="1440"/>
            <w:shd w:fill="FFDCE0" w:val="clear"/>
          </w:tcPr>
          <w:p>
            <w:r>
              <w:rPr>
                <w:b/>
                <w:color w:val="C00000"/>
                <w:sz w:val="17"/>
              </w:rPr>
              <w:t>-4.9%</w:t>
            </w:r>
          </w:p>
        </w:tc>
      </w:tr>
      <w:tr>
        <w:tc>
          <w:tcPr>
            <w:tcW w:type="dxa" w:w="1440"/>
            <w:shd w:fill="FFDCE0" w:val="clear"/>
          </w:tcPr>
          <w:p>
            <w:r>
              <w:rPr>
                <w:sz w:val="17"/>
              </w:rPr>
              <w:t>J+10  ⭐</w:t>
            </w:r>
          </w:p>
        </w:tc>
        <w:tc>
          <w:tcPr>
            <w:tcW w:type="dxa" w:w="1440"/>
            <w:shd w:fill="FFDCE0" w:val="clear"/>
          </w:tcPr>
          <w:p>
            <w:r>
              <w:rPr>
                <w:sz w:val="17"/>
              </w:rPr>
              <w:t>2026-08-21</w:t>
            </w:r>
          </w:p>
        </w:tc>
        <w:tc>
          <w:tcPr>
            <w:tcW w:type="dxa" w:w="1440"/>
            <w:shd w:fill="FFDCE0" w:val="clear"/>
          </w:tcPr>
          <w:p>
            <w:r>
              <w:rPr>
                <w:sz w:val="17"/>
              </w:rPr>
              <w:t>1,366</w:t>
            </w:r>
          </w:p>
        </w:tc>
        <w:tc>
          <w:tcPr>
            <w:tcW w:type="dxa" w:w="1440"/>
            <w:shd w:fill="FFDCE0" w:val="clear"/>
          </w:tcPr>
          <w:p>
            <w:r>
              <w:rPr>
                <w:b/>
                <w:sz w:val="17"/>
              </w:rPr>
              <w:t>1,798</w:t>
            </w:r>
          </w:p>
        </w:tc>
        <w:tc>
          <w:tcPr>
            <w:tcW w:type="dxa" w:w="1440"/>
            <w:shd w:fill="FFDCE0" w:val="clear"/>
          </w:tcPr>
          <w:p>
            <w:r>
              <w:rPr>
                <w:sz w:val="17"/>
              </w:rPr>
              <w:t>2,230</w:t>
            </w:r>
          </w:p>
        </w:tc>
        <w:tc>
          <w:tcPr>
            <w:tcW w:type="dxa" w:w="1440"/>
            <w:shd w:fill="FFDCE0" w:val="clear"/>
          </w:tcPr>
          <w:p>
            <w:r>
              <w:rPr>
                <w:b/>
                <w:color w:val="C00000"/>
                <w:sz w:val="17"/>
              </w:rPr>
              <w:t>-5.4%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d'UNXC s'établit à 39,42 milliards FCFA, un niveau intermédiaire sur la BRVM qui reflète un profil de moyenne capitalisation. Le BPA est négatif à -105 FCFA, traduisant la perte nette enregistrée sur l'exercice 2024, ce qui rend le PER non significatif (-18,0x) — les investisseurs ne peuvent pas valoriser la société sur la base de ses bénéfices actuels, mais plutôt sur ses actifs et ses perspectives de redressement. Le P/B de 2,53x indique que le marché valorise la société à plus de deux fois ses capitaux propres, ce qui suggère qu'une prime de croissance est accordée malgré les pertes, probablement en anticipation d'une amélioration opérationnelle. En l'absence de données fiables sur l'EBITDA, le ratio EV/EBITDA ne peut être calculé, mais la combinaison d'un P/B élevé et d'un PER négatif signale une valorisation qui repose essentiellement sur des anticipations de retour à la rentabilité plutôt que sur les performances passées.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UNXC a enregistré une baisse significative de -9,52%, avec un cours actuel de 1 900 FCFA, malgré une légère hausse de +0,26% lors de la dernière séance. Le cours a évolué dans une fourchette large de 1 250 à 2 100 FCFA, illustrant une volatilité marquée et des phases de fortes fluctuations. La moyenne de 1 868 FCFA est très proche de la médiane de 1 900 FCFA, indiquant une distribution relativement symétrique des cours autour de ces niveaux, bien que le mode de 1 970 FCFA suggère une concentration des échanges à des niveaux supérieurs. L'écart-type de 169 FCFA, avec un coefficient de variation de 9,0%, témoigne d'une dispersion modérée des prix. Le kurtosis élevé de 3,399 (leptokurtique) signale un risque de mouvements extrêmes, tandis que le skewness négatif de -1,749 indique une asymétrie vers des journées de forte baisse, malgré une tendance générale au-dessus de la moyenne. La volatilité annualisée de 49,0% classe le titre comme très risqué, bien au-delà du seuil de 30% considéré comme élevé, ce qui reflète l'incertitude entourant la valeur.</w:t>
      </w:r>
    </w:p>
    <w:p>
      <w:pPr>
        <w:spacing w:after="120" w:line="276" w:lineRule="auto" w:before="240"/>
      </w:pPr>
      <w:r>
        <w:rPr>
          <w:b/>
          <w:color w:val="003366"/>
          <w:sz w:val="24"/>
        </w:rPr>
        <w:t>**PARTIE 2 : ANALYSE TECHNIQUE DÉTAILLÉE**</w:t>
      </w:r>
    </w:p>
    <w:p>
      <w:pPr>
        <w:spacing w:after="120" w:line="276" w:lineRule="auto"/>
      </w:pPr>
      <w:r>
        <w:t>**Moyennes Mobiles** : Les MM20 et MM50, respectivement à 1 809 FCFA et 1 807 FCFA, sont toutes deux inférieures au cours actuel de 1 900 FCFA, ce qui génère un signal d'achat. Cette configuration indique que la tendance de court et moyen terme est positive, le cours évoluant au-dessus de ses moyennes mobiles, ce qui suggère une dynamique haussière soutenue.</w:t>
      </w:r>
    </w:p>
    <w:p>
      <w:pPr>
        <w:spacing w:after="120" w:line="276" w:lineRule="auto"/>
      </w:pPr>
      <w:r>
        <w:t>**Bandes de Bollinger** : Le cours se situe à 1 900 FCFA, entre la borne inférieure de 1 460 FCFA et la borne supérieure de 2 158 FCFA, positionné légèrement au-dessus de la moyenne des bandes. La décision est neutre, car le prix évolue dans la zone médiane, indiquant une volatilité modérée sans excès de surachat ni de survente, mais avec une amplitude des bandes qui reflète la forte volatilité du titre.</w:t>
      </w:r>
    </w:p>
    <w:p>
      <w:pPr>
        <w:spacing w:after="120" w:line="276" w:lineRule="auto"/>
      </w:pPr>
      <w:r>
        <w:t>**MACD** : La valeur du MACD à 49,78 est supérieure à son signal à 40,07, confirmant un momentum haussier. Cette divergence positive indique que la dynamique de court terme est favorable, avec une accélération des mouvements de prix à la hausse, justifiant la décision d'achat.</w:t>
      </w:r>
    </w:p>
    <w:p>
      <w:pPr>
        <w:spacing w:after="120" w:line="276" w:lineRule="auto"/>
      </w:pPr>
      <w:r>
        <w:t>**RSI** : Le RSI à 56,47 se situe dans la zone neutre (30-70), indiquant un équilibre entre pressions acheteuses et vendeuses. Cette valeur ne montre ni surachat ni survente, laissant une marge de manœuvre pour une poursuite de la hausse sans risque immédiat de retournement.</w:t>
      </w:r>
    </w:p>
    <w:p>
      <w:pPr>
        <w:spacing w:after="120" w:line="276" w:lineRule="auto"/>
      </w:pPr>
      <w:r>
        <w:t>**Stochastique** : Le %K à 50,0 et le %D à 51,44 sont très proches, sans croisement significatif, ce qui indique une absence de signal directionnel fort. La décision neutre reflète une phase de consolidation où les forces haussières et baissières s'équilibrent.</w:t>
      </w:r>
    </w:p>
    <w:p>
      <w:pPr>
        <w:spacing w:after="120" w:line="276" w:lineRule="auto"/>
      </w:pPr>
      <w:r>
        <w:t>**Conclusion technique** : Les indicateurs techniques sont globalement mitigés, avec des signaux d'achat provenant des moyennes mobiles et du MACD, mais des signaux neutres du RSI, du Stochastique et des Bandes de Bollinger. Cette configuration suggère une tendance haussière modérée mais fragile, avec un risque de consolidation à court terme. La prudence reste de mise tant que le cours ne confirme pas une cassure au-dessus des 2 000 FCFA.</w:t>
      </w:r>
    </w:p>
    <w:p>
      <w:pPr>
        <w:spacing w:after="120" w:line="276" w:lineRule="auto" w:before="240"/>
      </w:pPr>
      <w:r>
        <w:rPr>
          <w:b/>
          <w:color w:val="003366"/>
          <w:sz w:val="24"/>
        </w:rPr>
        <w:t>**PARTIE 3 : ANALYSE FONDAMENTALE (SECTION CRITIQUE)**</w:t>
      </w:r>
    </w:p>
    <w:p>
      <w:pPr>
        <w:spacing w:after="120" w:line="276" w:lineRule="auto"/>
      </w:pPr>
      <w:r>
        <w:t>En 2024, les données structurées montrent qu'UNXC a réalisé un chiffre d'affaires de 27,33 milliards FCFA, en croissance de 15,4% par rapport à 2023, mais avec un résultat net déficitaire de -2,19 milliards FCFA, soit une marge nette de -8,0%. Le ROE est négatif à -14,04% et le ROA à -6,39%, reflétant une rentabilité insuffisante des capitaux propres et des actifs. La structure financière reste fragile avec un ratio d'endettement de 119,6% et un BFR de 2,15 milliards FCFA, bien que la liquidité générale de 126,2% soit acceptable. Les délais clients de 51 jours et fournisseurs de 268 jours indiquent une gestion de trésorerie tendue, mais le délai de stockage de 255 jours souligne une immobilisation importante de capital. Selon le rapport du 1er semestre 2025 (daté de mars 2026), le CA semestriel a progressé de 12,5% à 15,71 milliards FCFA, avec un résultat net exceptionnel de 8,22 milliards FCFA, mais ce bénéfice est entièrement attribuable à la cession-bail du terrain (produit hors activités ordinaires de 9,99 milliards FCFA), masquant une perte opérationnelle de -314 millions FCFA. Le rapport du 3ème trimestre 2025 confirme cette tendance avec un CA cumulé de 22,47 milliards FCFA (+13%), mais un résultat des activités ordinaires encore négatif à -371 millions FCFA, bien qu'en amélioration de 80%. Le rapport S1 2026 (publié en 2026) marque un tournant décisif : le résultat d'exploitation redevient positif à 771 millions FCFA, contre -314 millions FCFA au S1 2025, et le résultat net atteint 771 millions FCFA, hors éléments exceptionnels. Sur la base de ces rapports, on estime que l'exercice 2026 devrait confirmer ce retour à la rentabilité opérationnelle, avec un CA annuel projeté autour de 30 milliards FCFA et un résultat net positif récurrent, si la dynamique commerciale se maintient.</w:t>
      </w:r>
    </w:p>
    <w:p>
      <w:pPr>
        <w:spacing w:after="120" w:line="276" w:lineRule="auto" w:before="240"/>
      </w:pPr>
      <w:r>
        <w:rPr>
          <w:b/>
          <w:color w:val="003366"/>
          <w:sz w:val="24"/>
        </w:rPr>
        <w:t>**PARTIE 4 : CONCLUSION D'INVESTISSEMENT**</w:t>
      </w:r>
    </w:p>
    <w:p>
      <w:pPr>
        <w:spacing w:after="120" w:line="276" w:lineRule="auto"/>
      </w:pPr>
      <w:r>
        <w:t>La valorisation d'UNXC est délicate : avec un PER négatif et un P/B de 2,53x, le marché anticipe une reprise, mais la prime de croissance semble élevée au vu des pertes récentes. Le comportement du cours sur 100 jours montre une tendance baissière de -9,52%, avec une volatilité très élevée de 49% et un skewness négatif, signalant un risque de mouvements brusques à la baisse. Les signaux techniques sont mitigés, avec des indicateurs d'achat (MM, MACD) contrebalancés par des indicateurs neutres (RSI, Stochastique), reflétant une incertitude persistante. Les fondamentaux, bien que dégradés en 2024, montrent des signes nets de redressement : le retour à un résultat d'exploitation positif au S1 2026 (+771 millions FCFA) et la réduction des pertes en 2025 (-624 millions FCFA) indiquent une amélioration structurelle. Les prédictions IA pour les 10 prochains jours prévoient une légère baisse du cours de 1 900 à 1 842 FCFA, ce qui contredit les signaux techniques haussiers et suggère une consolidation à court terme. En synthèse, la convergence entre l'amélioration fondamentale et les signaux techniques positifs est partiellement contrebalancée par la volatilité et les prédictions baissières à court terme. La recommandation est **CONSERVER** avec un niveau de confiance **Moyen**, un risque global **Élevé**, et un horizon d'investissement **moyen terme (3-12 mois)** pour capitaliser sur la confirmation du redressement opérationnel, tout en surveillant la capacité de l'entreprise à maintenir sa rentabilité au-delà des effets exceptionnels.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