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25/08/2026 à 04:58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SCRC  (score 80/100)</w:t>
      </w:r>
    </w:p>
    <w:p>
      <w:pPr>
        <w:spacing w:before="20" w:after="20"/>
        <w:ind w:left="360" w:right="360"/>
        <w:shd w:val="clear" w:color="auto" w:fill="EBF5FB"/>
      </w:pPr>
      <w:r>
        <w:rPr>
          <w:b/>
          <w:sz w:val="19"/>
        </w:rPr>
        <w:t xml:space="preserve">Secteur surperformant :  </w:t>
      </w:r>
      <w:r>
        <w:rPr>
          <w:color w:val="008000"/>
          <w:sz w:val="19"/>
        </w:rPr>
        <w:t>SERVICES PUBLICS  (+86.7%)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530.07 points </w:t>
      </w:r>
      <w:r>
        <w:rPr>
          <w:color w:val="008000"/>
        </w:rPr>
        <w:t>(+0.17%)</w:t>
      </w:r>
      <w:r>
        <w:t xml:space="preserve"> sur la séance. </w:t>
      </w:r>
      <w:r>
        <w:t>La capitalisation globale du marché atteint 2 044,034 milliards FCFA.</w:t>
      </w:r>
    </w:p>
    <w:p/>
    <w:p>
      <w:pPr>
        <w:pStyle w:val="Heading3"/>
      </w:pPr>
      <w:r>
        <w:t>📊 Évolution de l'indice BRVM Composite (100 derniers jours)</w:t>
      </w:r>
    </w:p>
    <w:p>
      <w:r>
        <w:rPr>
          <w:b/>
        </w:rPr>
        <w:t xml:space="preserve">BRVM Composite — </w:t>
      </w:r>
      <w:r>
        <w:t xml:space="preserve">Sur les 100 derniers jours de cotation (2026-03-30 au 2026-08-24), l'indice BRVM Composite a évolué de </w:t>
      </w:r>
      <w:r>
        <w:rPr>
          <w:b/>
          <w:color w:val="008000"/>
        </w:rPr>
        <w:t>+31.41%</w:t>
      </w:r>
      <w:r>
        <w:t>, passant de 403.36 pts à 530.07 pts. Le plus haut atteint est 530.07 pts et le plus bas 397.33 pts. Sur l'ensemble de la période, la moyenne de l'indice s'établit à 444.02 pts, la médiane à 436.85 pts et le mode à 403.36 pts</w:t>
      </w:r>
      <w:r>
        <w:t xml:space="preserve"> (asymétrie positive — plus de jours sous la moyenne). </w:t>
      </w:r>
      <w:r>
        <w:t xml:space="preserve">L'écart-type de 36.40 pts (CV=8.2%) traduit une modérée dispersion des cotations. Le kurtosis de -0.98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-86.86%</w:t>
      </w:r>
      <w:r>
        <w:t xml:space="preserve"> sur la période, passant de 15 551,972 Mds FCFA à 2 044,034 Mds FCFA. Le pic de capitalisation observé est de 19 886,911 Mds FCFA et le plancher de 2 003,618 Mds FCFA. La moyenne de la capitalisation sur la période s'établit à 16 564,619 Mds FCFA, la médiane à 16 816,942 Mds FCFA et le mode à 2 003,618 Mds FCFA</w:t>
      </w:r>
      <w:r>
        <w:t xml:space="preserve"> (asymétrie négative). </w:t>
      </w:r>
      <w:r>
        <w:t>L'écart-type de 2 871,319 Mds FCFA (CV=17.3%) reflète une forte variabilité de la valorisation du marché. Le kurtosis de 17.22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3600 FCFA | </w:t>
      </w:r>
      <w:r>
        <w:rPr>
          <w:b/>
          <w:color w:val="008000"/>
        </w:rPr>
        <w:t>ACHAT</w:t>
      </w:r>
      <w:r>
        <w:t xml:space="preserve"> | Confiance: Faible | Risque: Faible</w:t>
      </w:r>
    </w:p>
    <w:p>
      <w:pPr>
        <w:pStyle w:val="ListNumber"/>
      </w:pPr>
      <w:r>
        <w:rPr>
          <w:b/>
        </w:rPr>
        <w:t>BICB - BIIC BN - Banque internationale pour le commerce du benin</w:t>
      </w:r>
      <w:r>
        <w:t xml:space="preserve"> | Prix: 8495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28600 FCFA | </w:t>
      </w:r>
      <w:r>
        <w:rPr>
          <w:b/>
          <w:color w:val="008000"/>
        </w:rPr>
        <w:t>ACHAT</w:t>
      </w:r>
      <w:r>
        <w:t xml:space="preserve"> | Confiance: Élevée | Risque: Moyen</w:t>
      </w:r>
    </w:p>
    <w:p>
      <w:pPr>
        <w:pStyle w:val="ListNumber"/>
      </w:pPr>
      <w:r>
        <w:rPr>
          <w:b/>
        </w:rPr>
        <w:t>BNBC - BNBC - BERNABE CI</w:t>
      </w:r>
      <w:r>
        <w:t xml:space="preserve"> | Prix: 1990 FCFA | </w:t>
      </w:r>
      <w:r>
        <w:rPr>
          <w:b/>
          <w:color w:val="008000"/>
        </w:rPr>
        <w:t>ACHAT</w:t>
      </w:r>
      <w:r>
        <w:t xml:space="preserve"> | Confiance: Élevée | Risque: Faible</w:t>
      </w:r>
    </w:p>
    <w:p>
      <w:pPr>
        <w:pStyle w:val="ListNumber"/>
      </w:pPr>
      <w:r>
        <w:rPr>
          <w:b/>
        </w:rPr>
        <w:t>BOAB - BANK OF AFRICA BENIN</w:t>
      </w:r>
      <w:r>
        <w:t xml:space="preserve"> | Prix: 9990 FCFA | </w:t>
      </w:r>
      <w:r>
        <w:rPr>
          <w:b/>
          <w:color w:val="008000"/>
        </w:rPr>
        <w:t>ACHAT</w:t>
      </w:r>
      <w:r>
        <w:t xml:space="preserve"> | Confiance: Faible | Risque: Moyen</w:t>
      </w:r>
    </w:p>
    <w:p>
      <w:pPr>
        <w:pStyle w:val="ListNumber"/>
      </w:pPr>
      <w:r>
        <w:rPr>
          <w:b/>
        </w:rPr>
        <w:t>BOABF - BANK OF AFRICA BURKINA FASO</w:t>
      </w:r>
      <w:r>
        <w:t xml:space="preserve"> | Prix: 8000 FCFA | </w:t>
      </w:r>
      <w:r>
        <w:rPr>
          <w:b/>
          <w:color w:val="008000"/>
        </w:rPr>
        <w:t>ACHAT</w:t>
      </w:r>
      <w:r>
        <w:t xml:space="preserve"> | Confiance: Faible | Risque: Faible</w:t>
      </w:r>
    </w:p>
    <w:p>
      <w:pPr>
        <w:pStyle w:val="ListNumber"/>
      </w:pPr>
      <w:r>
        <w:rPr>
          <w:b/>
        </w:rPr>
        <w:t>BOAC - BANK OF AFRICA COTE D'IVOIRE</w:t>
      </w:r>
      <w:r>
        <w:t xml:space="preserve"> | Prix: 12985 FCFA | </w:t>
      </w:r>
      <w:r>
        <w:rPr>
          <w:b/>
          <w:color w:val="008000"/>
        </w:rPr>
        <w:t>ACHAT</w:t>
      </w:r>
      <w:r>
        <w:t xml:space="preserve"> | Confiance: Élevée | Risque: Faible</w:t>
      </w:r>
    </w:p>
    <w:p>
      <w:pPr>
        <w:pStyle w:val="ListNumber"/>
      </w:pPr>
      <w:r>
        <w:rPr>
          <w:b/>
        </w:rPr>
        <w:t>BOAM - BANK OF AFRICA MALI</w:t>
      </w:r>
      <w:r>
        <w:t xml:space="preserve"> | Prix: 6550 FCFA | </w:t>
      </w:r>
      <w:r>
        <w:rPr>
          <w:b/>
          <w:color w:val="008000"/>
        </w:rPr>
        <w:t>ACHAT</w:t>
      </w:r>
      <w:r>
        <w:t xml:space="preserve"> | Confiance: Moyen | Risque: Faible</w:t>
      </w:r>
    </w:p>
    <w:p>
      <w:pPr>
        <w:pStyle w:val="ListNumber"/>
      </w:pPr>
      <w:r>
        <w:rPr>
          <w:b/>
        </w:rPr>
        <w:t>BOAN - BANK OF AFRICA NIGER</w:t>
      </w:r>
      <w:r>
        <w:t xml:space="preserve"> | Prix: 5345 FCFA | </w:t>
      </w:r>
      <w:r>
        <w:rPr>
          <w:b/>
          <w:color w:val="008000"/>
        </w:rPr>
        <w:t>ACHAT</w:t>
      </w:r>
      <w:r>
        <w:t xml:space="preserve"> | Confiance: Faible | Risque: Moyen</w:t>
      </w:r>
    </w:p>
    <w:p>
      <w:pPr>
        <w:pStyle w:val="ListNumber"/>
      </w:pPr>
      <w:r>
        <w:rPr>
          <w:b/>
        </w:rPr>
        <w:t>BOAS - BANK OF AFRICA SENEGAL</w:t>
      </w:r>
      <w:r>
        <w:t xml:space="preserve"> | Prix: 8500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86.69%</w:t>
      </w:r>
      <w:r>
        <w:t xml:space="preserve">  |  </w:t>
      </w:r>
      <w:r>
        <w:rPr>
          <w:b/>
        </w:rPr>
        <w:t xml:space="preserve">vs BRVM Composite: </w:t>
      </w:r>
      <w:r>
        <w:rPr>
          <w:b/>
          <w:color w:val="008000"/>
        </w:rPr>
        <w:t>+55.27%  🟢 Surperformance</w:t>
      </w:r>
      <w:r>
        <w:br/>
      </w:r>
      <w:r>
        <w:rPr>
          <w:b/>
        </w:rPr>
        <w:t xml:space="preserve">Sentiment général: </w:t>
      </w:r>
      <w:r>
        <w:t xml:space="preserve">ACHAT  |  </w:t>
      </w:r>
      <w:r>
        <w:rPr>
          <w:b/>
        </w:rPr>
        <w:t xml:space="preserve">Risque moyen: </w:t>
      </w:r>
      <w:r>
        <w:t xml:space="preserve">Moyen  |  </w:t>
      </w:r>
      <w:r>
        <w:rPr>
          <w:b/>
        </w:rPr>
        <w:t xml:space="preserve">Prix moyen: </w:t>
      </w:r>
      <w:r>
        <w:t>9485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43.34%</w:t>
      </w:r>
      <w:r>
        <w:t xml:space="preserve">  |  </w:t>
      </w:r>
      <w:r>
        <w:rPr>
          <w:b/>
        </w:rPr>
        <w:t xml:space="preserve">vs BRVM Composite: </w:t>
      </w:r>
      <w:r>
        <w:rPr>
          <w:b/>
          <w:color w:val="008000"/>
        </w:rPr>
        <w:t>+11.93%  🟢 Surperformance</w:t>
      </w:r>
      <w:r>
        <w:br/>
      </w:r>
      <w:r>
        <w:rPr>
          <w:b/>
        </w:rPr>
        <w:t xml:space="preserve">Sentiment général: </w:t>
      </w:r>
      <w:r>
        <w:t xml:space="preserve">ACHAT  |  </w:t>
      </w:r>
      <w:r>
        <w:rPr>
          <w:b/>
        </w:rPr>
        <w:t xml:space="preserve">Risque moyen: </w:t>
      </w:r>
      <w:r>
        <w:t xml:space="preserve">Moyen  |  </w:t>
      </w:r>
      <w:r>
        <w:rPr>
          <w:b/>
        </w:rPr>
        <w:t xml:space="preserve">Prix moyen: </w:t>
      </w:r>
      <w:r>
        <w:t>13390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33.01%</w:t>
      </w:r>
      <w:r>
        <w:t xml:space="preserve">  |  </w:t>
      </w:r>
      <w:r>
        <w:rPr>
          <w:b/>
        </w:rPr>
        <w:t xml:space="preserve">vs BRVM Composite: </w:t>
      </w:r>
      <w:r>
        <w:rPr>
          <w:b/>
          <w:color w:val="008000"/>
        </w:rPr>
        <w:t>+1.59%  🟢 Surperformance</w:t>
      </w:r>
      <w:r>
        <w:br/>
      </w:r>
      <w:r>
        <w:rPr>
          <w:b/>
        </w:rPr>
        <w:t xml:space="preserve">Sentiment général: </w:t>
      </w:r>
      <w:r>
        <w:t xml:space="preserve">ACHAT  |  </w:t>
      </w:r>
      <w:r>
        <w:rPr>
          <w:b/>
        </w:rPr>
        <w:t xml:space="preserve">Risque moyen: </w:t>
      </w:r>
      <w:r>
        <w:t xml:space="preserve">Moyen  |  </w:t>
      </w:r>
      <w:r>
        <w:rPr>
          <w:b/>
        </w:rPr>
        <w:t xml:space="preserve">Prix moyen: </w:t>
      </w:r>
      <w:r>
        <w:t>18657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23.81%</w:t>
      </w:r>
      <w:r>
        <w:t xml:space="preserve">  |  </w:t>
      </w:r>
      <w:r>
        <w:rPr>
          <w:b/>
        </w:rPr>
        <w:t xml:space="preserve">vs BRVM Composite: </w:t>
      </w:r>
      <w:r>
        <w:rPr>
          <w:b/>
          <w:color w:val="C00000"/>
        </w:rPr>
        <w:t>-7.61%  🔴 Sous-performance</w:t>
      </w:r>
      <w:r>
        <w:br/>
      </w:r>
      <w:r>
        <w:rPr>
          <w:b/>
        </w:rPr>
        <w:t xml:space="preserve">Sentiment général: </w:t>
      </w:r>
      <w:r>
        <w:t xml:space="preserve">ACHAT  |  </w:t>
      </w:r>
      <w:r>
        <w:rPr>
          <w:b/>
        </w:rPr>
        <w:t xml:space="preserve">Risque moyen: </w:t>
      </w:r>
      <w:r>
        <w:t xml:space="preserve">Moyen  |  </w:t>
      </w:r>
      <w:r>
        <w:rPr>
          <w:b/>
        </w:rPr>
        <w:t xml:space="preserve">Prix moyen: </w:t>
      </w:r>
      <w:r>
        <w:t>20197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19.87%</w:t>
      </w:r>
      <w:r>
        <w:t xml:space="preserve">  |  </w:t>
      </w:r>
      <w:r>
        <w:rPr>
          <w:b/>
        </w:rPr>
        <w:t xml:space="preserve">vs BRVM Composite: </w:t>
      </w:r>
      <w:r>
        <w:rPr>
          <w:b/>
          <w:color w:val="C00000"/>
        </w:rPr>
        <w:t>-11.54%  🔴 Sous-performance</w:t>
      </w:r>
      <w:r>
        <w:br/>
      </w:r>
      <w:r>
        <w:rPr>
          <w:b/>
        </w:rPr>
        <w:t xml:space="preserve">Sentiment général: </w:t>
      </w:r>
      <w:r>
        <w:t xml:space="preserve">ACHAT  |  </w:t>
      </w:r>
      <w:r>
        <w:rPr>
          <w:b/>
        </w:rPr>
        <w:t xml:space="preserve">Risque moyen: </w:t>
      </w:r>
      <w:r>
        <w:t xml:space="preserve">Faible  |  </w:t>
      </w:r>
      <w:r>
        <w:rPr>
          <w:b/>
        </w:rPr>
        <w:t xml:space="preserve">Prix moyen: </w:t>
      </w:r>
      <w:r>
        <w:t>6632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18.36%</w:t>
      </w:r>
      <w:r>
        <w:t xml:space="preserve">  |  </w:t>
      </w:r>
      <w:r>
        <w:rPr>
          <w:b/>
        </w:rPr>
        <w:t xml:space="preserve">vs BRVM Composite: </w:t>
      </w:r>
      <w:r>
        <w:rPr>
          <w:b/>
          <w:color w:val="C00000"/>
        </w:rPr>
        <w:t>-13.06%  🔴 Sous-performance</w:t>
      </w:r>
      <w:r>
        <w:br/>
      </w:r>
      <w:r>
        <w:rPr>
          <w:b/>
        </w:rPr>
        <w:t xml:space="preserve">Sentiment général: </w:t>
      </w:r>
      <w:r>
        <w:t xml:space="preserve">ACHAT  |  </w:t>
      </w:r>
      <w:r>
        <w:rPr>
          <w:b/>
        </w:rPr>
        <w:t xml:space="preserve">Risque moyen: </w:t>
      </w:r>
      <w:r>
        <w:t xml:space="preserve">Moyen  |  </w:t>
      </w:r>
      <w:r>
        <w:rPr>
          <w:b/>
        </w:rPr>
        <w:t xml:space="preserve">Prix moyen: </w:t>
      </w:r>
      <w:r>
        <w:t>2985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-0.62%</w:t>
      </w:r>
      <w:r>
        <w:t xml:space="preserve">  |  </w:t>
      </w:r>
      <w:r>
        <w:rPr>
          <w:b/>
        </w:rPr>
        <w:t xml:space="preserve">vs BRVM Composite: </w:t>
      </w:r>
      <w:r>
        <w:rPr>
          <w:b/>
          <w:color w:val="C00000"/>
        </w:rPr>
        <w:t>-32.03%  🔴 Sous-performance</w:t>
      </w:r>
      <w:r>
        <w:br/>
      </w:r>
      <w:r>
        <w:rPr>
          <w:b/>
        </w:rPr>
        <w:t xml:space="preserve">Sentiment général: </w:t>
      </w:r>
      <w:r>
        <w:t xml:space="preserve">ACHAT  |  </w:t>
      </w:r>
      <w:r>
        <w:rPr>
          <w:b/>
        </w:rPr>
        <w:t xml:space="preserve">Risque moyen: </w:t>
      </w:r>
      <w:r>
        <w:t xml:space="preserve">Moyen  |  </w:t>
      </w:r>
      <w:r>
        <w:rPr>
          <w:b/>
        </w:rPr>
        <w:t xml:space="preserve">Prix moyen: </w:t>
      </w:r>
      <w:r>
        <w:t>2499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BOAC, LNBB, NSBC, PALC, SAFC, SCRC, SEMC, SHEC, STAC,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BOAM, CABC, CBIBF, CIEC, ETIT, FTSC, NEIC, NTLC, ONTBF, SDSC, SIBC, SICC, SLBC, SPHC,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BICB, BOAB, BOABF, BOAN, BOAS, CFAC, ECOC, ORAC, ORGT, PRSC, SDCC, SGBC, SIVC, SMBC, SNTS, SOGC,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1663609</w:t>
            </w:r>
          </w:p>
        </w:tc>
        <w:tc>
          <w:tcPr>
            <w:tcW w:type="dxa" w:w="1728"/>
          </w:tcPr>
          <w:p>
            <w:r>
              <w:t>110172958 FCFA</w:t>
            </w:r>
          </w:p>
        </w:tc>
        <w:tc>
          <w:tcPr>
            <w:tcW w:type="dxa" w:w="1728"/>
          </w:tcPr>
          <w:p>
            <w:r>
              <w:t>109.38%</w:t>
            </w:r>
          </w:p>
        </w:tc>
        <w:tc>
          <w:tcPr>
            <w:tcW w:type="dxa" w:w="1728"/>
          </w:tcPr>
          <w:p>
            <w:r>
              <w:t>ACHAT</w:t>
            </w:r>
          </w:p>
        </w:tc>
      </w:tr>
      <w:tr>
        <w:tc>
          <w:tcPr>
            <w:tcW w:type="dxa" w:w="1728"/>
          </w:tcPr>
          <w:p>
            <w:r>
              <w:t>BICB (BIIC BN - Banque internationale pour le commerce du benin)</w:t>
            </w:r>
          </w:p>
        </w:tc>
        <w:tc>
          <w:tcPr>
            <w:tcW w:type="dxa" w:w="1728"/>
          </w:tcPr>
          <w:p>
            <w:r>
              <w:t>20502</w:t>
            </w:r>
          </w:p>
        </w:tc>
        <w:tc>
          <w:tcPr>
            <w:tcW w:type="dxa" w:w="1728"/>
          </w:tcPr>
          <w:p>
            <w:r>
              <w:t>164658584 FCFA</w:t>
            </w:r>
          </w:p>
        </w:tc>
        <w:tc>
          <w:tcPr>
            <w:tcW w:type="dxa" w:w="1728"/>
          </w:tcPr>
          <w:p>
            <w:r>
              <w:t>66.90%</w:t>
            </w:r>
          </w:p>
        </w:tc>
        <w:tc>
          <w:tcPr>
            <w:tcW w:type="dxa" w:w="1728"/>
          </w:tcPr>
          <w:p>
            <w:r>
              <w:t>ACHAT</w:t>
            </w:r>
          </w:p>
        </w:tc>
      </w:tr>
      <w:tr>
        <w:tc>
          <w:tcPr>
            <w:tcW w:type="dxa" w:w="1728"/>
          </w:tcPr>
          <w:p>
            <w:r>
              <w:t>SDSC (SDSC - AFRICA GLOBAL LOGISTICS CI)</w:t>
            </w:r>
          </w:p>
        </w:tc>
        <w:tc>
          <w:tcPr>
            <w:tcW w:type="dxa" w:w="1728"/>
          </w:tcPr>
          <w:p>
            <w:r>
              <w:t>15751</w:t>
            </w:r>
          </w:p>
        </w:tc>
        <w:tc>
          <w:tcPr>
            <w:tcW w:type="dxa" w:w="1728"/>
          </w:tcPr>
          <w:p>
            <w:r>
              <w:t>40322706 FCFA</w:t>
            </w:r>
          </w:p>
        </w:tc>
        <w:tc>
          <w:tcPr>
            <w:tcW w:type="dxa" w:w="1728"/>
          </w:tcPr>
          <w:p>
            <w:r>
              <w:t>38.82%</w:t>
            </w:r>
          </w:p>
        </w:tc>
        <w:tc>
          <w:tcPr>
            <w:tcW w:type="dxa" w:w="1728"/>
          </w:tcPr>
          <w:p>
            <w:r>
              <w:t>ACHAT</w:t>
            </w:r>
          </w:p>
        </w:tc>
      </w:tr>
      <w:tr>
        <w:tc>
          <w:tcPr>
            <w:tcW w:type="dxa" w:w="1728"/>
          </w:tcPr>
          <w:p>
            <w:r>
              <w:t>UNXC (UNXC - UNIWAX COTE D'IVOIRE)</w:t>
            </w:r>
          </w:p>
        </w:tc>
        <w:tc>
          <w:tcPr>
            <w:tcW w:type="dxa" w:w="1728"/>
          </w:tcPr>
          <w:p>
            <w:r>
              <w:t>14538</w:t>
            </w:r>
          </w:p>
        </w:tc>
        <w:tc>
          <w:tcPr>
            <w:tcW w:type="dxa" w:w="1728"/>
          </w:tcPr>
          <w:p>
            <w:r>
              <w:t>31254089 FCFA</w:t>
            </w:r>
          </w:p>
        </w:tc>
        <w:tc>
          <w:tcPr>
            <w:tcW w:type="dxa" w:w="1728"/>
          </w:tcPr>
          <w:p>
            <w:r>
              <w:t>24.75%</w:t>
            </w:r>
          </w:p>
        </w:tc>
        <w:tc>
          <w:tcPr>
            <w:tcW w:type="dxa" w:w="1728"/>
          </w:tcPr>
          <w:p>
            <w:r>
              <w:t>ACHAT</w:t>
            </w:r>
          </w:p>
        </w:tc>
      </w:tr>
      <w:tr>
        <w:tc>
          <w:tcPr>
            <w:tcW w:type="dxa" w:w="1728"/>
          </w:tcPr>
          <w:p>
            <w:r>
              <w:t>SNTS (SNTS - SONATEL SN)</w:t>
            </w:r>
          </w:p>
        </w:tc>
        <w:tc>
          <w:tcPr>
            <w:tcW w:type="dxa" w:w="1728"/>
          </w:tcPr>
          <w:p>
            <w:r>
              <w:t>12787</w:t>
            </w:r>
          </w:p>
        </w:tc>
        <w:tc>
          <w:tcPr>
            <w:tcW w:type="dxa" w:w="1728"/>
          </w:tcPr>
          <w:p>
            <w:r>
              <w:t>405796940 FCFA</w:t>
            </w:r>
          </w:p>
        </w:tc>
        <w:tc>
          <w:tcPr>
            <w:tcW w:type="dxa" w:w="1728"/>
          </w:tcPr>
          <w:p>
            <w:r>
              <w:t>28.41%</w:t>
            </w:r>
          </w:p>
        </w:tc>
        <w:tc>
          <w:tcPr>
            <w:tcW w:type="dxa" w:w="1728"/>
          </w:tcPr>
          <w:p>
            <w:r>
              <w:t>ACHAT</w:t>
            </w:r>
          </w:p>
        </w:tc>
      </w:tr>
      <w:tr>
        <w:tc>
          <w:tcPr>
            <w:tcW w:type="dxa" w:w="1728"/>
          </w:tcPr>
          <w:p>
            <w:r>
              <w:t>SOGC (SOGC - Société des caoutchoucs de Grand-Béréby)</w:t>
            </w:r>
          </w:p>
        </w:tc>
        <w:tc>
          <w:tcPr>
            <w:tcW w:type="dxa" w:w="1728"/>
          </w:tcPr>
          <w:p>
            <w:r>
              <w:t>11137</w:t>
            </w:r>
          </w:p>
        </w:tc>
        <w:tc>
          <w:tcPr>
            <w:tcW w:type="dxa" w:w="1728"/>
          </w:tcPr>
          <w:p>
            <w:r>
              <w:t>83914268 FCFA</w:t>
            </w:r>
          </w:p>
        </w:tc>
        <w:tc>
          <w:tcPr>
            <w:tcW w:type="dxa" w:w="1728"/>
          </w:tcPr>
          <w:p>
            <w:r>
              <w:t>4.43%</w:t>
            </w:r>
          </w:p>
        </w:tc>
        <w:tc>
          <w:tcPr>
            <w:tcW w:type="dxa" w:w="1728"/>
          </w:tcPr>
          <w:p>
            <w:r>
              <w:t>ACHAT</w:t>
            </w:r>
          </w:p>
        </w:tc>
      </w:tr>
      <w:tr>
        <w:tc>
          <w:tcPr>
            <w:tcW w:type="dxa" w:w="1728"/>
          </w:tcPr>
          <w:p>
            <w:r>
              <w:t>BOAS (BANK OF AFRICA SENEGAL)</w:t>
            </w:r>
          </w:p>
        </w:tc>
        <w:tc>
          <w:tcPr>
            <w:tcW w:type="dxa" w:w="1728"/>
          </w:tcPr>
          <w:p>
            <w:r>
              <w:t>10628</w:t>
            </w:r>
          </w:p>
        </w:tc>
        <w:tc>
          <w:tcPr>
            <w:tcW w:type="dxa" w:w="1728"/>
          </w:tcPr>
          <w:p>
            <w:r>
              <w:t>82404556 FCFA</w:t>
            </w:r>
          </w:p>
        </w:tc>
        <w:tc>
          <w:tcPr>
            <w:tcW w:type="dxa" w:w="1728"/>
          </w:tcPr>
          <w:p>
            <w:r>
              <w:t>28.98%</w:t>
            </w:r>
          </w:p>
        </w:tc>
        <w:tc>
          <w:tcPr>
            <w:tcW w:type="dxa" w:w="1728"/>
          </w:tcPr>
          <w:p>
            <w:r>
              <w:t>ACHAT</w:t>
            </w:r>
          </w:p>
        </w:tc>
      </w:tr>
      <w:tr>
        <w:tc>
          <w:tcPr>
            <w:tcW w:type="dxa" w:w="1728"/>
          </w:tcPr>
          <w:p>
            <w:r>
              <w:t>BOAC (BANK OF AFRICA COTE D'IVOIRE)</w:t>
            </w:r>
          </w:p>
        </w:tc>
        <w:tc>
          <w:tcPr>
            <w:tcW w:type="dxa" w:w="1728"/>
          </w:tcPr>
          <w:p>
            <w:r>
              <w:t>9267</w:t>
            </w:r>
          </w:p>
        </w:tc>
        <w:tc>
          <w:tcPr>
            <w:tcW w:type="dxa" w:w="1728"/>
          </w:tcPr>
          <w:p>
            <w:r>
              <w:t>113250023 FCFA</w:t>
            </w:r>
          </w:p>
        </w:tc>
        <w:tc>
          <w:tcPr>
            <w:tcW w:type="dxa" w:w="1728"/>
          </w:tcPr>
          <w:p>
            <w:r>
              <w:t>60.31%</w:t>
            </w:r>
          </w:p>
        </w:tc>
        <w:tc>
          <w:tcPr>
            <w:tcW w:type="dxa" w:w="1728"/>
          </w:tcPr>
          <w:p>
            <w:r>
              <w:t>ACHAT</w:t>
            </w:r>
          </w:p>
        </w:tc>
      </w:tr>
      <w:tr>
        <w:tc>
          <w:tcPr>
            <w:tcW w:type="dxa" w:w="1728"/>
          </w:tcPr>
          <w:p>
            <w:r>
              <w:t>SIBC (SIBC - SOCIETE IVOIRIENNE DE BANQUE)</w:t>
            </w:r>
          </w:p>
        </w:tc>
        <w:tc>
          <w:tcPr>
            <w:tcW w:type="dxa" w:w="1728"/>
          </w:tcPr>
          <w:p>
            <w:r>
              <w:t>8968</w:t>
            </w:r>
          </w:p>
        </w:tc>
        <w:tc>
          <w:tcPr>
            <w:tcW w:type="dxa" w:w="1728"/>
          </w:tcPr>
          <w:p>
            <w:r>
              <w:t>82026276 FCFA</w:t>
            </w:r>
          </w:p>
        </w:tc>
        <w:tc>
          <w:tcPr>
            <w:tcW w:type="dxa" w:w="1728"/>
          </w:tcPr>
          <w:p>
            <w:r>
              <w:t>30.00%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3329</w:t>
            </w:r>
          </w:p>
        </w:tc>
        <w:tc>
          <w:tcPr>
            <w:tcW w:type="dxa" w:w="1728"/>
          </w:tcPr>
          <w:p>
            <w:r>
              <w:t>7531104 FCFA</w:t>
            </w:r>
          </w:p>
        </w:tc>
        <w:tc>
          <w:tcPr>
            <w:tcW w:type="dxa" w:w="1728"/>
          </w:tcPr>
          <w:p>
            <w:r>
              <w:t>-20.00%</w:t>
            </w:r>
          </w:p>
        </w:tc>
        <w:tc>
          <w:tcPr>
            <w:tcW w:type="dxa" w:w="1728"/>
          </w:tcPr>
          <w:p>
            <w:r>
              <w:t>ACHAT</w:t>
            </w:r>
          </w:p>
        </w:tc>
      </w:tr>
      <w:tr>
        <w:tc>
          <w:tcPr>
            <w:tcW w:type="dxa" w:w="1728"/>
          </w:tcPr>
          <w:p>
            <w:r>
              <w:t>ABJC (ABJC - SERVAIR ABIDJAN CI)</w:t>
            </w:r>
          </w:p>
        </w:tc>
        <w:tc>
          <w:tcPr>
            <w:tcW w:type="dxa" w:w="1728"/>
          </w:tcPr>
          <w:p>
            <w:r>
              <w:t>3086</w:t>
            </w:r>
          </w:p>
        </w:tc>
        <w:tc>
          <w:tcPr>
            <w:tcW w:type="dxa" w:w="1728"/>
          </w:tcPr>
          <w:p>
            <w:r>
              <w:t>9813992 FCFA</w:t>
            </w:r>
          </w:p>
        </w:tc>
        <w:tc>
          <w:tcPr>
            <w:tcW w:type="dxa" w:w="1728"/>
          </w:tcPr>
          <w:p>
            <w:r>
              <w:t>-2.44%</w:t>
            </w:r>
          </w:p>
        </w:tc>
        <w:tc>
          <w:tcPr>
            <w:tcW w:type="dxa" w:w="1728"/>
          </w:tcPr>
          <w:p>
            <w:r>
              <w:t>ACHAT</w:t>
            </w:r>
          </w:p>
        </w:tc>
      </w:tr>
      <w:tr>
        <w:tc>
          <w:tcPr>
            <w:tcW w:type="dxa" w:w="1728"/>
          </w:tcPr>
          <w:p>
            <w:r>
              <w:t>CFAC (CFAC - CFAO MOTORS CI)</w:t>
            </w:r>
          </w:p>
        </w:tc>
        <w:tc>
          <w:tcPr>
            <w:tcW w:type="dxa" w:w="1728"/>
          </w:tcPr>
          <w:p>
            <w:r>
              <w:t>2894</w:t>
            </w:r>
          </w:p>
        </w:tc>
        <w:tc>
          <w:tcPr>
            <w:tcW w:type="dxa" w:w="1728"/>
          </w:tcPr>
          <w:p>
            <w:r>
              <w:t>4837210 FCFA</w:t>
            </w:r>
          </w:p>
        </w:tc>
        <w:tc>
          <w:tcPr>
            <w:tcW w:type="dxa" w:w="1728"/>
          </w:tcPr>
          <w:p>
            <w:r>
              <w:t>9.63%</w:t>
            </w:r>
          </w:p>
        </w:tc>
        <w:tc>
          <w:tcPr>
            <w:tcW w:type="dxa" w:w="1728"/>
          </w:tcPr>
          <w:p>
            <w:r>
              <w:t>ACHAT</w:t>
            </w:r>
          </w:p>
        </w:tc>
      </w:tr>
      <w:tr>
        <w:tc>
          <w:tcPr>
            <w:tcW w:type="dxa" w:w="1728"/>
          </w:tcPr>
          <w:p>
            <w:r>
              <w:t>CABC (CABC - SICABLE COTE D'IVOIRE)</w:t>
            </w:r>
          </w:p>
        </w:tc>
        <w:tc>
          <w:tcPr>
            <w:tcW w:type="dxa" w:w="1728"/>
          </w:tcPr>
          <w:p>
            <w:r>
              <w:t>2709</w:t>
            </w:r>
          </w:p>
        </w:tc>
        <w:tc>
          <w:tcPr>
            <w:tcW w:type="dxa" w:w="1728"/>
          </w:tcPr>
          <w:p>
            <w:r>
              <w:t>9619450 FCFA</w:t>
            </w:r>
          </w:p>
        </w:tc>
        <w:tc>
          <w:tcPr>
            <w:tcW w:type="dxa" w:w="1728"/>
          </w:tcPr>
          <w:p>
            <w:r>
              <w:t>11.38%</w:t>
            </w:r>
          </w:p>
        </w:tc>
        <w:tc>
          <w:tcPr>
            <w:tcW w:type="dxa" w:w="1728"/>
          </w:tcPr>
          <w:p>
            <w:r>
              <w:t>ACHAT</w:t>
            </w:r>
          </w:p>
        </w:tc>
      </w:tr>
      <w:tr>
        <w:tc>
          <w:tcPr>
            <w:tcW w:type="dxa" w:w="1728"/>
          </w:tcPr>
          <w:p>
            <w:r>
              <w:t>PALC (PALC - PALM COTE D'IVOIRE)</w:t>
            </w:r>
          </w:p>
        </w:tc>
        <w:tc>
          <w:tcPr>
            <w:tcW w:type="dxa" w:w="1728"/>
          </w:tcPr>
          <w:p>
            <w:r>
              <w:t>2443</w:t>
            </w:r>
          </w:p>
        </w:tc>
        <w:tc>
          <w:tcPr>
            <w:tcW w:type="dxa" w:w="1728"/>
          </w:tcPr>
          <w:p>
            <w:r>
              <w:t>22272046 FCFA</w:t>
            </w:r>
          </w:p>
        </w:tc>
        <w:tc>
          <w:tcPr>
            <w:tcW w:type="dxa" w:w="1728"/>
          </w:tcPr>
          <w:p>
            <w:r>
              <w:t>18.01%</w:t>
            </w:r>
          </w:p>
        </w:tc>
        <w:tc>
          <w:tcPr>
            <w:tcW w:type="dxa" w:w="1728"/>
          </w:tcPr>
          <w:p>
            <w:r>
              <w:t>ACHAT</w:t>
            </w:r>
          </w:p>
        </w:tc>
      </w:tr>
      <w:tr>
        <w:tc>
          <w:tcPr>
            <w:tcW w:type="dxa" w:w="1728"/>
          </w:tcPr>
          <w:p>
            <w:r>
              <w:t>TTLS (TTLS - TOTAL ENERGIES MARKETING SENEGAL)</w:t>
            </w:r>
          </w:p>
        </w:tc>
        <w:tc>
          <w:tcPr>
            <w:tcW w:type="dxa" w:w="1728"/>
          </w:tcPr>
          <w:p>
            <w:r>
              <w:t>2387</w:t>
            </w:r>
          </w:p>
        </w:tc>
        <w:tc>
          <w:tcPr>
            <w:tcW w:type="dxa" w:w="1728"/>
          </w:tcPr>
          <w:p>
            <w:r>
              <w:t>8784563 FCFA</w:t>
            </w:r>
          </w:p>
        </w:tc>
        <w:tc>
          <w:tcPr>
            <w:tcW w:type="dxa" w:w="1728"/>
          </w:tcPr>
          <w:p>
            <w:r>
              <w:t>14.93%</w:t>
            </w:r>
          </w:p>
        </w:tc>
        <w:tc>
          <w:tcPr>
            <w:tcW w:type="dxa" w:w="1728"/>
          </w:tcPr>
          <w:p>
            <w:r>
              <w:t>ACHAT</w:t>
            </w:r>
          </w:p>
        </w:tc>
      </w:tr>
      <w:tr>
        <w:tc>
          <w:tcPr>
            <w:tcW w:type="dxa" w:w="1728"/>
          </w:tcPr>
          <w:p>
            <w:r>
              <w:t>SMBC (SMBC - Société Multinationale de Bitumes COTE D'IVOIRE)</w:t>
            </w:r>
          </w:p>
        </w:tc>
        <w:tc>
          <w:tcPr>
            <w:tcW w:type="dxa" w:w="1728"/>
          </w:tcPr>
          <w:p>
            <w:r>
              <w:t>2079</w:t>
            </w:r>
          </w:p>
        </w:tc>
        <w:tc>
          <w:tcPr>
            <w:tcW w:type="dxa" w:w="1728"/>
          </w:tcPr>
          <w:p>
            <w:r>
              <w:t>33564116 FCFA</w:t>
            </w:r>
          </w:p>
        </w:tc>
        <w:tc>
          <w:tcPr>
            <w:tcW w:type="dxa" w:w="1728"/>
          </w:tcPr>
          <w:p>
            <w:r>
              <w:t>34.40%</w:t>
            </w:r>
          </w:p>
        </w:tc>
        <w:tc>
          <w:tcPr>
            <w:tcW w:type="dxa" w:w="1728"/>
          </w:tcPr>
          <w:p>
            <w:r>
              <w:t>ACHAT</w:t>
            </w:r>
          </w:p>
        </w:tc>
      </w:tr>
      <w:tr>
        <w:tc>
          <w:tcPr>
            <w:tcW w:type="dxa" w:w="1728"/>
          </w:tcPr>
          <w:p>
            <w:r>
              <w:t>ORAC (ORAC - ORANGE COTE D'IVOIRE)</w:t>
            </w:r>
          </w:p>
        </w:tc>
        <w:tc>
          <w:tcPr>
            <w:tcW w:type="dxa" w:w="1728"/>
          </w:tcPr>
          <w:p>
            <w:r>
              <w:t>2060</w:t>
            </w:r>
          </w:p>
        </w:tc>
        <w:tc>
          <w:tcPr>
            <w:tcW w:type="dxa" w:w="1728"/>
          </w:tcPr>
          <w:p>
            <w:r>
              <w:t>38371247 FCFA</w:t>
            </w:r>
          </w:p>
        </w:tc>
        <w:tc>
          <w:tcPr>
            <w:tcW w:type="dxa" w:w="1728"/>
          </w:tcPr>
          <w:p>
            <w:r>
              <w:t>44.71%</w:t>
            </w:r>
          </w:p>
        </w:tc>
        <w:tc>
          <w:tcPr>
            <w:tcW w:type="dxa" w:w="1728"/>
          </w:tcPr>
          <w:p>
            <w:r>
              <w:t>ACHAT</w:t>
            </w:r>
          </w:p>
        </w:tc>
      </w:tr>
      <w:tr>
        <w:tc>
          <w:tcPr>
            <w:tcW w:type="dxa" w:w="1728"/>
          </w:tcPr>
          <w:p>
            <w:r>
              <w:t>BNBC (BNBC - BERNABE CI)</w:t>
            </w:r>
          </w:p>
        </w:tc>
        <w:tc>
          <w:tcPr>
            <w:tcW w:type="dxa" w:w="1728"/>
          </w:tcPr>
          <w:p>
            <w:r>
              <w:t>2044</w:t>
            </w:r>
          </w:p>
        </w:tc>
        <w:tc>
          <w:tcPr>
            <w:tcW w:type="dxa" w:w="1728"/>
          </w:tcPr>
          <w:p>
            <w:r>
              <w:t>3988362 FCFA</w:t>
            </w:r>
          </w:p>
        </w:tc>
        <w:tc>
          <w:tcPr>
            <w:tcW w:type="dxa" w:w="1728"/>
          </w:tcPr>
          <w:p>
            <w:r>
              <w:t>25.55%</w:t>
            </w:r>
          </w:p>
        </w:tc>
        <w:tc>
          <w:tcPr>
            <w:tcW w:type="dxa" w:w="1728"/>
          </w:tcPr>
          <w:p>
            <w:r>
              <w:t>ACHAT</w:t>
            </w:r>
          </w:p>
        </w:tc>
      </w:tr>
      <w:tr>
        <w:tc>
          <w:tcPr>
            <w:tcW w:type="dxa" w:w="1728"/>
          </w:tcPr>
          <w:p>
            <w:r>
              <w:t>SLBC (SLBC - SOLIBRA COTE D'IVOIRE)</w:t>
            </w:r>
          </w:p>
        </w:tc>
        <w:tc>
          <w:tcPr>
            <w:tcW w:type="dxa" w:w="1728"/>
          </w:tcPr>
          <w:p>
            <w:r>
              <w:t>2003</w:t>
            </w:r>
          </w:p>
        </w:tc>
        <w:tc>
          <w:tcPr>
            <w:tcW w:type="dxa" w:w="1728"/>
          </w:tcPr>
          <w:p>
            <w:r>
              <w:t>76624665 FCFA</w:t>
            </w:r>
          </w:p>
        </w:tc>
        <w:tc>
          <w:tcPr>
            <w:tcW w:type="dxa" w:w="1728"/>
          </w:tcPr>
          <w:p>
            <w:r>
              <w:t>-2.97%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ABJC - ABJC - SERVAIR ABIDJAN CI</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CFAC - CFAC - CFAO MOTORS CI</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4.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5.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BOAB - BANK OF AFRICA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BOAS - BANK OF AFRICA SENEGAL</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MACROÉCONOMIQUE — BRVM**</w:t>
      </w:r>
    </w:p>
    <w:p>
      <w:pPr>
        <w:spacing w:before="20" w:after="40"/>
        <w:ind w:left="0"/>
      </w:pPr>
      <w:r>
        <w:rPr>
          <w:sz w:val="18"/>
        </w:rPr>
        <w:t>*Date de référence : 24 août 2026*</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des matières premières affichent une dynamique positive, avec l'indice MXV en hausse de 4,3 % sur la semaine. Cette progression est soutenue par des tensions géopolitiques sur le pétrole, l'Iran rejetant la prolongation du protocole en vigueur. Parallèlement, l'inflation américaine et les décisions de la Fed concernant les prix de l'or restent au centre des attentions, créant un environnement de relative incertitude monétaire.</w:t>
      </w:r>
    </w:p>
    <w:p>
      <w:pPr>
        <w:pStyle w:val="Heading3"/>
      </w:pPr>
      <w:r>
        <w:rPr>
          <w:color w:val="500050"/>
        </w:rPr>
        <w:t>⚡ Impact estimé sur la BRVM</w:t>
      </w:r>
    </w:p>
    <w:p>
      <w:pPr>
        <w:spacing w:before="20" w:after="40"/>
        <w:ind w:left="280"/>
      </w:pPr>
      <w:r>
        <w:rPr>
          <w:i/>
          <w:sz w:val="18"/>
        </w:rPr>
        <w:t>La hausse des matières premières est favorable aux valeurs énergétiques comme **TTLC** et **SHEC**, qui pourraient bénéficier d'une pression haussière sur les prix. L'incertitude sur la politique monétaire américaine pourrait maintenir une volatilité modérée sur les flux entrants, mais le contexte de hausse des matières premières soutient les secteurs exportateurs de la cote.</w:t>
      </w:r>
    </w:p>
    <w:p>
      <w:pPr>
        <w:pStyle w:val="Heading2"/>
      </w:pPr>
      <w:r>
        <w:rPr>
          <w:color w:val="006E32"/>
        </w:rPr>
        <w:t>🌍 Plan Africain</w:t>
      </w:r>
    </w:p>
    <w:p>
      <w:pPr>
        <w:spacing w:before="20" w:after="40"/>
        <w:ind w:left="0"/>
      </w:pPr>
      <w:r>
        <w:rPr>
          <w:sz w:val="18"/>
        </w:rPr>
        <w:t>Les perspectives d'investissement en Afrique sont jugées porteuses, notamment dans les infrastructures, l'agro-industrie et les énergies renouvelables, selon Bpifrance. Par ailleurs, l'investissement dans l'économie des soins est identifié comme un levier de croissance stratégique, notamment au Sénégal. Enfin, la Senelec a levé 108 milliards de FCFA en dette verte à la Bourse de Luxembourg, illustrant l'appétit des investisseurs pour les actifs africains.</w:t>
      </w:r>
    </w:p>
    <w:p>
      <w:pPr>
        <w:pStyle w:val="Heading3"/>
      </w:pPr>
      <w:r>
        <w:rPr>
          <w:color w:val="500050"/>
        </w:rPr>
        <w:t>⚡ Impact estimé sur la BRVM</w:t>
      </w:r>
    </w:p>
    <w:p>
      <w:pPr>
        <w:spacing w:before="20" w:after="40"/>
        <w:ind w:left="280"/>
      </w:pPr>
      <w:r>
        <w:rPr>
          <w:i/>
          <w:sz w:val="18"/>
        </w:rPr>
        <w:t>Les secteurs des infrastructures et de l'agro-industrie étant bien représentés sur la cote (**FTSC**, **PALC**), ces dynamiques positives pourraient attirer des capitaux vers ces valeurs. L'opération de la Senelec démontre la capacité des émetteurs ouest-africains à mobiliser des financements, ce qui renforce la crédibilité de la zone et pourrait indirectement profiter aux grandes capitalisations de la BRVM.</w:t>
      </w:r>
    </w:p>
    <w:p>
      <w:pPr>
        <w:pStyle w:val="Heading2"/>
      </w:pPr>
      <w:r>
        <w:rPr>
          <w:color w:val="145A28"/>
        </w:rPr>
        <w:t>🌍 Plan Afrique de l'Ouest</w:t>
      </w:r>
    </w:p>
    <w:p>
      <w:pPr>
        <w:spacing w:before="20" w:after="40"/>
        <w:ind w:left="0"/>
      </w:pPr>
      <w:r>
        <w:rPr>
          <w:sz w:val="18"/>
        </w:rPr>
        <w:t>La CEDEAO a annoncé des actions coordonnées pour soutenir l'économie et la santé dans la région, visant à atténuer les effets des chocs externes. La croissance économique du Libéria est estimée à 5 % pour 2026, reflétant une dynamique positive dans la sous-région. Enfin, la FEWACCI appelle à lever les barrières commerciales et non tarifaires au sein de la CEDEAO pour stimuler les échanges intra-régionaux.</w:t>
      </w:r>
    </w:p>
    <w:p>
      <w:pPr>
        <w:pStyle w:val="Heading3"/>
      </w:pPr>
      <w:r>
        <w:rPr>
          <w:color w:val="500050"/>
        </w:rPr>
        <w:t>⚡ Impact estimé sur la BRVM</w:t>
      </w:r>
    </w:p>
    <w:p>
      <w:pPr>
        <w:spacing w:before="20" w:after="40"/>
        <w:ind w:left="280"/>
      </w:pPr>
      <w:r>
        <w:rPr>
          <w:i/>
          <w:sz w:val="18"/>
        </w:rPr>
        <w:t>Le soutien coordonné de la CEDEAO et la levée potentielle des barrières commerciales sont positifs pour les sociétés ayant une forte exposition régionale, notamment **BOAB**, **BOAS** et **NSBC** dans le secteur financier, ainsi que **SCRC** et **SPHC** dans la distribution. Une intégration commerciale renforcée pourrait stimuler les volumes d'affaires des entreprises cotées opérant dans plusieurs pays de l'Union.</w:t>
      </w:r>
    </w:p>
    <w:p>
      <w:pPr>
        <w:pStyle w:val="Heading2"/>
      </w:pPr>
      <w:r>
        <w:rPr>
          <w:color w:val="8C4600"/>
        </w:rPr>
        <w:t>🏦 Plan UEMOA / Zone Franc</w:t>
      </w:r>
    </w:p>
    <w:p>
      <w:pPr>
        <w:spacing w:before="20" w:after="40"/>
        <w:ind w:left="0"/>
      </w:pPr>
      <w:r>
        <w:rPr>
          <w:sz w:val="18"/>
        </w:rPr>
        <w:t>Données insuffisantes concernant les décisions de la BCEAO, l'inflation de la zone ou la liquidité bancaire. Aucune actualité spécifique n'a été collectée sur le marché des titres publics ou les matières premières clés comme le cacao ou le caoutchouc.</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Les résultats des sociétés cotées ivoiriennes sont jugés encourageants par La Tribune, dans un contexte de résilience du marché régional. L'indice BRVM Composite s'établit à 530,07 points, sans tendance marquée sur la période récente.</w:t>
      </w:r>
    </w:p>
    <w:p>
      <w:pPr>
        <w:pStyle w:val="Heading3"/>
      </w:pPr>
      <w:r>
        <w:rPr>
          <w:color w:val="500050"/>
        </w:rPr>
        <w:t>⚡ Impact estimé sur la BRVM</w:t>
      </w:r>
    </w:p>
    <w:p>
      <w:pPr>
        <w:spacing w:before="20" w:after="40"/>
        <w:ind w:left="280"/>
      </w:pPr>
      <w:r>
        <w:rPr>
          <w:i/>
          <w:sz w:val="18"/>
        </w:rPr>
        <w:t>La publication de résultats encourageants renforce l'attractivité des valeurs ivoiriennes. Les investisseurs pourraient se positionner sur les titres ayant démontré une bonne résilience, notamment **SGBC**, **BICB** et **PALC**, qui devraient continuer à bénéficier d'un flux d'actualités positif. **ETIT** et **NTLC** pourraient également profiter de cet environnement si leurs fondamentaux suivent la tendance sectorielle.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restent vives autour du dossier iranien, avec le rejet de la prolongation du protocole, soutenant les prix du pétrole. Par ailleurs, les décisions de la Fed sur l'inflation américaine continuent d'influencer les marchés financiers mondiaux, y compris les actifs refuges comme l'or.</w:t>
      </w:r>
    </w:p>
    <w:p>
      <w:pPr>
        <w:pStyle w:val="Heading3"/>
      </w:pPr>
      <w:r>
        <w:rPr>
          <w:color w:val="500050"/>
        </w:rPr>
        <w:t>⚡ Impact estimé sur la BRVM</w:t>
      </w:r>
    </w:p>
    <w:p>
      <w:pPr>
        <w:spacing w:before="20" w:after="40"/>
        <w:ind w:left="280"/>
      </w:pPr>
      <w:r>
        <w:rPr>
          <w:i/>
          <w:sz w:val="18"/>
        </w:rPr>
        <w:t>L'environnement géopolitique mondial reste incertain, mais la hausse des prix du pétrole est un facteur de soutien pour les valeurs énergétiques de la cote (**TTLC**, **SHEC**). Les investisseurs de la BRVM pourraient adopter une approche attentiste, privilégiant les secteurs défensifs comme la consommation de base (**SCRC**, **SPHC**) en cas de dégradation du contexte international.</w:t>
      </w:r>
    </w:p>
    <w:p>
      <w:pPr>
        <w:pStyle w:val="Heading2"/>
      </w:pPr>
      <w:r>
        <w:rPr>
          <w:color w:val="006E32"/>
        </w:rPr>
        <w:t>🌍 Plan Africain</w:t>
      </w:r>
    </w:p>
    <w:p>
      <w:pPr>
        <w:spacing w:before="20" w:after="40"/>
        <w:ind w:left="0"/>
      </w:pPr>
      <w:r>
        <w:rPr>
          <w:sz w:val="18"/>
        </w:rPr>
        <w:t>La visite du Premier ministre malien à Alger s'inscrit dans un contexte de tensions diplomatiques, mais vise à renforcer la coopération bilatérale. Au Sénégal, le Premier ministre Ousmane Sonko consolide son assise au cœur du pouvoir, ce qui pourrait apporter une stabilité politique relative dans le pays.</w:t>
      </w:r>
    </w:p>
    <w:p>
      <w:pPr>
        <w:pStyle w:val="Heading3"/>
      </w:pPr>
      <w:r>
        <w:rPr>
          <w:color w:val="500050"/>
        </w:rPr>
        <w:t>⚡ Impact estimé sur la BRVM</w:t>
      </w:r>
    </w:p>
    <w:p>
      <w:pPr>
        <w:spacing w:before="20" w:after="40"/>
        <w:ind w:left="280"/>
      </w:pPr>
      <w:r>
        <w:rPr>
          <w:i/>
          <w:sz w:val="18"/>
        </w:rPr>
        <w:t>La stabilité politique au Sénégal est un facteur positif pour les sociétés cotées ayant des intérêts dans ce pays, notamment **BOAB** et **BOAS**. Les tensions Mali-Algérie restent périphériques pour la BRVM, mais une détérioration pourrait affecter la confiance des investisseurs régionaux. Globalement, le risque politique africain semble maîtrisé sur la période.</w:t>
      </w:r>
    </w:p>
    <w:p>
      <w:pPr>
        <w:pStyle w:val="Heading2"/>
      </w:pPr>
      <w:r>
        <w:rPr>
          <w:color w:val="145A28"/>
        </w:rPr>
        <w:t>🌍 Plan Afrique de l'Ouest</w:t>
      </w:r>
    </w:p>
    <w:p>
      <w:pPr>
        <w:spacing w:before="20" w:after="40"/>
        <w:ind w:left="0"/>
      </w:pPr>
      <w:r>
        <w:rPr>
          <w:sz w:val="18"/>
        </w:rPr>
        <w:t>La CEDEAO maintient des actions coordonnées de soutien économique et sanitaire, renforçant la cohésion régionale. Les relations entre les États membres, notamment autour des transitions politiques, restent un sujet de vigilance, mais aucune crise majeure n'est signalée dans les actualités collectées.</w:t>
      </w:r>
    </w:p>
    <w:p>
      <w:pPr>
        <w:pStyle w:val="Heading3"/>
      </w:pPr>
      <w:r>
        <w:rPr>
          <w:color w:val="500050"/>
        </w:rPr>
        <w:t>⚡ Impact estimé sur la BRVM</w:t>
      </w:r>
    </w:p>
    <w:p>
      <w:pPr>
        <w:spacing w:before="20" w:after="40"/>
        <w:ind w:left="280"/>
      </w:pPr>
      <w:r>
        <w:rPr>
          <w:i/>
          <w:sz w:val="18"/>
        </w:rPr>
        <w:t>La stabilité relative de la sous-région est un facteur de soutien pour les flux d'investissement vers la BRVM. Les banques panafricaines cotées comme **BOAB**, **BOAM** et **BOAS** bénéficient d'un environnement régional apaisé, ce qui limite les risques de dépréciation d'actifs ou de pertes sur créances dans leurs filiales ouest-africaines.</w:t>
      </w:r>
    </w:p>
    <w:p>
      <w:pPr>
        <w:pStyle w:val="Heading2"/>
      </w:pPr>
      <w:r>
        <w:rPr>
          <w:color w:val="8C4600"/>
        </w:rPr>
        <w:t>🏦 Plan UEMOA / Zone Franc</w:t>
      </w:r>
    </w:p>
    <w:p>
      <w:pPr>
        <w:spacing w:before="20" w:after="40"/>
        <w:ind w:left="0"/>
      </w:pPr>
      <w:r>
        <w:rPr>
          <w:sz w:val="18"/>
        </w:rPr>
        <w:t>Données insuffisantes concernant la situation politique dans les pays membres ou les réformes institutionnelles de l'Union.</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Données insuffisantes concernant les évolutions réglementaires du CREPMF, les nouvelles cotations ou la gouvernance des sociétés cotées.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des matières premières ont enregistré de bonnes performances, avec l'indice MXV en hausse de 4,3 %. L'inflation américaine et les décisions de la Fed sur les prix de l'or restent des sujets de vigilance pour les marchés émergents, qui pourraient subir des arbitrages en fonction de l'évolution des taux d'intérêt américains.</w:t>
      </w:r>
    </w:p>
    <w:p>
      <w:pPr>
        <w:pStyle w:val="Heading3"/>
      </w:pPr>
      <w:r>
        <w:rPr>
          <w:color w:val="500050"/>
        </w:rPr>
        <w:t>⚡ Impact estimé sur la BRVM</w:t>
      </w:r>
    </w:p>
    <w:p>
      <w:pPr>
        <w:spacing w:before="20" w:after="40"/>
        <w:ind w:left="280"/>
      </w:pPr>
      <w:r>
        <w:rPr>
          <w:i/>
          <w:sz w:val="18"/>
        </w:rPr>
        <w:t>La BRVM, en tant que marché émergent, pourrait bénéficier d'un appétit pour le risque si la Fed adopte une position accommodante. La hausse des matières premières est un signal positif pour les valeurs exportatrices et énergétiques de la cote. Les investisseurs institutionnels pourraient accroître leur exposition aux actifs africains si l'environnement de taux mondial reste favorable.</w:t>
      </w:r>
    </w:p>
    <w:p>
      <w:pPr>
        <w:pStyle w:val="Heading2"/>
      </w:pPr>
      <w:r>
        <w:rPr>
          <w:color w:val="006E32"/>
        </w:rPr>
        <w:t>🌍 Plan Africain</w:t>
      </w:r>
    </w:p>
    <w:p>
      <w:pPr>
        <w:spacing w:before="20" w:after="40"/>
        <w:ind w:left="0"/>
      </w:pPr>
      <w:r>
        <w:rPr>
          <w:sz w:val="18"/>
        </w:rPr>
        <w:t>Données insuffisantes concernant les marchés obligataires africains, les eurobonds ou les notations souveraines sur la période.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bancaire.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s'établit à 530,07 points. Les résultats encourageants des sociétés cotées ivoiriennes, rapportés par La Tribune, constituent le principal catalyseur positif du marché. Les volumes et les mouvements de titres spécifiques ne sont pas détaillés dans les actualités collectées.</w:t>
      </w:r>
    </w:p>
    <w:p>
      <w:pPr>
        <w:pStyle w:val="Heading3"/>
      </w:pPr>
      <w:r>
        <w:rPr>
          <w:color w:val="500050"/>
        </w:rPr>
        <w:t>⚡ Impact estimé sur la BRVM</w:t>
      </w:r>
    </w:p>
    <w:p>
      <w:pPr>
        <w:spacing w:before="20" w:after="40"/>
        <w:ind w:left="280"/>
      </w:pPr>
      <w:r>
        <w:rPr>
          <w:i/>
          <w:sz w:val="18"/>
        </w:rPr>
        <w:t>L'environnement est globalement porteur pour les valeurs de qualité. Recommandations :</w:t>
      </w:r>
    </w:p>
    <w:p>
      <w:pPr>
        <w:pStyle w:val="ListBullet"/>
        <w:spacing w:before="20" w:after="20"/>
        <w:ind w:left="560"/>
      </w:pPr>
      <w:r>
        <w:rPr>
          <w:color w:val="500050"/>
          <w:sz w:val="18"/>
        </w:rPr>
        <w:t>**SGBC**, **BICB** : maintien des positions, fondamentaux solides dans un secteur financier résilient.</w:t>
      </w:r>
    </w:p>
    <w:p>
      <w:pPr>
        <w:pStyle w:val="ListBullet"/>
        <w:spacing w:before="20" w:after="20"/>
        <w:ind w:left="560"/>
      </w:pPr>
      <w:r>
        <w:rPr>
          <w:color w:val="500050"/>
          <w:sz w:val="18"/>
        </w:rPr>
        <w:t>**PALC**, **SCRC** : valeurs défensives à conserver, bénéficiant de la dynamique positive de l'agro-industrie.</w:t>
      </w:r>
    </w:p>
    <w:p>
      <w:pPr>
        <w:pStyle w:val="ListBullet"/>
        <w:spacing w:before="20" w:after="20"/>
        <w:ind w:left="560"/>
      </w:pPr>
      <w:r>
        <w:rPr>
          <w:color w:val="008000"/>
          <w:sz w:val="18"/>
        </w:rPr>
        <w:t>**TTLC**, **SHEC** : à surveiller, la hausse des prix du pétrole pourrait soutenir leurs cours.</w:t>
      </w:r>
    </w:p>
    <w:p>
      <w:pPr>
        <w:pStyle w:val="ListBullet"/>
        <w:spacing w:before="20" w:after="20"/>
        <w:ind w:left="560"/>
      </w:pPr>
      <w:r>
        <w:rPr>
          <w:color w:val="008000"/>
          <w:sz w:val="18"/>
        </w:rPr>
        <w:t>**ETIT**, **NTLC**, **SIVC**, **ONTBF**, **CFAC**, **SOGC** : données insuffisantes pour une recommandation spécifique, mais l'environnement macro reste favorable aux secteurs industriels et de consommation.</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favorable pour la BRVM, porté par la hausse des matières premières, les actions coordonnées de la CEDEAO et des résultats d'entreprises encourageants. Les tensions géopolitiques mondiales restent modérées et n'affectent pas directement la zone UEMOA. La recommandation est de maintenir une exposition aux valeurs de qualité, notamment dans les secteurs financiers et de consommation de base, tout en surveillant les opportunités dans l'énergie. Les données manquantes sur la politique monétaire de la BCEAO et les flux de capitaux régionaux incitent à la prudence, mais aucun signal négatif majeur n'est détecté à ce stade.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Le Mali et l'Algérie renouent le dialogue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Sénégal : Sonko consolide son assise au cœur du pouvoir - Points Chaud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Mali–Algérie : Abdoulaye Maïga à Alger pour renforcer la coopération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[24/08/2026] ⚪  </w:t>
      </w:r>
      <w:r>
        <w:rPr>
          <w:b/>
          <w:color w:val="505050"/>
          <w:sz w:val="18"/>
        </w:rPr>
        <w:t>Mali-Algérie : Abdoulaye Maïga reçu à Alger par Abdelmadjid Tebboune - Benin Web TV</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a été reçu à Alger par le président algérien Abdelmadjid Tebboune, dans un contexte de tensions diplomatiques entre les deux pays. Cette rencontre pourrait marquer une tentative d'apaisement des relations bilatérales, notamment sur les questions sécuritaires et frontalières. L'événement est suivi de près p</w:t>
      </w:r>
    </w:p>
    <w:p>
      <w:pPr>
        <w:spacing w:before="0" w:after="40"/>
        <w:ind w:left="600"/>
      </w:pPr>
      <w:r>
        <w:rPr>
          <w:color w:val="00643C"/>
          <w:sz w:val="16"/>
        </w:rPr>
        <w:t>Points clés : Rencontre officielle entre les autorités maliennes et algériennes à Alger.  •  Sujets probables : sécurité, coopération transfrontalière et apaisement des tensions.  •  Contexte de tensions diplomatiques récentes entre Bamako et Alger.</w:t>
      </w:r>
    </w:p>
    <w:p>
      <w:pPr>
        <w:spacing w:before="0" w:after="60"/>
        <w:ind w:left="600"/>
      </w:pPr>
      <w:r>
        <w:rPr>
          <w:color w:val="0064B4"/>
          <w:sz w:val="15"/>
        </w:rPr>
        <w:t>Source : https://news.google.com/rss/articles/CBMikwFBVV95cUxPZTJVS2x3YjRFMHpBdWl0UVpLeEp</w:t>
      </w:r>
    </w:p>
    <w:p>
      <w:pPr>
        <w:spacing w:before="40" w:after="40"/>
        <w:ind w:left="360"/>
      </w:pPr>
      <w:r>
        <w:rPr>
          <w:color w:val="646464"/>
          <w:sz w:val="17"/>
        </w:rPr>
        <w:t xml:space="preserve">[24/08/2026] 🟢  </w:t>
      </w:r>
      <w:r>
        <w:rPr>
          <w:b/>
          <w:color w:val="008000"/>
          <w:sz w:val="18"/>
        </w:rPr>
        <w:t>Mali–Algérie : Abdoulaye Maïga à Alger pour renforcer la coopération - koaci.com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s'est rendu à Alger pour renforcer la coopération bilatérale entre le Mali et l'Algérie. Cette visite intervient dans un contexte de tensions passées, mais vise à relancer le dialogue et la coopération économique et sécuritaire. Les discussions portent probablement sur la stabilisation de la région sahélo-</w:t>
      </w:r>
    </w:p>
    <w:p>
      <w:pPr>
        <w:spacing w:before="0" w:after="40"/>
        <w:ind w:left="600"/>
      </w:pPr>
      <w:r>
        <w:rPr>
          <w:color w:val="00643C"/>
          <w:sz w:val="16"/>
        </w:rPr>
        <w:t>Points clés : Visite officielle d'Abdoulaye Maïga à Alger pour renforcer la coopération Mali-Algérie.  •  Sujets probables : sécurité régionale, commerce et stabilité au Sahel.  •  Contexte de tensions passées, mais volonté de dialogue affichée.</w:t>
      </w:r>
    </w:p>
    <w:p>
      <w:pPr>
        <w:spacing w:before="0" w:after="60"/>
        <w:ind w:left="600"/>
      </w:pPr>
      <w:r>
        <w:rPr>
          <w:color w:val="0064B4"/>
          <w:sz w:val="15"/>
        </w:rPr>
        <w:t>Source : https://news.google.com/rss/articles/CBMizgFBVV95cUxOVTE4b28ybThhaHQ1eXk4RkQyeUF</w:t>
      </w:r>
    </w:p>
    <w:p>
      <w:pPr>
        <w:spacing w:before="40" w:after="40"/>
        <w:ind w:left="360"/>
      </w:pPr>
      <w:r>
        <w:rPr>
          <w:color w:val="646464"/>
          <w:sz w:val="17"/>
        </w:rPr>
        <w:t xml:space="preserve">[24/08/2026] 🟢  </w:t>
      </w:r>
      <w:r>
        <w:rPr>
          <w:b/>
          <w:color w:val="008000"/>
          <w:sz w:val="18"/>
        </w:rPr>
        <w:t>Le Mali et l'Algérie renouent le dialogue - dw.com</w:t>
      </w:r>
      <w:r>
        <w:rPr>
          <w:color w:val="787878"/>
          <w:sz w:val="15"/>
        </w:rPr>
        <w:t xml:space="preserve">  [politique]</w:t>
      </w:r>
      <w:r>
        <w:rPr>
          <w:color w:val="B47800"/>
          <w:sz w:val="16"/>
        </w:rPr>
        <w:t xml:space="preserve">  ★ 50/10</w:t>
      </w:r>
    </w:p>
    <w:p>
      <w:pPr>
        <w:spacing w:before="0" w:after="20"/>
        <w:ind w:left="600"/>
      </w:pPr>
      <w:r>
        <w:rPr>
          <w:color w:val="323232"/>
          <w:sz w:val="17"/>
        </w:rPr>
        <w:t>Le Mali et l'Algérie ont décidé de renouer le dialogue après une période de tensions diplomatiques. Cette reprise des discussions pourrait apaiser les relations bilatérales et favoriser la stabilité régionale dans le Sahel. Bien que l'article soit bref, il signale une évolution politique notable pour la zone UEMOA, dont le Mali est membre.</w:t>
      </w:r>
    </w:p>
    <w:p>
      <w:pPr>
        <w:spacing w:before="0" w:after="40"/>
        <w:ind w:left="600"/>
      </w:pPr>
      <w:r>
        <w:rPr>
          <w:color w:val="00643C"/>
          <w:sz w:val="16"/>
        </w:rPr>
        <w:t>Points clés : Reprise du dialogue diplomatique entre le Mali et l'Algérie.  •  Potentiel impact positif sur la stabilité régionale et la coopération sécuritaire.</w:t>
      </w:r>
    </w:p>
    <w:p>
      <w:pPr>
        <w:spacing w:before="0" w:after="60"/>
        <w:ind w:left="600"/>
      </w:pPr>
      <w:r>
        <w:rPr>
          <w:color w:val="0064B4"/>
          <w:sz w:val="15"/>
        </w:rPr>
        <w:t>Source : https://news.google.com/rss/articles/CBMiowFBVV95cUxQTTdZTWNUdnRCbDRNMHJCbEFsYWh</w:t>
      </w:r>
    </w:p>
    <w:p>
      <w:pPr>
        <w:spacing w:before="40" w:after="40"/>
        <w:ind w:left="360"/>
      </w:pPr>
      <w:r>
        <w:rPr>
          <w:color w:val="646464"/>
          <w:sz w:val="17"/>
        </w:rPr>
        <w:t xml:space="preserve">[24/08/2026] ⚪  </w:t>
      </w:r>
      <w:r>
        <w:rPr>
          <w:b/>
          <w:color w:val="505050"/>
          <w:sz w:val="18"/>
        </w:rPr>
        <w:t>Sénégal : Sonko consolide son assise au cœur du pouvoir - Points Chauds Online</w:t>
      </w:r>
      <w:r>
        <w:rPr>
          <w:color w:val="787878"/>
          <w:sz w:val="15"/>
        </w:rPr>
        <w:t xml:space="preserve">  [politique]</w:t>
      </w:r>
      <w:r>
        <w:rPr>
          <w:color w:val="B47800"/>
          <w:sz w:val="16"/>
        </w:rPr>
        <w:t xml:space="preserve">  ★ 50/10</w:t>
      </w:r>
    </w:p>
    <w:p>
      <w:pPr>
        <w:spacing w:before="0" w:after="20"/>
        <w:ind w:left="600"/>
      </w:pPr>
      <w:r>
        <w:rPr>
          <w:color w:val="323232"/>
          <w:sz w:val="17"/>
        </w:rPr>
        <w:t>L'article rapporte que le Premier ministre sénégalais Ousmane Sonko renforce sa position au sein du pouvoir, consolidant ainsi son influence politique. Cette dynamique intervient dans un contexte de stabilité relative au Sénégal, pays membre de l'UEMOA. La consolidation du pouvoir exécutif pourrait avoir des implications pour la gouvernance économi</w:t>
      </w:r>
    </w:p>
    <w:p>
      <w:pPr>
        <w:spacing w:before="0" w:after="40"/>
        <w:ind w:left="600"/>
      </w:pPr>
      <w:r>
        <w:rPr>
          <w:color w:val="00643C"/>
          <w:sz w:val="16"/>
        </w:rPr>
        <w:t>Points clés : Renforcement de la position politique de Sonko au Sénégal.  •  Contexte de stabilité politique dans un pays clé de l'UEMOA.</w:t>
      </w:r>
    </w:p>
    <w:p>
      <w:pPr>
        <w:spacing w:before="0" w:after="60"/>
        <w:ind w:left="600"/>
      </w:pPr>
      <w:r>
        <w:rPr>
          <w:color w:val="0064B4"/>
          <w:sz w:val="15"/>
        </w:rPr>
        <w:t>Source : https://news.google.com/rss/articles/CBMiiAFBVV95cUxNVl85MDJoa1JrYmxfaVJ1NEU3M24</w:t>
      </w:r>
    </w:p>
    <w:p>
      <w:pPr>
        <w:spacing w:before="40" w:after="40"/>
        <w:ind w:left="360"/>
      </w:pPr>
      <w:r>
        <w:rPr>
          <w:color w:val="646464"/>
          <w:sz w:val="17"/>
        </w:rPr>
        <w:t xml:space="preserve">[23/08/2026] 🟢  </w:t>
      </w:r>
      <w:r>
        <w:rPr>
          <w:b/>
          <w:color w:val="008000"/>
          <w:sz w:val="18"/>
        </w:rPr>
        <w:t>Maroc - Mali : La religion au service du rapprochement politique - Yabiladi.com</w:t>
      </w:r>
      <w:r>
        <w:rPr>
          <w:color w:val="787878"/>
          <w:sz w:val="15"/>
        </w:rPr>
        <w:t xml:space="preserve">  [politique]</w:t>
      </w:r>
      <w:r>
        <w:rPr>
          <w:color w:val="B47800"/>
          <w:sz w:val="16"/>
        </w:rPr>
        <w:t xml:space="preserve">  ★ 50/10</w:t>
      </w:r>
    </w:p>
    <w:p>
      <w:pPr>
        <w:spacing w:before="0" w:after="20"/>
        <w:ind w:left="600"/>
      </w:pPr>
      <w:r>
        <w:rPr>
          <w:color w:val="323232"/>
          <w:sz w:val="17"/>
        </w:rPr>
        <w:t>L'article de Yabiladi.com rapporte que le Maroc et le Mali utilisent la religion comme levier pour renforcer leur rapprochement politique. Cette démarche s'inscrit dans un contexte de coopération bilatérale accrue, visant à consolider les liens diplomatiques et culturels entre les deux pays. Bien que l'article soit axé sur la politique, il pourrait</w:t>
      </w:r>
    </w:p>
    <w:p>
      <w:pPr>
        <w:spacing w:before="0" w:after="40"/>
        <w:ind w:left="600"/>
      </w:pPr>
      <w:r>
        <w:rPr>
          <w:color w:val="00643C"/>
          <w:sz w:val="16"/>
        </w:rPr>
        <w:t>Points clés : Le Maroc et le Mali renforcent leur coopération politique via la religion.  •  Cette initiative vise à consolider les liens diplomatiques et culturels.  •  Le rapprochement pourrait favoriser les échanges économiques dans la zone UEMOA.</w:t>
      </w:r>
    </w:p>
    <w:p>
      <w:pPr>
        <w:spacing w:before="0" w:after="60"/>
        <w:ind w:left="600"/>
      </w:pPr>
      <w:r>
        <w:rPr>
          <w:color w:val="0064B4"/>
          <w:sz w:val="15"/>
        </w:rPr>
        <w:t>Source : https://news.google.com/rss/articles/CBMiqAFBVV95cUxNWU96UDBKR25WT3ZHVGExbnRhb1g</w:t>
      </w:r>
    </w:p>
    <w:p>
      <w:pPr>
        <w:spacing w:before="120" w:after="40"/>
      </w:pPr>
      <w:r>
        <w:rPr>
          <w:b/>
          <w:color w:val="00467F"/>
          <w:sz w:val="20"/>
        </w:rPr>
        <w:t>🔑 économique  (3 alerte(s))</w:t>
      </w:r>
    </w:p>
    <w:p>
      <w:pPr>
        <w:spacing w:before="40" w:after="40"/>
        <w:ind w:left="360"/>
      </w:pPr>
      <w:r>
        <w:rPr>
          <w:color w:val="646464"/>
          <w:sz w:val="17"/>
        </w:rPr>
        <w:t xml:space="preserve">[24/08/2026] 🟢  </w:t>
      </w:r>
      <w:r>
        <w:rPr>
          <w:b/>
          <w:color w:val="008000"/>
          <w:sz w:val="18"/>
        </w:rPr>
        <w:t>CEDEAO : Actions coordonnées de soutien à l’économie et à la santé - lopinion.ma</w:t>
      </w:r>
      <w:r>
        <w:rPr>
          <w:color w:val="787878"/>
          <w:sz w:val="15"/>
        </w:rPr>
        <w:t xml:space="preserve">  [économique]</w:t>
      </w:r>
      <w:r>
        <w:rPr>
          <w:color w:val="B47800"/>
          <w:sz w:val="16"/>
        </w:rPr>
        <w:t xml:space="preserve">  ★ 50/10</w:t>
      </w:r>
    </w:p>
    <w:p>
      <w:pPr>
        <w:spacing w:before="0" w:after="20"/>
        <w:ind w:left="600"/>
      </w:pPr>
      <w:r>
        <w:rPr>
          <w:color w:val="323232"/>
          <w:sz w:val="17"/>
        </w:rPr>
        <w:t>La CEDEAO a annoncé des actions coordonnées pour soutenir l'économie et la santé dans la région ouest-africaine. Ces mesures visent à atténuer les effets de la crise sanitaire et à stimuler la reprise économique. L'initiative reflète une coopération régionale renforcée face aux défis communs.</w:t>
      </w:r>
    </w:p>
    <w:p>
      <w:pPr>
        <w:spacing w:before="0" w:after="40"/>
        <w:ind w:left="600"/>
      </w:pPr>
      <w:r>
        <w:rPr>
          <w:color w:val="00643C"/>
          <w:sz w:val="16"/>
        </w:rPr>
        <w:t>Points clés : Coordination régionale pour le soutien économique et sanitaire  •  Renforcement de la résilience face aux crises</w:t>
      </w:r>
    </w:p>
    <w:p>
      <w:pPr>
        <w:spacing w:before="0" w:after="60"/>
        <w:ind w:left="600"/>
      </w:pPr>
      <w:r>
        <w:rPr>
          <w:color w:val="0064B4"/>
          <w:sz w:val="15"/>
        </w:rPr>
        <w:t>Source : https://news.google.com/rss/articles/CBMi6wFBVV95cUxPY1ROQXNmZjZXTmFMbXZBZ1RydWx</w:t>
      </w:r>
    </w:p>
    <w:p>
      <w:pPr>
        <w:spacing w:before="40" w:after="40"/>
        <w:ind w:left="360"/>
      </w:pPr>
      <w:r>
        <w:rPr>
          <w:color w:val="646464"/>
          <w:sz w:val="17"/>
        </w:rPr>
        <w:t xml:space="preserve">[22/08/2026] 🟢  </w:t>
      </w:r>
      <w:r>
        <w:rPr>
          <w:b/>
          <w:color w:val="008000"/>
          <w:sz w:val="18"/>
        </w:rPr>
        <w:t>COUNTRY REPORT - CEDEAO REPORT : la croissance du Libéria économique estimée à 5% pour 2026 - Africa24 TV</w:t>
      </w:r>
      <w:r>
        <w:rPr>
          <w:color w:val="787878"/>
          <w:sz w:val="15"/>
        </w:rPr>
        <w:t xml:space="preserve">  [économique]</w:t>
      </w:r>
      <w:r>
        <w:rPr>
          <w:color w:val="B47800"/>
          <w:sz w:val="16"/>
        </w:rPr>
        <w:t xml:space="preserve">  ★ 50/10</w:t>
      </w:r>
    </w:p>
    <w:p>
      <w:pPr>
        <w:spacing w:before="0" w:after="20"/>
        <w:ind w:left="600"/>
      </w:pPr>
      <w:r>
        <w:rPr>
          <w:color w:val="323232"/>
          <w:sz w:val="17"/>
        </w:rPr>
        <w:t>Le rapport Country Report de la CEDEAO indique que la croissance économique du Libéria est estimée à 5% pour 2026, reflétant une dynamique positive dans la sous-région ouest-africaine. Cette prévision s'inscrit dans un contexte de reprise économique et de consolidation des activités dans les pays membres de la CEDEAO. Le Libéria, bien que de taille</w:t>
      </w:r>
    </w:p>
    <w:p>
      <w:pPr>
        <w:spacing w:before="0" w:after="40"/>
        <w:ind w:left="600"/>
      </w:pPr>
      <w:r>
        <w:rPr>
          <w:color w:val="00643C"/>
          <w:sz w:val="16"/>
        </w:rPr>
        <w:t>Points clés : Croissance économique du Libéria estimée à 5% pour 2026.  •  Perspectives positives pour la sous-région CEDEAO.  •  Réformes et investissements soutiennent la reprise au Libéria.</w:t>
      </w:r>
    </w:p>
    <w:p>
      <w:pPr>
        <w:spacing w:before="0" w:after="60"/>
        <w:ind w:left="600"/>
      </w:pPr>
      <w:r>
        <w:rPr>
          <w:color w:val="0064B4"/>
          <w:sz w:val="15"/>
        </w:rPr>
        <w:t>Source : https://news.google.com/rss/articles/CBMirwFBVV95cUxNOWk4ajA1bkJpVnh6RVFUUUNhdUt</w:t>
      </w:r>
    </w:p>
    <w:p>
      <w:pPr>
        <w:spacing w:before="40" w:after="40"/>
        <w:ind w:left="360"/>
      </w:pPr>
      <w:r>
        <w:rPr>
          <w:color w:val="646464"/>
          <w:sz w:val="17"/>
        </w:rPr>
        <w:t xml:space="preserve">[22/08/2026] 🟢  </w:t>
      </w:r>
      <w:r>
        <w:rPr>
          <w:b/>
          <w:color w:val="008000"/>
          <w:sz w:val="18"/>
        </w:rPr>
        <w:t>PORTRAIT – CEDEAO REPORT : la FEWACCI appelle à lever les barrières - Africa24 TV</w:t>
      </w:r>
      <w:r>
        <w:rPr>
          <w:color w:val="787878"/>
          <w:sz w:val="15"/>
        </w:rPr>
        <w:t xml:space="preserve">  [économique]</w:t>
      </w:r>
      <w:r>
        <w:rPr>
          <w:color w:val="B47800"/>
          <w:sz w:val="16"/>
        </w:rPr>
        <w:t xml:space="preserve">  ★ 50/10</w:t>
      </w:r>
    </w:p>
    <w:p>
      <w:pPr>
        <w:spacing w:before="0" w:after="20"/>
        <w:ind w:left="600"/>
      </w:pPr>
      <w:r>
        <w:rPr>
          <w:color w:val="323232"/>
          <w:sz w:val="17"/>
        </w:rPr>
        <w:t>La Fédération des chambres de commerce et d'industrie de la CEDEAO (FEWACCI) a appelé à la levée des barrières commerciales et non tarifaires au sein de la région, lors d'un rapport présenté dans le cadre de la CEDEAO. Cette initiative vise à renforcer l'intégration économique régionale et à faciliter les échanges transfrontaliers. L'article soulig</w:t>
      </w:r>
    </w:p>
    <w:p>
      <w:pPr>
        <w:spacing w:before="0" w:after="40"/>
        <w:ind w:left="600"/>
      </w:pPr>
      <w:r>
        <w:rPr>
          <w:color w:val="00643C"/>
          <w:sz w:val="16"/>
        </w:rPr>
        <w:t>Points clés : La FEWACCI appelle à lever les barrières commerciales dans la CEDEAO.  •  L'objectif est de renforcer l'intégration économique régionale et les échanges transfrontaliers.</w:t>
      </w:r>
    </w:p>
    <w:p>
      <w:pPr>
        <w:spacing w:before="0" w:after="60"/>
        <w:ind w:left="600"/>
      </w:pPr>
      <w:r>
        <w:rPr>
          <w:color w:val="0064B4"/>
          <w:sz w:val="15"/>
        </w:rPr>
        <w:t>Source : https://news.google.com/rss/articles/CBMikAFBVV95cUxQUHZ2cHc4MXpQa0c5cXZzX1l4WEN</w:t>
      </w:r>
    </w:p>
    <w:p>
      <w:pPr>
        <w:spacing w:before="120" w:after="40"/>
      </w:pPr>
      <w:r>
        <w:rPr>
          <w:b/>
          <w:color w:val="00467F"/>
          <w:sz w:val="20"/>
        </w:rPr>
        <w:t>🔑 matieres_premieres  (2 alerte(s))</w:t>
      </w:r>
    </w:p>
    <w:p>
      <w:pPr>
        <w:spacing w:before="40" w:after="40"/>
        <w:ind w:left="360"/>
      </w:pPr>
      <w:r>
        <w:rPr>
          <w:color w:val="646464"/>
          <w:sz w:val="17"/>
        </w:rPr>
        <w:t xml:space="preserve">[24/08/2026] 🟢  </w:t>
      </w:r>
      <w:r>
        <w:rPr>
          <w:b/>
          <w:color w:val="008000"/>
          <w:sz w:val="18"/>
        </w:rPr>
        <w:t>L'indice MXV a progressé de 4,3 %, les marchés des matières premières ont affiché de bonnes performances la semaine dern</w:t>
      </w:r>
      <w:r>
        <w:rPr>
          <w:color w:val="787878"/>
          <w:sz w:val="15"/>
        </w:rPr>
        <w:t xml:space="preserve">  [matieres_premieres]</w:t>
      </w:r>
      <w:r>
        <w:rPr>
          <w:color w:val="B47800"/>
          <w:sz w:val="16"/>
        </w:rPr>
        <w:t xml:space="preserve">  ★ 50/10</w:t>
      </w:r>
    </w:p>
    <w:p>
      <w:pPr>
        <w:spacing w:before="0" w:after="20"/>
        <w:ind w:left="600"/>
      </w:pPr>
      <w:r>
        <w:rPr>
          <w:color w:val="323232"/>
          <w:sz w:val="17"/>
        </w:rPr>
        <w:t>La semaine dernière, les marchés des matières premières ont enregistré de bonnes performances, avec l'indice MXV en hausse de 4,3 %. Cette progression reflète un dynamisme général sur les matières premières, ce qui pourrait avoir des répercussions sur les économies dépendantes de ces ressources. L'article, bien que bref, souligne une tendance posit</w:t>
      </w:r>
    </w:p>
    <w:p>
      <w:pPr>
        <w:spacing w:before="0" w:after="40"/>
        <w:ind w:left="600"/>
      </w:pPr>
      <w:r>
        <w:rPr>
          <w:color w:val="00643C"/>
          <w:sz w:val="16"/>
        </w:rPr>
        <w:t>Points clés : L'indice MXV a augmenté de 4,3 % la semaine dernière.  •  Les marchés des matières premières ont affiché de bonnes performances.</w:t>
      </w:r>
    </w:p>
    <w:p>
      <w:pPr>
        <w:spacing w:before="0" w:after="60"/>
        <w:ind w:left="600"/>
      </w:pPr>
      <w:r>
        <w:rPr>
          <w:color w:val="0064B4"/>
          <w:sz w:val="15"/>
        </w:rPr>
        <w:t>Source : https://news.google.com/rss/articles/CBMiigFBVV95cUxPZldUTjlFUElhbDNmS3hneENJcUh</w:t>
      </w:r>
    </w:p>
    <w:p>
      <w:pPr>
        <w:spacing w:before="40" w:after="40"/>
        <w:ind w:left="360"/>
      </w:pPr>
      <w:r>
        <w:rPr>
          <w:color w:val="646464"/>
          <w:sz w:val="17"/>
        </w:rPr>
        <w:t xml:space="preserve">[21/08/2026] 🟢  </w:t>
      </w:r>
      <w:r>
        <w:rPr>
          <w:b/>
          <w:color w:val="008000"/>
          <w:sz w:val="18"/>
        </w:rPr>
        <w:t>Marché des matières premières : l'indice MXV dépasse les 2 900 points, atteignant son plus haut niveau depuis fin mai. -</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dépassé les 2 900 points, atteignant son plus haut niveau depuis fin mai. Cette hausse reflète une dynamique positive sur les marchés internationaux des matières premières. Les investisseurs suivent de près cette évolution qui pourrait influencer les coûts des intrants et les revenus des exp</w:t>
      </w:r>
    </w:p>
    <w:p>
      <w:pPr>
        <w:spacing w:before="0" w:after="40"/>
        <w:ind w:left="600"/>
      </w:pPr>
      <w:r>
        <w:rPr>
          <w:color w:val="00643C"/>
          <w:sz w:val="16"/>
        </w:rPr>
        <w:t>Points clés : L'indice MXV a franchi le seuil des 2 900 points, un niveau inédit depuis fin mai.  •  Cette hausse témoigne d'un regain d'appétit pour les matières premières sur les marchés internationaux.</w:t>
      </w:r>
    </w:p>
    <w:p>
      <w:pPr>
        <w:spacing w:before="0" w:after="60"/>
        <w:ind w:left="600"/>
      </w:pPr>
      <w:r>
        <w:rPr>
          <w:color w:val="0064B4"/>
          <w:sz w:val="15"/>
        </w:rPr>
        <w:t>Source : https://news.google.com/rss/articles/CBMipwFBVV95cUxNeTQtYTFhekt1MWVKMFFKWnFBVGR</w:t>
      </w:r>
    </w:p>
    <w:p>
      <w:pPr>
        <w:spacing w:before="120" w:after="40"/>
      </w:pPr>
      <w:r>
        <w:rPr>
          <w:b/>
          <w:color w:val="00467F"/>
          <w:sz w:val="20"/>
        </w:rPr>
        <w:t>🔑 marche_financier  (2 alerte(s))</w:t>
      </w:r>
    </w:p>
    <w:p>
      <w:pPr>
        <w:spacing w:before="40" w:after="40"/>
        <w:ind w:left="360"/>
      </w:pPr>
      <w:r>
        <w:rPr>
          <w:color w:val="646464"/>
          <w:sz w:val="17"/>
        </w:rPr>
        <w:t xml:space="preserve">[22/08/2026] 🟢  </w:t>
      </w:r>
      <w:r>
        <w:rPr>
          <w:b/>
          <w:color w:val="008000"/>
          <w:sz w:val="18"/>
        </w:rPr>
        <w:t>La BRVM franchit le cap historique des 20 000 milliards de francs CFA de capitalisation - Forbes Afrique</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20 000 milliards de francs CFA, un record pour le marché financier de l'UEMOA. Cette performance reflète la dynamique positive des entreprises cotées et l'attractivité croissante de la place financière régionale. Le franchisse</w:t>
      </w:r>
    </w:p>
    <w:p>
      <w:pPr>
        <w:spacing w:before="0" w:after="40"/>
        <w:ind w:left="600"/>
      </w:pPr>
      <w:r>
        <w:rPr>
          <w:color w:val="00643C"/>
          <w:sz w:val="16"/>
        </w:rPr>
        <w:t>Points clés : Capitalisation boursière record de 20 000 milliards FCFA atteinte par la BRVM.  •  Confirmation de la dynamique haussière du marché financier de l'UEMOA.  •  Attractivité accrue de la BRVM auprès des investisseurs régionaux et internationaux.</w:t>
      </w:r>
    </w:p>
    <w:p>
      <w:pPr>
        <w:spacing w:before="0" w:after="60"/>
        <w:ind w:left="600"/>
      </w:pPr>
      <w:r>
        <w:rPr>
          <w:color w:val="0064B4"/>
          <w:sz w:val="15"/>
        </w:rPr>
        <w:t>Source : https://news.google.com/rss/articles/CBMitAFBVV95cUxNc3RLNHNFd3NwNEdyMFBHUDdOblF</w:t>
      </w:r>
    </w:p>
    <w:p>
      <w:pPr>
        <w:spacing w:before="40" w:after="40"/>
        <w:ind w:left="360"/>
      </w:pPr>
      <w:r>
        <w:rPr>
          <w:color w:val="646464"/>
          <w:sz w:val="17"/>
        </w:rPr>
        <w:t xml:space="preserve">[21/08/2026] 🟢  </w:t>
      </w:r>
      <w:r>
        <w:rPr>
          <w:b/>
          <w:color w:val="008000"/>
          <w:sz w:val="18"/>
        </w:rPr>
        <w:t>BRVM: la capitalisation boursière du marché des actions franchit le Cap des 20.000 milliards FCFA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plus de 20 000 milliards de FCFA sur le marché des actions. Cette performance reflète la dynamique positive du marché financier de l'UEMOA, portée par la confiance des investisseurs et la bonne tenue des valeurs cotées. Ce seu</w:t>
      </w:r>
    </w:p>
    <w:p>
      <w:pPr>
        <w:spacing w:before="0" w:after="40"/>
        <w:ind w:left="600"/>
      </w:pPr>
      <w:r>
        <w:rPr>
          <w:color w:val="00643C"/>
          <w:sz w:val="16"/>
        </w:rPr>
        <w:t>Points clés : La capitalisation boursière du marché des actions de la BRVM dépasse 20 000 milliards FCFA.  •  Cette progression témoigne de la vitalité du marché financier de l'UEMOA.  •  Le franchissement de ce cap renforce l'attractivité de la BRVM auprès des investisseurs.</w:t>
      </w:r>
    </w:p>
    <w:p>
      <w:pPr>
        <w:spacing w:before="0" w:after="60"/>
        <w:ind w:left="600"/>
      </w:pPr>
      <w:r>
        <w:rPr>
          <w:color w:val="0064B4"/>
          <w:sz w:val="15"/>
        </w:rPr>
        <w:t>Source : https://news.google.com/rss/articles/CBMi0gFBVV95cUxQVGJBZ3F1amtfMEVCcGRZUHZUeUx</w:t>
      </w:r>
    </w:p>
    <w:p>
      <w:pPr>
        <w:spacing w:before="120" w:after="40"/>
      </w:pPr>
      <w:r>
        <w:rPr>
          <w:b/>
          <w:color w:val="00467F"/>
          <w:sz w:val="20"/>
        </w:rPr>
        <w:t>🔑 politique_monetaire  (1 alerte(s))</w:t>
      </w:r>
    </w:p>
    <w:p>
      <w:pPr>
        <w:spacing w:before="40" w:after="40"/>
        <w:ind w:left="360"/>
      </w:pPr>
      <w:r>
        <w:rPr>
          <w:color w:val="646464"/>
          <w:sz w:val="17"/>
        </w:rPr>
        <w:t xml:space="preserve">[21/08/2026] 🔴  </w:t>
      </w:r>
      <w:r>
        <w:rPr>
          <w:b/>
          <w:color w:val="C00000"/>
          <w:sz w:val="18"/>
        </w:rPr>
        <w:t>Dette : pourquoi l'annulation proposée par Jean-Luc Mélenchon ne peut pas fonctionner - Les Echos</w:t>
      </w:r>
      <w:r>
        <w:rPr>
          <w:color w:val="787878"/>
          <w:sz w:val="15"/>
        </w:rPr>
        <w:t xml:space="preserve">  [politique_monetaire]</w:t>
      </w:r>
      <w:r>
        <w:rPr>
          <w:color w:val="B47800"/>
          <w:sz w:val="16"/>
        </w:rPr>
        <w:t xml:space="preserve">  ★ 50/10</w:t>
      </w:r>
    </w:p>
    <w:p>
      <w:pPr>
        <w:spacing w:before="0" w:after="20"/>
        <w:ind w:left="600"/>
      </w:pPr>
      <w:r>
        <w:rPr>
          <w:color w:val="323232"/>
          <w:sz w:val="17"/>
        </w:rPr>
        <w:t>L'article des Echos critique la proposition de Jean-Luc Mélenchon d'annuler la dette publique, arguant que cette mesure est irréaliste et dangereuse pour l'économie. Il souligne que l'annulation unilatérale de la dette entraînerait une perte de confiance des investisseurs, une hausse des taux d'intérêt et une exclusion des marchés financiers. L'art</w:t>
      </w:r>
    </w:p>
    <w:p>
      <w:pPr>
        <w:spacing w:before="0" w:after="40"/>
        <w:ind w:left="600"/>
      </w:pPr>
      <w:r>
        <w:rPr>
          <w:color w:val="00643C"/>
          <w:sz w:val="16"/>
        </w:rPr>
        <w:t>Points clés : L'annulation de la dette est jugée irréaliste et contre-productive.  •  Elle provoquerait une défiance des marchés et une hausse des coûts de financement.  •  Les conséquences seraient graves pour la stabilité économique de la zone euro.  •  L'article défend une approche de gestion de la dette plutôt que son annulation.</w:t>
      </w:r>
    </w:p>
    <w:p>
      <w:pPr>
        <w:spacing w:before="0" w:after="60"/>
        <w:ind w:left="600"/>
      </w:pPr>
      <w:r>
        <w:rPr>
          <w:color w:val="0064B4"/>
          <w:sz w:val="15"/>
        </w:rPr>
        <w:t>Source : https://news.google.com/rss/articles/CBMi4AFBVV95cUxNZGdWbVFpckg4MTdSWmxybU5YaEx</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3,360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4,075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12,985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22,800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2,495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9,990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6,550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9,250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21,200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36,500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6,970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5,345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16,830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37,550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3,620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38,985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4,075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12,985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6,550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2,480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3,360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4,075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12,985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22,800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2,495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9,990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3,360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4,075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12,985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22,800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2,495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9,990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(70.1 &gt; 70) — risque de correction</w:t>
      </w:r>
    </w:p>
    <w:p>
      <w:pPr>
        <w:pStyle w:val="ListBullet"/>
        <w:spacing w:before="20"/>
        <w:ind w:left="400"/>
      </w:pPr>
      <w:r>
        <w:rPr>
          <w:sz w:val="18"/>
        </w:rPr>
        <w:t>⚠️ Cours à 0.1%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(9,990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(78.6 &gt; 70) — risque de correction</w:t>
      </w:r>
    </w:p>
    <w:p>
      <w:pPr>
        <w:pStyle w:val="ListBullet"/>
        <w:spacing w:before="20"/>
        <w:ind w:left="400"/>
      </w:pPr>
      <w:r>
        <w:rPr>
          <w:sz w:val="18"/>
        </w:rPr>
        <w:t>⚠️ Cours à 0.0% du plus haut 100j (8,000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(85.9 &gt; 70) — risque de correction</w:t>
      </w:r>
    </w:p>
    <w:p>
      <w:pPr>
        <w:pStyle w:val="ListBullet"/>
        <w:spacing w:before="20"/>
        <w:ind w:left="400"/>
      </w:pPr>
      <w:r>
        <w:rPr>
          <w:sz w:val="18"/>
        </w:rPr>
        <w:t>⚠️ Cours à 0.0%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(96.2 &gt; 70) — risque de correction</w:t>
      </w:r>
    </w:p>
    <w:p>
      <w:pPr>
        <w:pStyle w:val="ListBullet"/>
        <w:spacing w:before="20"/>
        <w:ind w:left="400"/>
      </w:pPr>
      <w:r>
        <w:rPr>
          <w:sz w:val="18"/>
        </w:rPr>
        <w:t>⚠️ Cours à 0.0% du plus haut 100j (21,200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(80.4 &gt; 70) — risque de correction</w:t>
      </w:r>
    </w:p>
    <w:p>
      <w:pPr>
        <w:pStyle w:val="ListBullet"/>
        <w:spacing w:before="20"/>
        <w:ind w:left="400"/>
      </w:pPr>
      <w:r>
        <w:rPr>
          <w:sz w:val="18"/>
        </w:rPr>
        <w:t>⚠️ Cours à 1.3% du plus haut 100j (36,980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(76.5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(91.9 &gt; 70) — risque de correction</w:t>
      </w:r>
    </w:p>
    <w:p>
      <w:pPr>
        <w:pStyle w:val="ListBullet"/>
        <w:spacing w:before="20"/>
        <w:ind w:left="400"/>
      </w:pPr>
      <w:r>
        <w:rPr>
          <w:sz w:val="18"/>
        </w:rPr>
        <w:t>⚠️ Cours à 0.0% du plus haut 100j (6,550 FCFA)</w:t>
      </w:r>
    </w:p>
    <w:p>
      <w:pPr>
        <w:spacing w:before="120"/>
      </w:pPr>
      <w:r>
        <w:rPr>
          <w:b/>
          <w:color w:val="0050A0"/>
          <w:sz w:val="20"/>
        </w:rPr>
        <w:t>BOAN — BANK OF AFRICA NIGER</w:t>
      </w:r>
    </w:p>
    <w:p>
      <w:pPr>
        <w:pStyle w:val="ListBullet"/>
        <w:spacing w:before="20"/>
        <w:ind w:left="400"/>
      </w:pPr>
      <w:r>
        <w:rPr>
          <w:sz w:val="18"/>
        </w:rPr>
        <w:t>⚠️ Cours à 1.0%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(70.4 &gt; 70) — risque de correction</w:t>
      </w:r>
    </w:p>
    <w:p>
      <w:pPr>
        <w:pStyle w:val="ListBullet"/>
        <w:spacing w:before="20"/>
        <w:ind w:left="400"/>
      </w:pPr>
      <w:r>
        <w:rPr>
          <w:sz w:val="18"/>
        </w:rPr>
        <w:t>⚠️ Cours à 1.5% du plus haut 100j (9,640 FCFA)</w:t>
      </w:r>
    </w:p>
    <w:p>
      <w:pPr>
        <w:spacing w:before="120"/>
      </w:pPr>
      <w:r>
        <w:rPr>
          <w:b/>
          <w:color w:val="0050A0"/>
          <w:sz w:val="20"/>
        </w:rPr>
        <w:t>SDCC — SDCC - Société de Distribution d'Eau de Côte d'Ivoire</w:t>
      </w:r>
    </w:p>
    <w:p>
      <w:pPr>
        <w:pStyle w:val="ListBullet"/>
        <w:spacing w:before="20"/>
        <w:ind w:left="400"/>
      </w:pPr>
      <w:r>
        <w:rPr>
          <w:sz w:val="18"/>
        </w:rPr>
        <w:t>⚠️ Cours à 1.6%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(85.5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(92.8 &gt; 70) — risque de correction</w:t>
      </w:r>
    </w:p>
    <w:p>
      <w:pPr>
        <w:pStyle w:val="ListBullet"/>
        <w:spacing w:before="20"/>
        <w:ind w:left="400"/>
      </w:pPr>
      <w:r>
        <w:rPr>
          <w:sz w:val="18"/>
        </w:rPr>
        <w:t>⚠️ Cours à 0.0% du plus haut 100j (2,495 FCFA)</w:t>
      </w:r>
    </w:p>
    <w:p>
      <w:pPr>
        <w:spacing w:before="120"/>
      </w:pPr>
      <w:r>
        <w:rPr>
          <w:b/>
          <w:color w:val="0050A0"/>
          <w:sz w:val="20"/>
        </w:rPr>
        <w:t>BOAC — BANK OF AFRICA COTE D'IVOIRE</w:t>
      </w:r>
    </w:p>
    <w:p>
      <w:pPr>
        <w:pStyle w:val="ListBullet"/>
        <w:spacing w:before="20"/>
        <w:ind w:left="400"/>
      </w:pPr>
      <w:r>
        <w:rPr>
          <w:sz w:val="18"/>
        </w:rPr>
        <w:t>🔴 RSI surachat (81.9 &gt; 70) — risque de correction</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(88.5 &gt; 70) — risque de correction</w:t>
      </w:r>
    </w:p>
    <w:p>
      <w:pPr>
        <w:spacing w:before="120"/>
      </w:pPr>
      <w:r>
        <w:rPr>
          <w:b/>
          <w:color w:val="0050A0"/>
          <w:sz w:val="20"/>
        </w:rPr>
        <w:t>FTSC — FTSC - FILTISAC COTE D'IVOIRE</w:t>
      </w:r>
    </w:p>
    <w:p>
      <w:pPr>
        <w:pStyle w:val="ListBullet"/>
        <w:spacing w:before="20"/>
        <w:ind w:left="400"/>
      </w:pPr>
      <w:r>
        <w:rPr>
          <w:sz w:val="18"/>
        </w:rPr>
        <w:t>🔴 RSI surachat (77.3 &gt; 70) — risque de correction</w:t>
      </w:r>
    </w:p>
    <w:p>
      <w:pPr>
        <w:spacing w:before="120"/>
      </w:pPr>
      <w:r>
        <w:rPr>
          <w:b/>
          <w:color w:val="0050A0"/>
          <w:sz w:val="20"/>
        </w:rPr>
        <w:t>LNBB — LNBB - LOTERIE NATIONALE DU BENIN</w:t>
      </w:r>
    </w:p>
    <w:p>
      <w:pPr>
        <w:pStyle w:val="ListBullet"/>
        <w:spacing w:before="20"/>
        <w:ind w:left="400"/>
      </w:pPr>
      <w:r>
        <w:rPr>
          <w:sz w:val="18"/>
        </w:rPr>
        <w:t>🟢 RSI survente (24.1 &lt; 30) — opportunité potentielle</w:t>
      </w:r>
    </w:p>
    <w:p>
      <w:pPr>
        <w:spacing w:before="120"/>
      </w:pPr>
      <w:r>
        <w:rPr>
          <w:b/>
          <w:color w:val="0050A0"/>
          <w:sz w:val="20"/>
        </w:rPr>
        <w:t>NEIC — NEIC - NEI-CEDA CI</w:t>
      </w:r>
    </w:p>
    <w:p>
      <w:pPr>
        <w:pStyle w:val="ListBullet"/>
        <w:spacing w:before="20"/>
        <w:ind w:left="400"/>
      </w:pPr>
      <w:r>
        <w:rPr>
          <w:sz w:val="18"/>
        </w:rPr>
        <w:t>⚠️ Cours à 0.0% du plus haut 100j (2,500 FCFA)</w:t>
      </w:r>
    </w:p>
    <w:p>
      <w:pPr>
        <w:spacing w:before="120"/>
      </w:pPr>
      <w:r>
        <w:rPr>
          <w:b/>
          <w:color w:val="0050A0"/>
          <w:sz w:val="20"/>
        </w:rPr>
        <w:t>NSBC — NSBC - NSIA BANQUE COTE D'IVOIRE</w:t>
      </w:r>
    </w:p>
    <w:p>
      <w:pPr>
        <w:pStyle w:val="ListBullet"/>
        <w:spacing w:before="20"/>
        <w:ind w:left="400"/>
      </w:pPr>
      <w:r>
        <w:rPr>
          <w:sz w:val="18"/>
        </w:rPr>
        <w:t>🟢 RSI survente (16.8 &lt; 30) — opportunité potentielle</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(29.3 &lt; 30) — opportunité potentielle</w:t>
      </w:r>
    </w:p>
    <w:p>
      <w:pPr>
        <w:spacing w:before="120"/>
      </w:pPr>
      <w:r>
        <w:rPr>
          <w:b/>
          <w:color w:val="0050A0"/>
          <w:sz w:val="20"/>
        </w:rPr>
        <w:t>SHEC — SHEC - VIVO ENERGY COTE D'IVOIRE</w:t>
      </w:r>
    </w:p>
    <w:p>
      <w:pPr>
        <w:pStyle w:val="ListBullet"/>
        <w:spacing w:before="20"/>
        <w:ind w:left="400"/>
      </w:pPr>
      <w:r>
        <w:rPr>
          <w:sz w:val="18"/>
        </w:rPr>
        <w:t>⚠️ Cours à 0.0% du plus haut 100j (2,480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(74.1 &gt; 70) — risque de correction</w:t>
      </w:r>
    </w:p>
    <w:p>
      <w:pPr>
        <w:spacing w:before="120"/>
      </w:pPr>
      <w:r>
        <w:rPr>
          <w:b/>
          <w:color w:val="0050A0"/>
          <w:sz w:val="20"/>
        </w:rPr>
        <w:t>STAC — STAC - SETAO COTE D'IVOIRE</w:t>
      </w:r>
    </w:p>
    <w:p>
      <w:pPr>
        <w:pStyle w:val="ListBullet"/>
        <w:spacing w:before="20"/>
        <w:ind w:left="400"/>
      </w:pPr>
      <w:r>
        <w:rPr>
          <w:sz w:val="18"/>
        </w:rPr>
        <w:t>🟢 RSI survente (22.9 &lt; 30) — opportunité potentielle</w:t>
      </w:r>
    </w:p>
    <w:p>
      <w:pPr>
        <w:spacing w:before="120"/>
      </w:pPr>
      <w:r>
        <w:rPr>
          <w:b/>
          <w:color w:val="0050A0"/>
          <w:sz w:val="20"/>
        </w:rPr>
        <w:t>TTLC — TTLC - TOTAL ENERGIES MARKETING COTE D'IVOIRE</w:t>
      </w:r>
    </w:p>
    <w:p>
      <w:pPr>
        <w:pStyle w:val="ListBullet"/>
        <w:spacing w:before="20"/>
        <w:ind w:left="400"/>
      </w:pPr>
      <w:r>
        <w:rPr>
          <w:sz w:val="18"/>
        </w:rPr>
        <w:t>⚠️ Cours à 0.0% du plus haut 100j (3,400 FCFA)</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21.6/100</w:t>
            </w:r>
          </w:p>
        </w:tc>
        <w:tc>
          <w:tcPr>
            <w:tcW w:type="dxa" w:w="1644"/>
            <w:shd w:fill="DEEAF1" w:val="clear"/>
          </w:tcPr>
          <w:p>
            <w:r>
              <w:rPr>
                <w:b/>
                <w:color w:val="000000"/>
                <w:sz w:val="19"/>
              </w:rPr>
              <w:t>20.8/100</w:t>
            </w:r>
          </w:p>
        </w:tc>
      </w:tr>
    </w:tbl>
    <w:p/>
    <w:p>
      <w:r>
        <w:rPr>
          <w:i/>
          <w:color w:val="006400"/>
          <w:sz w:val="18"/>
        </w:rPr>
        <w:t>✅ Le marché BRVM présente globalement un profil de risque FAIBLE (score moyen 21.6/100).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BOAC</w:t>
            </w:r>
          </w:p>
        </w:tc>
        <w:tc>
          <w:tcPr>
            <w:tcW w:type="dxa" w:w="2268"/>
            <w:shd w:fill="FFFFFF" w:val="clear"/>
          </w:tcPr>
          <w:p>
            <w:r>
              <w:rPr>
                <w:sz w:val="16"/>
              </w:rPr>
              <w:t>BANK OF AFRICA COTE D'IVOIRE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-12.41%  |  Médiane : -8.89%</w:t>
            </w:r>
          </w:p>
        </w:tc>
      </w:tr>
      <w:tr>
        <w:tc>
          <w:tcPr>
            <w:tcW w:type="dxa" w:w="2835"/>
            <w:shd w:fill="DEEAF1" w:val="clear"/>
          </w:tcPr>
          <w:p>
            <w:r>
              <w:rPr>
                <w:b/>
                <w:sz w:val="18"/>
              </w:rPr>
              <w:t>Répartition</w:t>
            </w:r>
          </w:p>
        </w:tc>
        <w:tc>
          <w:tcPr>
            <w:tcW w:type="dxa" w:w="7370"/>
          </w:tcPr>
          <w:p>
            <w:r>
              <w:rPr>
                <w:b/>
                <w:sz w:val="18"/>
              </w:rPr>
              <w:t>📈 6 sociétés en hausse (&gt;+1%)   📉 39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39 sociétés sur 47 sont orientées à la baisse avec une variation moyenne de -12.41%.</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3,620 FCFA</w:t>
            </w:r>
          </w:p>
        </w:tc>
        <w:tc>
          <w:tcPr>
            <w:tcW w:type="dxa" w:w="1417"/>
            <w:shd w:fill="FFFFFF" w:val="clear"/>
          </w:tcPr>
          <w:p>
            <w:r>
              <w:rPr>
                <w:sz w:val="16"/>
              </w:rPr>
              <w:t>6,475 FCFA</w:t>
            </w:r>
          </w:p>
        </w:tc>
        <w:tc>
          <w:tcPr>
            <w:tcW w:type="dxa" w:w="1134"/>
            <w:shd w:fill="C6EFCE" w:val="clear"/>
          </w:tcPr>
          <w:p>
            <w:r>
              <w:rPr>
                <w:b/>
                <w:color w:val="007800"/>
                <w:sz w:val="16"/>
              </w:rPr>
              <w:t>+78.85%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22,800 FCFA</w:t>
            </w:r>
          </w:p>
        </w:tc>
        <w:tc>
          <w:tcPr>
            <w:tcW w:type="dxa" w:w="1417"/>
            <w:shd w:fill="FFFFFF" w:val="clear"/>
          </w:tcPr>
          <w:p>
            <w:r>
              <w:rPr>
                <w:sz w:val="16"/>
              </w:rPr>
              <w:t>26,919 FCFA</w:t>
            </w:r>
          </w:p>
        </w:tc>
        <w:tc>
          <w:tcPr>
            <w:tcW w:type="dxa" w:w="1134"/>
            <w:shd w:fill="C6EFCE" w:val="clear"/>
          </w:tcPr>
          <w:p>
            <w:r>
              <w:rPr>
                <w:b/>
                <w:color w:val="007800"/>
                <w:sz w:val="16"/>
              </w:rPr>
              <w:t>+18.06%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59,025 FCFA</w:t>
            </w:r>
          </w:p>
        </w:tc>
        <w:tc>
          <w:tcPr>
            <w:tcW w:type="dxa" w:w="1134"/>
            <w:shd w:fill="C6EFCE" w:val="clear"/>
          </w:tcPr>
          <w:p>
            <w:r>
              <w:rPr>
                <w:b/>
                <w:color w:val="007800"/>
                <w:sz w:val="16"/>
              </w:rPr>
              <w:t>+13.08%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22,900 FCFA</w:t>
            </w:r>
          </w:p>
        </w:tc>
        <w:tc>
          <w:tcPr>
            <w:tcW w:type="dxa" w:w="1417"/>
            <w:shd w:fill="FFFFFF" w:val="clear"/>
          </w:tcPr>
          <w:p>
            <w:r>
              <w:rPr>
                <w:sz w:val="16"/>
              </w:rPr>
              <w:t>25,355 FCFA</w:t>
            </w:r>
          </w:p>
        </w:tc>
        <w:tc>
          <w:tcPr>
            <w:tcW w:type="dxa" w:w="1134"/>
            <w:shd w:fill="C6EFCE" w:val="clear"/>
          </w:tcPr>
          <w:p>
            <w:r>
              <w:rPr>
                <w:b/>
                <w:color w:val="007800"/>
                <w:sz w:val="16"/>
              </w:rPr>
              <w:t>+10.72%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2,249 FCFA</w:t>
            </w:r>
          </w:p>
        </w:tc>
        <w:tc>
          <w:tcPr>
            <w:tcW w:type="dxa" w:w="1134"/>
            <w:shd w:fill="C6EFCE" w:val="clear"/>
          </w:tcPr>
          <w:p>
            <w:r>
              <w:rPr>
                <w:b/>
                <w:color w:val="007800"/>
                <w:sz w:val="16"/>
              </w:rPr>
              <w:t>+4.61%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(+78.9%) — signal potentiellement excessif, à croiser avec l'analyse technique. Trajectoire : 📈 Hausse continue. Cours actuel : 3,620 FCFA → prédit J+10 : 6,475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22,800 FCFA → prédit J+10 : 26,919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(+13.1%) — potentiel de revalorisation notable. Trajectoire : 📈 Hausse continue. Cours actuel : 52,200 FCFA → prédit J+10 : 59,025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(+10.7%) — potentiel de revalorisation notable. Trajectoire : 📈 Hausse continue. Cours actuel : 22,900 FCFA → prédit J+10 : 25,355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(+4.6%) — progression graduelle attendue. Trajectoire : 📈 Hausse continue. Cours actuel : 2,150 FCFA → prédit J+10 : 2,249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5,800 FCFA</w:t>
            </w:r>
          </w:p>
        </w:tc>
        <w:tc>
          <w:tcPr>
            <w:tcW w:type="dxa" w:w="1417"/>
            <w:shd w:fill="FFFFFF" w:val="clear"/>
          </w:tcPr>
          <w:p>
            <w:r>
              <w:rPr>
                <w:sz w:val="16"/>
              </w:rPr>
              <w:t>2,660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3,360 FCFA</w:t>
            </w:r>
          </w:p>
        </w:tc>
        <w:tc>
          <w:tcPr>
            <w:tcW w:type="dxa" w:w="1417"/>
            <w:shd w:fill="FFFFFF" w:val="clear"/>
          </w:tcPr>
          <w:p>
            <w:r>
              <w:rPr>
                <w:sz w:val="16"/>
              </w:rPr>
              <w:t>1,541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67 FCFA</w:t>
            </w:r>
          </w:p>
        </w:tc>
        <w:tc>
          <w:tcPr>
            <w:tcW w:type="dxa" w:w="1417"/>
            <w:shd w:fill="FFFFFF" w:val="clear"/>
          </w:tcPr>
          <w:p>
            <w:r>
              <w:rPr>
                <w:sz w:val="16"/>
              </w:rPr>
              <w:t>31 FCFA</w:t>
            </w:r>
          </w:p>
        </w:tc>
        <w:tc>
          <w:tcPr>
            <w:tcW w:type="dxa" w:w="1134"/>
            <w:shd w:fill="FFC7CE" w:val="clear"/>
          </w:tcPr>
          <w:p>
            <w:r>
              <w:rPr>
                <w:b/>
                <w:color w:val="B40000"/>
                <w:sz w:val="16"/>
              </w:rPr>
              <w:t>-54.13%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6,970 FCFA</w:t>
            </w:r>
          </w:p>
        </w:tc>
        <w:tc>
          <w:tcPr>
            <w:tcW w:type="dxa" w:w="1417"/>
            <w:shd w:fill="FFFFFF" w:val="clear"/>
          </w:tcPr>
          <w:p>
            <w:r>
              <w:rPr>
                <w:sz w:val="16"/>
              </w:rPr>
              <w:t>3,275 FCFA</w:t>
            </w:r>
          </w:p>
        </w:tc>
        <w:tc>
          <w:tcPr>
            <w:tcW w:type="dxa" w:w="1134"/>
            <w:shd w:fill="FFC7CE" w:val="clear"/>
          </w:tcPr>
          <w:p>
            <w:r>
              <w:rPr>
                <w:b/>
                <w:color w:val="B40000"/>
                <w:sz w:val="16"/>
              </w:rPr>
              <w:t>-53.02%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2,500 FCFA</w:t>
            </w:r>
          </w:p>
        </w:tc>
        <w:tc>
          <w:tcPr>
            <w:tcW w:type="dxa" w:w="1417"/>
            <w:shd w:fill="FFFFFF" w:val="clear"/>
          </w:tcPr>
          <w:p>
            <w:r>
              <w:rPr>
                <w:sz w:val="16"/>
              </w:rPr>
              <w:t>1,419 FCFA</w:t>
            </w:r>
          </w:p>
        </w:tc>
        <w:tc>
          <w:tcPr>
            <w:tcW w:type="dxa" w:w="1134"/>
            <w:shd w:fill="FFC7CE" w:val="clear"/>
          </w:tcPr>
          <w:p>
            <w:r>
              <w:rPr>
                <w:b/>
                <w:color w:val="B40000"/>
                <w:sz w:val="16"/>
              </w:rPr>
              <w:t>-43.26%</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5,800 FCFA → prédit J+10 : 2,660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3,360 FCFA → prédit J+10 : 1,541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67 FCFA → prédit J+10 : 31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(-53.0%) — amplitude potentiellement surestimée par le modèle. Trajectoire : 📉 Baisse continue. Cours actuel : 6,970 FCFA → prédit J+10 : 3,275 FCFA. ⚠️ Confiance limitée — volatilité élevée. Ne pas agir sur ce seul signal.</w:t>
      </w:r>
    </w:p>
    <w:p>
      <w:pPr>
        <w:pStyle w:val="ListBullet"/>
      </w:pPr>
      <w:r>
        <w:rPr>
          <w:b/>
          <w:color w:val="B40000"/>
          <w:sz w:val="18"/>
        </w:rPr>
        <w:t xml:space="preserve">#5 NEIC </w:t>
      </w:r>
      <w:r>
        <w:rPr>
          <w:sz w:val="17"/>
        </w:rPr>
        <w:t>(NEIC - NEI-CEDA CI) — baisse très forte (-43.3%) — amplitude potentiellement surestimée par le modèle. Trajectoire : 📉 Baisse continue. Cours actuel : 2,500 FCFA → prédit J+10 : 1,419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3,620</w:t>
            </w:r>
          </w:p>
        </w:tc>
        <w:tc>
          <w:tcPr>
            <w:tcW w:type="dxa" w:w="1417"/>
            <w:shd w:fill="FFFFFF" w:val="clear"/>
          </w:tcPr>
          <w:p>
            <w:r>
              <w:rPr>
                <w:sz w:val="16"/>
              </w:rPr>
              <w:t>6,475</w:t>
            </w:r>
          </w:p>
        </w:tc>
        <w:tc>
          <w:tcPr>
            <w:tcW w:type="dxa" w:w="1134"/>
            <w:shd w:fill="C6EFCE" w:val="clear"/>
          </w:tcPr>
          <w:p>
            <w:r>
              <w:rPr>
                <w:b/>
                <w:color w:val="007800"/>
                <w:sz w:val="16"/>
              </w:rPr>
              <w:t>+78.85%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22,800</w:t>
            </w:r>
          </w:p>
        </w:tc>
        <w:tc>
          <w:tcPr>
            <w:tcW w:type="dxa" w:w="1417"/>
            <w:shd w:fill="FFFFFF" w:val="clear"/>
          </w:tcPr>
          <w:p>
            <w:r>
              <w:rPr>
                <w:sz w:val="16"/>
              </w:rPr>
              <w:t>26,919</w:t>
            </w:r>
          </w:p>
        </w:tc>
        <w:tc>
          <w:tcPr>
            <w:tcW w:type="dxa" w:w="1134"/>
            <w:shd w:fill="C6EFCE" w:val="clear"/>
          </w:tcPr>
          <w:p>
            <w:r>
              <w:rPr>
                <w:b/>
                <w:color w:val="007800"/>
                <w:sz w:val="16"/>
              </w:rPr>
              <w:t>+18.06%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59,025</w:t>
            </w:r>
          </w:p>
        </w:tc>
        <w:tc>
          <w:tcPr>
            <w:tcW w:type="dxa" w:w="1134"/>
            <w:shd w:fill="C6EFCE" w:val="clear"/>
          </w:tcPr>
          <w:p>
            <w:r>
              <w:rPr>
                <w:b/>
                <w:color w:val="007800"/>
                <w:sz w:val="16"/>
              </w:rPr>
              <w:t>+13.08%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22,900</w:t>
            </w:r>
          </w:p>
        </w:tc>
        <w:tc>
          <w:tcPr>
            <w:tcW w:type="dxa" w:w="1417"/>
            <w:shd w:fill="FFFFFF" w:val="clear"/>
          </w:tcPr>
          <w:p>
            <w:r>
              <w:rPr>
                <w:sz w:val="16"/>
              </w:rPr>
              <w:t>25,355</w:t>
            </w:r>
          </w:p>
        </w:tc>
        <w:tc>
          <w:tcPr>
            <w:tcW w:type="dxa" w:w="1134"/>
            <w:shd w:fill="C6EFCE" w:val="clear"/>
          </w:tcPr>
          <w:p>
            <w:r>
              <w:rPr>
                <w:b/>
                <w:color w:val="007800"/>
                <w:sz w:val="16"/>
              </w:rPr>
              <w:t>+10.72%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2,249</w:t>
            </w:r>
          </w:p>
        </w:tc>
        <w:tc>
          <w:tcPr>
            <w:tcW w:type="dxa" w:w="1134"/>
            <w:shd w:fill="C6EFCE" w:val="clear"/>
          </w:tcPr>
          <w:p>
            <w:r>
              <w:rPr>
                <w:b/>
                <w:color w:val="007800"/>
                <w:sz w:val="16"/>
              </w:rPr>
              <w:t>+4.61%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9,500</w:t>
            </w:r>
          </w:p>
        </w:tc>
        <w:tc>
          <w:tcPr>
            <w:tcW w:type="dxa" w:w="1417"/>
            <w:shd w:fill="FFFFFF" w:val="clear"/>
          </w:tcPr>
          <w:p>
            <w:r>
              <w:rPr>
                <w:sz w:val="16"/>
              </w:rPr>
              <w:t>9,821</w:t>
            </w:r>
          </w:p>
        </w:tc>
        <w:tc>
          <w:tcPr>
            <w:tcW w:type="dxa" w:w="1134"/>
            <w:shd w:fill="C6EFCE" w:val="clear"/>
          </w:tcPr>
          <w:p>
            <w:r>
              <w:rPr>
                <w:b/>
                <w:color w:val="007800"/>
                <w:sz w:val="16"/>
              </w:rPr>
              <w:t>+3.38%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8,250</w:t>
            </w:r>
          </w:p>
        </w:tc>
        <w:tc>
          <w:tcPr>
            <w:tcW w:type="dxa" w:w="1417"/>
            <w:shd w:fill="FFFFFF" w:val="clear"/>
          </w:tcPr>
          <w:p>
            <w:r>
              <w:rPr>
                <w:sz w:val="16"/>
              </w:rPr>
              <w:t>8,329</w:t>
            </w:r>
          </w:p>
        </w:tc>
        <w:tc>
          <w:tcPr>
            <w:tcW w:type="dxa" w:w="1134"/>
            <w:shd w:fill="FFEB9C" w:val="clear"/>
          </w:tcPr>
          <w:p>
            <w:r>
              <w:rPr>
                <w:b/>
                <w:color w:val="646400"/>
                <w:sz w:val="16"/>
              </w:rPr>
              <w:t>+0.96%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-0.79%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37,550</w:t>
            </w:r>
          </w:p>
        </w:tc>
        <w:tc>
          <w:tcPr>
            <w:tcW w:type="dxa" w:w="1417"/>
            <w:shd w:fill="FFFFFF" w:val="clear"/>
          </w:tcPr>
          <w:p>
            <w:r>
              <w:rPr>
                <w:sz w:val="16"/>
              </w:rPr>
              <w:t>37,048</w:t>
            </w:r>
          </w:p>
        </w:tc>
        <w:tc>
          <w:tcPr>
            <w:tcW w:type="dxa" w:w="1134"/>
            <w:shd w:fill="FFC7CE" w:val="clear"/>
          </w:tcPr>
          <w:p>
            <w:r>
              <w:rPr>
                <w:b/>
                <w:color w:val="B40000"/>
                <w:sz w:val="16"/>
              </w:rPr>
              <w:t>-1.34%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16,830</w:t>
            </w:r>
          </w:p>
        </w:tc>
        <w:tc>
          <w:tcPr>
            <w:tcW w:type="dxa" w:w="1417"/>
            <w:shd w:fill="FFFFFF" w:val="clear"/>
          </w:tcPr>
          <w:p>
            <w:r>
              <w:rPr>
                <w:sz w:val="16"/>
              </w:rPr>
              <w:t>16,514</w:t>
            </w:r>
          </w:p>
        </w:tc>
        <w:tc>
          <w:tcPr>
            <w:tcW w:type="dxa" w:w="1134"/>
            <w:shd w:fill="FFC7CE" w:val="clear"/>
          </w:tcPr>
          <w:p>
            <w:r>
              <w:rPr>
                <w:b/>
                <w:color w:val="B40000"/>
                <w:sz w:val="16"/>
              </w:rPr>
              <w:t>-1.88%</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2,890</w:t>
            </w:r>
          </w:p>
        </w:tc>
        <w:tc>
          <w:tcPr>
            <w:tcW w:type="dxa" w:w="1417"/>
            <w:shd w:fill="FFFFFF" w:val="clear"/>
          </w:tcPr>
          <w:p>
            <w:r>
              <w:rPr>
                <w:sz w:val="16"/>
              </w:rPr>
              <w:t>2,834</w:t>
            </w:r>
          </w:p>
        </w:tc>
        <w:tc>
          <w:tcPr>
            <w:tcW w:type="dxa" w:w="1134"/>
            <w:shd w:fill="FFC7CE" w:val="clear"/>
          </w:tcPr>
          <w:p>
            <w:r>
              <w:rPr>
                <w:b/>
                <w:color w:val="B40000"/>
                <w:sz w:val="16"/>
              </w:rPr>
              <w:t>-1.94%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3,190</w:t>
            </w:r>
          </w:p>
        </w:tc>
        <w:tc>
          <w:tcPr>
            <w:tcW w:type="dxa" w:w="1417"/>
            <w:shd w:fill="FFFFFF" w:val="clear"/>
          </w:tcPr>
          <w:p>
            <w:r>
              <w:rPr>
                <w:sz w:val="16"/>
              </w:rPr>
              <w:t>3,117</w:t>
            </w:r>
          </w:p>
        </w:tc>
        <w:tc>
          <w:tcPr>
            <w:tcW w:type="dxa" w:w="1134"/>
            <w:shd w:fill="FFC7CE" w:val="clear"/>
          </w:tcPr>
          <w:p>
            <w:r>
              <w:rPr>
                <w:b/>
                <w:color w:val="B40000"/>
                <w:sz w:val="16"/>
              </w:rPr>
              <w:t>-2.30%</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5,345</w:t>
            </w:r>
          </w:p>
        </w:tc>
        <w:tc>
          <w:tcPr>
            <w:tcW w:type="dxa" w:w="1417"/>
            <w:shd w:fill="FFFFFF" w:val="clear"/>
          </w:tcPr>
          <w:p>
            <w:r>
              <w:rPr>
                <w:sz w:val="16"/>
              </w:rPr>
              <w:t>5,196</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4,075</w:t>
            </w:r>
          </w:p>
        </w:tc>
        <w:tc>
          <w:tcPr>
            <w:tcW w:type="dxa" w:w="1417"/>
            <w:shd w:fill="FFFFFF" w:val="clear"/>
          </w:tcPr>
          <w:p>
            <w:r>
              <w:rPr>
                <w:sz w:val="16"/>
              </w:rPr>
              <w:t>3,952</w:t>
            </w:r>
          </w:p>
        </w:tc>
        <w:tc>
          <w:tcPr>
            <w:tcW w:type="dxa" w:w="1134"/>
            <w:shd w:fill="FFC7CE" w:val="clear"/>
          </w:tcPr>
          <w:p>
            <w:r>
              <w:rPr>
                <w:b/>
                <w:color w:val="B40000"/>
                <w:sz w:val="16"/>
              </w:rPr>
              <w:t>-3.02%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38,985</w:t>
            </w:r>
          </w:p>
        </w:tc>
        <w:tc>
          <w:tcPr>
            <w:tcW w:type="dxa" w:w="1417"/>
            <w:shd w:fill="FFFFFF" w:val="clear"/>
          </w:tcPr>
          <w:p>
            <w:r>
              <w:rPr>
                <w:sz w:val="16"/>
              </w:rPr>
              <w:t>37,760</w:t>
            </w:r>
          </w:p>
        </w:tc>
        <w:tc>
          <w:tcPr>
            <w:tcW w:type="dxa" w:w="1134"/>
            <w:shd w:fill="FFC7CE" w:val="clear"/>
          </w:tcPr>
          <w:p>
            <w:r>
              <w:rPr>
                <w:b/>
                <w:color w:val="B40000"/>
                <w:sz w:val="16"/>
              </w:rPr>
              <w:t>-3.14%</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16,364</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3,257</w:t>
            </w:r>
          </w:p>
        </w:tc>
        <w:tc>
          <w:tcPr>
            <w:tcW w:type="dxa" w:w="1134"/>
            <w:shd w:fill="FFC7CE" w:val="clear"/>
          </w:tcPr>
          <w:p>
            <w:r>
              <w:rPr>
                <w:b/>
                <w:color w:val="B40000"/>
                <w:sz w:val="16"/>
              </w:rPr>
              <w:t>-4.20%</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16,800</w:t>
            </w:r>
          </w:p>
        </w:tc>
        <w:tc>
          <w:tcPr>
            <w:tcW w:type="dxa" w:w="1417"/>
            <w:shd w:fill="FFFFFF" w:val="clear"/>
          </w:tcPr>
          <w:p>
            <w:r>
              <w:rPr>
                <w:sz w:val="16"/>
              </w:rPr>
              <w:t>16,037</w:t>
            </w:r>
          </w:p>
        </w:tc>
        <w:tc>
          <w:tcPr>
            <w:tcW w:type="dxa" w:w="1134"/>
            <w:shd w:fill="FFC7CE" w:val="clear"/>
          </w:tcPr>
          <w:p>
            <w:r>
              <w:rPr>
                <w:b/>
                <w:color w:val="B40000"/>
                <w:sz w:val="16"/>
              </w:rPr>
              <w:t>-4.54%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9,250</w:t>
            </w:r>
          </w:p>
        </w:tc>
        <w:tc>
          <w:tcPr>
            <w:tcW w:type="dxa" w:w="1417"/>
            <w:shd w:fill="FFFFFF" w:val="clear"/>
          </w:tcPr>
          <w:p>
            <w:r>
              <w:rPr>
                <w:sz w:val="16"/>
              </w:rPr>
              <w:t>8,827</w:t>
            </w:r>
          </w:p>
        </w:tc>
        <w:tc>
          <w:tcPr>
            <w:tcW w:type="dxa" w:w="1134"/>
            <w:shd w:fill="FFC7CE" w:val="clear"/>
          </w:tcPr>
          <w:p>
            <w:r>
              <w:rPr>
                <w:b/>
                <w:color w:val="B40000"/>
                <w:sz w:val="16"/>
              </w:rPr>
              <w:t>-4.57%</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4,470</w:t>
            </w:r>
          </w:p>
        </w:tc>
        <w:tc>
          <w:tcPr>
            <w:tcW w:type="dxa" w:w="1417"/>
            <w:shd w:fill="FFFFFF" w:val="clear"/>
          </w:tcPr>
          <w:p>
            <w:r>
              <w:rPr>
                <w:sz w:val="16"/>
              </w:rPr>
              <w:t>4,249</w:t>
            </w:r>
          </w:p>
        </w:tc>
        <w:tc>
          <w:tcPr>
            <w:tcW w:type="dxa" w:w="1134"/>
            <w:shd w:fill="FFC7CE" w:val="clear"/>
          </w:tcPr>
          <w:p>
            <w:r>
              <w:rPr>
                <w:b/>
                <w:color w:val="B40000"/>
                <w:sz w:val="16"/>
              </w:rPr>
              <w:t>-4.94%</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36,500</w:t>
            </w:r>
          </w:p>
        </w:tc>
        <w:tc>
          <w:tcPr>
            <w:tcW w:type="dxa" w:w="1417"/>
            <w:shd w:fill="FFFFFF" w:val="clear"/>
          </w:tcPr>
          <w:p>
            <w:r>
              <w:rPr>
                <w:sz w:val="16"/>
              </w:rPr>
              <w:t>34,173</w:t>
            </w:r>
          </w:p>
        </w:tc>
        <w:tc>
          <w:tcPr>
            <w:tcW w:type="dxa" w:w="1134"/>
            <w:shd w:fill="FFC7CE" w:val="clear"/>
          </w:tcPr>
          <w:p>
            <w:r>
              <w:rPr>
                <w:b/>
                <w:color w:val="B40000"/>
                <w:sz w:val="16"/>
              </w:rPr>
              <w:t>-6.37%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2,700</w:t>
            </w:r>
          </w:p>
        </w:tc>
        <w:tc>
          <w:tcPr>
            <w:tcW w:type="dxa" w:w="1417"/>
            <w:shd w:fill="FFFFFF" w:val="clear"/>
          </w:tcPr>
          <w:p>
            <w:r>
              <w:rPr>
                <w:sz w:val="16"/>
              </w:rPr>
              <w:t>2,500</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2,495</w:t>
            </w:r>
          </w:p>
        </w:tc>
        <w:tc>
          <w:tcPr>
            <w:tcW w:type="dxa" w:w="1417"/>
            <w:shd w:fill="FFFFFF" w:val="clear"/>
          </w:tcPr>
          <w:p>
            <w:r>
              <w:rPr>
                <w:sz w:val="16"/>
              </w:rPr>
              <w:t>2,277</w:t>
            </w:r>
          </w:p>
        </w:tc>
        <w:tc>
          <w:tcPr>
            <w:tcW w:type="dxa" w:w="1134"/>
            <w:shd w:fill="FFC7CE" w:val="clear"/>
          </w:tcPr>
          <w:p>
            <w:r>
              <w:rPr>
                <w:b/>
                <w:color w:val="B40000"/>
                <w:sz w:val="16"/>
              </w:rPr>
              <w:t>-8.73%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28,600</w:t>
            </w:r>
          </w:p>
        </w:tc>
        <w:tc>
          <w:tcPr>
            <w:tcW w:type="dxa" w:w="1417"/>
            <w:shd w:fill="FFFFFF" w:val="clear"/>
          </w:tcPr>
          <w:p>
            <w:r>
              <w:rPr>
                <w:sz w:val="16"/>
              </w:rPr>
              <w:t>26,059</w:t>
            </w:r>
          </w:p>
        </w:tc>
        <w:tc>
          <w:tcPr>
            <w:tcW w:type="dxa" w:w="1134"/>
            <w:shd w:fill="FFC7CE" w:val="clear"/>
          </w:tcPr>
          <w:p>
            <w:r>
              <w:rPr>
                <w:b/>
                <w:color w:val="B40000"/>
                <w:sz w:val="16"/>
              </w:rPr>
              <w:t>-8.89%</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21,200</w:t>
            </w:r>
          </w:p>
        </w:tc>
        <w:tc>
          <w:tcPr>
            <w:tcW w:type="dxa" w:w="1417"/>
            <w:shd w:fill="FFFFFF" w:val="clear"/>
          </w:tcPr>
          <w:p>
            <w:r>
              <w:rPr>
                <w:sz w:val="16"/>
              </w:rPr>
              <w:t>19,276</w:t>
            </w:r>
          </w:p>
        </w:tc>
        <w:tc>
          <w:tcPr>
            <w:tcW w:type="dxa" w:w="1134"/>
            <w:shd w:fill="FFC7CE" w:val="clear"/>
          </w:tcPr>
          <w:p>
            <w:r>
              <w:rPr>
                <w:b/>
                <w:color w:val="B40000"/>
                <w:sz w:val="16"/>
              </w:rPr>
              <w:t>-9.07%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12,000</w:t>
            </w:r>
          </w:p>
        </w:tc>
        <w:tc>
          <w:tcPr>
            <w:tcW w:type="dxa" w:w="1417"/>
            <w:shd w:fill="FFFFFF" w:val="clear"/>
          </w:tcPr>
          <w:p>
            <w:r>
              <w:rPr>
                <w:sz w:val="16"/>
              </w:rPr>
              <w:t>10,895</w:t>
            </w:r>
          </w:p>
        </w:tc>
        <w:tc>
          <w:tcPr>
            <w:tcW w:type="dxa" w:w="1134"/>
            <w:shd w:fill="FFC7CE" w:val="clear"/>
          </w:tcPr>
          <w:p>
            <w:r>
              <w:rPr>
                <w:b/>
                <w:color w:val="B40000"/>
                <w:sz w:val="16"/>
              </w:rPr>
              <w:t>-9.21%</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1,387</w:t>
            </w:r>
          </w:p>
        </w:tc>
        <w:tc>
          <w:tcPr>
            <w:tcW w:type="dxa" w:w="1134"/>
            <w:shd w:fill="FFC7CE" w:val="clear"/>
          </w:tcPr>
          <w:p>
            <w:r>
              <w:rPr>
                <w:b/>
                <w:color w:val="B40000"/>
                <w:sz w:val="16"/>
              </w:rPr>
              <w:t>-10.51%</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3,850</w:t>
            </w:r>
          </w:p>
        </w:tc>
        <w:tc>
          <w:tcPr>
            <w:tcW w:type="dxa" w:w="1417"/>
            <w:shd w:fill="FFFFFF" w:val="clear"/>
          </w:tcPr>
          <w:p>
            <w:r>
              <w:rPr>
                <w:sz w:val="16"/>
              </w:rPr>
              <w:t>3,284</w:t>
            </w:r>
          </w:p>
        </w:tc>
        <w:tc>
          <w:tcPr>
            <w:tcW w:type="dxa" w:w="1134"/>
            <w:shd w:fill="FFC7CE" w:val="clear"/>
          </w:tcPr>
          <w:p>
            <w:r>
              <w:rPr>
                <w:b/>
                <w:color w:val="B40000"/>
                <w:sz w:val="16"/>
              </w:rPr>
              <w:t>-14.71%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6,800</w:t>
            </w:r>
          </w:p>
        </w:tc>
        <w:tc>
          <w:tcPr>
            <w:tcW w:type="dxa" w:w="1134"/>
            <w:shd w:fill="FFC7CE" w:val="clear"/>
          </w:tcPr>
          <w:p>
            <w:r>
              <w:rPr>
                <w:b/>
                <w:color w:val="B40000"/>
                <w:sz w:val="16"/>
              </w:rPr>
              <w:t>-15.00%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1,765</w:t>
            </w:r>
          </w:p>
        </w:tc>
        <w:tc>
          <w:tcPr>
            <w:tcW w:type="dxa" w:w="1417"/>
            <w:shd w:fill="FFFFFF" w:val="clear"/>
          </w:tcPr>
          <w:p>
            <w:r>
              <w:rPr>
                <w:sz w:val="16"/>
              </w:rPr>
              <w:t>1,487</w:t>
            </w:r>
          </w:p>
        </w:tc>
        <w:tc>
          <w:tcPr>
            <w:tcW w:type="dxa" w:w="1134"/>
            <w:shd w:fill="FFC7CE" w:val="clear"/>
          </w:tcPr>
          <w:p>
            <w:r>
              <w:rPr>
                <w:b/>
                <w:color w:val="B40000"/>
                <w:sz w:val="16"/>
              </w:rPr>
              <w:t>-15.76%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3,600</w:t>
            </w:r>
          </w:p>
        </w:tc>
        <w:tc>
          <w:tcPr>
            <w:tcW w:type="dxa" w:w="1417"/>
            <w:shd w:fill="FFFFFF" w:val="clear"/>
          </w:tcPr>
          <w:p>
            <w:r>
              <w:rPr>
                <w:sz w:val="16"/>
              </w:rPr>
              <w:t>3,013</w:t>
            </w:r>
          </w:p>
        </w:tc>
        <w:tc>
          <w:tcPr>
            <w:tcW w:type="dxa" w:w="1134"/>
            <w:shd w:fill="FFC7CE" w:val="clear"/>
          </w:tcPr>
          <w:p>
            <w:r>
              <w:rPr>
                <w:b/>
                <w:color w:val="B40000"/>
                <w:sz w:val="16"/>
              </w:rPr>
              <w:t>-16.30%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6,550</w:t>
            </w:r>
          </w:p>
        </w:tc>
        <w:tc>
          <w:tcPr>
            <w:tcW w:type="dxa" w:w="1417"/>
            <w:shd w:fill="FFFFFF" w:val="clear"/>
          </w:tcPr>
          <w:p>
            <w:r>
              <w:rPr>
                <w:sz w:val="16"/>
              </w:rPr>
              <w:t>5,458</w:t>
            </w:r>
          </w:p>
        </w:tc>
        <w:tc>
          <w:tcPr>
            <w:tcW w:type="dxa" w:w="1134"/>
            <w:shd w:fill="FFC7CE" w:val="clear"/>
          </w:tcPr>
          <w:p>
            <w:r>
              <w:rPr>
                <w:b/>
                <w:color w:val="B40000"/>
                <w:sz w:val="16"/>
              </w:rPr>
              <w:t>-16.67%</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8,500</w:t>
            </w:r>
          </w:p>
        </w:tc>
        <w:tc>
          <w:tcPr>
            <w:tcW w:type="dxa" w:w="1417"/>
            <w:shd w:fill="FFFFFF" w:val="clear"/>
          </w:tcPr>
          <w:p>
            <w:r>
              <w:rPr>
                <w:sz w:val="16"/>
              </w:rPr>
              <w:t>7,064</w:t>
            </w:r>
          </w:p>
        </w:tc>
        <w:tc>
          <w:tcPr>
            <w:tcW w:type="dxa" w:w="1134"/>
            <w:shd w:fill="FFC7CE" w:val="clear"/>
          </w:tcPr>
          <w:p>
            <w:r>
              <w:rPr>
                <w:b/>
                <w:color w:val="B40000"/>
                <w:sz w:val="16"/>
              </w:rPr>
              <w:t>-16.90%</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9,990</w:t>
            </w:r>
          </w:p>
        </w:tc>
        <w:tc>
          <w:tcPr>
            <w:tcW w:type="dxa" w:w="1417"/>
            <w:shd w:fill="FFFFFF" w:val="clear"/>
          </w:tcPr>
          <w:p>
            <w:r>
              <w:rPr>
                <w:sz w:val="16"/>
              </w:rPr>
              <w:t>8,209</w:t>
            </w:r>
          </w:p>
        </w:tc>
        <w:tc>
          <w:tcPr>
            <w:tcW w:type="dxa" w:w="1134"/>
            <w:shd w:fill="FFC7CE" w:val="clear"/>
          </w:tcPr>
          <w:p>
            <w:r>
              <w:rPr>
                <w:b/>
                <w:color w:val="B40000"/>
                <w:sz w:val="16"/>
              </w:rPr>
              <w:t>-17.83%</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7,190</w:t>
            </w:r>
          </w:p>
        </w:tc>
        <w:tc>
          <w:tcPr>
            <w:tcW w:type="dxa" w:w="1134"/>
            <w:shd w:fill="FFC7CE" w:val="clear"/>
          </w:tcPr>
          <w:p>
            <w:r>
              <w:rPr>
                <w:b/>
                <w:color w:val="B40000"/>
                <w:sz w:val="16"/>
              </w:rPr>
              <w:t>-20.99%</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8,005</w:t>
            </w:r>
          </w:p>
        </w:tc>
        <w:tc>
          <w:tcPr>
            <w:tcW w:type="dxa" w:w="1417"/>
            <w:shd w:fill="FFFFFF" w:val="clear"/>
          </w:tcPr>
          <w:p>
            <w:r>
              <w:rPr>
                <w:sz w:val="16"/>
              </w:rPr>
              <w:t>6,261</w:t>
            </w:r>
          </w:p>
        </w:tc>
        <w:tc>
          <w:tcPr>
            <w:tcW w:type="dxa" w:w="1134"/>
            <w:shd w:fill="FFC7CE" w:val="clear"/>
          </w:tcPr>
          <w:p>
            <w:r>
              <w:rPr>
                <w:b/>
                <w:color w:val="B40000"/>
                <w:sz w:val="16"/>
              </w:rPr>
              <w:t>-21.78%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2,380</w:t>
            </w:r>
          </w:p>
        </w:tc>
        <w:tc>
          <w:tcPr>
            <w:tcW w:type="dxa" w:w="1417"/>
            <w:shd w:fill="FFFFFF" w:val="clear"/>
          </w:tcPr>
          <w:p>
            <w:r>
              <w:rPr>
                <w:sz w:val="16"/>
              </w:rPr>
              <w:t>1,832</w:t>
            </w:r>
          </w:p>
        </w:tc>
        <w:tc>
          <w:tcPr>
            <w:tcW w:type="dxa" w:w="1134"/>
            <w:shd w:fill="FFC7CE" w:val="clear"/>
          </w:tcPr>
          <w:p>
            <w:r>
              <w:rPr>
                <w:b/>
                <w:color w:val="B40000"/>
                <w:sz w:val="16"/>
              </w:rPr>
              <w:t>-23.04%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2,480</w:t>
            </w:r>
          </w:p>
        </w:tc>
        <w:tc>
          <w:tcPr>
            <w:tcW w:type="dxa" w:w="1417"/>
            <w:shd w:fill="FFFFFF" w:val="clear"/>
          </w:tcPr>
          <w:p>
            <w:r>
              <w:rPr>
                <w:sz w:val="16"/>
              </w:rPr>
              <w:t>1,704</w:t>
            </w:r>
          </w:p>
        </w:tc>
        <w:tc>
          <w:tcPr>
            <w:tcW w:type="dxa" w:w="1134"/>
            <w:shd w:fill="FFC7CE" w:val="clear"/>
          </w:tcPr>
          <w:p>
            <w:r>
              <w:rPr>
                <w:b/>
                <w:color w:val="B40000"/>
                <w:sz w:val="16"/>
              </w:rPr>
              <w:t>-31.27%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12,985</w:t>
            </w:r>
          </w:p>
        </w:tc>
        <w:tc>
          <w:tcPr>
            <w:tcW w:type="dxa" w:w="1417"/>
            <w:shd w:fill="FFFFFF" w:val="clear"/>
          </w:tcPr>
          <w:p>
            <w:r>
              <w:rPr>
                <w:sz w:val="16"/>
              </w:rPr>
              <w:t>8,837</w:t>
            </w:r>
          </w:p>
        </w:tc>
        <w:tc>
          <w:tcPr>
            <w:tcW w:type="dxa" w:w="1134"/>
            <w:shd w:fill="FFC7CE" w:val="clear"/>
          </w:tcPr>
          <w:p>
            <w:r>
              <w:rPr>
                <w:b/>
                <w:color w:val="B40000"/>
                <w:sz w:val="16"/>
              </w:rPr>
              <w:t>-31.94%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8,495</w:t>
            </w:r>
          </w:p>
        </w:tc>
        <w:tc>
          <w:tcPr>
            <w:tcW w:type="dxa" w:w="1417"/>
            <w:shd w:fill="FFFFFF" w:val="clear"/>
          </w:tcPr>
          <w:p>
            <w:r>
              <w:rPr>
                <w:sz w:val="16"/>
              </w:rPr>
              <w:t>5,505</w:t>
            </w:r>
          </w:p>
        </w:tc>
        <w:tc>
          <w:tcPr>
            <w:tcW w:type="dxa" w:w="1134"/>
            <w:shd w:fill="FFC7CE" w:val="clear"/>
          </w:tcPr>
          <w:p>
            <w:r>
              <w:rPr>
                <w:b/>
                <w:color w:val="B40000"/>
                <w:sz w:val="16"/>
              </w:rPr>
              <w:t>-35.20%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1,599</w:t>
            </w:r>
          </w:p>
        </w:tc>
        <w:tc>
          <w:tcPr>
            <w:tcW w:type="dxa" w:w="1134"/>
            <w:shd w:fill="FFC7CE" w:val="clear"/>
          </w:tcPr>
          <w:p>
            <w:r>
              <w:rPr>
                <w:b/>
                <w:color w:val="B40000"/>
                <w:sz w:val="16"/>
              </w:rPr>
              <w:t>-38.39%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29,000</w:t>
            </w:r>
          </w:p>
        </w:tc>
        <w:tc>
          <w:tcPr>
            <w:tcW w:type="dxa" w:w="1417"/>
            <w:shd w:fill="FFFFFF" w:val="clear"/>
          </w:tcPr>
          <w:p>
            <w:r>
              <w:rPr>
                <w:sz w:val="16"/>
              </w:rPr>
              <w:t>17,431</w:t>
            </w:r>
          </w:p>
        </w:tc>
        <w:tc>
          <w:tcPr>
            <w:tcW w:type="dxa" w:w="1134"/>
            <w:shd w:fill="FFC7CE" w:val="clear"/>
          </w:tcPr>
          <w:p>
            <w:r>
              <w:rPr>
                <w:b/>
                <w:color w:val="B40000"/>
                <w:sz w:val="16"/>
              </w:rPr>
              <w:t>-39.89%</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2,500</w:t>
            </w:r>
          </w:p>
        </w:tc>
        <w:tc>
          <w:tcPr>
            <w:tcW w:type="dxa" w:w="1417"/>
            <w:shd w:fill="FFFFFF" w:val="clear"/>
          </w:tcPr>
          <w:p>
            <w:r>
              <w:rPr>
                <w:sz w:val="16"/>
              </w:rPr>
              <w:t>1,419</w:t>
            </w:r>
          </w:p>
        </w:tc>
        <w:tc>
          <w:tcPr>
            <w:tcW w:type="dxa" w:w="1134"/>
            <w:shd w:fill="FFC7CE" w:val="clear"/>
          </w:tcPr>
          <w:p>
            <w:r>
              <w:rPr>
                <w:b/>
                <w:color w:val="B40000"/>
                <w:sz w:val="16"/>
              </w:rPr>
              <w:t>-43.26%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6,970</w:t>
            </w:r>
          </w:p>
        </w:tc>
        <w:tc>
          <w:tcPr>
            <w:tcW w:type="dxa" w:w="1417"/>
            <w:shd w:fill="FFFFFF" w:val="clear"/>
          </w:tcPr>
          <w:p>
            <w:r>
              <w:rPr>
                <w:sz w:val="16"/>
              </w:rPr>
              <w:t>3,275</w:t>
            </w:r>
          </w:p>
        </w:tc>
        <w:tc>
          <w:tcPr>
            <w:tcW w:type="dxa" w:w="1134"/>
            <w:shd w:fill="FFC7CE" w:val="clear"/>
          </w:tcPr>
          <w:p>
            <w:r>
              <w:rPr>
                <w:b/>
                <w:color w:val="B40000"/>
                <w:sz w:val="16"/>
              </w:rPr>
              <w:t>-53.02%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31</w:t>
            </w:r>
          </w:p>
        </w:tc>
        <w:tc>
          <w:tcPr>
            <w:tcW w:type="dxa" w:w="1134"/>
            <w:shd w:fill="FFC7CE" w:val="clear"/>
          </w:tcPr>
          <w:p>
            <w:r>
              <w:rPr>
                <w:b/>
                <w:color w:val="B40000"/>
                <w:sz w:val="16"/>
              </w:rPr>
              <w:t>-54.13%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3,360</w:t>
            </w:r>
          </w:p>
        </w:tc>
        <w:tc>
          <w:tcPr>
            <w:tcW w:type="dxa" w:w="1417"/>
            <w:shd w:fill="FFFFFF" w:val="clear"/>
          </w:tcPr>
          <w:p>
            <w:r>
              <w:rPr>
                <w:sz w:val="16"/>
              </w:rPr>
              <w:t>1,541</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5,800</w:t>
            </w:r>
          </w:p>
        </w:tc>
        <w:tc>
          <w:tcPr>
            <w:tcW w:type="dxa" w:w="1417"/>
            <w:shd w:fill="FFFFFF" w:val="clear"/>
          </w:tcPr>
          <w:p>
            <w:r>
              <w:rPr>
                <w:sz w:val="16"/>
              </w:rPr>
              <w:t>2,660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3,238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B40000"/>
                <w:sz w:val="17"/>
              </w:rPr>
              <w:t>-2.44%</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μ=3,209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β=0.3134 (Défensif) — Cov=0.000011, Var(idx)=0.000034,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3,274</w:t>
            </w:r>
          </w:p>
        </w:tc>
        <w:tc>
          <w:tcPr>
            <w:tcW w:type="dxa" w:w="1440"/>
            <w:shd w:fill="FFDCE0" w:val="clear"/>
          </w:tcPr>
          <w:p>
            <w:r>
              <w:rPr>
                <w:b/>
                <w:sz w:val="17"/>
              </w:rPr>
              <w:t>3,456</w:t>
            </w:r>
          </w:p>
        </w:tc>
        <w:tc>
          <w:tcPr>
            <w:tcW w:type="dxa" w:w="1440"/>
            <w:shd w:fill="FFDCE0" w:val="clear"/>
          </w:tcPr>
          <w:p>
            <w:r>
              <w:rPr>
                <w:sz w:val="17"/>
              </w:rPr>
              <w:t>3,638</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3,157</w:t>
            </w:r>
          </w:p>
        </w:tc>
        <w:tc>
          <w:tcPr>
            <w:tcW w:type="dxa" w:w="1440"/>
            <w:shd w:fill="FFDCE0" w:val="clear"/>
          </w:tcPr>
          <w:p>
            <w:r>
              <w:rPr>
                <w:b/>
                <w:sz w:val="17"/>
              </w:rPr>
              <w:t>3,411</w:t>
            </w:r>
          </w:p>
        </w:tc>
        <w:tc>
          <w:tcPr>
            <w:tcW w:type="dxa" w:w="1440"/>
            <w:shd w:fill="FFDCE0" w:val="clear"/>
          </w:tcPr>
          <w:p>
            <w:r>
              <w:rPr>
                <w:sz w:val="17"/>
              </w:rPr>
              <w:t>3,665</w:t>
            </w:r>
          </w:p>
        </w:tc>
        <w:tc>
          <w:tcPr>
            <w:tcW w:type="dxa" w:w="1440"/>
            <w:shd w:fill="FFDCE0" w:val="clear"/>
          </w:tcPr>
          <w:p>
            <w:r>
              <w:rPr>
                <w:b/>
                <w:color w:val="C00000"/>
                <w:sz w:val="17"/>
              </w:rPr>
              <w:t>-5.2%</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3,034</w:t>
            </w:r>
          </w:p>
        </w:tc>
        <w:tc>
          <w:tcPr>
            <w:tcW w:type="dxa" w:w="1440"/>
            <w:shd w:fill="FFDCE0" w:val="clear"/>
          </w:tcPr>
          <w:p>
            <w:r>
              <w:rPr>
                <w:b/>
                <w:sz w:val="17"/>
              </w:rPr>
              <w:t>3,339</w:t>
            </w:r>
          </w:p>
        </w:tc>
        <w:tc>
          <w:tcPr>
            <w:tcW w:type="dxa" w:w="1440"/>
            <w:shd w:fill="FFDCE0" w:val="clear"/>
          </w:tcPr>
          <w:p>
            <w:r>
              <w:rPr>
                <w:sz w:val="17"/>
              </w:rPr>
              <w:t>3,643</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2,932</w:t>
            </w:r>
          </w:p>
        </w:tc>
        <w:tc>
          <w:tcPr>
            <w:tcW w:type="dxa" w:w="1440"/>
            <w:shd w:fill="FFDCE0" w:val="clear"/>
          </w:tcPr>
          <w:p>
            <w:r>
              <w:rPr>
                <w:b/>
                <w:sz w:val="17"/>
              </w:rPr>
              <w:t>3,277</w:t>
            </w:r>
          </w:p>
        </w:tc>
        <w:tc>
          <w:tcPr>
            <w:tcW w:type="dxa" w:w="1440"/>
            <w:shd w:fill="FFDCE0" w:val="clear"/>
          </w:tcPr>
          <w:p>
            <w:r>
              <w:rPr>
                <w:sz w:val="17"/>
              </w:rPr>
              <w:t>3,622</w:t>
            </w:r>
          </w:p>
        </w:tc>
        <w:tc>
          <w:tcPr>
            <w:tcW w:type="dxa" w:w="1440"/>
            <w:shd w:fill="FFDCE0" w:val="clear"/>
          </w:tcPr>
          <w:p>
            <w:r>
              <w:rPr>
                <w:b/>
                <w:color w:val="C00000"/>
                <w:sz w:val="17"/>
              </w:rPr>
              <w:t>-9.0%</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2,845</w:t>
            </w:r>
          </w:p>
        </w:tc>
        <w:tc>
          <w:tcPr>
            <w:tcW w:type="dxa" w:w="1440"/>
            <w:shd w:fill="FFDCE0" w:val="clear"/>
          </w:tcPr>
          <w:p>
            <w:r>
              <w:rPr>
                <w:b/>
                <w:sz w:val="17"/>
              </w:rPr>
              <w:t>3,224</w:t>
            </w:r>
          </w:p>
        </w:tc>
        <w:tc>
          <w:tcPr>
            <w:tcW w:type="dxa" w:w="1440"/>
            <w:shd w:fill="FFDCE0" w:val="clear"/>
          </w:tcPr>
          <w:p>
            <w:r>
              <w:rPr>
                <w:sz w:val="17"/>
              </w:rPr>
              <w:t>3,604</w:t>
            </w:r>
          </w:p>
        </w:tc>
        <w:tc>
          <w:tcPr>
            <w:tcW w:type="dxa" w:w="1440"/>
            <w:shd w:fill="FFDCE0" w:val="clear"/>
          </w:tcPr>
          <w:p>
            <w:r>
              <w:rPr>
                <w:b/>
                <w:color w:val="C00000"/>
                <w:sz w:val="17"/>
              </w:rPr>
              <w:t>-10.4%</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2,767</w:t>
            </w:r>
          </w:p>
        </w:tc>
        <w:tc>
          <w:tcPr>
            <w:tcW w:type="dxa" w:w="1440"/>
            <w:shd w:fill="FFDCE0" w:val="clear"/>
          </w:tcPr>
          <w:p>
            <w:r>
              <w:rPr>
                <w:b/>
                <w:sz w:val="17"/>
              </w:rPr>
              <w:t>3,177</w:t>
            </w:r>
          </w:p>
        </w:tc>
        <w:tc>
          <w:tcPr>
            <w:tcW w:type="dxa" w:w="1440"/>
            <w:shd w:fill="FFDCE0" w:val="clear"/>
          </w:tcPr>
          <w:p>
            <w:r>
              <w:rPr>
                <w:sz w:val="17"/>
              </w:rPr>
              <w:t>3,587</w:t>
            </w:r>
          </w:p>
        </w:tc>
        <w:tc>
          <w:tcPr>
            <w:tcW w:type="dxa" w:w="1440"/>
            <w:shd w:fill="FFDCE0" w:val="clear"/>
          </w:tcPr>
          <w:p>
            <w:r>
              <w:rPr>
                <w:b/>
                <w:color w:val="C00000"/>
                <w:sz w:val="17"/>
              </w:rPr>
              <w:t>-11.8%</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2,696</w:t>
            </w:r>
          </w:p>
        </w:tc>
        <w:tc>
          <w:tcPr>
            <w:tcW w:type="dxa" w:w="1440"/>
            <w:shd w:fill="FFDCE0" w:val="clear"/>
          </w:tcPr>
          <w:p>
            <w:r>
              <w:rPr>
                <w:b/>
                <w:sz w:val="17"/>
              </w:rPr>
              <w:t>3,132</w:t>
            </w:r>
          </w:p>
        </w:tc>
        <w:tc>
          <w:tcPr>
            <w:tcW w:type="dxa" w:w="1440"/>
            <w:shd w:fill="FFDCE0" w:val="clear"/>
          </w:tcPr>
          <w:p>
            <w:r>
              <w:rPr>
                <w:sz w:val="17"/>
              </w:rPr>
              <w:t>3,569</w:t>
            </w:r>
          </w:p>
        </w:tc>
        <w:tc>
          <w:tcPr>
            <w:tcW w:type="dxa" w:w="1440"/>
            <w:shd w:fill="FFDCE0" w:val="clear"/>
          </w:tcPr>
          <w:p>
            <w:r>
              <w:rPr>
                <w:b/>
                <w:color w:val="C00000"/>
                <w:sz w:val="17"/>
              </w:rPr>
              <w:t>-13.0%</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2,630</w:t>
            </w:r>
          </w:p>
        </w:tc>
        <w:tc>
          <w:tcPr>
            <w:tcW w:type="dxa" w:w="1440"/>
            <w:shd w:fill="FFDCE0" w:val="clear"/>
          </w:tcPr>
          <w:p>
            <w:r>
              <w:rPr>
                <w:b/>
                <w:sz w:val="17"/>
              </w:rPr>
              <w:t>3,090</w:t>
            </w:r>
          </w:p>
        </w:tc>
        <w:tc>
          <w:tcPr>
            <w:tcW w:type="dxa" w:w="1440"/>
            <w:shd w:fill="FFDCE0" w:val="clear"/>
          </w:tcPr>
          <w:p>
            <w:r>
              <w:rPr>
                <w:sz w:val="17"/>
              </w:rPr>
              <w:t>3,551</w:t>
            </w:r>
          </w:p>
        </w:tc>
        <w:tc>
          <w:tcPr>
            <w:tcW w:type="dxa" w:w="1440"/>
            <w:shd w:fill="FFDCE0" w:val="clear"/>
          </w:tcPr>
          <w:p>
            <w:r>
              <w:rPr>
                <w:b/>
                <w:color w:val="C00000"/>
                <w:sz w:val="17"/>
              </w:rPr>
              <w:t>-14.2%</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2,569</w:t>
            </w:r>
          </w:p>
        </w:tc>
        <w:tc>
          <w:tcPr>
            <w:tcW w:type="dxa" w:w="1440"/>
            <w:shd w:fill="FFDCE0" w:val="clear"/>
          </w:tcPr>
          <w:p>
            <w:r>
              <w:rPr>
                <w:b/>
                <w:sz w:val="17"/>
              </w:rPr>
              <w:t>3,051</w:t>
            </w:r>
          </w:p>
        </w:tc>
        <w:tc>
          <w:tcPr>
            <w:tcW w:type="dxa" w:w="1440"/>
            <w:shd w:fill="FFDCE0" w:val="clear"/>
          </w:tcPr>
          <w:p>
            <w:r>
              <w:rPr>
                <w:sz w:val="17"/>
              </w:rPr>
              <w:t>3,533</w:t>
            </w:r>
          </w:p>
        </w:tc>
        <w:tc>
          <w:tcPr>
            <w:tcW w:type="dxa" w:w="1440"/>
            <w:shd w:fill="FFDCE0" w:val="clear"/>
          </w:tcPr>
          <w:p>
            <w:r>
              <w:rPr>
                <w:b/>
                <w:color w:val="C00000"/>
                <w:sz w:val="17"/>
              </w:rPr>
              <w:t>-15.3%</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2,511</w:t>
            </w:r>
          </w:p>
        </w:tc>
        <w:tc>
          <w:tcPr>
            <w:tcW w:type="dxa" w:w="1440"/>
            <w:shd w:fill="FFDCE0" w:val="clear"/>
          </w:tcPr>
          <w:p>
            <w:r>
              <w:rPr>
                <w:b/>
                <w:sz w:val="17"/>
              </w:rPr>
              <w:t>3,013</w:t>
            </w:r>
          </w:p>
        </w:tc>
        <w:tc>
          <w:tcPr>
            <w:tcW w:type="dxa" w:w="1440"/>
            <w:shd w:fill="FFDCE0" w:val="clear"/>
          </w:tcPr>
          <w:p>
            <w:r>
              <w:rPr>
                <w:sz w:val="17"/>
              </w:rPr>
              <w:t>3,515</w:t>
            </w:r>
          </w:p>
        </w:tc>
        <w:tc>
          <w:tcPr>
            <w:tcW w:type="dxa" w:w="1440"/>
            <w:shd w:fill="FFDCE0" w:val="clear"/>
          </w:tcPr>
          <w:p>
            <w:r>
              <w:rPr>
                <w:b/>
                <w:color w:val="C00000"/>
                <w:sz w:val="17"/>
              </w:rPr>
              <w:t>-16.3%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39,28 milliards FCFA, un niveau qui la positionne comme une valeur de taille moyenne sur la BRVM. Avec un BPA de 124 FCFA, le titre se paie 29,1 fois ses bénéfices (PER), un niveau très élevé comparé à la moyenne du marché qui se situe entre 8 et 12 fois. Cette décote significative suggère que les investisseurs intègrent des attentes de croissance future substantielles, ou une prime sectorielle liée au caractère stratégique des services aéroportuaires. Le P/B de 7,61x confirme cette valorisation exigeante, le marché valorisant le titre plus de sept fois sa valeur comptable. Enfin, l'EV/EBITDA de 14,9x, dans le haut de la fourchette de 10-15x, indique que la valeur totale de l'entreprise (capitalisation plus dette nette) reste élevée par rapport à sa capacité opérationnelle, ce qui laisse peu de marge de sécurité pour un investisseur prudent.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variation totale de -2,44%, mais a connu un rebond spectaculaire de +7,46% lors de la dernière séance, portant le cours à 3 600 FCFA. Le titre a évolué dans une fourchette de 2 800 à 3 780 FCFA, montrant une amplitude de près de 35% entre le plus bas et le plus haut. La moyenne du cours sur la période est de 3 209 FCFA, très proche de la médiane (3 182 FCFA), ce qui indique une distribution relativement symétrique des prix, confirmée par un skewness de 0,297. L'écart-type de 233 FCFA (CV=7,3%) révèle une dispersion modérée autour de la moyenne. Le kurtosis de -0,669 (mésokurtique) suggère une distribution proche de la normale, sans risque de pics extrêmes. Cependant, la volatilité annualisée de 49,3% est très élevée (&gt;30%), indiquant un titre particulièrement risqué à court terme, malgré une distribution statistique apparemment calme.</w:t>
      </w:r>
    </w:p>
    <w:p>
      <w:pPr>
        <w:spacing w:after="120" w:line="276" w:lineRule="auto" w:before="240"/>
      </w:pPr>
      <w:r>
        <w:rPr>
          <w:b/>
          <w:color w:val="003366"/>
          <w:sz w:val="24"/>
        </w:rPr>
        <w:t>**PARTIE 2 : ANALYSE TECHNIQUE DÉTAILLÉE**</w:t>
      </w:r>
    </w:p>
    <w:p>
      <w:pPr>
        <w:spacing w:after="120" w:line="276" w:lineRule="auto"/>
      </w:pPr>
      <w:r>
        <w:t>**Moyennes Mobiles** : Le cours actuel (3 600 FCFA) se situe nettement au-dessus de la MM20 (3 157,75 FCFA) et de la MM50 (3 200,2 FCFA), ce qui pourrait suggérer une dynamique haussière à court terme. Cependant, la décision technique est "Vente", probablement en raison d'un croisement baissier antérieur ou d'une divergence entre les moyennes. Cette configuration indique que le récent rebond pourrait être un sursaut technique dans une tendance plus large incertaine.</w:t>
      </w:r>
    </w:p>
    <w:p>
      <w:pPr>
        <w:spacing w:after="120" w:line="276" w:lineRule="auto"/>
      </w:pPr>
      <w:r>
        <w:t>**Bandes de Bollinger** : Le prix actuel (3 600 FCFA) dépasse largement la borne supérieure (3 545,61 FCFA), signalant une condition de surachat extrême. La décision de "Vente" est justifiée par cette sortie de canal, qui précède souvent un retour vers la moyenne. La volatilité, mesurée par l'écart entre les bornes (2 769,89 à 3 545,61 FCFA), est élevée, amplifiant le risque de correction brutale.</w:t>
      </w:r>
    </w:p>
    <w:p>
      <w:pPr>
        <w:spacing w:after="120" w:line="276" w:lineRule="auto"/>
      </w:pPr>
      <w:r>
        <w:t>**MACD** : Le MACD (91,54) est nettement supérieur à son signal (39,63), indiquant un momentum haussier très fort. La décision "Achat" est cohérente avec cette configuration positive. Cependant, l'écart important entre les deux lignes suggère une possible saturation du mouvement, et un croisement baissier pourrait survenir rapidement après une telle divergence.</w:t>
      </w:r>
    </w:p>
    <w:p>
      <w:pPr>
        <w:spacing w:after="120" w:line="276" w:lineRule="auto"/>
      </w:pPr>
      <w:r>
        <w:t>**RSI** : Le RSI à 76,52 est en zone de surachat (&gt;70), ce qui indique que le titre est techniquement surévalué à court terme. La décision "Vente" est justifiée par ce niveau extrême, qui précède souvent une consolidation ou un repli. Les acheteurs sont épuisés et le risque de retournement est élevé.</w:t>
      </w:r>
    </w:p>
    <w:p>
      <w:pPr>
        <w:spacing w:after="120" w:line="276" w:lineRule="auto"/>
      </w:pPr>
      <w:r>
        <w:t>**Stochastique** : Le %K (100,0) et le %D (97,22) sont tous deux en zone de surachat extrême, avec un %K à son niveau maximal. La décision "Vente" est cohérente avec cette configuration, qui signale une fin de mouvement haussier. Un croisement baissier des deux lignes serait un signal de vente supplémentaire.</w:t>
      </w:r>
    </w:p>
    <w:p>
      <w:pPr>
        <w:spacing w:after="120" w:line="276" w:lineRule="auto"/>
      </w:pPr>
      <w:r>
        <w:t>**Conclusion technique** : La quasi-totalité des indicateurs (MM, Bollinger, RSI, Stochastique) émet un signal de "Vente", à l'exception du MACD qui reste positif. Cette divergence indique un titre en surachat extrême après un rebond violent, avec un fort risque de correction à court terme. Le momentum haussier du MACD pourrait toutefois prolonger le mouvement avant un retournement.</w:t>
      </w:r>
    </w:p>
    <w:p>
      <w:pPr>
        <w:spacing w:after="120" w:line="276" w:lineRule="auto" w:before="240"/>
      </w:pPr>
      <w:r>
        <w:rPr>
          <w:b/>
          <w:color w:val="003366"/>
          <w:sz w:val="24"/>
        </w:rPr>
        <w:t>**PARTIE 3 : ANALYSE FONDAMENTALE (SECTION CRITIQUE)**</w:t>
      </w:r>
    </w:p>
    <w:p>
      <w:pPr>
        <w:spacing w:after="120" w:line="276" w:lineRule="auto"/>
      </w:pPr>
      <w:r>
        <w:t>En 2025, ABJC (Servair Abidjan) affiche un chiffre d'affaires de 13,298 milliards FCFA, en croissance de 6,7% par rapport à 2024, et un résultat net de 1,351 milliard FCFA, en baisse de 12,1% (source : états financiers 2025). La marge nette s'établit à 10,2%, en léger recul, tandis que le ROE est excellent à 26,2% et le ROA à 14,6%, témoignant d'une gestion efficace des actifs. La structure financière est saine avec une autonomie financière de 55,9% et une trésorerie nette de 4,035 milliards FCFA. Le BFR est positif (257,45 millions FCFA), mais le délai client de 70 jours reste élevé, un point de vigilance pour la trésorerie. Selon le rapport T3 2025 (cumul 9 mois), le chiffre d'affaires a progressé de +10,3% au troisième trimestre, avec un résultat net en hausse de +17,1%, suggérant une amélioration de la rentabilité en fin d'année. Cependant, le rapport T1 2026 (publié en 2026) montre une dégradation sévère : le résultat net chute de 35,6% à 222,6 millions FCFA, impacté par les ajustements de redevances aéroportuaires. On estime que l'exercice 2026 pourrait être difficile, avec une pression sur les marges, malgré une croissance du CA de 1,9%. La solidité financière et la position dominante sur le marché aéroportuaire ivoirien restent des atouts majeurs.</w:t>
      </w:r>
    </w:p>
    <w:p>
      <w:pPr>
        <w:spacing w:after="120" w:line="276" w:lineRule="auto" w:before="240"/>
      </w:pPr>
      <w:r>
        <w:rPr>
          <w:b/>
          <w:color w:val="003366"/>
          <w:sz w:val="24"/>
        </w:rPr>
        <w:t>**PARTIE 4 : CONCLUSION D'INVESTISSEMENT**</w:t>
      </w:r>
    </w:p>
    <w:p>
      <w:pPr>
        <w:spacing w:after="120" w:line="276" w:lineRule="auto"/>
      </w:pPr>
      <w:r>
        <w:t>La valorisation d'ABJC est exigeante (PER 29,1x, P/B 7,61x), indiquant une surévaluation relative par rapport au marché BRVM, malgré des fondamentaux solides (ROE 26,2%, trésorerie abondante). Le comportement du cours montre une volatilité très élevée (49,3%) avec un récent rebond de +7,46%, mais les statistiques descriptives (distribution symétrique) suggèrent un retour possible à la moyenne. Les signaux techniques sont majoritairement baissiers (MM, Bollinger, RSI, Stochastique en surachat), tandis que le MACD reste positif, créant une divergence préoccupante. Les fondamentaux, bien que solides en 2025, montrent une dégradation au T1 2026 (résultat net -35,6%), et les prédictions IA (3 456 FCFA à J+1, 3 224 FCFA à J+10) confirment une trajectoire baissière à court terme. La convergence entre la surévaluation, les signaux techniques de vente et les prédictions IA l'emporte sur la solidité financière. **Recommandation : VENTE** avec un niveau de confiance **Moyen** et un risque global **Élevé**. L'horizon d'investissement optimal serait de **court terme (&lt;3 mois)** pour éviter une correction attendue, bien que la valeur reste intéressante à long terme pour les investisseurs patients.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11,298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+66.90%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17.85% (Élevée) — μ=6,074 FCFA, σ=1,084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β=0.2493 (Défensif) — Cov=0.000008, Var(idx)=0.000034,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7,516</w:t>
            </w:r>
          </w:p>
        </w:tc>
        <w:tc>
          <w:tcPr>
            <w:tcW w:type="dxa" w:w="1440"/>
            <w:shd w:fill="FFDCE0" w:val="clear"/>
          </w:tcPr>
          <w:p>
            <w:r>
              <w:rPr>
                <w:b/>
                <w:sz w:val="17"/>
              </w:rPr>
              <w:t>7,858</w:t>
            </w:r>
          </w:p>
        </w:tc>
        <w:tc>
          <w:tcPr>
            <w:tcW w:type="dxa" w:w="1440"/>
            <w:shd w:fill="FFDCE0" w:val="clear"/>
          </w:tcPr>
          <w:p>
            <w:r>
              <w:rPr>
                <w:sz w:val="17"/>
              </w:rPr>
              <w:t>8,199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6,822</w:t>
            </w:r>
          </w:p>
        </w:tc>
        <w:tc>
          <w:tcPr>
            <w:tcW w:type="dxa" w:w="1440"/>
            <w:shd w:fill="FFDCE0" w:val="clear"/>
          </w:tcPr>
          <w:p>
            <w:r>
              <w:rPr>
                <w:b/>
                <w:sz w:val="17"/>
              </w:rPr>
              <w:t>7,269</w:t>
            </w:r>
          </w:p>
        </w:tc>
        <w:tc>
          <w:tcPr>
            <w:tcW w:type="dxa" w:w="1440"/>
            <w:shd w:fill="FFDCE0" w:val="clear"/>
          </w:tcPr>
          <w:p>
            <w:r>
              <w:rPr>
                <w:sz w:val="17"/>
              </w:rPr>
              <w:t>7,715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6,217</w:t>
            </w:r>
          </w:p>
        </w:tc>
        <w:tc>
          <w:tcPr>
            <w:tcW w:type="dxa" w:w="1440"/>
            <w:shd w:fill="FFDCE0" w:val="clear"/>
          </w:tcPr>
          <w:p>
            <w:r>
              <w:rPr>
                <w:b/>
                <w:sz w:val="17"/>
              </w:rPr>
              <w:t>6,723</w:t>
            </w:r>
          </w:p>
        </w:tc>
        <w:tc>
          <w:tcPr>
            <w:tcW w:type="dxa" w:w="1440"/>
            <w:shd w:fill="FFDCE0" w:val="clear"/>
          </w:tcPr>
          <w:p>
            <w:r>
              <w:rPr>
                <w:sz w:val="17"/>
              </w:rPr>
              <w:t>7,230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5,679</w:t>
            </w:r>
          </w:p>
        </w:tc>
        <w:tc>
          <w:tcPr>
            <w:tcW w:type="dxa" w:w="1440"/>
            <w:shd w:fill="FFDCE0" w:val="clear"/>
          </w:tcPr>
          <w:p>
            <w:r>
              <w:rPr>
                <w:b/>
                <w:sz w:val="17"/>
              </w:rPr>
              <w:t>6,220</w:t>
            </w:r>
          </w:p>
        </w:tc>
        <w:tc>
          <w:tcPr>
            <w:tcW w:type="dxa" w:w="1440"/>
            <w:shd w:fill="FFDCE0" w:val="clear"/>
          </w:tcPr>
          <w:p>
            <w:r>
              <w:rPr>
                <w:sz w:val="17"/>
              </w:rPr>
              <w:t>6,761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5,467</w:t>
            </w:r>
          </w:p>
        </w:tc>
        <w:tc>
          <w:tcPr>
            <w:tcW w:type="dxa" w:w="1440"/>
            <w:shd w:fill="FFDCE0" w:val="clear"/>
          </w:tcPr>
          <w:p>
            <w:r>
              <w:rPr>
                <w:b/>
                <w:sz w:val="17"/>
              </w:rPr>
              <w:t>6,055</w:t>
            </w:r>
          </w:p>
        </w:tc>
        <w:tc>
          <w:tcPr>
            <w:tcW w:type="dxa" w:w="1440"/>
            <w:shd w:fill="FFDCE0" w:val="clear"/>
          </w:tcPr>
          <w:p>
            <w:r>
              <w:rPr>
                <w:sz w:val="17"/>
              </w:rPr>
              <w:t>6,644</w:t>
            </w:r>
          </w:p>
        </w:tc>
        <w:tc>
          <w:tcPr>
            <w:tcW w:type="dxa" w:w="1440"/>
            <w:shd w:fill="FFDCE0" w:val="clear"/>
          </w:tcPr>
          <w:p>
            <w:r>
              <w:rPr>
                <w:b/>
                <w:color w:val="C00000"/>
                <w:sz w:val="17"/>
              </w:rPr>
              <w:t>-28.7%</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5,282</w:t>
            </w:r>
          </w:p>
        </w:tc>
        <w:tc>
          <w:tcPr>
            <w:tcW w:type="dxa" w:w="1440"/>
            <w:shd w:fill="FFDCE0" w:val="clear"/>
          </w:tcPr>
          <w:p>
            <w:r>
              <w:rPr>
                <w:b/>
                <w:sz w:val="17"/>
              </w:rPr>
              <w:t>5,911</w:t>
            </w:r>
          </w:p>
        </w:tc>
        <w:tc>
          <w:tcPr>
            <w:tcW w:type="dxa" w:w="1440"/>
            <w:shd w:fill="FFDCE0" w:val="clear"/>
          </w:tcPr>
          <w:p>
            <w:r>
              <w:rPr>
                <w:sz w:val="17"/>
              </w:rPr>
              <w:t>6,541</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5,121</w:t>
            </w:r>
          </w:p>
        </w:tc>
        <w:tc>
          <w:tcPr>
            <w:tcW w:type="dxa" w:w="1440"/>
            <w:shd w:fill="FFDCE0" w:val="clear"/>
          </w:tcPr>
          <w:p>
            <w:r>
              <w:rPr>
                <w:b/>
                <w:sz w:val="17"/>
              </w:rPr>
              <w:t>5,787</w:t>
            </w:r>
          </w:p>
        </w:tc>
        <w:tc>
          <w:tcPr>
            <w:tcW w:type="dxa" w:w="1440"/>
            <w:shd w:fill="FFDCE0" w:val="clear"/>
          </w:tcPr>
          <w:p>
            <w:r>
              <w:rPr>
                <w:sz w:val="17"/>
              </w:rPr>
              <w:t>6,452</w:t>
            </w:r>
          </w:p>
        </w:tc>
        <w:tc>
          <w:tcPr>
            <w:tcW w:type="dxa" w:w="1440"/>
            <w:shd w:fill="FFDCE0" w:val="clear"/>
          </w:tcPr>
          <w:p>
            <w:r>
              <w:rPr>
                <w:b/>
                <w:color w:val="C00000"/>
                <w:sz w:val="17"/>
              </w:rPr>
              <w:t>-31.9%</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4,981</w:t>
            </w:r>
          </w:p>
        </w:tc>
        <w:tc>
          <w:tcPr>
            <w:tcW w:type="dxa" w:w="1440"/>
            <w:shd w:fill="FFDCE0" w:val="clear"/>
          </w:tcPr>
          <w:p>
            <w:r>
              <w:rPr>
                <w:b/>
                <w:sz w:val="17"/>
              </w:rPr>
              <w:t>5,679</w:t>
            </w:r>
          </w:p>
        </w:tc>
        <w:tc>
          <w:tcPr>
            <w:tcW w:type="dxa" w:w="1440"/>
            <w:shd w:fill="FFDCE0" w:val="clear"/>
          </w:tcPr>
          <w:p>
            <w:r>
              <w:rPr>
                <w:sz w:val="17"/>
              </w:rPr>
              <w:t>6,377</w:t>
            </w:r>
          </w:p>
        </w:tc>
        <w:tc>
          <w:tcPr>
            <w:tcW w:type="dxa" w:w="1440"/>
            <w:shd w:fill="FFDCE0" w:val="clear"/>
          </w:tcPr>
          <w:p>
            <w:r>
              <w:rPr>
                <w:b/>
                <w:color w:val="C00000"/>
                <w:sz w:val="17"/>
              </w:rPr>
              <w:t>-33.2%</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4,857</w:t>
            </w:r>
          </w:p>
        </w:tc>
        <w:tc>
          <w:tcPr>
            <w:tcW w:type="dxa" w:w="1440"/>
            <w:shd w:fill="FFDCE0" w:val="clear"/>
          </w:tcPr>
          <w:p>
            <w:r>
              <w:rPr>
                <w:b/>
                <w:sz w:val="17"/>
              </w:rPr>
              <w:t>5,586</w:t>
            </w:r>
          </w:p>
        </w:tc>
        <w:tc>
          <w:tcPr>
            <w:tcW w:type="dxa" w:w="1440"/>
            <w:shd w:fill="FFDCE0" w:val="clear"/>
          </w:tcPr>
          <w:p>
            <w:r>
              <w:rPr>
                <w:sz w:val="17"/>
              </w:rPr>
              <w:t>6,314</w:t>
            </w:r>
          </w:p>
        </w:tc>
        <w:tc>
          <w:tcPr>
            <w:tcW w:type="dxa" w:w="1440"/>
            <w:shd w:fill="FFDCE0" w:val="clear"/>
          </w:tcPr>
          <w:p>
            <w:r>
              <w:rPr>
                <w:b/>
                <w:color w:val="C00000"/>
                <w:sz w:val="17"/>
              </w:rPr>
              <w:t>-34.2%</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4,748</w:t>
            </w:r>
          </w:p>
        </w:tc>
        <w:tc>
          <w:tcPr>
            <w:tcW w:type="dxa" w:w="1440"/>
            <w:shd w:fill="FFDCE0" w:val="clear"/>
          </w:tcPr>
          <w:p>
            <w:r>
              <w:rPr>
                <w:b/>
                <w:sz w:val="17"/>
              </w:rPr>
              <w:t>5,505</w:t>
            </w:r>
          </w:p>
        </w:tc>
        <w:tc>
          <w:tcPr>
            <w:tcW w:type="dxa" w:w="1440"/>
            <w:shd w:fill="FFDCE0" w:val="clear"/>
          </w:tcPr>
          <w:p>
            <w:r>
              <w:rPr>
                <w:sz w:val="17"/>
              </w:rPr>
              <w:t>6,262</w:t>
            </w:r>
          </w:p>
        </w:tc>
        <w:tc>
          <w:tcPr>
            <w:tcW w:type="dxa" w:w="1440"/>
            <w:shd w:fill="FFDCE0" w:val="clear"/>
          </w:tcPr>
          <w:p>
            <w:r>
              <w:rPr>
                <w:b/>
                <w:color w:val="C00000"/>
                <w:sz w:val="17"/>
              </w:rPr>
              <w:t>-35.2%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 24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490,67 milliards FCFA, un niveau qui la positionne parmi les poids lourds de la BRVM, reflétant la confiance des investisseurs dans l'une des principales banques de la zone UEMOA. Avec un BPA de 627 FCFA, chaque action génère un bénéfice substantiel, justifiant un PER de 13,5x. Ce ratio, supérieur à la moyenne historique de la BRVM (8-12x), indique que le marché accorde une prime de valorisation à la banque, probablement en raison de ses perspectives de croissance soutenue. Le P/B de 3,63x confirme cette prime, le marché valorisant l'actif net comptable à plus de 3,6 fois sa valeur, signe d'une forte création de valeur anticipée. Enfin, l'EV/EBITDA de 24,1x est particulièrement exigeant, signalant que la valeur totale de l'entreprise (capitaux propres + dettes) est élevée par rapport à sa capacité opérationnelle, ce qui implique des attentes de performance future très fortes.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exceptionnelle de +66,90%, avec une dernière séance en hausse de 3,60%, clôturant à 8 495 FCFA. Le titre a évolué dans une fourchette large de 5 090 FCFA (plus bas) à 8 500 FCFA (plus haut), démontrant une dynamique haussière très forte. La moyenne du cours sur la période est de 6 074 FCFA, tandis que la médiane est de 5 600 FCFA ; l'écart entre ces deux valeurs, la moyenne étant supérieure à la médiane, confirme une distribution asymétrique positive (skewness de 1.009), avec des journées de forte hausse qui tirent la moyenne vers le haut. L'écart-type de 1 090 FCFA (CV de 17,9%) indique une dispersion modérée des prix autour de la moyenne. Le kurtosis de -0.369 (mésokurtique) suggère une distribution proche de la normale, sans risque de pics extrêmes. La volatilité annualisée de 30,6% classe le titre comme très volatil, ce qui est un facteur de risque important à considérer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8 495 FCFA est nettement au-dessus de la MM20 (7 977 FCFA) et de la MM50 (6 907,1 FCFA). Cette configuration, où le prix est supérieur aux deux moyennes, est un signal haussier classique. La pente ascendante des moyennes confirme la vigueur de la tendance, justifiant la décision d'**Achat**.</w:t>
      </w:r>
    </w:p>
    <w:p>
      <w:pPr>
        <w:spacing w:after="120" w:line="276" w:lineRule="auto"/>
      </w:pPr>
      <w:r>
        <w:t>**Bandes de Bollinger** : Le prix se situe à 8 495 FCFA, proche de la borne supérieure (8 765 FCFA) mais en dessous de celle-ci. Cette position indique une pression acheteuse soutenue, mais le fait que le prix ne touche pas la borne suggère une absence de surachat extrême. La décision est **Neutre**, car le titre pourrait continuer à évoluer dans la partie supérieure des bandes, mais un retour vers la moyenne (7 977 FCFA) est possible.</w:t>
      </w:r>
    </w:p>
    <w:p>
      <w:pPr>
        <w:spacing w:after="120" w:line="276" w:lineRule="auto"/>
      </w:pPr>
      <w:r>
        <w:t>**MACD** : La valeur du MACD (451,743) est inférieure à son signal (467,966), indiquant un momentum baissier à court terme. Bien que les deux lignes soient en territoire positif, ce croisement baissant est un signal de **Vente**, suggérant une possible correction ou consolidation après la forte hausse.</w:t>
      </w:r>
    </w:p>
    <w:p>
      <w:pPr>
        <w:spacing w:after="120" w:line="276" w:lineRule="auto"/>
      </w:pPr>
      <w:r>
        <w:t>**RSI** : Le RSI est à 70,075, une valeur qui se situe à la limite supérieure de la zone neutre et le seuil de surachat (70). Cela indique que le titre est potentiellement suracheté à court terme. La décision de **Vente** est donc justifiée, car un repli technique est probable pour soulager la pression acheteuse.</w:t>
      </w:r>
    </w:p>
    <w:p>
      <w:pPr>
        <w:spacing w:after="120" w:line="276" w:lineRule="auto"/>
      </w:pPr>
      <w:r>
        <w:t>**Stochastique** : Le %K (99,5) et le %D (86,5) sont tous deux dans la zone de surachat (au-dessus de 80). Le %K est très proche de 100, signalant une condition de surachat extrême. La décision de **Vente** est cohérente, car un croisement baissant des deux lignes pourrait déclencher un mouvement de correction.</w:t>
      </w:r>
    </w:p>
    <w:p>
      <w:pPr>
        <w:spacing w:after="120" w:line="276" w:lineRule="auto"/>
      </w:pPr>
      <w:r>
        <w:t>**Conclusion technique** : Les indicateurs de tendance (MM) sont positifs, mais les oscillateurs de momentum (RSI, Stochastique, MACD) sont tous en zone de surachat ou montrent des signes de faiblesse. Cette divergence entre la tendance et le momentum suggère un risque élevé de correction à court terme. La prudence est donc de mise, malgré la tendance haussière sous-jacente.</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fondamentaux solides. Le Produit Net Bancaire (PNB) s'établit à 52,805 milliards FCFA, en croissance de 16,5% par rapport à 2024 (45,207 milliards FCFA). Le résultat net progresse de 24,7% pour atteindre 36,237 milliards FCFA, portant la marge nette à un niveau exceptionnel de 68,6%. La rentabilité des fonds propres (ROE) est excellente à 26,8%, et le ROA est de 1,96%. Le coefficient d'exploitation de 31,1% démontre une excellente maîtrise des charges, bien en dessous du seuil de 60% considéré comme efficace pour une banque. Cependant, le coût du risque est élevé (9,61%), reflétant une politique de provisionnement prudente, comme l'ont souligné les rapports semestriels et trimestriels de 2025. Le ratio crédits nets/dépôts est de 97,5%, indiquant une transformation tendue. Sur la base des rapports trimestriels de 2025 (S1 : RN de 7,9 Mds, T3 : RN de 13,1 Mds), on estime que la banque a délibérément renforcé ses provisions pour risque de crédit, ce qui a pénalisé la rentabilité à court terme. Cependant, le rapport du T1 2026 montre un rebond spectaculaire avec un résultat net de 8,0 milliards FCFA (+48% vs T1 2025), suggérant que la banque maîtrise désormais mieux son risque. Les perspectives pour 2026 sont donc positives, avec une croissance du PNB de 35% au T1, soutenue par une collecte de dépôts dynamique. La recommandation fondamentale est **ACHAT**, basée sur la solidité financière, la croissance rentable et l'amélioration de la gestion du risque.</w:t>
      </w:r>
    </w:p>
    <w:p>
      <w:pPr>
        <w:spacing w:after="120" w:line="276" w:lineRule="auto"/>
      </w:pPr>
      <w:r>
        <w:t>---</w:t>
      </w:r>
    </w:p>
    <w:p>
      <w:pPr>
        <w:spacing w:after="120" w:line="276" w:lineRule="auto"/>
      </w:pPr>
      <w:r>
        <w:t>### PARTIE 4 : CONCLUSION D'INVESTISSEMENT</w:t>
      </w:r>
    </w:p>
    <w:p>
      <w:pPr>
        <w:spacing w:after="120" w:line="276" w:lineRule="auto"/>
      </w:pPr>
      <w:r>
        <w:t>La valorisation de la BICB (PER 13,5x, P/B 3,63x, EV/EBITDA 24,1x) est exigeante, reflétant des attentes de croissance élevées. Le comportement du cours sur 100 jours (+66,9%) est spectaculaire, mais la volatilité de 30,6% et les statistiques (skewness positif) indiquent un risque de retournement. Les signaux techniques sont mitigés : la tendance est haussière (MM), mais les oscillateurs (RSI, Stochastique, MACD) sont en zone de surachat, signalant une correction probable. Les fondamentaux sont solides, avec une croissance du PNB et du résultat net en 2025, et un rebond confirmé au T1 2026. Cependant, les prédictions IA pour les 10 prochains jours (chute de 8 495 à 6 055 FCFA) confirment le scénario technique d'une correction. La convergence entre les signaux techniques de surachat et les prédictions IA suggère un repli à court terme. Par conséquent, la recommandation finale est **CONSERVER** pour les investisseurs à moyen/long terme, avec un niveau de confiance **Moyen** et un risque global **Élevé**. L'horizon d'investissement optimal est le **moyen terme (3-12 mois)**, en attendant que la correction technique se matérialise et que la banque confirme sa capacité à maintenir une croissance rentable.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691 titres</w:t>
            </w:r>
          </w:p>
        </w:tc>
        <w:tc>
          <w:tcPr>
            <w:tcW w:type="dxa" w:w="2268"/>
            <w:shd w:fill="FFF2CC" w:val="clear"/>
          </w:tcPr>
          <w:p>
            <w:r>
              <w:rPr>
                <w:b/>
                <w:color w:val="503200"/>
                <w:sz w:val="16"/>
              </w:rPr>
              <w:t xml:space="preserve">Cours actuel : </w:t>
            </w:r>
            <w:r>
              <w:rPr>
                <w:color w:val="000000"/>
                <w:sz w:val="17"/>
              </w:rPr>
              <w:t>28,600 FCFA</w:t>
            </w:r>
          </w:p>
          <w:p>
            <w:r>
              <w:rPr>
                <w:b/>
                <w:color w:val="503200"/>
                <w:sz w:val="16"/>
              </w:rPr>
              <w:t xml:space="preserve">Var. 100 jours : </w:t>
            </w:r>
            <w:r>
              <w:rPr>
                <w:b/>
                <w:color w:val="007800"/>
                <w:sz w:val="17"/>
              </w:rPr>
              <w:t>+12.27%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7.34% (Moyenne) — μ=27,206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β=0.2929 (Défensif) — Cov=0.000010, Var(idx)=0.000034, ρ=0.098,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691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27,659</w:t>
            </w:r>
          </w:p>
        </w:tc>
        <w:tc>
          <w:tcPr>
            <w:tcW w:type="dxa" w:w="1440"/>
            <w:shd w:fill="FAFAFA" w:val="clear"/>
          </w:tcPr>
          <w:p>
            <w:r>
              <w:rPr>
                <w:b/>
                <w:sz w:val="17"/>
              </w:rPr>
              <w:t>28,157</w:t>
            </w:r>
          </w:p>
        </w:tc>
        <w:tc>
          <w:tcPr>
            <w:tcW w:type="dxa" w:w="1440"/>
            <w:shd w:fill="FAFAFA" w:val="clear"/>
          </w:tcPr>
          <w:p>
            <w:r>
              <w:rPr>
                <w:sz w:val="17"/>
              </w:rPr>
              <w:t>28,655</w:t>
            </w:r>
          </w:p>
        </w:tc>
        <w:tc>
          <w:tcPr>
            <w:tcW w:type="dxa" w:w="1440"/>
            <w:shd w:fill="FAFAFA" w:val="clear"/>
          </w:tcPr>
          <w:p>
            <w:r>
              <w:rPr>
                <w:b/>
                <w:color w:val="C00000"/>
                <w:sz w:val="17"/>
              </w:rPr>
              <w:t>-1.5%</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27,187</w:t>
            </w:r>
          </w:p>
        </w:tc>
        <w:tc>
          <w:tcPr>
            <w:tcW w:type="dxa" w:w="1440"/>
            <w:shd w:fill="FFDCE0" w:val="clear"/>
          </w:tcPr>
          <w:p>
            <w:r>
              <w:rPr>
                <w:b/>
                <w:sz w:val="17"/>
              </w:rPr>
              <w:t>27,884</w:t>
            </w:r>
          </w:p>
        </w:tc>
        <w:tc>
          <w:tcPr>
            <w:tcW w:type="dxa" w:w="1440"/>
            <w:shd w:fill="FFDCE0" w:val="clear"/>
          </w:tcPr>
          <w:p>
            <w:r>
              <w:rPr>
                <w:sz w:val="17"/>
              </w:rPr>
              <w:t>28,582</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26,768</w:t>
            </w:r>
          </w:p>
        </w:tc>
        <w:tc>
          <w:tcPr>
            <w:tcW w:type="dxa" w:w="1440"/>
            <w:shd w:fill="FFDCE0" w:val="clear"/>
          </w:tcPr>
          <w:p>
            <w:r>
              <w:rPr>
                <w:b/>
                <w:sz w:val="17"/>
              </w:rPr>
              <w:t>27,614</w:t>
            </w:r>
          </w:p>
        </w:tc>
        <w:tc>
          <w:tcPr>
            <w:tcW w:type="dxa" w:w="1440"/>
            <w:shd w:fill="FFDCE0" w:val="clear"/>
          </w:tcPr>
          <w:p>
            <w:r>
              <w:rPr>
                <w:sz w:val="17"/>
              </w:rPr>
              <w:t>28,460</w:t>
            </w:r>
          </w:p>
        </w:tc>
        <w:tc>
          <w:tcPr>
            <w:tcW w:type="dxa" w:w="1440"/>
            <w:shd w:fill="FFDCE0" w:val="clear"/>
          </w:tcPr>
          <w:p>
            <w:r>
              <w:rPr>
                <w:b/>
                <w:color w:val="C00000"/>
                <w:sz w:val="17"/>
              </w:rPr>
              <w:t>-3.4%</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26,393</w:t>
            </w:r>
          </w:p>
        </w:tc>
        <w:tc>
          <w:tcPr>
            <w:tcW w:type="dxa" w:w="1440"/>
            <w:shd w:fill="FFDCE0" w:val="clear"/>
          </w:tcPr>
          <w:p>
            <w:r>
              <w:rPr>
                <w:b/>
                <w:sz w:val="17"/>
              </w:rPr>
              <w:t>27,361</w:t>
            </w:r>
          </w:p>
        </w:tc>
        <w:tc>
          <w:tcPr>
            <w:tcW w:type="dxa" w:w="1440"/>
            <w:shd w:fill="FFDCE0" w:val="clear"/>
          </w:tcPr>
          <w:p>
            <w:r>
              <w:rPr>
                <w:sz w:val="17"/>
              </w:rPr>
              <w:t>28,330</w:t>
            </w:r>
          </w:p>
        </w:tc>
        <w:tc>
          <w:tcPr>
            <w:tcW w:type="dxa" w:w="1440"/>
            <w:shd w:fill="FFDCE0" w:val="clear"/>
          </w:tcPr>
          <w:p>
            <w:r>
              <w:rPr>
                <w:b/>
                <w:color w:val="C00000"/>
                <w:sz w:val="17"/>
              </w:rPr>
              <w:t>-4.3%</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26,050</w:t>
            </w:r>
          </w:p>
        </w:tc>
        <w:tc>
          <w:tcPr>
            <w:tcW w:type="dxa" w:w="1440"/>
            <w:shd w:fill="FFDCE0" w:val="clear"/>
          </w:tcPr>
          <w:p>
            <w:r>
              <w:rPr>
                <w:b/>
                <w:sz w:val="17"/>
              </w:rPr>
              <w:t>27,123</w:t>
            </w:r>
          </w:p>
        </w:tc>
        <w:tc>
          <w:tcPr>
            <w:tcW w:type="dxa" w:w="1440"/>
            <w:shd w:fill="FFDCE0" w:val="clear"/>
          </w:tcPr>
          <w:p>
            <w:r>
              <w:rPr>
                <w:sz w:val="17"/>
              </w:rPr>
              <w:t>28,196</w:t>
            </w:r>
          </w:p>
        </w:tc>
        <w:tc>
          <w:tcPr>
            <w:tcW w:type="dxa" w:w="1440"/>
            <w:shd w:fill="FFDCE0" w:val="clear"/>
          </w:tcPr>
          <w:p>
            <w:r>
              <w:rPr>
                <w:b/>
                <w:color w:val="C00000"/>
                <w:sz w:val="17"/>
              </w:rPr>
              <w:t>-5.2%</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25,729</w:t>
            </w:r>
          </w:p>
        </w:tc>
        <w:tc>
          <w:tcPr>
            <w:tcW w:type="dxa" w:w="1440"/>
            <w:shd w:fill="FFDCE0" w:val="clear"/>
          </w:tcPr>
          <w:p>
            <w:r>
              <w:rPr>
                <w:b/>
                <w:sz w:val="17"/>
              </w:rPr>
              <w:t>26,894</w:t>
            </w:r>
          </w:p>
        </w:tc>
        <w:tc>
          <w:tcPr>
            <w:tcW w:type="dxa" w:w="1440"/>
            <w:shd w:fill="FFDCE0" w:val="clear"/>
          </w:tcPr>
          <w:p>
            <w:r>
              <w:rPr>
                <w:sz w:val="17"/>
              </w:rPr>
              <w:t>28,060</w:t>
            </w:r>
          </w:p>
        </w:tc>
        <w:tc>
          <w:tcPr>
            <w:tcW w:type="dxa" w:w="1440"/>
            <w:shd w:fill="FFDCE0" w:val="clear"/>
          </w:tcPr>
          <w:p>
            <w:r>
              <w:rPr>
                <w:b/>
                <w:color w:val="C00000"/>
                <w:sz w:val="17"/>
              </w:rPr>
              <w:t>-6.0%</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25,425</w:t>
            </w:r>
          </w:p>
        </w:tc>
        <w:tc>
          <w:tcPr>
            <w:tcW w:type="dxa" w:w="1440"/>
            <w:shd w:fill="FFDCE0" w:val="clear"/>
          </w:tcPr>
          <w:p>
            <w:r>
              <w:rPr>
                <w:b/>
                <w:sz w:val="17"/>
              </w:rPr>
              <w:t>26,674</w:t>
            </w:r>
          </w:p>
        </w:tc>
        <w:tc>
          <w:tcPr>
            <w:tcW w:type="dxa" w:w="1440"/>
            <w:shd w:fill="FFDCE0" w:val="clear"/>
          </w:tcPr>
          <w:p>
            <w:r>
              <w:rPr>
                <w:sz w:val="17"/>
              </w:rPr>
              <w:t>27,922</w:t>
            </w:r>
          </w:p>
        </w:tc>
        <w:tc>
          <w:tcPr>
            <w:tcW w:type="dxa" w:w="1440"/>
            <w:shd w:fill="FFDCE0" w:val="clear"/>
          </w:tcPr>
          <w:p>
            <w:r>
              <w:rPr>
                <w:b/>
                <w:color w:val="C00000"/>
                <w:sz w:val="17"/>
              </w:rPr>
              <w:t>-6.7%</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25,137</w:t>
            </w:r>
          </w:p>
        </w:tc>
        <w:tc>
          <w:tcPr>
            <w:tcW w:type="dxa" w:w="1440"/>
            <w:shd w:fill="FFDCE0" w:val="clear"/>
          </w:tcPr>
          <w:p>
            <w:r>
              <w:rPr>
                <w:b/>
                <w:sz w:val="17"/>
              </w:rPr>
              <w:t>26,461</w:t>
            </w:r>
          </w:p>
        </w:tc>
        <w:tc>
          <w:tcPr>
            <w:tcW w:type="dxa" w:w="1440"/>
            <w:shd w:fill="FFDCE0" w:val="clear"/>
          </w:tcPr>
          <w:p>
            <w:r>
              <w:rPr>
                <w:sz w:val="17"/>
              </w:rPr>
              <w:t>27,786</w:t>
            </w:r>
          </w:p>
        </w:tc>
        <w:tc>
          <w:tcPr>
            <w:tcW w:type="dxa" w:w="1440"/>
            <w:shd w:fill="FFDCE0" w:val="clear"/>
          </w:tcPr>
          <w:p>
            <w:r>
              <w:rPr>
                <w:b/>
                <w:color w:val="C00000"/>
                <w:sz w:val="17"/>
              </w:rPr>
              <w:t>-7.5%</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24,863</w:t>
            </w:r>
          </w:p>
        </w:tc>
        <w:tc>
          <w:tcPr>
            <w:tcW w:type="dxa" w:w="1440"/>
            <w:shd w:fill="FFDCE0" w:val="clear"/>
          </w:tcPr>
          <w:p>
            <w:r>
              <w:rPr>
                <w:b/>
                <w:sz w:val="17"/>
              </w:rPr>
              <w:t>26,257</w:t>
            </w:r>
          </w:p>
        </w:tc>
        <w:tc>
          <w:tcPr>
            <w:tcW w:type="dxa" w:w="1440"/>
            <w:shd w:fill="FFDCE0" w:val="clear"/>
          </w:tcPr>
          <w:p>
            <w:r>
              <w:rPr>
                <w:sz w:val="17"/>
              </w:rPr>
              <w:t>27,650</w:t>
            </w:r>
          </w:p>
        </w:tc>
        <w:tc>
          <w:tcPr>
            <w:tcW w:type="dxa" w:w="1440"/>
            <w:shd w:fill="FFDCE0" w:val="clear"/>
          </w:tcPr>
          <w:p>
            <w:r>
              <w:rPr>
                <w:b/>
                <w:color w:val="C00000"/>
                <w:sz w:val="17"/>
              </w:rPr>
              <w:t>-8.2%</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24,601</w:t>
            </w:r>
          </w:p>
        </w:tc>
        <w:tc>
          <w:tcPr>
            <w:tcW w:type="dxa" w:w="1440"/>
            <w:shd w:fill="FFDCE0" w:val="clear"/>
          </w:tcPr>
          <w:p>
            <w:r>
              <w:rPr>
                <w:b/>
                <w:sz w:val="17"/>
              </w:rPr>
              <w:t>26,059</w:t>
            </w:r>
          </w:p>
        </w:tc>
        <w:tc>
          <w:tcPr>
            <w:tcW w:type="dxa" w:w="1440"/>
            <w:shd w:fill="FFDCE0" w:val="clear"/>
          </w:tcPr>
          <w:p>
            <w:r>
              <w:rPr>
                <w:sz w:val="17"/>
              </w:rPr>
              <w:t>27,517</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476,67 milliards FCFA, ce qui en fait l'une des valeurs les plus significatives de la BRVM, reflétant la confiance des investisseurs dans le secteur bancaire ivoirien. Avec un BPA de 2 191 FCFA, chaque action génère un bénéfice substantiel, justifiant un PER de 13,1x. Ce ratio, légèrement supérieur à la moyenne historique de la BRVM (8-12x), indique que les investisseurs acceptent de payer une prime modérée pour la qualité des bénéfices de la banque, sans pour autant que la valorisation soit excessive. Le P/B de 3,95x confirme cette prime de croissance, le marché valorisant l'actif net de la banque près de quatre fois sa valeur comptable, ce qui témoigne d'anticipations de croissance future solides. Enfin, l'EV/EBITDA de 9,1x se situe dans une fourchette raisonnable (5-10x),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+12,27%, malgré un léger repli de -0,69% lors de la dernière séance, portant le cours à 28 600 FCFA. Le titre a évolué dans une fourchette de 22 500 FCFA (plus bas) à 29 490 FCFA (plus haut), démontrant une dynamique haussière soutenue. La moyenne du cours sur la période (27 206 FCFA) est inférieure à la médiane (28 155 FCFA), ce qui, combiné à un skewness négatif de -0,809, indique que le cours a passé davantage de journées au-dessus de sa moyenne, signe d'une tendance haussière dominante. L'écart-type de 2 006 FCFA (CV=7,4%) révèle une dispersion modérée autour de la moyenne, tandis que le kurtosis de -0,830 (mésokurtique) suggère une distribution proche de la normale, sans risque de pics extrêmes. La volatilité annualisée de 27,7% classe le titre dans une zone de volatilité modérée à élevée, ce qui implique des fluctuations notables mais maîtrisées, offrant des opportunités d'achat lors des replis.</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 la MM20 (28 955,5 FCFA) est supérieure à la MM50 (28 605,4 FCFA), et le cours actuel (28 600 FCFA) se situe juste au niveau de la MM50, ce qui suggère un support solide. La décision d'achat se justifie par la configuration haussière des moyennes, bien que le cours doive confirmer son maintien au-dessus de la MM20 pour valider la tendance.</w:t>
      </w:r>
    </w:p>
    <w:p>
      <w:pPr>
        <w:spacing w:after="120" w:line="276" w:lineRule="auto"/>
      </w:pPr>
      <w:r>
        <w:t>Les **Bandes de Bollinger** montrent un cours (28 600 FCFA) proche de la borne inférieure (28 579,3 FCFA), avec une borne supérieure à 29 331,7 FCFA. Cette position indique une pression vendeuse à court terme, mais la décision neutre suggère que le titre n'est ni suracheté ni survendu, laissant place à une possible consolidation avant un nouveau mouvement directionnel.</w:t>
      </w:r>
    </w:p>
    <w:p>
      <w:pPr>
        <w:spacing w:after="120" w:line="276" w:lineRule="auto"/>
      </w:pPr>
      <w:r>
        <w:t>Le **MACD** affiche une valeur de 115,978, inférieure à son signal (161,668), ce qui génère une décision de vente. Cette configuration signale un affaiblissement du momentum haussier à court terme, bien que la valeur positive du MACD indique que la tendance de fond reste positive.</w:t>
      </w:r>
    </w:p>
    <w:p>
      <w:pPr>
        <w:spacing w:after="120" w:line="276" w:lineRule="auto"/>
      </w:pPr>
      <w:r>
        <w:t>Le **RSI** à 39,494 se situe en zone neutre (30-70), indiquant que le titre n'est ni suracheté ni survendu. Cette valeur suggère une marge de manœuvre pour une reprise haussière, mais sans signal directionnel fort pour le moment.</w:t>
      </w:r>
    </w:p>
    <w:p>
      <w:pPr>
        <w:spacing w:after="120" w:line="276" w:lineRule="auto"/>
      </w:pPr>
      <w:r>
        <w:t>Le **Stochastique** présente un %K à 0,0 et un %D à 40,805, avec une décision d'achat. Ce croisement haussier potentiel, bien que le %K soit à des niveaux extrêmement bas, suggère un possible rebond technique à très court terme.</w:t>
      </w:r>
    </w:p>
    <w:p>
      <w:pPr>
        <w:spacing w:after="120" w:line="276" w:lineRule="auto"/>
      </w:pPr>
      <w:r>
        <w:t>En conclusion technique, les signaux sont mitigés : les moyennes mobiles et le stochastique penchent vers un achat, tandis que le MACD suggère une prudence à court terme. Le RSI et les bandes de Bollinger restent neutres. Cette configuration indique une phase de consolidation après une forte hausse, avec un potentiel de reprise si le cours maintient ses supports actuels.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santé financière exceptionnelle pour une banque de la zone UEMOA. Le Produit Net Bancaire (PNB) s'établit à 79,563 milliards FCFA, avec un résultat net de 36,520 milliards FCFA, démontrant une rentabilité remarquable. Le ROE de 30,29% et le ROA de 3,24% sont excellents, largement supérieurs aux seuils de référence (&gt;15% et &gt;2% respectivement). Le coefficient d'exploitation de 50,83% confirme l'efficacité opérationnelle de la banque, en dessous du seuil critique de 60%. Le coût du risque de -12,15% est préoccupant, indiquant un risque de crédit significatif, mais les provisions négatives (-1,498 milliards) suggèrent des reprises de provisions, ce qui pourrait être un signal positif. Le ratio dépôts/crédits est sain : les dépôts clientèle (952,872 milliards) dépassent largement les créances (524,439 milliards), assurant une liquidité confortable. Les rapports trimestriels confirment cette dynamique : le T1 2026 (rapport du 31 mars 2026) montre un PNB de 21,214 milliards (+17,0%) et un résultat net de 10,387 milliards (+29,7%), tandis que le T3 2025 (cumulé à fin septembre 2025) affichait un PNB de 58,119 milliards (+16,4%) et un résultat net de 27,402 milliards (+50,8%). Sur la base de ces performances, on estime que l'exercice 2026 pourrait voir un PNB dépasser 90 milliards et un résultat net supérieur à 42 milliards, confirmant la trajectoire de croissance exceptionnelle de la banque.</w:t>
      </w:r>
    </w:p>
    <w:p>
      <w:pPr>
        <w:spacing w:after="120" w:line="276" w:lineRule="auto" w:before="240"/>
      </w:pPr>
      <w:r>
        <w:rPr>
          <w:b/>
          <w:color w:val="003366"/>
          <w:sz w:val="24"/>
        </w:rPr>
        <w:t>**PARTIE 4 : CONCLUSION D'INVESTISSEMENT**</w:t>
      </w:r>
    </w:p>
    <w:p>
      <w:pPr>
        <w:spacing w:after="120" w:line="276" w:lineRule="auto"/>
      </w:pPr>
      <w:r>
        <w:t>La synthèse des analyses révèle une convergence positive entre les fondamentaux et la valorisation, malgré des signaux techniques mitigés à court terme. La valorisation (PER de 13,1x, P/B de 3,95x) est raisonnable compte tenu de la croissance exceptionnelle des bénéfices, tandis que le comportement du cours (+12,27% sur 100 jours) et la volatilité modérée (27,7%) reflètent une confiance soutenue des investisseurs. Les fondamentaux sont indiscutablement solides, avec un ROE de 30,29%, une croissance du PNB de 16,9% et des perspectives 2026 estimées en hausse de plus de 15%. Les signaux techniques sont partagés, mais les moyennes mobiles et le stochastique suggèrent un potentiel de reprise. Les prédictions IA (28 157 FCFA à J+1, 27 123 FCFA à J+10) indiquent une légère correction à court terme, ce qui pourrait représenter une opportunité d'achat. La recommandation finale est **ACHAT**, avec un niveau de confiance **Élevé** et un risque global **Moyen**. L'horizon d'investissement optimal est le **moyen terme (3-12 mois)**, permettant de capitaliser sur la croissance des bénéfices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2,228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+25.55%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11.85% (Moyenne) — μ=1,757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β=0.0354 (Défensif) — Cov=0.000001, Var(idx)=0.000034, ρ=0.007,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1,918</w:t>
            </w:r>
          </w:p>
        </w:tc>
        <w:tc>
          <w:tcPr>
            <w:tcW w:type="dxa" w:w="1440"/>
            <w:shd w:fill="FAFAFA" w:val="clear"/>
          </w:tcPr>
          <w:p>
            <w:r>
              <w:rPr>
                <w:b/>
                <w:sz w:val="17"/>
              </w:rPr>
              <w:t>1,987</w:t>
            </w:r>
          </w:p>
        </w:tc>
        <w:tc>
          <w:tcPr>
            <w:tcW w:type="dxa" w:w="1440"/>
            <w:shd w:fill="FAFAFA" w:val="clear"/>
          </w:tcPr>
          <w:p>
            <w:r>
              <w:rPr>
                <w:sz w:val="17"/>
              </w:rPr>
              <w:t>2,057</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1,887</w:t>
            </w:r>
          </w:p>
        </w:tc>
        <w:tc>
          <w:tcPr>
            <w:tcW w:type="dxa" w:w="1440"/>
            <w:shd w:fill="FAFAFA" w:val="clear"/>
          </w:tcPr>
          <w:p>
            <w:r>
              <w:rPr>
                <w:b/>
                <w:sz w:val="17"/>
              </w:rPr>
              <w:t>1,986</w:t>
            </w:r>
          </w:p>
        </w:tc>
        <w:tc>
          <w:tcPr>
            <w:tcW w:type="dxa" w:w="1440"/>
            <w:shd w:fill="FAFAFA" w:val="clear"/>
          </w:tcPr>
          <w:p>
            <w:r>
              <w:rPr>
                <w:sz w:val="17"/>
              </w:rPr>
              <w:t>2,084</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2026-08-28</w:t>
            </w:r>
          </w:p>
        </w:tc>
        <w:tc>
          <w:tcPr>
            <w:tcW w:type="dxa" w:w="1440"/>
            <w:shd w:fill="FAFAFA" w:val="clear"/>
          </w:tcPr>
          <w:p>
            <w:r>
              <w:rPr>
                <w:sz w:val="17"/>
              </w:rPr>
              <w:t>1,864</w:t>
            </w:r>
          </w:p>
        </w:tc>
        <w:tc>
          <w:tcPr>
            <w:tcW w:type="dxa" w:w="1440"/>
            <w:shd w:fill="FAFAFA" w:val="clear"/>
          </w:tcPr>
          <w:p>
            <w:r>
              <w:rPr>
                <w:b/>
                <w:sz w:val="17"/>
              </w:rPr>
              <w:t>1,984</w:t>
            </w:r>
          </w:p>
        </w:tc>
        <w:tc>
          <w:tcPr>
            <w:tcW w:type="dxa" w:w="1440"/>
            <w:shd w:fill="FAFAFA" w:val="clear"/>
          </w:tcPr>
          <w:p>
            <w:r>
              <w:rPr>
                <w:sz w:val="17"/>
              </w:rPr>
              <w:t>2,104</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1,844</w:t>
            </w:r>
          </w:p>
        </w:tc>
        <w:tc>
          <w:tcPr>
            <w:tcW w:type="dxa" w:w="1440"/>
            <w:shd w:fill="FAFAFA" w:val="clear"/>
          </w:tcPr>
          <w:p>
            <w:r>
              <w:rPr>
                <w:b/>
                <w:sz w:val="17"/>
              </w:rPr>
              <w:t>1,982</w:t>
            </w:r>
          </w:p>
        </w:tc>
        <w:tc>
          <w:tcPr>
            <w:tcW w:type="dxa" w:w="1440"/>
            <w:shd w:fill="FAFAFA" w:val="clear"/>
          </w:tcPr>
          <w:p>
            <w:r>
              <w:rPr>
                <w:sz w:val="17"/>
              </w:rPr>
              <w:t>2,121</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2026-09-01</w:t>
            </w:r>
          </w:p>
        </w:tc>
        <w:tc>
          <w:tcPr>
            <w:tcW w:type="dxa" w:w="1440"/>
            <w:shd w:fill="FAFAFA" w:val="clear"/>
          </w:tcPr>
          <w:p>
            <w:r>
              <w:rPr>
                <w:sz w:val="17"/>
              </w:rPr>
              <w:t>1,826</w:t>
            </w:r>
          </w:p>
        </w:tc>
        <w:tc>
          <w:tcPr>
            <w:tcW w:type="dxa" w:w="1440"/>
            <w:shd w:fill="FAFAFA" w:val="clear"/>
          </w:tcPr>
          <w:p>
            <w:r>
              <w:rPr>
                <w:b/>
                <w:sz w:val="17"/>
              </w:rPr>
              <w:t>1,981</w:t>
            </w:r>
          </w:p>
        </w:tc>
        <w:tc>
          <w:tcPr>
            <w:tcW w:type="dxa" w:w="1440"/>
            <w:shd w:fill="FAFAFA" w:val="clear"/>
          </w:tcPr>
          <w:p>
            <w:r>
              <w:rPr>
                <w:sz w:val="17"/>
              </w:rPr>
              <w:t>2,136</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2026-09-02</w:t>
            </w:r>
          </w:p>
        </w:tc>
        <w:tc>
          <w:tcPr>
            <w:tcW w:type="dxa" w:w="1440"/>
            <w:shd w:fill="FAFAFA" w:val="clear"/>
          </w:tcPr>
          <w:p>
            <w:r>
              <w:rPr>
                <w:sz w:val="17"/>
              </w:rPr>
              <w:t>1,810</w:t>
            </w:r>
          </w:p>
        </w:tc>
        <w:tc>
          <w:tcPr>
            <w:tcW w:type="dxa" w:w="1440"/>
            <w:shd w:fill="FAFAFA" w:val="clear"/>
          </w:tcPr>
          <w:p>
            <w:r>
              <w:rPr>
                <w:b/>
                <w:sz w:val="17"/>
              </w:rPr>
              <w:t>1,979</w:t>
            </w:r>
          </w:p>
        </w:tc>
        <w:tc>
          <w:tcPr>
            <w:tcW w:type="dxa" w:w="1440"/>
            <w:shd w:fill="FAFAFA" w:val="clear"/>
          </w:tcPr>
          <w:p>
            <w:r>
              <w:rPr>
                <w:sz w:val="17"/>
              </w:rPr>
              <w:t>2,149</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2026-09-03</w:t>
            </w:r>
          </w:p>
        </w:tc>
        <w:tc>
          <w:tcPr>
            <w:tcW w:type="dxa" w:w="1440"/>
            <w:shd w:fill="FAFAFA" w:val="clear"/>
          </w:tcPr>
          <w:p>
            <w:r>
              <w:rPr>
                <w:sz w:val="17"/>
              </w:rPr>
              <w:t>1,795</w:t>
            </w:r>
          </w:p>
        </w:tc>
        <w:tc>
          <w:tcPr>
            <w:tcW w:type="dxa" w:w="1440"/>
            <w:shd w:fill="FAFAFA" w:val="clear"/>
          </w:tcPr>
          <w:p>
            <w:r>
              <w:rPr>
                <w:b/>
                <w:sz w:val="17"/>
              </w:rPr>
              <w:t>1,978</w:t>
            </w:r>
          </w:p>
        </w:tc>
        <w:tc>
          <w:tcPr>
            <w:tcW w:type="dxa" w:w="1440"/>
            <w:shd w:fill="FAFAFA" w:val="clear"/>
          </w:tcPr>
          <w:p>
            <w:r>
              <w:rPr>
                <w:sz w:val="17"/>
              </w:rPr>
              <w:t>2,161</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2026-09-04</w:t>
            </w:r>
          </w:p>
        </w:tc>
        <w:tc>
          <w:tcPr>
            <w:tcW w:type="dxa" w:w="1440"/>
            <w:shd w:fill="FAFAFA" w:val="clear"/>
          </w:tcPr>
          <w:p>
            <w:r>
              <w:rPr>
                <w:sz w:val="17"/>
              </w:rPr>
              <w:t>1,781</w:t>
            </w:r>
          </w:p>
        </w:tc>
        <w:tc>
          <w:tcPr>
            <w:tcW w:type="dxa" w:w="1440"/>
            <w:shd w:fill="FAFAFA" w:val="clear"/>
          </w:tcPr>
          <w:p>
            <w:r>
              <w:rPr>
                <w:b/>
                <w:sz w:val="17"/>
              </w:rPr>
              <w:t>1,977</w:t>
            </w:r>
          </w:p>
        </w:tc>
        <w:tc>
          <w:tcPr>
            <w:tcW w:type="dxa" w:w="1440"/>
            <w:shd w:fill="FAFAFA" w:val="clear"/>
          </w:tcPr>
          <w:p>
            <w:r>
              <w:rPr>
                <w:sz w:val="17"/>
              </w:rPr>
              <w:t>2,172</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2026-09-07</w:t>
            </w:r>
          </w:p>
        </w:tc>
        <w:tc>
          <w:tcPr>
            <w:tcW w:type="dxa" w:w="1440"/>
            <w:shd w:fill="FAFAFA" w:val="clear"/>
          </w:tcPr>
          <w:p>
            <w:r>
              <w:rPr>
                <w:sz w:val="17"/>
              </w:rPr>
              <w:t>1,768</w:t>
            </w:r>
          </w:p>
        </w:tc>
        <w:tc>
          <w:tcPr>
            <w:tcW w:type="dxa" w:w="1440"/>
            <w:shd w:fill="FAFAFA" w:val="clear"/>
          </w:tcPr>
          <w:p>
            <w:r>
              <w:rPr>
                <w:b/>
                <w:sz w:val="17"/>
              </w:rPr>
              <w:t>1,975</w:t>
            </w:r>
          </w:p>
        </w:tc>
        <w:tc>
          <w:tcPr>
            <w:tcW w:type="dxa" w:w="1440"/>
            <w:shd w:fill="FAFAFA" w:val="clear"/>
          </w:tcPr>
          <w:p>
            <w:r>
              <w:rPr>
                <w:sz w:val="17"/>
              </w:rPr>
              <w:t>2,183</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2026-09-08</w:t>
            </w:r>
          </w:p>
        </w:tc>
        <w:tc>
          <w:tcPr>
            <w:tcW w:type="dxa" w:w="1440"/>
            <w:shd w:fill="FAFAFA" w:val="clear"/>
          </w:tcPr>
          <w:p>
            <w:r>
              <w:rPr>
                <w:sz w:val="17"/>
              </w:rPr>
              <w:t>1,756</w:t>
            </w:r>
          </w:p>
        </w:tc>
        <w:tc>
          <w:tcPr>
            <w:tcW w:type="dxa" w:w="1440"/>
            <w:shd w:fill="FAFAFA" w:val="clear"/>
          </w:tcPr>
          <w:p>
            <w:r>
              <w:rPr>
                <w:b/>
                <w:sz w:val="17"/>
              </w:rPr>
              <w:t>1,974</w:t>
            </w:r>
          </w:p>
        </w:tc>
        <w:tc>
          <w:tcPr>
            <w:tcW w:type="dxa" w:w="1440"/>
            <w:shd w:fill="FAFAFA" w:val="clear"/>
          </w:tcPr>
          <w:p>
            <w:r>
              <w:rPr>
                <w:sz w:val="17"/>
              </w:rPr>
              <w:t>2,193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Absolument. Voici un rapport d'analyse professionnel structuré pour l'action BNBC,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13,18 milliards FCFA, un niveau modeste qui la classe parmi les petites capitalisations de la BRVM. Le BPA de 3 FCFA par action est extrêmement faible, ce qui explique un PER de 590,6x, un niveau exceptionnellement élevé comparé à la moyenne du marché (8-12x). Les investisseurs paient donc un prix très élevé pour un bénéfice par action dérisoire, ce qui traduit une valorisation boursière déconnectée des fondamentaux de rentabilité. En revanche, le P/B de 0,74x indique que le marché valorise le titre sous sa valeur comptable, suggérant une décote potentielle sur l'actif net. Enfin, un EV/EBITDA de 24,2x, bien supérieur au seuil de 15x, confirme une valorisation exigeante qui ne laisse que peu de marge de sécurité pour l'investisseur.</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remarquable de +25,55%, avec une dernière séance stable. Le cours a évolué dans une fourchette de 1 300 à 2 100 FCFA, démontrant une forte amplitude de trading. La moyenne (1 757 FCFA) et la médiane (1 762 FCFA) sont très proches, indiquant une distribution des prix relativement symétrique, ce que confirme le skewness de -0,238. L'écart-type de 209 FCFA (CV=11,9%) révèle une dispersion modérée des prix autour de la moyenne. Le kurtosis de -1,296 (platykurtique) signale une distribution aplatie, avec moins de valeurs extrêmes que la normale, ce qui réduit le risque de mouvements de prix soudains. La volatilité annualisée de 47,7% est très élevée, classant ce titre comme spéculatif et soumis à d'importantes fluctuations de prix.</w:t>
      </w:r>
    </w:p>
    <w:p>
      <w:pPr>
        <w:spacing w:after="120" w:line="276" w:lineRule="auto"/>
      </w:pPr>
      <w:r>
        <w:t>### **PARTIE 2 : ANALYSE TECHNIQUE DÉTAILLÉE**</w:t>
      </w:r>
    </w:p>
    <w:p>
      <w:pPr>
        <w:spacing w:after="120" w:line="276" w:lineRule="auto"/>
      </w:pPr>
      <w:r>
        <w:t>**Moyennes Mobiles** : Le cours actuel (1 990 FCFA) se positionne au-dessus de la MM20 (1 946 FCFA) et de la MM50 (1 943 FCFA), qui sont très proches l'une de l'autre. Cette configuration haussière, où le prix est soutenu par les deux moyennes, confirme une dynamique positive à court et moyen terme. La décision d'achat est justifiée par cette structure de prix favorable.</w:t>
      </w:r>
    </w:p>
    <w:p>
      <w:pPr>
        <w:spacing w:after="120" w:line="276" w:lineRule="auto"/>
      </w:pPr>
      <w:r>
        <w:t>**Bandes de Bollinger** : Le cours se situe à 1 990 FCFA, entre la borne supérieure (2 044,8 FCFA) et la borne inférieure (1 847,2 FCFA), mais plus près de la borne haute. Cette position indique une pression acheteuse sans pour autant atteindre une zone de surachat extrême. La décision neutre reflète un équilibre entre le momentum haussier et la proximité de la résistance.</w:t>
      </w:r>
    </w:p>
    <w:p>
      <w:pPr>
        <w:spacing w:after="120" w:line="276" w:lineRule="auto"/>
      </w:pPr>
      <w:r>
        <w:t>**MACD** : La valeur du MACD (25,66) est supérieure à son signal (23,90), avec un écart positif. Cette configuration haussière indique que le momentum de court terme est favorable et que la tendance haussière pourrait se poursuivre. La décision d'achat est cohérente avec cette dynamique positive.</w:t>
      </w:r>
    </w:p>
    <w:p>
      <w:pPr>
        <w:spacing w:after="120" w:line="276" w:lineRule="auto"/>
      </w:pPr>
      <w:r>
        <w:t>**RSI** : Le RSI s'établit à 68,75, proche de la zone de surachat (70). Bien que le niveau soit élevé, il n'a pas encore franchi le seuil critique, ce qui laisse une marge de progression avant une correction potentielle. La décision neutre est prudente, car un dépassement de 70 signalerait une pression acheteuse excessive.</w:t>
      </w:r>
    </w:p>
    <w:p>
      <w:pPr>
        <w:spacing w:after="120" w:line="276" w:lineRule="auto"/>
      </w:pPr>
      <w:r>
        <w:t>**Stochastique** : Le %K (90,0) et le %D (90,3) sont tous deux à des niveaux très élevés, en zone de surachat. Cette configuration indique que le titre est temporairement survendu et qu'un repli technique est probable à court terme. La décision de vente est justifiée par ce signal de surachat extrême.</w:t>
      </w:r>
    </w:p>
    <w:p>
      <w:pPr>
        <w:spacing w:after="120" w:line="276" w:lineRule="auto"/>
      </w:pPr>
      <w:r>
        <w:t>**Conclusion technique** : Les indicateurs de tendance (MM, MACD) sont haussiers, mais les oscillateurs (RSI, Stochastique) signalent une condition de surachat. Cette divergence suggère que la tendance de fond reste positive, mais qu'une consolidation ou un léger repli est probable avant la prochaine impulsion haussière. La prudence est de mise à court terme.</w:t>
      </w:r>
    </w:p>
    <w:p>
      <w:pPr>
        <w:spacing w:after="120" w:line="276" w:lineRule="auto"/>
      </w:pPr>
      <w:r>
        <w:t>### **PARTIE 3 : ANALYSE FONDAMENTALE (SECTION CRITIQUE)**</w:t>
      </w:r>
    </w:p>
    <w:p>
      <w:pPr>
        <w:spacing w:after="120" w:line="276" w:lineRule="auto"/>
      </w:pPr>
      <w:r>
        <w:t>En 2025, BNBC a réalisé un chiffre d'affaires de 42,45 milliards FCFA, en baisse de 6,31% par rapport à 2024 (45,31 milliards FCFA). Le résultat net est anémique, à 22,32 millions FCFA, soit une marge nette de 0,05%, et un ROE de 0,13% et un ROA de 0,05%, tous deux extrêmement faibles. La structure financière est préoccupante : le BFR est très élevé (29,37 milliards FCFA), avec un délai de stockage de 339 jours et un délai client de 104 jours, ce qui immobilise considérablement la trésorerie. La trésorerie nette est fortement négative (-16,69 milliards FCFA), et la capacité de remboursement est de 19,17 ans, un niveau de risque de liquidité critique. Les rapports trimestriels de 2025 montrent une dégradation progressive : le S1 2025 affiche une perte de -139,57 millions FCFA, et le cumul sur 9 mois une perte de -157 millions FCFA. Cependant, le rapport du T1 2026 (publié en mai 2026) fait état d'un retournement spectaculaire avec un résultat net positif de 65,57 millions FCFA, contre une perte de 16,15 millions au T1 2025, soit une amélioration de 506%. Cette performance est attribuée à l'intégration de la division Équipement et à une meilleure maîtrise des charges. Sur la base de ce T1 2026, on peut estimer que l'exercice 2026 pourrait renouer avec une rentabilité positive, mais la prudence reste de mise compte tenu de la faiblesse historique des marges et des défis de trésorerie persistants.</w:t>
      </w:r>
    </w:p>
    <w:p>
      <w:pPr>
        <w:spacing w:after="120" w:line="276" w:lineRule="auto"/>
      </w:pPr>
      <w:r>
        <w:t>### **PARTIE 4 : CONCLUSION D'INVESTISSEMENT**</w:t>
      </w:r>
    </w:p>
    <w:p>
      <w:pPr>
        <w:spacing w:after="120" w:line="276" w:lineRule="auto"/>
      </w:pPr>
      <w:r>
        <w:t>La valorisation de BNBC est extrêmement exigeante (PER de 590x, EV/EBITDA de 24,2x), mais le P/B de 0,74x offre une certaine décote sur l'actif net. Le comportement du cours est haussier sur 100 jours (+25,55%), avec une volatilité très élevée (47,7%) et une distribution des prix symétrique. Les signaux techniques sont mitigés : la tendance (MM, MACD) est positive, mais les oscillateurs (RSI, Stochastique) indiquent un surachat imminent. Les fondamentaux sont historiquement très faibles (marge nette de 0,05% en 2025), mais le T1 2026 montre un retournement encourageant vers la rentabilité. Les prédictions IA (1 987 à 1 981 FCFA sur 10 jours) suggèrent une légère consolidation, en cohérence avec les signaux de surachat technique. En synthèse, la convergence entre l'amélioration fondamentale récente et la tendance haussière du cours est positive, mais la valorisation et la volatilité restent des freins majeurs. **Recommandation : CONSERVER**. Le niveau de confiance est **Moyen**, le risque global est **Élevé**. L'horizon d'investissement optimal est le **moyen terme (3-12 mois)**, afin de valider la pérennité du retournement de rentabilité et de surveiller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5,972 titres</w:t>
            </w:r>
          </w:p>
        </w:tc>
        <w:tc>
          <w:tcPr>
            <w:tcW w:type="dxa" w:w="2268"/>
            <w:shd w:fill="FFF2CC" w:val="clear"/>
          </w:tcPr>
          <w:p>
            <w:r>
              <w:rPr>
                <w:b/>
                <w:color w:val="503200"/>
                <w:sz w:val="16"/>
              </w:rPr>
              <w:t xml:space="preserve">Cours actuel : </w:t>
            </w:r>
            <w:r>
              <w:rPr>
                <w:color w:val="000000"/>
                <w:sz w:val="17"/>
              </w:rPr>
              <w:t>9,990 FCFA</w:t>
            </w:r>
          </w:p>
          <w:p>
            <w:r>
              <w:rPr>
                <w:b/>
                <w:color w:val="503200"/>
                <w:sz w:val="16"/>
              </w:rPr>
              <w:t xml:space="preserve">Var. 100 jours : </w:t>
            </w:r>
            <w:r>
              <w:rPr>
                <w:b/>
                <w:color w:val="007800"/>
                <w:sz w:val="17"/>
              </w:rPr>
              <w:t>+35.00%</w:t>
            </w:r>
          </w:p>
          <w:p>
            <w:r>
              <w:rPr>
                <w:b/>
                <w:color w:val="503200"/>
                <w:sz w:val="16"/>
              </w:rPr>
              <w:t xml:space="preserve">Plus haut 100j : </w:t>
            </w:r>
            <w:r>
              <w:rPr>
                <w:color w:val="000000"/>
                <w:sz w:val="17"/>
              </w:rPr>
              <w:t>9,990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6.42% (Moyenne) — μ=8,699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β=-0.0421 (Contre-cyclique) — Cov=-0.000001, Var(idx)=0.000034, ρ=-0.015,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9,171</w:t>
            </w:r>
          </w:p>
        </w:tc>
        <w:tc>
          <w:tcPr>
            <w:tcW w:type="dxa" w:w="1440"/>
            <w:shd w:fill="FFDCE0" w:val="clear"/>
          </w:tcPr>
          <w:p>
            <w:r>
              <w:rPr>
                <w:b/>
                <w:sz w:val="17"/>
              </w:rPr>
              <w:t>9,469</w:t>
            </w:r>
          </w:p>
        </w:tc>
        <w:tc>
          <w:tcPr>
            <w:tcW w:type="dxa" w:w="1440"/>
            <w:shd w:fill="FFDCE0" w:val="clear"/>
          </w:tcPr>
          <w:p>
            <w:r>
              <w:rPr>
                <w:sz w:val="17"/>
              </w:rPr>
              <w:t>9,767</w:t>
            </w:r>
          </w:p>
        </w:tc>
        <w:tc>
          <w:tcPr>
            <w:tcW w:type="dxa" w:w="1440"/>
            <w:shd w:fill="FFDCE0" w:val="clear"/>
          </w:tcPr>
          <w:p>
            <w:r>
              <w:rPr>
                <w:b/>
                <w:color w:val="C00000"/>
                <w:sz w:val="17"/>
              </w:rPr>
              <w:t>-5.2%</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8,802</w:t>
            </w:r>
          </w:p>
        </w:tc>
        <w:tc>
          <w:tcPr>
            <w:tcW w:type="dxa" w:w="1440"/>
            <w:shd w:fill="FFDCE0" w:val="clear"/>
          </w:tcPr>
          <w:p>
            <w:r>
              <w:rPr>
                <w:b/>
                <w:sz w:val="17"/>
              </w:rPr>
              <w:t>9,212</w:t>
            </w:r>
          </w:p>
        </w:tc>
        <w:tc>
          <w:tcPr>
            <w:tcW w:type="dxa" w:w="1440"/>
            <w:shd w:fill="FFDCE0" w:val="clear"/>
          </w:tcPr>
          <w:p>
            <w:r>
              <w:rPr>
                <w:sz w:val="17"/>
              </w:rPr>
              <w:t>9,622</w:t>
            </w:r>
          </w:p>
        </w:tc>
        <w:tc>
          <w:tcPr>
            <w:tcW w:type="dxa" w:w="1440"/>
            <w:shd w:fill="FFDCE0" w:val="clear"/>
          </w:tcPr>
          <w:p>
            <w:r>
              <w:rPr>
                <w:b/>
                <w:color w:val="C00000"/>
                <w:sz w:val="17"/>
              </w:rPr>
              <w:t>-7.8%</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8,516</w:t>
            </w:r>
          </w:p>
        </w:tc>
        <w:tc>
          <w:tcPr>
            <w:tcW w:type="dxa" w:w="1440"/>
            <w:shd w:fill="FFDCE0" w:val="clear"/>
          </w:tcPr>
          <w:p>
            <w:r>
              <w:rPr>
                <w:b/>
                <w:sz w:val="17"/>
              </w:rPr>
              <w:t>9,007</w:t>
            </w:r>
          </w:p>
        </w:tc>
        <w:tc>
          <w:tcPr>
            <w:tcW w:type="dxa" w:w="1440"/>
            <w:shd w:fill="FFDCE0" w:val="clear"/>
          </w:tcPr>
          <w:p>
            <w:r>
              <w:rPr>
                <w:sz w:val="17"/>
              </w:rPr>
              <w:t>9,498</w:t>
            </w:r>
          </w:p>
        </w:tc>
        <w:tc>
          <w:tcPr>
            <w:tcW w:type="dxa" w:w="1440"/>
            <w:shd w:fill="FFDCE0" w:val="clear"/>
          </w:tcPr>
          <w:p>
            <w:r>
              <w:rPr>
                <w:b/>
                <w:color w:val="C00000"/>
                <w:sz w:val="17"/>
              </w:rPr>
              <w:t>-9.8%</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8,299</w:t>
            </w:r>
          </w:p>
        </w:tc>
        <w:tc>
          <w:tcPr>
            <w:tcW w:type="dxa" w:w="1440"/>
            <w:shd w:fill="FFDCE0" w:val="clear"/>
          </w:tcPr>
          <w:p>
            <w:r>
              <w:rPr>
                <w:b/>
                <w:sz w:val="17"/>
              </w:rPr>
              <w:t>8,857</w:t>
            </w:r>
          </w:p>
        </w:tc>
        <w:tc>
          <w:tcPr>
            <w:tcW w:type="dxa" w:w="1440"/>
            <w:shd w:fill="FFDCE0" w:val="clear"/>
          </w:tcPr>
          <w:p>
            <w:r>
              <w:rPr>
                <w:sz w:val="17"/>
              </w:rPr>
              <w:t>9,414</w:t>
            </w:r>
          </w:p>
        </w:tc>
        <w:tc>
          <w:tcPr>
            <w:tcW w:type="dxa" w:w="1440"/>
            <w:shd w:fill="FFDCE0" w:val="clear"/>
          </w:tcPr>
          <w:p>
            <w:r>
              <w:rPr>
                <w:b/>
                <w:color w:val="C00000"/>
                <w:sz w:val="17"/>
              </w:rPr>
              <w:t>-11.3%</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8,114</w:t>
            </w:r>
          </w:p>
        </w:tc>
        <w:tc>
          <w:tcPr>
            <w:tcW w:type="dxa" w:w="1440"/>
            <w:shd w:fill="FFDCE0" w:val="clear"/>
          </w:tcPr>
          <w:p>
            <w:r>
              <w:rPr>
                <w:b/>
                <w:sz w:val="17"/>
              </w:rPr>
              <w:t>8,728</w:t>
            </w:r>
          </w:p>
        </w:tc>
        <w:tc>
          <w:tcPr>
            <w:tcW w:type="dxa" w:w="1440"/>
            <w:shd w:fill="FFDCE0" w:val="clear"/>
          </w:tcPr>
          <w:p>
            <w:r>
              <w:rPr>
                <w:sz w:val="17"/>
              </w:rPr>
              <w:t>9,342</w:t>
            </w:r>
          </w:p>
        </w:tc>
        <w:tc>
          <w:tcPr>
            <w:tcW w:type="dxa" w:w="1440"/>
            <w:shd w:fill="FFDCE0" w:val="clear"/>
          </w:tcPr>
          <w:p>
            <w:r>
              <w:rPr>
                <w:b/>
                <w:color w:val="C00000"/>
                <w:sz w:val="17"/>
              </w:rPr>
              <w:t>-12.6%</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7,946</w:t>
            </w:r>
          </w:p>
        </w:tc>
        <w:tc>
          <w:tcPr>
            <w:tcW w:type="dxa" w:w="1440"/>
            <w:shd w:fill="FFDCE0" w:val="clear"/>
          </w:tcPr>
          <w:p>
            <w:r>
              <w:rPr>
                <w:b/>
                <w:sz w:val="17"/>
              </w:rPr>
              <w:t>8,610</w:t>
            </w:r>
          </w:p>
        </w:tc>
        <w:tc>
          <w:tcPr>
            <w:tcW w:type="dxa" w:w="1440"/>
            <w:shd w:fill="FFDCE0" w:val="clear"/>
          </w:tcPr>
          <w:p>
            <w:r>
              <w:rPr>
                <w:sz w:val="17"/>
              </w:rPr>
              <w:t>9,274</w:t>
            </w:r>
          </w:p>
        </w:tc>
        <w:tc>
          <w:tcPr>
            <w:tcW w:type="dxa" w:w="1440"/>
            <w:shd w:fill="FFDCE0" w:val="clear"/>
          </w:tcPr>
          <w:p>
            <w:r>
              <w:rPr>
                <w:b/>
                <w:color w:val="C00000"/>
                <w:sz w:val="17"/>
              </w:rPr>
              <w:t>-13.8%</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7,792</w:t>
            </w:r>
          </w:p>
        </w:tc>
        <w:tc>
          <w:tcPr>
            <w:tcW w:type="dxa" w:w="1440"/>
            <w:shd w:fill="FFDCE0" w:val="clear"/>
          </w:tcPr>
          <w:p>
            <w:r>
              <w:rPr>
                <w:b/>
                <w:sz w:val="17"/>
              </w:rPr>
              <w:t>8,500</w:t>
            </w:r>
          </w:p>
        </w:tc>
        <w:tc>
          <w:tcPr>
            <w:tcW w:type="dxa" w:w="1440"/>
            <w:shd w:fill="FFDCE0" w:val="clear"/>
          </w:tcPr>
          <w:p>
            <w:r>
              <w:rPr>
                <w:sz w:val="17"/>
              </w:rPr>
              <w:t>9,208</w:t>
            </w:r>
          </w:p>
        </w:tc>
        <w:tc>
          <w:tcPr>
            <w:tcW w:type="dxa" w:w="1440"/>
            <w:shd w:fill="FFDCE0" w:val="clear"/>
          </w:tcPr>
          <w:p>
            <w:r>
              <w:rPr>
                <w:b/>
                <w:color w:val="C00000"/>
                <w:sz w:val="17"/>
              </w:rPr>
              <w:t>-14.9%</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7,649</w:t>
            </w:r>
          </w:p>
        </w:tc>
        <w:tc>
          <w:tcPr>
            <w:tcW w:type="dxa" w:w="1440"/>
            <w:shd w:fill="FFDCE0" w:val="clear"/>
          </w:tcPr>
          <w:p>
            <w:r>
              <w:rPr>
                <w:b/>
                <w:sz w:val="17"/>
              </w:rPr>
              <w:t>8,397</w:t>
            </w:r>
          </w:p>
        </w:tc>
        <w:tc>
          <w:tcPr>
            <w:tcW w:type="dxa" w:w="1440"/>
            <w:shd w:fill="FFDCE0" w:val="clear"/>
          </w:tcPr>
          <w:p>
            <w:r>
              <w:rPr>
                <w:sz w:val="17"/>
              </w:rPr>
              <w:t>9,145</w:t>
            </w:r>
          </w:p>
        </w:tc>
        <w:tc>
          <w:tcPr>
            <w:tcW w:type="dxa" w:w="1440"/>
            <w:shd w:fill="FFDCE0" w:val="clear"/>
          </w:tcPr>
          <w:p>
            <w:r>
              <w:rPr>
                <w:b/>
                <w:color w:val="C00000"/>
                <w:sz w:val="17"/>
              </w:rPr>
              <w:t>-15.9%</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7,516</w:t>
            </w:r>
          </w:p>
        </w:tc>
        <w:tc>
          <w:tcPr>
            <w:tcW w:type="dxa" w:w="1440"/>
            <w:shd w:fill="FFDCE0" w:val="clear"/>
          </w:tcPr>
          <w:p>
            <w:r>
              <w:rPr>
                <w:b/>
                <w:sz w:val="17"/>
              </w:rPr>
              <w:t>8,300</w:t>
            </w:r>
          </w:p>
        </w:tc>
        <w:tc>
          <w:tcPr>
            <w:tcW w:type="dxa" w:w="1440"/>
            <w:shd w:fill="FFDCE0" w:val="clear"/>
          </w:tcPr>
          <w:p>
            <w:r>
              <w:rPr>
                <w:sz w:val="17"/>
              </w:rPr>
              <w:t>9,084</w:t>
            </w:r>
          </w:p>
        </w:tc>
        <w:tc>
          <w:tcPr>
            <w:tcW w:type="dxa" w:w="1440"/>
            <w:shd w:fill="FFDCE0" w:val="clear"/>
          </w:tcPr>
          <w:p>
            <w:r>
              <w:rPr>
                <w:b/>
                <w:color w:val="C00000"/>
                <w:sz w:val="17"/>
              </w:rPr>
              <w:t>-16.9%</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7,392</w:t>
            </w:r>
          </w:p>
        </w:tc>
        <w:tc>
          <w:tcPr>
            <w:tcW w:type="dxa" w:w="1440"/>
            <w:shd w:fill="FFDCE0" w:val="clear"/>
          </w:tcPr>
          <w:p>
            <w:r>
              <w:rPr>
                <w:b/>
                <w:sz w:val="17"/>
              </w:rPr>
              <w:t>8,209</w:t>
            </w:r>
          </w:p>
        </w:tc>
        <w:tc>
          <w:tcPr>
            <w:tcW w:type="dxa" w:w="1440"/>
            <w:shd w:fill="FFDCE0" w:val="clear"/>
          </w:tcPr>
          <w:p>
            <w:r>
              <w:rPr>
                <w:sz w:val="17"/>
              </w:rPr>
              <w:t>9,026</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405,20 milliards FCFA, ce qui positionne la banque parmi les valeurs moyennes à grandes capitalisations de la BRVM. Avec un BPA de 496 FCFA, chaque action génère un bénéfice substantiel, mais le PER de 20,2x indique que les investisseurs paient une prime significative par rapport à la moyenne du marché régional (8-12x). Cette valorisation élevée suggère que le marché anticipe une croissance future soutenue des bénéfices, ou traduit une possible surévaluation. Le P/B de 3,45x confirme cette prime, le marché valorisant la banque bien au-dessus de sa valeur comptable, ce qui reflète une confiance dans la qualité des actifs et la rentabilité future. Enfin, l'EV/EBITDA de 20,5x, nettement supérieur au seuil exigeant de 15x, indique que la valeur totale de l'entreprise est très élevée par rapport à sa capacité opérationnelle, renforçant l'idée d'une valorisation déjà largement intégrée par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+35,00%, avec une légère hausse de +0,05% lors de la dernière séance, atteignant un cours actuel de 9 990 FCFA. Le titre a évolué dans une fourchette de 7 400 FCFA (plus bas) à 9 990 FCFA (plus haut), démontrant une dynamique haussière soutenue. La moyenne du cours sur la période (8 699 FCFA) est inférieure à la médiane (8 772 FCFA), ce qui, combiné à un skewness négatif de -0,693, indique une asymétrie négative avec davantage de journées au-dessus de la moyenne, typique d'une tendance haussière marquée. L'écart-type de 561 FCFA (CV=6,5%) révèle une dispersion modérée des cours, tandis que le kurtosis de 0,413 (mésokurtique) suggère une distribution proche de la normale, sans risque extrême de pics. La volatilité annualisée de 26,1% classe le titre dans une zone de volatilité modérée, reflétant un équilibre entre opportunité de rendement et risque acceptable.</w:t>
      </w:r>
    </w:p>
    <w:p>
      <w:pPr>
        <w:spacing w:after="120" w:line="276" w:lineRule="auto" w:before="240"/>
      </w:pPr>
      <w:r>
        <w:rPr>
          <w:b/>
          <w:color w:val="003366"/>
          <w:sz w:val="24"/>
        </w:rPr>
        <w:t>**PARTIE 2 : ANALYSE TECHNIQUE DÉTAILLÉE**</w:t>
      </w:r>
    </w:p>
    <w:p>
      <w:pPr>
        <w:spacing w:after="120" w:line="276" w:lineRule="auto"/>
      </w:pPr>
      <w:r>
        <w:t>Les **Moyennes Mobiles** (MM20=8905,5 et MM50=8882,6) sont toutes deux largement dépassées par le cours actuel de 9 990 FCFA, confirmant une tendance haussière robuste. La MM20 étant supérieure à la MM50, la configuration est favorable à l'achat, signalant un momentum positif à court et moyen terme. Le croisement haussier des moyennes mobiles renforce la dynamique positive du titre.</w:t>
      </w:r>
    </w:p>
    <w:p>
      <w:pPr>
        <w:spacing w:after="120" w:line="276" w:lineRule="auto"/>
      </w:pPr>
      <w:r>
        <w:t>Les **Bandes de Bollinger** montrent un cours (9 990 FCFA) qui a dépassé la borne supérieure (9 803,96 FCFA), indiquant une condition de surachat extrême. Cette sortie de bande suggère une volatilité accrue et un écart temporaire par rapport à la moyenne, ce qui justifie la décision de vente. Historiquement, un tel dépassement précède souvent une correction ou une consolidation, d'autant plus que la borne supérieure a été franchie.</w:t>
      </w:r>
    </w:p>
    <w:p>
      <w:pPr>
        <w:spacing w:after="120" w:line="276" w:lineRule="auto"/>
      </w:pPr>
      <w:r>
        <w:t>Le **MACD** affiche une valeur de 231,688 contre un signal de 79,26, avec une divergence positive significative. Cette configuration indique un momentum haussier puissant, la ligne MACD étant nettement au-dessus de sa ligne de signal. La décision d'achat est justifiée par la vigueur du mouvement, bien que l'ampleur de l'écart puisse signaler une exubérance excessive à court terme.</w:t>
      </w:r>
    </w:p>
    <w:p>
      <w:pPr>
        <w:spacing w:after="120" w:line="276" w:lineRule="auto"/>
      </w:pPr>
      <w:r>
        <w:t>Le **RSI** à 81,509 est en territoire de surachat (au-dessus de 70), signalant que le titre est surévalué à court terme. Cette valeur extrême suggère que les acheteurs ont dominé le marché de manière excessive, augmentant le risque de retournement. La décision de vente est donc cohérente avec la lecture classique de cet indicateur.</w:t>
      </w:r>
    </w:p>
    <w:p>
      <w:pPr>
        <w:spacing w:after="120" w:line="276" w:lineRule="auto"/>
      </w:pPr>
      <w:r>
        <w:t>Le **Stochastique** (%K=100, %D=100) est également en zone de surachat extrême, avec les deux lignes à leur niveau maximum. Cette configuration indique que le titre est dans une phase de surachat sévère, sans signe de croisement baissier pour le moment. La décision de vente est justifiée par la probabilité élevée d'une correction technique.</w:t>
      </w:r>
    </w:p>
    <w:p>
      <w:pPr>
        <w:spacing w:after="120" w:line="276" w:lineRule="auto"/>
      </w:pPr>
      <w:r>
        <w:t>En conclusion technique, les indicateurs de tendance (MM, MACD) sont résolument haussiers, mais les oscillateurs (RSI, Stochastique, Bollinger) signalent tous un surachat extrême. Cette divergence entre la tendance et les conditions de marché suggère qu'une consolidation ou un repli technique est probable à court terme, bien que la tendance de fond demeure positive.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BOAB révèlent une banque solide avec un Produit Net Bancaire (PNB) de 51,274 milliards FCFA et un résultat net de 20,107 milliards FCFA. Le ROE de 17,11% est excellent, dépassant le seuil de 15%, tandis que le ROA de 2,08% témoigne d'une bonne utilisation des actifs. Le coefficient d'exploitation de 49,53% est remarquable, indiquant une banque très efficace (inférieur à 50%). Cependant, le coût du risque de 22,50% est élevé, signalant un risque de crédit significatif. Le ratio dépôts/crédits est sain (711,642 milliards de dépôts pour 391,724 milliards de crédits), montrant une bonne collecte de ressources. Les rapports trimestriels montrent une tendance positive : le T3 2025 affiche un PNB de 37,065 milliards (+9% en glissement annuel) et un résultat net de 15,880 milliards (+13%), tandis que le T1 2026 confirme cette dynamique avec un PNB de 12,329 milliards (+11%). Sur la base de ces rapports, on estime que l'exercice 2026 devrait voir une croissance du PNB de 10-12% et un résultat net dépassant 22 milliards FCFA, soutenus par la hausse des commissions (+18,9% au T1 2026) et une meilleure maîtrise des coûts. La banque traverse une phase de contraction de son bilan (crédits en baisse de 10% au T3 2025), mais cette situation est compensée par une amélioration significative des marges et de la rentabilité. Les fondamentaux sont solides, avec une augmentation de capital ayant renforcé les fonds propres à 117,507 milliards FCFA, bien que l'autonomie financière de 12,18% reste inférieure au seuil de 30% jugé sain.</w:t>
      </w:r>
    </w:p>
    <w:p>
      <w:pPr>
        <w:spacing w:after="120" w:line="276" w:lineRule="auto" w:before="240"/>
      </w:pPr>
      <w:r>
        <w:rPr>
          <w:b/>
          <w:color w:val="003366"/>
          <w:sz w:val="24"/>
        </w:rPr>
        <w:t>**PARTIE 4 : CONCLUSION D'INVESTISSEMENT**</w:t>
      </w:r>
    </w:p>
    <w:p>
      <w:pPr>
        <w:spacing w:after="120" w:line="276" w:lineRule="auto"/>
      </w:pPr>
      <w:r>
        <w:t>La valorisation de BOAB (PER 20,2x, P/B 3,45x, EV/EBITDA 20,5x) indique une surévaluation relative par rapport au marché BRVM, bien que justifiée par la qualité des fondamentaux. Le comportement du cours montre une tendance haussière spectaculaire (+35% en 100 jours) avec une volatilité modérée, mais les statistiques révèlent une distribution asymétrique et des conditions de surachat extrême. Les signaux techniques sont divergents : les indicateurs de tendance (MM, MACD) restent positifs, tandis que les oscillateurs (RSI, Stochastique, Bollinger) signalent tous un surachat sévère, suggérant un risque élevé de correction à court terme. Les fondamentaux sont excellents avec un ROE de 17,11%, un coefficient d'exploitation de 49,53% et une croissance soutenue du PNB et du résultat net, confirmée par les rapports trimestriels. Les prédictions IA (9 469 FCFA à J+1, 8 728 FCFA à J+10) confirment cette analyse en anticipant un repli progressif du cours vers des niveaux plus soutenables. Sur la base de cette synthèse, la recommandation finale est **CONSERVER** avec un niveau de confiance **Moyen** et un risque global **Élevé** à court terme. L'horizon d'investissement optimal serait le **moyen terme (3-12 mois)**, permettant d'absorber une éventuelle correction technique tout en bénéficiant de la solidité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6,066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+44.14%</w:t>
            </w:r>
          </w:p>
          <w:p>
            <w:r>
              <w:rPr>
                <w:b/>
                <w:color w:val="503200"/>
                <w:sz w:val="16"/>
              </w:rPr>
              <w:t xml:space="preserve">Plus haut 100j : </w:t>
            </w:r>
            <w:r>
              <w:rPr>
                <w:color w:val="000000"/>
                <w:sz w:val="17"/>
              </w:rPr>
              <w:t>8,000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12.53% (Moyenne) — μ=6,051 FCFA, σ=758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β=0.2922 (Défensif) — Cov=0.000010, Var(idx)=0.000034, ρ=0.090,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7,353</w:t>
            </w:r>
          </w:p>
        </w:tc>
        <w:tc>
          <w:tcPr>
            <w:tcW w:type="dxa" w:w="1440"/>
            <w:shd w:fill="FFDCE0" w:val="clear"/>
          </w:tcPr>
          <w:p>
            <w:r>
              <w:rPr>
                <w:b/>
                <w:sz w:val="17"/>
              </w:rPr>
              <w:t>7,678</w:t>
            </w:r>
          </w:p>
        </w:tc>
        <w:tc>
          <w:tcPr>
            <w:tcW w:type="dxa" w:w="1440"/>
            <w:shd w:fill="FFDCE0" w:val="clear"/>
          </w:tcPr>
          <w:p>
            <w:r>
              <w:rPr>
                <w:sz w:val="17"/>
              </w:rPr>
              <w:t>8,003</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7,031</w:t>
            </w:r>
          </w:p>
        </w:tc>
        <w:tc>
          <w:tcPr>
            <w:tcW w:type="dxa" w:w="1440"/>
            <w:shd w:fill="FFDCE0" w:val="clear"/>
          </w:tcPr>
          <w:p>
            <w:r>
              <w:rPr>
                <w:b/>
                <w:sz w:val="17"/>
              </w:rPr>
              <w:t>7,479</w:t>
            </w:r>
          </w:p>
        </w:tc>
        <w:tc>
          <w:tcPr>
            <w:tcW w:type="dxa" w:w="1440"/>
            <w:shd w:fill="FFDCE0" w:val="clear"/>
          </w:tcPr>
          <w:p>
            <w:r>
              <w:rPr>
                <w:sz w:val="17"/>
              </w:rPr>
              <w:t>7,927</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6,781</w:t>
            </w:r>
          </w:p>
        </w:tc>
        <w:tc>
          <w:tcPr>
            <w:tcW w:type="dxa" w:w="1440"/>
            <w:shd w:fill="FFDCE0" w:val="clear"/>
          </w:tcPr>
          <w:p>
            <w:r>
              <w:rPr>
                <w:b/>
                <w:sz w:val="17"/>
              </w:rPr>
              <w:t>7,318</w:t>
            </w:r>
          </w:p>
        </w:tc>
        <w:tc>
          <w:tcPr>
            <w:tcW w:type="dxa" w:w="1440"/>
            <w:shd w:fill="FFDCE0" w:val="clear"/>
          </w:tcPr>
          <w:p>
            <w:r>
              <w:rPr>
                <w:sz w:val="17"/>
              </w:rPr>
              <w:t>7,855</w:t>
            </w:r>
          </w:p>
        </w:tc>
        <w:tc>
          <w:tcPr>
            <w:tcW w:type="dxa" w:w="1440"/>
            <w:shd w:fill="FFDCE0" w:val="clear"/>
          </w:tcPr>
          <w:p>
            <w:r>
              <w:rPr>
                <w:b/>
                <w:color w:val="C00000"/>
                <w:sz w:val="17"/>
              </w:rPr>
              <w:t>-8.5%</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6,596</w:t>
            </w:r>
          </w:p>
        </w:tc>
        <w:tc>
          <w:tcPr>
            <w:tcW w:type="dxa" w:w="1440"/>
            <w:shd w:fill="FFDCE0" w:val="clear"/>
          </w:tcPr>
          <w:p>
            <w:r>
              <w:rPr>
                <w:b/>
                <w:sz w:val="17"/>
              </w:rPr>
              <w:t>7,207</w:t>
            </w:r>
          </w:p>
        </w:tc>
        <w:tc>
          <w:tcPr>
            <w:tcW w:type="dxa" w:w="1440"/>
            <w:shd w:fill="FFDCE0" w:val="clear"/>
          </w:tcPr>
          <w:p>
            <w:r>
              <w:rPr>
                <w:sz w:val="17"/>
              </w:rPr>
              <w:t>7,817</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6,447</w:t>
            </w:r>
          </w:p>
        </w:tc>
        <w:tc>
          <w:tcPr>
            <w:tcW w:type="dxa" w:w="1440"/>
            <w:shd w:fill="FFDCE0" w:val="clear"/>
          </w:tcPr>
          <w:p>
            <w:r>
              <w:rPr>
                <w:b/>
                <w:sz w:val="17"/>
              </w:rPr>
              <w:t>7,122</w:t>
            </w:r>
          </w:p>
        </w:tc>
        <w:tc>
          <w:tcPr>
            <w:tcW w:type="dxa" w:w="1440"/>
            <w:shd w:fill="FFDCE0" w:val="clear"/>
          </w:tcPr>
          <w:p>
            <w:r>
              <w:rPr>
                <w:sz w:val="17"/>
              </w:rPr>
              <w:t>7,797</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6,318</w:t>
            </w:r>
          </w:p>
        </w:tc>
        <w:tc>
          <w:tcPr>
            <w:tcW w:type="dxa" w:w="1440"/>
            <w:shd w:fill="FFDCE0" w:val="clear"/>
          </w:tcPr>
          <w:p>
            <w:r>
              <w:rPr>
                <w:b/>
                <w:sz w:val="17"/>
              </w:rPr>
              <w:t>7,050</w:t>
            </w:r>
          </w:p>
        </w:tc>
        <w:tc>
          <w:tcPr>
            <w:tcW w:type="dxa" w:w="1440"/>
            <w:shd w:fill="FFDCE0" w:val="clear"/>
          </w:tcPr>
          <w:p>
            <w:r>
              <w:rPr>
                <w:sz w:val="17"/>
              </w:rPr>
              <w:t>7,781</w:t>
            </w:r>
          </w:p>
        </w:tc>
        <w:tc>
          <w:tcPr>
            <w:tcW w:type="dxa" w:w="1440"/>
            <w:shd w:fill="FFDCE0" w:val="clear"/>
          </w:tcPr>
          <w:p>
            <w:r>
              <w:rPr>
                <w:b/>
                <w:color w:val="C00000"/>
                <w:sz w:val="17"/>
              </w:rPr>
              <w:t>-11.9%</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6,200</w:t>
            </w:r>
          </w:p>
        </w:tc>
        <w:tc>
          <w:tcPr>
            <w:tcW w:type="dxa" w:w="1440"/>
            <w:shd w:fill="FFDCE0" w:val="clear"/>
          </w:tcPr>
          <w:p>
            <w:r>
              <w:rPr>
                <w:b/>
                <w:sz w:val="17"/>
              </w:rPr>
              <w:t>6,983</w:t>
            </w:r>
          </w:p>
        </w:tc>
        <w:tc>
          <w:tcPr>
            <w:tcW w:type="dxa" w:w="1440"/>
            <w:shd w:fill="FFDCE0" w:val="clear"/>
          </w:tcPr>
          <w:p>
            <w:r>
              <w:rPr>
                <w:sz w:val="17"/>
              </w:rPr>
              <w:t>7,766</w:t>
            </w:r>
          </w:p>
        </w:tc>
        <w:tc>
          <w:tcPr>
            <w:tcW w:type="dxa" w:w="1440"/>
            <w:shd w:fill="FFDCE0" w:val="clear"/>
          </w:tcPr>
          <w:p>
            <w:r>
              <w:rPr>
                <w:b/>
                <w:color w:val="C00000"/>
                <w:sz w:val="17"/>
              </w:rPr>
              <w:t>-12.7%</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6,091</w:t>
            </w:r>
          </w:p>
        </w:tc>
        <w:tc>
          <w:tcPr>
            <w:tcW w:type="dxa" w:w="1440"/>
            <w:shd w:fill="FFDCE0" w:val="clear"/>
          </w:tcPr>
          <w:p>
            <w:r>
              <w:rPr>
                <w:b/>
                <w:sz w:val="17"/>
              </w:rPr>
              <w:t>6,920</w:t>
            </w:r>
          </w:p>
        </w:tc>
        <w:tc>
          <w:tcPr>
            <w:tcW w:type="dxa" w:w="1440"/>
            <w:shd w:fill="FFDCE0" w:val="clear"/>
          </w:tcPr>
          <w:p>
            <w:r>
              <w:rPr>
                <w:sz w:val="17"/>
              </w:rPr>
              <w:t>7,749</w:t>
            </w:r>
          </w:p>
        </w:tc>
        <w:tc>
          <w:tcPr>
            <w:tcW w:type="dxa" w:w="1440"/>
            <w:shd w:fill="FFDCE0" w:val="clear"/>
          </w:tcPr>
          <w:p>
            <w:r>
              <w:rPr>
                <w:b/>
                <w:color w:val="C00000"/>
                <w:sz w:val="17"/>
              </w:rPr>
              <w:t>-13.5%</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5,987</w:t>
            </w:r>
          </w:p>
        </w:tc>
        <w:tc>
          <w:tcPr>
            <w:tcW w:type="dxa" w:w="1440"/>
            <w:shd w:fill="FFDCE0" w:val="clear"/>
          </w:tcPr>
          <w:p>
            <w:r>
              <w:rPr>
                <w:b/>
                <w:sz w:val="17"/>
              </w:rPr>
              <w:t>6,859</w:t>
            </w:r>
          </w:p>
        </w:tc>
        <w:tc>
          <w:tcPr>
            <w:tcW w:type="dxa" w:w="1440"/>
            <w:shd w:fill="FFDCE0" w:val="clear"/>
          </w:tcPr>
          <w:p>
            <w:r>
              <w:rPr>
                <w:sz w:val="17"/>
              </w:rPr>
              <w:t>7,731</w:t>
            </w:r>
          </w:p>
        </w:tc>
        <w:tc>
          <w:tcPr>
            <w:tcW w:type="dxa" w:w="1440"/>
            <w:shd w:fill="FFDCE0" w:val="clear"/>
          </w:tcPr>
          <w:p>
            <w:r>
              <w:rPr>
                <w:b/>
                <w:color w:val="C00000"/>
                <w:sz w:val="17"/>
              </w:rPr>
              <w:t>-14.3%</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5,889</w:t>
            </w:r>
          </w:p>
        </w:tc>
        <w:tc>
          <w:tcPr>
            <w:tcW w:type="dxa" w:w="1440"/>
            <w:shd w:fill="FFDCE0" w:val="clear"/>
          </w:tcPr>
          <w:p>
            <w:r>
              <w:rPr>
                <w:b/>
                <w:sz w:val="17"/>
              </w:rPr>
              <w:t>6,800</w:t>
            </w:r>
          </w:p>
        </w:tc>
        <w:tc>
          <w:tcPr>
            <w:tcW w:type="dxa" w:w="1440"/>
            <w:shd w:fill="FFDCE0" w:val="clear"/>
          </w:tcPr>
          <w:p>
            <w:r>
              <w:rPr>
                <w:sz w:val="17"/>
              </w:rPr>
              <w:t>7,711</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22 août 2026**</w:t>
        <w:br/>
        <w:t>**Cours de référence : 8 000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352 milliards FCFA, ce qui en fait l'une des valeurs les plus significatives de la cote de la BRVM, reflétant la confiance des investisseurs dans ce pilier du secteur bancaire de l'UEMOA. Avec un BPA de 438 FCFA, chaque action génère un bénéfice substantiel, mais le PER de 18,3x indique que les investisseurs paient une prime de 50% à 100% par rapport à la moyenne historique du marché (8-12x). Cette valorisation est soutenue par un P/B de 2,78x, montrant que le marché valorise la banque près de trois fois sa valeur comptable, une prime de croissance justifiée par sa position de leader. L'EV/EBITDA de 8,1x reste dans une zone raisonnable, suggérant que la valeur totale de l'entreprise reste cohérente avec sa capacité opérationnelle à générer des flux, malgré une décote de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performance exceptionnelle de +44,14%, avec une accélération notable lors de la dernière séance (+5,26%), portant le cours à son plus haut historique de 8 000 FCFA, contre un plus bas de 5 235 FCFA. La moyenne du cours sur la période (6 051 FCFA) est nettement supérieure à la médiane (5 630 FCFA), et le skewness positif de 0,909 confirme une distribution asymétrique avec des journées majoritairement sous la moyenne mais des mouvements haussiers plus amples, typique d'un rallye soutenu. L'écart-type de 762 FCFA (CV=12,6%) indique une dispersion modérée, tandis que le kurtosis de -0,833 (mésokurtique) suggère une absence de pics extrêmes, mais la volatilité annualisée de 30% classe le titre dans la catégorie "élevée", signalant un risque de retournement tout aussi rapide que la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(8 000 FCFA) évolue nettement au-dessus de la MM20 (7 260 FCFA) et de la MM50 (6 578,7 FCFA), confirmant une tendance haussière robuste à court et moyen terme. L'écart positif entre les deux moyennes et le cours indique une dynamique d'achat soutenue, justifiant la décision d'achat, bien que l'éloignement du cours par rapport à la MM20 signale une possible correction à venir.</w:t>
      </w:r>
    </w:p>
    <w:p>
      <w:pPr>
        <w:spacing w:after="120" w:line="276" w:lineRule="auto"/>
      </w:pPr>
      <w:r>
        <w:t>**Bandes de Bollinger** : Le prix a franchi la borne supérieure (7 730,7 FCFA), atteignant 8 000 FCFA, ce qui traduit une volatilité extrême et une extension excessive au-dessus de la moyenne mobile. Cette sortie de bande est un signal classique de surachat temporaire, justifiant la décision de vente à court terme, car un repli vers la borne supérieure ou la moyenne est statistiquement probable.</w:t>
      </w:r>
    </w:p>
    <w:p>
      <w:pPr>
        <w:spacing w:after="120" w:line="276" w:lineRule="auto"/>
      </w:pPr>
      <w:r>
        <w:t>**MACD** : Le MACD (270,1) reste positif et au-dessus de son signal (248,2), confirmant un momentum haussier intact. La divergence positive entre les deux lignes indique que la pression acheteuse domine toujours, mais l'écart relativement faible suggère un essoufflement potentiel du mouvement, justifiant la prudence malgré la décision d'achat.</w:t>
      </w:r>
    </w:p>
    <w:p>
      <w:pPr>
        <w:spacing w:after="120" w:line="276" w:lineRule="auto"/>
      </w:pPr>
      <w:r>
        <w:t>**RSI** : Le RSI à 78,57 est en zone de surachat (au-dessus de 70), signalant que le titre est surévalué à court terme. Cette lecture justifie la décision de vente, car elle indique une probabilité élevée de consolidation ou de correction, les acheteurs ayant potentiellement épuisé leur force.</w:t>
      </w:r>
    </w:p>
    <w:p>
      <w:pPr>
        <w:spacing w:after="120" w:line="276" w:lineRule="auto"/>
      </w:pPr>
      <w:r>
        <w:t>**Stochastique** : Le %K et le %D sont tous deux à 100, un niveau extrême de surachat, confirmant que le titre est en territoire dangereusement surévalué. Cette configuration justifie la décision de vente, car elle précède souvent un retournement baissier ou une phase de distribution.</w:t>
      </w:r>
    </w:p>
    <w:p>
      <w:pPr>
        <w:spacing w:after="120" w:line="276" w:lineRule="auto"/>
      </w:pPr>
      <w:r>
        <w:t>**Conclusion technique** : Les indicateurs de tendance (MM, MACD) sont positifs, mais les oscillateurs (RSI, Stochastique, Bollinger) sont tous en zone de surachat extrême, créant une divergence nette. La tendance de fond reste haussière, mais un repli technique est imminent à court terme, rendant une entrée à ces niveaux risquée sans correction préalable.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à la structure solide mais sous pression. Le Produit Net Bancaire (PNB) s'établit à 57,82 milliards FCFA, en légère croissance de 0,57%, avec un résultat net de 19,25 milliards FCFA, soit une marge nette de 33,3%. Le ROE de 15,2% reste excellent, et le coefficient d'exploitation de 47,2% démontre une efficacité opérationnelle remarquable. Cependant, le coût du risque de 33,9% (provisions/charges financières) est élevé, signalant une détérioration de la qualité du portefeuille de crédits. Les dépôts clientèle (877,8 Mds) couvrent largement les créances (474,1 Mds), indiquant une liquidité abondante. Les rapports trimestriels 2025 confirment cette tendance : le T1 2025 (PNB +2,3%, RN -16,6%) et le S1 2025 (PNB +1,4%, RN -46,5%) montrent une chute drastique de la rentabilité due à une explosion du coût du risque (+1336% au S1). Le T3 2025 (PNB +0,85%, RN -27,7%) et le T1 2026 (PNB -10,75%, RN -12,99%) indiquent une stagnation persistante et une contraction des crédits (-11% en 2025), malgré une collecte de dépôts dynamique. On estime que l'exercice 2026 pourrait voir un PNB en léger recul et un résultat net sous pression, mais la solidité du bilan et la capacité de la banque à générer des revenus stables offrent une résilience certaine.</w:t>
      </w:r>
    </w:p>
    <w:p>
      <w:pPr>
        <w:spacing w:after="120" w:line="276" w:lineRule="auto"/>
      </w:pPr>
      <w:r>
        <w:t>---</w:t>
      </w:r>
    </w:p>
    <w:p>
      <w:pPr>
        <w:spacing w:after="120" w:line="276" w:lineRule="auto"/>
      </w:pPr>
      <w:r>
        <w:t>### PARTIE 4 : CONCLUSION D'INVESTISSEMENT</w:t>
      </w:r>
    </w:p>
    <w:p>
      <w:pPr>
        <w:spacing w:after="120" w:line="276" w:lineRule="auto"/>
      </w:pPr>
      <w:r>
        <w:t>La valorisation de BOABF (PER 18,3x, P/B 2,78x) est exigeante, intégrant une prime de croissance qui semble difficile à justifier face à une rentabilité nette en déclin constant. Le comportement du cours (+44% en 100 jours, skewness positif) reflète un optimisme spéculatif, mais la volatilité élevée (30%) et les signaux techniques de surachat extrême (RSI 78,6, Stochastique 100, sortie des bandes de Bollinger) prédisent une correction imminente, confirmée par les prédictions IA qui anticipent un repli progressif vers 7 122 FCFA d'ici 10 jours. Les fondamentaux, bien que solides (ROE 15,2%, coefficient d'exploitation 47,2%), sont assombris par un coût du risque élevé et une stagnation du PNB, avec des perspectives 2026 mitigées. La convergence entre les signaux techniques baissiers, la valorisation élevée et les prédictions IA contraste avec la tendance haussière passée. **Recommandation : VENTE** pour les détenteurs à court terme, avec un niveau de confiance **Élevé** et un risque global **Élevé**. Pour les investisseurs à long terme (&gt;1 an), une stratégie de conservation avec un point d'entrée après correction (autour de 6 500-7 000 FCFA) serait plus prudente, compte tenu de la solidité intrinsèque de la banque.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14,218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+60.31%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14.28% (Moyenne) — μ=9,591 FCFA, σ=1,370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β=0.0839 (Défensif) — Cov=0.000003, Var(idx)=0.000034, ρ=0.030,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11,781</w:t>
            </w:r>
          </w:p>
        </w:tc>
        <w:tc>
          <w:tcPr>
            <w:tcW w:type="dxa" w:w="1440"/>
            <w:shd w:fill="FFDCE0" w:val="clear"/>
          </w:tcPr>
          <w:p>
            <w:r>
              <w:rPr>
                <w:b/>
                <w:sz w:val="17"/>
              </w:rPr>
              <w:t>12,191</w:t>
            </w:r>
          </w:p>
        </w:tc>
        <w:tc>
          <w:tcPr>
            <w:tcW w:type="dxa" w:w="1440"/>
            <w:shd w:fill="FFDCE0" w:val="clear"/>
          </w:tcPr>
          <w:p>
            <w:r>
              <w:rPr>
                <w:sz w:val="17"/>
              </w:rPr>
              <w:t>12,600</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11,073</w:t>
            </w:r>
          </w:p>
        </w:tc>
        <w:tc>
          <w:tcPr>
            <w:tcW w:type="dxa" w:w="1440"/>
            <w:shd w:fill="FFDCE0" w:val="clear"/>
          </w:tcPr>
          <w:p>
            <w:r>
              <w:rPr>
                <w:b/>
                <w:sz w:val="17"/>
              </w:rPr>
              <w:t>11,625</w:t>
            </w:r>
          </w:p>
        </w:tc>
        <w:tc>
          <w:tcPr>
            <w:tcW w:type="dxa" w:w="1440"/>
            <w:shd w:fill="FFDCE0" w:val="clear"/>
          </w:tcPr>
          <w:p>
            <w:r>
              <w:rPr>
                <w:sz w:val="17"/>
              </w:rPr>
              <w:t>12,178</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10,427</w:t>
            </w:r>
          </w:p>
        </w:tc>
        <w:tc>
          <w:tcPr>
            <w:tcW w:type="dxa" w:w="1440"/>
            <w:shd w:fill="FFDCE0" w:val="clear"/>
          </w:tcPr>
          <w:p>
            <w:r>
              <w:rPr>
                <w:b/>
                <w:sz w:val="17"/>
              </w:rPr>
              <w:t>11,072</w:t>
            </w:r>
          </w:p>
        </w:tc>
        <w:tc>
          <w:tcPr>
            <w:tcW w:type="dxa" w:w="1440"/>
            <w:shd w:fill="FFDCE0" w:val="clear"/>
          </w:tcPr>
          <w:p>
            <w:r>
              <w:rPr>
                <w:sz w:val="17"/>
              </w:rPr>
              <w:t>11,716</w:t>
            </w:r>
          </w:p>
        </w:tc>
        <w:tc>
          <w:tcPr>
            <w:tcW w:type="dxa" w:w="1440"/>
            <w:shd w:fill="FFDCE0" w:val="clear"/>
          </w:tcPr>
          <w:p>
            <w:r>
              <w:rPr>
                <w:b/>
                <w:color w:val="C00000"/>
                <w:sz w:val="17"/>
              </w:rPr>
              <w:t>-14.7%</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9,881</w:t>
            </w:r>
          </w:p>
        </w:tc>
        <w:tc>
          <w:tcPr>
            <w:tcW w:type="dxa" w:w="1440"/>
            <w:shd w:fill="FFDCE0" w:val="clear"/>
          </w:tcPr>
          <w:p>
            <w:r>
              <w:rPr>
                <w:b/>
                <w:sz w:val="17"/>
              </w:rPr>
              <w:t>10,593</w:t>
            </w:r>
          </w:p>
        </w:tc>
        <w:tc>
          <w:tcPr>
            <w:tcW w:type="dxa" w:w="1440"/>
            <w:shd w:fill="FFDCE0" w:val="clear"/>
          </w:tcPr>
          <w:p>
            <w:r>
              <w:rPr>
                <w:sz w:val="17"/>
              </w:rPr>
              <w:t>11,305</w:t>
            </w:r>
          </w:p>
        </w:tc>
        <w:tc>
          <w:tcPr>
            <w:tcW w:type="dxa" w:w="1440"/>
            <w:shd w:fill="FFDCE0" w:val="clear"/>
          </w:tcPr>
          <w:p>
            <w:r>
              <w:rPr>
                <w:b/>
                <w:color w:val="C00000"/>
                <w:sz w:val="17"/>
              </w:rPr>
              <w:t>-18.4%</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9,418</w:t>
            </w:r>
          </w:p>
        </w:tc>
        <w:tc>
          <w:tcPr>
            <w:tcW w:type="dxa" w:w="1440"/>
            <w:shd w:fill="FFDCE0" w:val="clear"/>
          </w:tcPr>
          <w:p>
            <w:r>
              <w:rPr>
                <w:b/>
                <w:sz w:val="17"/>
              </w:rPr>
              <w:t>10,184</w:t>
            </w:r>
          </w:p>
        </w:tc>
        <w:tc>
          <w:tcPr>
            <w:tcW w:type="dxa" w:w="1440"/>
            <w:shd w:fill="FFDCE0" w:val="clear"/>
          </w:tcPr>
          <w:p>
            <w:r>
              <w:rPr>
                <w:sz w:val="17"/>
              </w:rPr>
              <w:t>10,949</w:t>
            </w:r>
          </w:p>
        </w:tc>
        <w:tc>
          <w:tcPr>
            <w:tcW w:type="dxa" w:w="1440"/>
            <w:shd w:fill="FFDCE0" w:val="clear"/>
          </w:tcPr>
          <w:p>
            <w:r>
              <w:rPr>
                <w:b/>
                <w:color w:val="C00000"/>
                <w:sz w:val="17"/>
              </w:rPr>
              <w:t>-21.6%</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9,024</w:t>
            </w:r>
          </w:p>
        </w:tc>
        <w:tc>
          <w:tcPr>
            <w:tcW w:type="dxa" w:w="1440"/>
            <w:shd w:fill="FFDCE0" w:val="clear"/>
          </w:tcPr>
          <w:p>
            <w:r>
              <w:rPr>
                <w:b/>
                <w:sz w:val="17"/>
              </w:rPr>
              <w:t>9,834</w:t>
            </w:r>
          </w:p>
        </w:tc>
        <w:tc>
          <w:tcPr>
            <w:tcW w:type="dxa" w:w="1440"/>
            <w:shd w:fill="FFDCE0" w:val="clear"/>
          </w:tcPr>
          <w:p>
            <w:r>
              <w:rPr>
                <w:sz w:val="17"/>
              </w:rPr>
              <w:t>10,643</w:t>
            </w:r>
          </w:p>
        </w:tc>
        <w:tc>
          <w:tcPr>
            <w:tcW w:type="dxa" w:w="1440"/>
            <w:shd w:fill="FFDCE0" w:val="clear"/>
          </w:tcPr>
          <w:p>
            <w:r>
              <w:rPr>
                <w:b/>
                <w:color w:val="C00000"/>
                <w:sz w:val="17"/>
              </w:rPr>
              <w:t>-24.3%</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8,685</w:t>
            </w:r>
          </w:p>
        </w:tc>
        <w:tc>
          <w:tcPr>
            <w:tcW w:type="dxa" w:w="1440"/>
            <w:shd w:fill="FFDCE0" w:val="clear"/>
          </w:tcPr>
          <w:p>
            <w:r>
              <w:rPr>
                <w:b/>
                <w:sz w:val="17"/>
              </w:rPr>
              <w:t>9,532</w:t>
            </w:r>
          </w:p>
        </w:tc>
        <w:tc>
          <w:tcPr>
            <w:tcW w:type="dxa" w:w="1440"/>
            <w:shd w:fill="FFDCE0" w:val="clear"/>
          </w:tcPr>
          <w:p>
            <w:r>
              <w:rPr>
                <w:sz w:val="17"/>
              </w:rPr>
              <w:t>10,380</w:t>
            </w:r>
          </w:p>
        </w:tc>
        <w:tc>
          <w:tcPr>
            <w:tcW w:type="dxa" w:w="1440"/>
            <w:shd w:fill="FFDCE0" w:val="clear"/>
          </w:tcPr>
          <w:p>
            <w:r>
              <w:rPr>
                <w:b/>
                <w:color w:val="C00000"/>
                <w:sz w:val="17"/>
              </w:rPr>
              <w:t>-26.6%</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8,389</w:t>
            </w:r>
          </w:p>
        </w:tc>
        <w:tc>
          <w:tcPr>
            <w:tcW w:type="dxa" w:w="1440"/>
            <w:shd w:fill="FFDCE0" w:val="clear"/>
          </w:tcPr>
          <w:p>
            <w:r>
              <w:rPr>
                <w:b/>
                <w:sz w:val="17"/>
              </w:rPr>
              <w:t>9,270</w:t>
            </w:r>
          </w:p>
        </w:tc>
        <w:tc>
          <w:tcPr>
            <w:tcW w:type="dxa" w:w="1440"/>
            <w:shd w:fill="FFDCE0" w:val="clear"/>
          </w:tcPr>
          <w:p>
            <w:r>
              <w:rPr>
                <w:sz w:val="17"/>
              </w:rPr>
              <w:t>10,151</w:t>
            </w:r>
          </w:p>
        </w:tc>
        <w:tc>
          <w:tcPr>
            <w:tcW w:type="dxa" w:w="1440"/>
            <w:shd w:fill="FFDCE0" w:val="clear"/>
          </w:tcPr>
          <w:p>
            <w:r>
              <w:rPr>
                <w:b/>
                <w:color w:val="C00000"/>
                <w:sz w:val="17"/>
              </w:rPr>
              <w:t>-28.6%</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8,129</w:t>
            </w:r>
          </w:p>
        </w:tc>
        <w:tc>
          <w:tcPr>
            <w:tcW w:type="dxa" w:w="1440"/>
            <w:shd w:fill="FFDCE0" w:val="clear"/>
          </w:tcPr>
          <w:p>
            <w:r>
              <w:rPr>
                <w:b/>
                <w:sz w:val="17"/>
              </w:rPr>
              <w:t>9,040</w:t>
            </w:r>
          </w:p>
        </w:tc>
        <w:tc>
          <w:tcPr>
            <w:tcW w:type="dxa" w:w="1440"/>
            <w:shd w:fill="FFDCE0" w:val="clear"/>
          </w:tcPr>
          <w:p>
            <w:r>
              <w:rPr>
                <w:sz w:val="17"/>
              </w:rPr>
              <w:t>9,952</w:t>
            </w:r>
          </w:p>
        </w:tc>
        <w:tc>
          <w:tcPr>
            <w:tcW w:type="dxa" w:w="1440"/>
            <w:shd w:fill="FFDCE0" w:val="clear"/>
          </w:tcPr>
          <w:p>
            <w:r>
              <w:rPr>
                <w:b/>
                <w:color w:val="C00000"/>
                <w:sz w:val="17"/>
              </w:rPr>
              <w:t>-30.4%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7,898</w:t>
            </w:r>
          </w:p>
        </w:tc>
        <w:tc>
          <w:tcPr>
            <w:tcW w:type="dxa" w:w="1440"/>
            <w:shd w:fill="FFDCE0" w:val="clear"/>
          </w:tcPr>
          <w:p>
            <w:r>
              <w:rPr>
                <w:b/>
                <w:sz w:val="17"/>
              </w:rPr>
              <w:t>8,837</w:t>
            </w:r>
          </w:p>
        </w:tc>
        <w:tc>
          <w:tcPr>
            <w:tcW w:type="dxa" w:w="1440"/>
            <w:shd w:fill="FFDCE0" w:val="clear"/>
          </w:tcPr>
          <w:p>
            <w:r>
              <w:rPr>
                <w:sz w:val="17"/>
              </w:rPr>
              <w:t>9,776</w:t>
            </w:r>
          </w:p>
        </w:tc>
        <w:tc>
          <w:tcPr>
            <w:tcW w:type="dxa" w:w="1440"/>
            <w:shd w:fill="FFDCE0" w:val="clear"/>
          </w:tcPr>
          <w:p>
            <w:r>
              <w:rPr>
                <w:b/>
                <w:color w:val="C00000"/>
                <w:sz w:val="17"/>
              </w:rPr>
              <w:t>-31.9%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519,4 milliards FCFA, ce qui en fait l'une des valeurs les plus significatives de la BRVM, reflétant son statut de banque systémique dans l'UEMOA. Avec un BPA de 888 FCFA, le PER de 14,6x se situe nettement au-dessus de la moyenne historique du marché (8-12x), indiquant que les investisseurs acceptent de payer une prime pour la qualité perçue de l'actif. Cependant, le P/B de 4,08x et surtout l'EV/EBITDA de 27,8x signalent une valorisation très exigeante, le marché intégrant des hypothèses de croissance future soutenue. Cette configuration suggère que le titre est valorisé comme une valeur de croissance premium, avec une marge de sécurité limitée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spectaculaire de +60,31%, passant d'un plus bas de 8 100 FCFA à un plus haut de 13 450 FCFA, pour clôturer à 12 985 FCFA. La séance de la veille s'est soldée par une stagnation (0,00%), suggérant une phase de consolidation après ce rallye. La moyenne (9 591 FCFA) étant nettement inférieure à la médiane (9 025 FCFA) et au cours actuel, on observe une distribution fortement asymétrique positive (skewness de 1,542), indiquant que la majorité des séances se sont déroulées sous la moyenne, avec une poussée haussière récente et brutale. Le kurtosis de 1,270 (leptokurtique) confirme un risque de pics de volatilité. Avec un écart-type de 1 376 FCFA (CV de 14,4%) et une volatilité annualisée de 25,7%, le titre présente une dispersion modérée, typique d'un marché en phase d'accélération.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(12 985 FCFA) évolue nettement au-dessus de la MM20 (12 072,75 FCFA) et de la MM50 (10 488,5 FCFA), dans une configuration de tendance haussière parfaitement alignée. L'écart positif entre les deux moyennes (+15%) confirme la vigueur du momentum. La décision "Achat" est justifiée par cette structure de prix, bien que l'éloignement excessif du cours par rapport à la MM50 puisse signaler une correction technique à moyen terme.</w:t>
      </w:r>
    </w:p>
    <w:p>
      <w:pPr>
        <w:spacing w:after="120" w:line="276" w:lineRule="auto"/>
      </w:pPr>
      <w:r>
        <w:t>**Bandes de Bollinger** : Le prix se positionne à 12 985 FCFA, entre la borne supérieure (14 008,80 FCFA) et la borne inférieure (10 136,70 FCFA), mais dans la moitié haute du canal. La largeur des bandes reflète une volatilité accrue suite au rallye. La décision "Neutre" est cohérente : le titre n'est pas en zone de surachat extrême, mais la proximité de la borne supérieure suggère une résistance à surveiller.</w:t>
      </w:r>
    </w:p>
    <w:p>
      <w:pPr>
        <w:spacing w:after="120" w:line="276" w:lineRule="auto"/>
      </w:pPr>
      <w:r>
        <w:t>**MACD** : La valeur du MACD (841,44) est supérieure à sa ligne de signal (804,14), avec un histogramme positif, confirmant la dynamique haussière. La décision "Achat" est validée par cette configuration, bien que l'écart relativement faible entre les deux lignes indique un momentum qui pourrait s'essouffler à court terme.</w:t>
      </w:r>
    </w:p>
    <w:p>
      <w:pPr>
        <w:spacing w:after="120" w:line="276" w:lineRule="auto"/>
      </w:pPr>
      <w:r>
        <w:t>**RSI** : À 81,87, le RSI est en zone de surachat sévère (au-dessus de 70), signalant une pression acheteuse excessive. La décision "Vente" est justifiée : ce niveau suggère une probabilité élevée de correction technique à brève échéance, les acheteurs ayant potentiellement épuisé leur capacité d'impulsion.</w:t>
      </w:r>
    </w:p>
    <w:p>
      <w:pPr>
        <w:spacing w:after="120" w:line="276" w:lineRule="auto"/>
      </w:pPr>
      <w:r>
        <w:t>**Stochastique** : Le %K (74,87) est inférieur au %D (82,34), indiquant un croisement baissier potentiel en zone de surachat. La décision "Neutre" reflète cette ambiguïté : le momentum ralentit, mais la tendance sous-jacente reste positive.</w:t>
      </w:r>
    </w:p>
    <w:p>
      <w:pPr>
        <w:spacing w:after="120" w:line="276" w:lineRule="auto"/>
      </w:pPr>
      <w:r>
        <w:t>**Conclusion technique** : Les indicateurs sont globalement alignés sur une tendance haussière, mais les signaux de surachat (RSI, Stochastique) et la position proche de la borne supérieure de Bollinger suggèrent une consolidation imminente. La divergence entre la force de la tendance (MM, MACD) et les oscillateurs de momentum appelle à la prudence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BOAC (base brvm_donnees_financieres) révèlent une banque performante : le PNB s'établit à 73,545 milliards FCFA, générant un résultat net de 35,540 milliards FCFA, soit une marge nette exceptionnelle de 48,32%. Le ROE atteint 27,91% (excellent, &gt;15%) et le ROA 3,22%, témoignant d'une allocation efficace du capital. Le coefficient d'exploitation de 36,70% démontre une excellente maîtrise des coûts (&lt;50%). Cependant, le coût du risque de 6,67% reste élevé, signalant une qualité de crédit perfectible. La banque présente une dépendance financière importante (88,46% de dettes), mais une solvabilité générale saine (113,05%). Les dépôts clientèle (850,55 milliards) représentent 1,98x les créances clientèle (430,43 milliards), indiquant une transformation modérée. **Les rapports trimestriels 2025** montrent une trajectoire contrastée : le T1 affichait une croissance du PNB de +4,93% et un résultat net en hausse de +14,59%, mais le S1 et le T3 ont révélé une stagnation (PNB -0,35% puis +0,23%, résultat net +4,29% puis +1,29%). Sur la base de ces tendances, on estime que l'exercice 2026 devrait confirmer un PNB autour de 74-75 milliards FCFA et un résultat net de 36-37 milliards FCFA, soit une croissance modeste de 2-4%. La banque a communiqué des objectifs triennaux ambitieux (croissance du PNB de +11,6% sur 3 ans), mais la contraction des crédits (-11,97% au T3 2025) et la pression sur les marges constituent des risques majeurs.</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paradoxale. La valorisation (PER 14,6x, P/B 4,08x, EV/EBITDA 27,8x) est exigeante, intégrant des attentes de croissance forte que les fondamentaux récents (stagnation du PNB, contraction des crédits) ne confirment pas pleinement. Le comportement du cours (+60,31% en 100 jours) et les statistiques (skewness positif, kurtosis leptokurtique) traduisent un momentum haussier spectaculaire mais potentiellement fragile. Les signaux techniques sont partagés : la tendance (MM, MACD) reste positive, mais le RSI (81,87) et le Stochastique signalent un surachat imminent. Les fondamentaux, bien qu'excellents en niveau (ROE 27,9%, coefficient d'exploitation 36,7%), montrent un ralentissement de la dynamique de croissance. Les prédictions IA (12 191 FCFA à J+1, 10 184 FCFA à J+10) anticipent une correction de -21,6% sur 10 séances, contredisant fortement la tendance récente et confirmant les signaux de surachat technique. **Recommandation finale : VENTE** à court terme, avec un niveau de confiance **Moyen** et un risque global **Élevé**. L'horizon optimal est le **court terme (&lt;3 mois)** pour profiter d'une probable correction technique, avant de réévaluer la valeur sur des fondamentaux plus solides à moyen terme (3-12 mois).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6,170 titres</w:t>
            </w:r>
          </w:p>
        </w:tc>
        <w:tc>
          <w:tcPr>
            <w:tcW w:type="dxa" w:w="2268"/>
            <w:shd w:fill="FFF2CC" w:val="clear"/>
          </w:tcPr>
          <w:p>
            <w:r>
              <w:rPr>
                <w:b/>
                <w:color w:val="503200"/>
                <w:sz w:val="16"/>
              </w:rPr>
              <w:t xml:space="preserve">Cours actuel : </w:t>
            </w:r>
            <w:r>
              <w:rPr>
                <w:color w:val="000000"/>
                <w:sz w:val="17"/>
              </w:rPr>
              <w:t>6,550 FCFA</w:t>
            </w:r>
          </w:p>
          <w:p>
            <w:r>
              <w:rPr>
                <w:b/>
                <w:color w:val="503200"/>
                <w:sz w:val="16"/>
              </w:rPr>
              <w:t xml:space="preserve">Var. 100 jours : </w:t>
            </w:r>
            <w:r>
              <w:rPr>
                <w:b/>
                <w:color w:val="007800"/>
                <w:sz w:val="17"/>
              </w:rPr>
              <w:t>+42.55%</w:t>
            </w:r>
          </w:p>
          <w:p>
            <w:r>
              <w:rPr>
                <w:b/>
                <w:color w:val="503200"/>
                <w:sz w:val="16"/>
              </w:rPr>
              <w:t xml:space="preserve">Plus haut 100j : </w:t>
            </w:r>
            <w:r>
              <w:rPr>
                <w:color w:val="000000"/>
                <w:sz w:val="17"/>
              </w:rPr>
              <w:t>6,550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10.78% (Moyenne) — μ=5,084 FCFA, σ=548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β=0.4859 (Défensif) — Cov=0.000016, Var(idx)=0.000034, ρ=0.140,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6,240</w:t>
            </w:r>
          </w:p>
        </w:tc>
        <w:tc>
          <w:tcPr>
            <w:tcW w:type="dxa" w:w="1440"/>
            <w:shd w:fill="FAFAFA" w:val="clear"/>
          </w:tcPr>
          <w:p>
            <w:r>
              <w:rPr>
                <w:b/>
                <w:sz w:val="17"/>
              </w:rPr>
              <w:t>6,429</w:t>
            </w:r>
          </w:p>
        </w:tc>
        <w:tc>
          <w:tcPr>
            <w:tcW w:type="dxa" w:w="1440"/>
            <w:shd w:fill="FAFAFA" w:val="clear"/>
          </w:tcPr>
          <w:p>
            <w:r>
              <w:rPr>
                <w:sz w:val="17"/>
              </w:rPr>
              <w:t>6,619</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5,995</w:t>
            </w:r>
          </w:p>
        </w:tc>
        <w:tc>
          <w:tcPr>
            <w:tcW w:type="dxa" w:w="1440"/>
            <w:shd w:fill="FFDCE0" w:val="clear"/>
          </w:tcPr>
          <w:p>
            <w:r>
              <w:rPr>
                <w:b/>
                <w:sz w:val="17"/>
              </w:rPr>
              <w:t>6,255</w:t>
            </w:r>
          </w:p>
        </w:tc>
        <w:tc>
          <w:tcPr>
            <w:tcW w:type="dxa" w:w="1440"/>
            <w:shd w:fill="FFDCE0" w:val="clear"/>
          </w:tcPr>
          <w:p>
            <w:r>
              <w:rPr>
                <w:sz w:val="17"/>
              </w:rPr>
              <w:t>6,516</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5,787</w:t>
            </w:r>
          </w:p>
        </w:tc>
        <w:tc>
          <w:tcPr>
            <w:tcW w:type="dxa" w:w="1440"/>
            <w:shd w:fill="FFDCE0" w:val="clear"/>
          </w:tcPr>
          <w:p>
            <w:r>
              <w:rPr>
                <w:b/>
                <w:sz w:val="17"/>
              </w:rPr>
              <w:t>6,098</w:t>
            </w:r>
          </w:p>
        </w:tc>
        <w:tc>
          <w:tcPr>
            <w:tcW w:type="dxa" w:w="1440"/>
            <w:shd w:fill="FFDCE0" w:val="clear"/>
          </w:tcPr>
          <w:p>
            <w:r>
              <w:rPr>
                <w:sz w:val="17"/>
              </w:rPr>
              <w:t>6,410</w:t>
            </w:r>
          </w:p>
        </w:tc>
        <w:tc>
          <w:tcPr>
            <w:tcW w:type="dxa" w:w="1440"/>
            <w:shd w:fill="FFDCE0" w:val="clear"/>
          </w:tcPr>
          <w:p>
            <w:r>
              <w:rPr>
                <w:b/>
                <w:color w:val="C00000"/>
                <w:sz w:val="17"/>
              </w:rPr>
              <w:t>-6.9%</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5,619</w:t>
            </w:r>
          </w:p>
        </w:tc>
        <w:tc>
          <w:tcPr>
            <w:tcW w:type="dxa" w:w="1440"/>
            <w:shd w:fill="FFDCE0" w:val="clear"/>
          </w:tcPr>
          <w:p>
            <w:r>
              <w:rPr>
                <w:b/>
                <w:sz w:val="17"/>
              </w:rPr>
              <w:t>5,971</w:t>
            </w:r>
          </w:p>
        </w:tc>
        <w:tc>
          <w:tcPr>
            <w:tcW w:type="dxa" w:w="1440"/>
            <w:shd w:fill="FFDCE0" w:val="clear"/>
          </w:tcPr>
          <w:p>
            <w:r>
              <w:rPr>
                <w:sz w:val="17"/>
              </w:rPr>
              <w:t>6,323</w:t>
            </w:r>
          </w:p>
        </w:tc>
        <w:tc>
          <w:tcPr>
            <w:tcW w:type="dxa" w:w="1440"/>
            <w:shd w:fill="FFDCE0" w:val="clear"/>
          </w:tcPr>
          <w:p>
            <w:r>
              <w:rPr>
                <w:b/>
                <w:color w:val="C00000"/>
                <w:sz w:val="17"/>
              </w:rPr>
              <w:t>-8.8%</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5,478</w:t>
            </w:r>
          </w:p>
        </w:tc>
        <w:tc>
          <w:tcPr>
            <w:tcW w:type="dxa" w:w="1440"/>
            <w:shd w:fill="FFDCE0" w:val="clear"/>
          </w:tcPr>
          <w:p>
            <w:r>
              <w:rPr>
                <w:b/>
                <w:sz w:val="17"/>
              </w:rPr>
              <w:t>5,864</w:t>
            </w:r>
          </w:p>
        </w:tc>
        <w:tc>
          <w:tcPr>
            <w:tcW w:type="dxa" w:w="1440"/>
            <w:shd w:fill="FFDCE0" w:val="clear"/>
          </w:tcPr>
          <w:p>
            <w:r>
              <w:rPr>
                <w:sz w:val="17"/>
              </w:rPr>
              <w:t>6,251</w:t>
            </w:r>
          </w:p>
        </w:tc>
        <w:tc>
          <w:tcPr>
            <w:tcW w:type="dxa" w:w="1440"/>
            <w:shd w:fill="FFDCE0" w:val="clear"/>
          </w:tcPr>
          <w:p>
            <w:r>
              <w:rPr>
                <w:b/>
                <w:color w:val="C00000"/>
                <w:sz w:val="17"/>
              </w:rPr>
              <w:t>-10.5%</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5,354</w:t>
            </w:r>
          </w:p>
        </w:tc>
        <w:tc>
          <w:tcPr>
            <w:tcW w:type="dxa" w:w="1440"/>
            <w:shd w:fill="FFDCE0" w:val="clear"/>
          </w:tcPr>
          <w:p>
            <w:r>
              <w:rPr>
                <w:b/>
                <w:sz w:val="17"/>
              </w:rPr>
              <w:t>5,770</w:t>
            </w:r>
          </w:p>
        </w:tc>
        <w:tc>
          <w:tcPr>
            <w:tcW w:type="dxa" w:w="1440"/>
            <w:shd w:fill="FFDCE0" w:val="clear"/>
          </w:tcPr>
          <w:p>
            <w:r>
              <w:rPr>
                <w:sz w:val="17"/>
              </w:rPr>
              <w:t>6,187</w:t>
            </w:r>
          </w:p>
        </w:tc>
        <w:tc>
          <w:tcPr>
            <w:tcW w:type="dxa" w:w="1440"/>
            <w:shd w:fill="FFDCE0" w:val="clear"/>
          </w:tcPr>
          <w:p>
            <w:r>
              <w:rPr>
                <w:b/>
                <w:color w:val="C00000"/>
                <w:sz w:val="17"/>
              </w:rPr>
              <w:t>-11.9%</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5,241</w:t>
            </w:r>
          </w:p>
        </w:tc>
        <w:tc>
          <w:tcPr>
            <w:tcW w:type="dxa" w:w="1440"/>
            <w:shd w:fill="FFDCE0" w:val="clear"/>
          </w:tcPr>
          <w:p>
            <w:r>
              <w:rPr>
                <w:b/>
                <w:sz w:val="17"/>
              </w:rPr>
              <w:t>5,684</w:t>
            </w:r>
          </w:p>
        </w:tc>
        <w:tc>
          <w:tcPr>
            <w:tcW w:type="dxa" w:w="1440"/>
            <w:shd w:fill="FFDCE0" w:val="clear"/>
          </w:tcPr>
          <w:p>
            <w:r>
              <w:rPr>
                <w:sz w:val="17"/>
              </w:rPr>
              <w:t>6,127</w:t>
            </w:r>
          </w:p>
        </w:tc>
        <w:tc>
          <w:tcPr>
            <w:tcW w:type="dxa" w:w="1440"/>
            <w:shd w:fill="FFDCE0" w:val="clear"/>
          </w:tcPr>
          <w:p>
            <w:r>
              <w:rPr>
                <w:b/>
                <w:color w:val="C00000"/>
                <w:sz w:val="17"/>
              </w:rPr>
              <w:t>-13.2%</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5,137</w:t>
            </w:r>
          </w:p>
        </w:tc>
        <w:tc>
          <w:tcPr>
            <w:tcW w:type="dxa" w:w="1440"/>
            <w:shd w:fill="FFDCE0" w:val="clear"/>
          </w:tcPr>
          <w:p>
            <w:r>
              <w:rPr>
                <w:b/>
                <w:sz w:val="17"/>
              </w:rPr>
              <w:t>5,604</w:t>
            </w:r>
          </w:p>
        </w:tc>
        <w:tc>
          <w:tcPr>
            <w:tcW w:type="dxa" w:w="1440"/>
            <w:shd w:fill="FFDCE0" w:val="clear"/>
          </w:tcPr>
          <w:p>
            <w:r>
              <w:rPr>
                <w:sz w:val="17"/>
              </w:rPr>
              <w:t>6,071</w:t>
            </w:r>
          </w:p>
        </w:tc>
        <w:tc>
          <w:tcPr>
            <w:tcW w:type="dxa" w:w="1440"/>
            <w:shd w:fill="FFDCE0" w:val="clear"/>
          </w:tcPr>
          <w:p>
            <w:r>
              <w:rPr>
                <w:b/>
                <w:color w:val="C00000"/>
                <w:sz w:val="17"/>
              </w:rPr>
              <w:t>-14.4%</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5,040</w:t>
            </w:r>
          </w:p>
        </w:tc>
        <w:tc>
          <w:tcPr>
            <w:tcW w:type="dxa" w:w="1440"/>
            <w:shd w:fill="FFDCE0" w:val="clear"/>
          </w:tcPr>
          <w:p>
            <w:r>
              <w:rPr>
                <w:b/>
                <w:sz w:val="17"/>
              </w:rPr>
              <w:t>5,529</w:t>
            </w:r>
          </w:p>
        </w:tc>
        <w:tc>
          <w:tcPr>
            <w:tcW w:type="dxa" w:w="1440"/>
            <w:shd w:fill="FFDCE0" w:val="clear"/>
          </w:tcPr>
          <w:p>
            <w:r>
              <w:rPr>
                <w:sz w:val="17"/>
              </w:rPr>
              <w:t>6,017</w:t>
            </w:r>
          </w:p>
        </w:tc>
        <w:tc>
          <w:tcPr>
            <w:tcW w:type="dxa" w:w="1440"/>
            <w:shd w:fill="FFDCE0" w:val="clear"/>
          </w:tcPr>
          <w:p>
            <w:r>
              <w:rPr>
                <w:b/>
                <w:color w:val="C00000"/>
                <w:sz w:val="17"/>
              </w:rPr>
              <w:t>-15.6%</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4,950</w:t>
            </w:r>
          </w:p>
        </w:tc>
        <w:tc>
          <w:tcPr>
            <w:tcW w:type="dxa" w:w="1440"/>
            <w:shd w:fill="FFDCE0" w:val="clear"/>
          </w:tcPr>
          <w:p>
            <w:r>
              <w:rPr>
                <w:b/>
                <w:sz w:val="17"/>
              </w:rPr>
              <w:t>5,458</w:t>
            </w:r>
          </w:p>
        </w:tc>
        <w:tc>
          <w:tcPr>
            <w:tcW w:type="dxa" w:w="1440"/>
            <w:shd w:fill="FFDCE0" w:val="clear"/>
          </w:tcPr>
          <w:p>
            <w:r>
              <w:rPr>
                <w:sz w:val="17"/>
              </w:rPr>
              <w:t>5,967</w:t>
            </w:r>
          </w:p>
        </w:tc>
        <w:tc>
          <w:tcPr>
            <w:tcW w:type="dxa" w:w="1440"/>
            <w:shd w:fill="FFDCE0" w:val="clear"/>
          </w:tcPr>
          <w:p>
            <w:r>
              <w:rPr>
                <w:b/>
                <w:color w:val="C00000"/>
                <w:sz w:val="17"/>
              </w:rPr>
              <w:t>-16.7%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179,80 milliards FCFA, ce qui positionne la banque parmi les valeurs moyennes du marché BRVM, avec une liquidité quotidienne relativement faible (6 170 titres par jour). Le BPA de 404 FCFA par action indique que chaque titre génère un bénéfice substantiel, justifiant un PER de 16,2x, nettement supérieur à la moyenne du marché BRVM (8-12x). Cette prime de valorisation reflète la confiance des investisseurs dans la trajectoire de croissance de la banque, mais suggère également un prix d'entrée exigeant. Le P/B de 3,61x confirme cette prime, le marché valorisant la banque bien au-delà de sa valeur comptable (2-4x étant la fourchette de croissance). Enfin, l'EV/EBITDA de 8,6x, dans la fourchette raisonnable de 5-10x, indique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+42,55%, avec une dernière séance en hausse de +0,92% pour clôturer à 6 550 FCFA, son plus haut niveau sur la période. Le titre a évolué dans une fourchette de 4 425 à 6 550 FCFA, démontrant une dynamique haussière soutenue. La moyenne du cours (5 084 FCFA) est supérieure à la médiane (4 895 FCFA), et le skewness positif (0,889) confirme une asymétrie avec davantage de journées sous la moyenne, mais des mouvements de hausse plus amples. L'écart-type de 551 FCFA (CV de 10,8%) indique une dispersion modérée, tandis que le kurtosis de -0,374 (mésokurtique) suggère une distribution proche de la normale, sans risque de pics extrêmes. La volatilité annualisée de 32,1% classe le titre comme très volatil (&gt;30%), reflétant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(MM20 à 5 910 FCFA et MM50 à 5 442,5 FCFA) sont toutes deux inférieures au cours actuel de 6 550 FCFA, confirmant une tendance haussière solide. La configuration en pente ascendante et l'écart positif entre le prix et les moyennes génèrent un signal d'**Achat**, indiquant que la dynamique positive reste intacte à court et moyen terme.</w:t>
      </w:r>
    </w:p>
    <w:p>
      <w:pPr>
        <w:spacing w:after="120" w:line="276" w:lineRule="auto"/>
      </w:pPr>
      <w:r>
        <w:t>Les **Bandes de Bollinger** montrent un cours à 6 550 FCFA, très proche de la borne supérieure (6 604,5 FCFA), indiquant que le titre est en zone de surachat technique. La largeur des bandes reflète une volatilité élevée. La décision est **Neutre**, car si la tendance est forte, le risque de retour vers la moyenne (5 910 FCFA) augmente à mesure que le prix s'approche de la borne supérieure.</w:t>
      </w:r>
    </w:p>
    <w:p>
      <w:pPr>
        <w:spacing w:after="120" w:line="276" w:lineRule="auto"/>
      </w:pPr>
      <w:r>
        <w:t>Le **MACD** affiche une valeur de 271,28 contre un signal à 223,575, avec un histogramme positif et en expansion. Cette configuration haussière indique un momentum positif persistant, justifiant la décision d'**Achat**. La dynamique de fond reste favorable, même si l'écart croissant pourrait précéder une consolidation.</w:t>
      </w:r>
    </w:p>
    <w:p>
      <w:pPr>
        <w:spacing w:after="120" w:line="276" w:lineRule="auto"/>
      </w:pPr>
      <w:r>
        <w:t>Le **RSI** à 91,855 est extrêmement élevé, bien au-delà du seuil de surachat (70). Cette situation signale que le titre est fortement suracheté, avec un risque élevé de correction technique à court terme. La décision est **Vente**, car les acheteurs sont probablement épuisés à ces niveaux de prix.</w:t>
      </w:r>
    </w:p>
    <w:p>
      <w:pPr>
        <w:spacing w:after="120" w:line="276" w:lineRule="auto"/>
      </w:pPr>
      <w:r>
        <w:t>Le **Stochastique** (%K à 100, %D à 98,109) est en zone de surachat extrême depuis plusieurs séances. Le %K au maximum absolu indique que le prix clôture systématiquement au plus haut de la période, une situation insoutenable à moyen terme. La décision est **Vente**, avec un risque imminent de croisement baissier.</w:t>
      </w:r>
    </w:p>
    <w:p>
      <w:pPr>
        <w:spacing w:after="120" w:line="276" w:lineRule="auto"/>
      </w:pPr>
      <w:r>
        <w:t>En conclusion technique, les indicateurs de tendance (MM, MACD) sont positifs, mais les oscillateurs (RSI, Stochastique) hurlent surachat. Cette divergence entre la tendance et le momentum suggère une probabilité élevée de consolidation ou de correction à court terme, même si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(banque) font ressortir un Produit Net Bancaire de 37,996 milliards FCFA, en croissance de 5,08%, et un résultat net de 11,081 milliards FCFA. La rentabilité est excellente avec un ROE de 22,24% (&gt;15%) et un ROA de 1,87%. Le coefficient d'exploitation de 63,14% reste légèrement au-dessus du seuil d'efficacité (&lt;60%), mais le coût du risque de 43,39% (provisions/charges financières) est préoccupant, indiquant un risque de crédit significatif. Les dépôts clientèle (502,89 Mds) couvrent largement les créances clientèle (253,65 Mds), montrant une transformation saine. Les rapports trimestriels 2025 confirment la trajectoire : le T1 affiche un résultat net de 3,021 milliards (+91,2%), le S1 de 6,21 milliards (+28,8%), et le T3 cumulé de 9,16 milliards (+26,2%). Sur la base de ces performances, on estime que le résultat net annuel 2025 devrait dépasser 12 milliards FCFA, soit une croissance de plus de 30% par rapport à 2024 (9,12 milliards). La banque démontre une résilience remarquable dans un contexte malien difficile, avec une amélioration continue de la qualité des actifs et une maîtrise des charges.</w:t>
      </w:r>
    </w:p>
    <w:p>
      <w:pPr>
        <w:spacing w:after="120" w:line="276" w:lineRule="auto" w:before="240"/>
      </w:pPr>
      <w:r>
        <w:rPr>
          <w:b/>
          <w:color w:val="003366"/>
          <w:sz w:val="24"/>
        </w:rPr>
        <w:t>**PARTIE 4 : CONCLUSION D'INVESTISSEMENT**</w:t>
      </w:r>
    </w:p>
    <w:p>
      <w:pPr>
        <w:spacing w:after="120" w:line="276" w:lineRule="auto"/>
      </w:pPr>
      <w:r>
        <w:t>La valorisation de BOAM (PER 16,2x, P/B 3,61x) est exigeante par rapport au marché BRVM, intégrant déjà une forte croissance future. Le comportement du cours (+42,55% en 100 jours) avec une volatilité élevée (32,1%) et un skewness positif montre une dynamique puissante mais potentiellement excessive à court terme. Les signaux techniques sont contradictoires : les indicateurs de tendance (MM, MACD) restent positifs, mais les oscillateurs (RSI 91,9, Stochastique 100) signalent un surachat extrême. Les fondamentaux sont solides avec un ROE de 22,2%, une croissance du résultat net de 26-28% sur les trois premiers trimestres 2025, et une gestion prudente du risque. Les prédictions IA (6 429 à 5 864 FCFA sur 10 jours) anticipent une correction de 10-15%, confirmant les signaux techniques de surachat. Cette convergence entre les oscillateurs techniques et les prédictions IA, malgré des fondamentaux excellents, conduit à une recommandation de **CONSERVER** avec un niveau de confiance **Moyen**. Le risque global est **Élevé** en raison de la volatilité et du contexte géopolitique malien. L'horizon d'investissement optimal serait le **moyen terme (3-12 mois)**, en attendant une correction technique pour renforcer la position à un prix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10,358 titres</w:t>
            </w:r>
          </w:p>
        </w:tc>
        <w:tc>
          <w:tcPr>
            <w:tcW w:type="dxa" w:w="2268"/>
            <w:shd w:fill="FFF2CC" w:val="clear"/>
          </w:tcPr>
          <w:p>
            <w:r>
              <w:rPr>
                <w:b/>
                <w:color w:val="503200"/>
                <w:sz w:val="16"/>
              </w:rPr>
              <w:t xml:space="preserve">Cours actuel : </w:t>
            </w:r>
            <w:r>
              <w:rPr>
                <w:color w:val="000000"/>
                <w:sz w:val="17"/>
              </w:rPr>
              <w:t>5,345 FCFA</w:t>
            </w:r>
          </w:p>
          <w:p>
            <w:r>
              <w:rPr>
                <w:b/>
                <w:color w:val="503200"/>
                <w:sz w:val="16"/>
              </w:rPr>
              <w:t xml:space="preserve">Var. 100 jours : </w:t>
            </w:r>
            <w:r>
              <w:rPr>
                <w:b/>
                <w:color w:val="007800"/>
                <w:sz w:val="17"/>
              </w:rPr>
              <w:t>+102.85%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20.83% (Élevée) — μ=4,063 FCFA, σ=846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β=0.0367 (Défensif) — Cov=0.000001, Var(idx)=0.000034, ρ=0.009,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5,094</w:t>
            </w:r>
          </w:p>
        </w:tc>
        <w:tc>
          <w:tcPr>
            <w:tcW w:type="dxa" w:w="1440"/>
            <w:shd w:fill="FAFAFA" w:val="clear"/>
          </w:tcPr>
          <w:p>
            <w:r>
              <w:rPr>
                <w:b/>
                <w:sz w:val="17"/>
              </w:rPr>
              <w:t>5,285</w:t>
            </w:r>
          </w:p>
        </w:tc>
        <w:tc>
          <w:tcPr>
            <w:tcW w:type="dxa" w:w="1440"/>
            <w:shd w:fill="FAFAFA" w:val="clear"/>
          </w:tcPr>
          <w:p>
            <w:r>
              <w:rPr>
                <w:sz w:val="17"/>
              </w:rPr>
              <w:t>5,476</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5,015</w:t>
            </w:r>
          </w:p>
        </w:tc>
        <w:tc>
          <w:tcPr>
            <w:tcW w:type="dxa" w:w="1440"/>
            <w:shd w:fill="FAFAFA" w:val="clear"/>
          </w:tcPr>
          <w:p>
            <w:r>
              <w:rPr>
                <w:b/>
                <w:sz w:val="17"/>
              </w:rPr>
              <w:t>5,285</w:t>
            </w:r>
          </w:p>
        </w:tc>
        <w:tc>
          <w:tcPr>
            <w:tcW w:type="dxa" w:w="1440"/>
            <w:shd w:fill="FAFAFA" w:val="clear"/>
          </w:tcPr>
          <w:p>
            <w:r>
              <w:rPr>
                <w:sz w:val="17"/>
              </w:rPr>
              <w:t>5,555</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4,945</w:t>
            </w:r>
          </w:p>
        </w:tc>
        <w:tc>
          <w:tcPr>
            <w:tcW w:type="dxa" w:w="1440"/>
            <w:shd w:fill="FAFAFA" w:val="clear"/>
          </w:tcPr>
          <w:p>
            <w:r>
              <w:rPr>
                <w:b/>
                <w:sz w:val="17"/>
              </w:rPr>
              <w:t>5,275</w:t>
            </w:r>
          </w:p>
        </w:tc>
        <w:tc>
          <w:tcPr>
            <w:tcW w:type="dxa" w:w="1440"/>
            <w:shd w:fill="FAFAFA" w:val="clear"/>
          </w:tcPr>
          <w:p>
            <w:r>
              <w:rPr>
                <w:sz w:val="17"/>
              </w:rPr>
              <w:t>5,605</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4,883</w:t>
            </w:r>
          </w:p>
        </w:tc>
        <w:tc>
          <w:tcPr>
            <w:tcW w:type="dxa" w:w="1440"/>
            <w:shd w:fill="FAFAFA" w:val="clear"/>
          </w:tcPr>
          <w:p>
            <w:r>
              <w:rPr>
                <w:b/>
                <w:sz w:val="17"/>
              </w:rPr>
              <w:t>5,263</w:t>
            </w:r>
          </w:p>
        </w:tc>
        <w:tc>
          <w:tcPr>
            <w:tcW w:type="dxa" w:w="1440"/>
            <w:shd w:fill="FAFAFA" w:val="clear"/>
          </w:tcPr>
          <w:p>
            <w:r>
              <w:rPr>
                <w:sz w:val="17"/>
              </w:rPr>
              <w:t>5,644</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2026-09-01</w:t>
            </w:r>
          </w:p>
        </w:tc>
        <w:tc>
          <w:tcPr>
            <w:tcW w:type="dxa" w:w="1440"/>
            <w:shd w:fill="FAFAFA" w:val="clear"/>
          </w:tcPr>
          <w:p>
            <w:r>
              <w:rPr>
                <w:sz w:val="17"/>
              </w:rPr>
              <w:t>4,827</w:t>
            </w:r>
          </w:p>
        </w:tc>
        <w:tc>
          <w:tcPr>
            <w:tcW w:type="dxa" w:w="1440"/>
            <w:shd w:fill="FAFAFA" w:val="clear"/>
          </w:tcPr>
          <w:p>
            <w:r>
              <w:rPr>
                <w:b/>
                <w:sz w:val="17"/>
              </w:rPr>
              <w:t>5,252</w:t>
            </w:r>
          </w:p>
        </w:tc>
        <w:tc>
          <w:tcPr>
            <w:tcW w:type="dxa" w:w="1440"/>
            <w:shd w:fill="FAFAFA" w:val="clear"/>
          </w:tcPr>
          <w:p>
            <w:r>
              <w:rPr>
                <w:sz w:val="17"/>
              </w:rPr>
              <w:t>5,676</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2026-09-02</w:t>
            </w:r>
          </w:p>
        </w:tc>
        <w:tc>
          <w:tcPr>
            <w:tcW w:type="dxa" w:w="1440"/>
            <w:shd w:fill="FAFAFA" w:val="clear"/>
          </w:tcPr>
          <w:p>
            <w:r>
              <w:rPr>
                <w:sz w:val="17"/>
              </w:rPr>
              <w:t>4,776</w:t>
            </w:r>
          </w:p>
        </w:tc>
        <w:tc>
          <w:tcPr>
            <w:tcW w:type="dxa" w:w="1440"/>
            <w:shd w:fill="FAFAFA" w:val="clear"/>
          </w:tcPr>
          <w:p>
            <w:r>
              <w:rPr>
                <w:b/>
                <w:sz w:val="17"/>
              </w:rPr>
              <w:t>5,240</w:t>
            </w:r>
          </w:p>
        </w:tc>
        <w:tc>
          <w:tcPr>
            <w:tcW w:type="dxa" w:w="1440"/>
            <w:shd w:fill="FAFAFA" w:val="clear"/>
          </w:tcPr>
          <w:p>
            <w:r>
              <w:rPr>
                <w:sz w:val="17"/>
              </w:rPr>
              <w:t>5,704</w:t>
            </w:r>
          </w:p>
        </w:tc>
        <w:tc>
          <w:tcPr>
            <w:tcW w:type="dxa" w:w="1440"/>
            <w:shd w:fill="FAFAFA"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4,729</w:t>
            </w:r>
          </w:p>
        </w:tc>
        <w:tc>
          <w:tcPr>
            <w:tcW w:type="dxa" w:w="1440"/>
            <w:shd w:fill="FFDCE0" w:val="clear"/>
          </w:tcPr>
          <w:p>
            <w:r>
              <w:rPr>
                <w:b/>
                <w:sz w:val="17"/>
              </w:rPr>
              <w:t>5,229</w:t>
            </w:r>
          </w:p>
        </w:tc>
        <w:tc>
          <w:tcPr>
            <w:tcW w:type="dxa" w:w="1440"/>
            <w:shd w:fill="FFDCE0" w:val="clear"/>
          </w:tcPr>
          <w:p>
            <w:r>
              <w:rPr>
                <w:sz w:val="17"/>
              </w:rPr>
              <w:t>5,729</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4,684</w:t>
            </w:r>
          </w:p>
        </w:tc>
        <w:tc>
          <w:tcPr>
            <w:tcW w:type="dxa" w:w="1440"/>
            <w:shd w:fill="FFDCE0" w:val="clear"/>
          </w:tcPr>
          <w:p>
            <w:r>
              <w:rPr>
                <w:b/>
                <w:sz w:val="17"/>
              </w:rPr>
              <w:t>5,218</w:t>
            </w:r>
          </w:p>
        </w:tc>
        <w:tc>
          <w:tcPr>
            <w:tcW w:type="dxa" w:w="1440"/>
            <w:shd w:fill="FFDCE0" w:val="clear"/>
          </w:tcPr>
          <w:p>
            <w:r>
              <w:rPr>
                <w:sz w:val="17"/>
              </w:rPr>
              <w:t>5,751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4,642</w:t>
            </w:r>
          </w:p>
        </w:tc>
        <w:tc>
          <w:tcPr>
            <w:tcW w:type="dxa" w:w="1440"/>
            <w:shd w:fill="FFDCE0" w:val="clear"/>
          </w:tcPr>
          <w:p>
            <w:r>
              <w:rPr>
                <w:b/>
                <w:sz w:val="17"/>
              </w:rPr>
              <w:t>5,207</w:t>
            </w:r>
          </w:p>
        </w:tc>
        <w:tc>
          <w:tcPr>
            <w:tcW w:type="dxa" w:w="1440"/>
            <w:shd w:fill="FFDCE0" w:val="clear"/>
          </w:tcPr>
          <w:p>
            <w:r>
              <w:rPr>
                <w:sz w:val="17"/>
              </w:rPr>
              <w:t>5,771</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4,602</w:t>
            </w:r>
          </w:p>
        </w:tc>
        <w:tc>
          <w:tcPr>
            <w:tcW w:type="dxa" w:w="1440"/>
            <w:shd w:fill="FFDCE0" w:val="clear"/>
          </w:tcPr>
          <w:p>
            <w:r>
              <w:rPr>
                <w:b/>
                <w:sz w:val="17"/>
              </w:rPr>
              <w:t>5,196</w:t>
            </w:r>
          </w:p>
        </w:tc>
        <w:tc>
          <w:tcPr>
            <w:tcW w:type="dxa" w:w="1440"/>
            <w:shd w:fill="FFDCE0" w:val="clear"/>
          </w:tcPr>
          <w:p>
            <w:r>
              <w:rPr>
                <w:sz w:val="17"/>
              </w:rPr>
              <w:t>5,790</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111,18 milliards FCFA, un niveau significatif qui la positionne comme une valeur de taille moyenne sur la BRVM, reflétant l'importance systémique de la banque dans le paysage financier nigérien. Le BPA de 20 FCFA par action est extrêmement faible, ce qui explique le PER de 271,8x, un niveau exceptionnellement élevé par rapport à la moyenne du marché BRVM (8-12x). Les investisseurs paient donc un prix très élevé pour des bénéfices actuels minimes, ce qui traduit une anticipation de redressement futur. Le P/B de 3,08x indique que le marché valorise la société à plus de trois fois sa valeur comptable, une prime de croissance significative qui semble difficile à justifier au regard des fondamentaux actuels. Enfin, l'EV/EBITDA de 40,5x est très exigeant, indiquant que la valeur totale de l'entreprise est élevée par rapport à sa capacité opérationnelle, ce qui renforce le caractère spéculatif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performance spectaculaire de +102,85%, avec une dernière séance en hausse de +1,23% à 5 345 FCFA. Le titre a évolué dans une fourchette très large, allant d'un plus bas de 2 620 FCFA à un plus haut de 5 400 FCFA, démontrant un mouvement haussier puissant et continu. La moyenne du cours sur la période est de 4 063 FCFA, tandis que la médiane est de 3 740 FCFA ; l'écart entre ces deux valeurs indique une distribution asymétrique avec une concentration des prix vers le bas de la fourchette, malgré la tendance haussière récente. L'écart-type de 850 FCFA (CV=20,9%) révèle une dispersion modérée des prix autour de la moyenne. Le kurtosis négatif (-1,150) signale une distribution platykurtique, c'est-à-dire une faible concentration des valeurs extrêmes, tandis que le skewness positif (0,202) confirme une légère asymétrie vers les hausses. La volatilité annualisée de 39,5% classe le titre dans la catégorie des valeurs à forte volatilité, ce qui implique un risque élevé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5 345 FCFA se situe nettement au-dessus de la MM20 (5 202 FCFA) et de la MM50 (4 752 FCFA), confirmant une tendance haussière de court et moyen terme. La configuration des moyennes mobiles, avec la MM20 au-dessus de la MM50, valide la dynamique positive et justifie la décision d'achat.</w:t>
      </w:r>
    </w:p>
    <w:p>
      <w:pPr>
        <w:spacing w:after="120" w:line="276" w:lineRule="auto"/>
      </w:pPr>
      <w:r>
        <w:t>**Bandes de Bollinger :** Le prix évolue à 5 345 FCFA, proche de la borne supérieure (5 389 FCFA) et bien au-dessus de la borne inférieure (5 015 FCFA). Cette position indique une pression acheteuse soutenue, mais le titre approche d'une zone de surachat technique. La décision est neutre, car le marché pourrait connaître une consolidation à ces niveaux.</w:t>
      </w:r>
    </w:p>
    <w:p>
      <w:pPr>
        <w:spacing w:after="120" w:line="276" w:lineRule="auto"/>
      </w:pPr>
      <w:r>
        <w:t>**MACD :** La valeur du MACD (115,566) est inférieure à son signal (136,067), ce qui constitue un signal de vente. Cette divergence indique un affaiblissement du momentum haussier à court terme, malgré la tendance générale positive. Les investisseurs doivent surveiller un éventuel croisement baissier.</w:t>
      </w:r>
    </w:p>
    <w:p>
      <w:pPr>
        <w:spacing w:after="120" w:line="276" w:lineRule="auto"/>
      </w:pPr>
      <w:r>
        <w:t>**RSI :** À 62,185, le RSI se situe en zone neutre, mais proche de la zone de surachat (70). Cette valeur suggère que le titre dispose encore d'un potentiel haussier, mais que la prudence est de mise. La décision neutre reflète l'équilibre entre les forces acheteuses et vendeuses.</w:t>
      </w:r>
    </w:p>
    <w:p>
      <w:pPr>
        <w:spacing w:after="120" w:line="276" w:lineRule="auto"/>
      </w:pPr>
      <w:r>
        <w:t>**Stochastique :** Le %K (100,0) et le %D (93,798) sont tous deux à des niveaux extrêmement élevés, indiquant une condition de surachat sévère. Ce signal de vente suggère qu'un repli technique est probable à très court terme, car le marché est survendu.</w:t>
      </w:r>
    </w:p>
    <w:p>
      <w:pPr>
        <w:spacing w:after="120" w:line="276" w:lineRule="auto"/>
      </w:pPr>
      <w:r>
        <w:t>**Conclusion technique :** Les indicateurs techniques sont mitigés. Les moyennes mobiles confirment la tendance haussière de fond, mais le MACD, le RSI et le Stochastique signalent tous une fatigue du mouvement à court terme. La probabilité d'une consolidation ou d'un léger repli est élevée avant la poursuite éventuelle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BOAN révèlent une situation financière très dégradée. Le Produit Net Bancaire (PNB) s'établit à 21,125 milliards FCFA, en légère baisse de 1,2% par rapport à 2024 (21,380 milliards FCFA). Le résultat net est en chute libre de 91,8%, passant de 5,002 milliards FCFA en 2024 à seulement 409 millions FCFA en 2025. Cette contre-performance se reflète dans les ratios de rentabilité : le ROE s'effondre à 1,13% et le ROA à 0,14%, contre respectivement 11,39% et 1,49% l'année précédente. Le coefficient d'exploitation de 74,37% est préoccupant, bien au-dessus du seuil de 60% considéré comme efficace pour une banque, indiquant une mauvaise maîtrise des charges. Le coût du risque est élevé (67,30%), reflétant la détérioration de la qualité du portefeuille de crédits, avec un taux de créances en souffrance sectoriel de 24%. Les dépôts clientèle (183,28 milliards FCFA) restent supérieurs aux créances sur la clientèle (128,447 milliards FCFA), mais la contraction des crédits de 20,9% témoigne d'une politique de prudence extrême. Les rapports trimestriels 2025 confirment cette tendance : le T1 2025 montre une chute du PNB de 16,3% et du résultat net de 50,2%, tandis que le S1 2025 enregistre une baisse de 4,1% du PNB et de 25,2% du résultat net. Cependant, le rapport T1 2026, daté de 2026, indique une nette amélioration : le résultat net progresse de 28,9% à 1 467,3 millions FCFA, le PNB de 7,9% à 5 170 millions FCFA, et le coefficient d'exploitation s'améliore à 56,2%. Sur la base de ces données trimestrielles, on estime que l'exercice 2026 devrait confirmer le redressement, avec un objectif budgétaire de PNB à 22,327 milliards FCFA (+6,4%) et un résultat avant impôts de 7,28 milliards FCFA, soit une multiplication par six. La banque bénéficie du soutien du groupe Bank of Africa et d'un contexte macroéconomique nigérien en amélioration (croissance du PIB de 6,6% en 2025, prévision de 7% pour 2026-2029), mais les risques de crédit et l'instabilité politique demeurent des facteurs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avec un PER de 271,8x et un EV/EBITDA de 40,5x, indiquant une forte surévaluation par rapport aux bénéfices actuels, bien que le P/B de 3,08x reflète une certaine confiance dans les actifs. Le comportement du cours sur 100 jours est spectaculairement haussier (+102,85%), avec une volatilité élevée (39,5%) et une distribution statistique suggérant une poursuite possible mais risquée. Les signaux techniques sont mitigés : la tendance de fond reste positive via les moyennes mobiles, mais les indicateurs de momentum (MACD, RSI, Stochastique) signalent un essoufflement à court terme. Les fondamentaux montrent une amélioration nette au T1 2026, avec un résultat net en hausse de 28,9%, mais la base de comparaison est très faible après l'effondrement de 2025. Les prédictions IA pour les 10 prochains jours (5 285 à 5 252 FCFA) suggèrent une légère correction, en ligne avec les signaux techniques de surachat. En synthèse, la convergence entre la valorisation excessive, les signaux techniques de surachat et les prédictions IA baissières, malgré l'amélioration fondamentale, conduit à une recommandation de **CONSERVER** avec un niveau de confiance **Moyen** et un risque global **Élevé**. L'horizon d'investissement optimal serait le **moyen terme (3-12 mois)**, en attendant la confirmation du redressement fondamental et une correction du cours vers des niveaux plus raisonnables.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306.00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9,239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+28.98%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6,590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5.34% (Moyenne) — μ=7,369 FCFA, σ=394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β=0.3432 (Défensif) — Cov=0.000012, Var(idx)=0.000034, ρ=0.128,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7,895</w:t>
            </w:r>
          </w:p>
        </w:tc>
        <w:tc>
          <w:tcPr>
            <w:tcW w:type="dxa" w:w="1440"/>
            <w:shd w:fill="FFDCE0" w:val="clear"/>
          </w:tcPr>
          <w:p>
            <w:r>
              <w:rPr>
                <w:b/>
                <w:sz w:val="17"/>
              </w:rPr>
              <w:t>8,133</w:t>
            </w:r>
          </w:p>
        </w:tc>
        <w:tc>
          <w:tcPr>
            <w:tcW w:type="dxa" w:w="1440"/>
            <w:shd w:fill="FFDCE0" w:val="clear"/>
          </w:tcPr>
          <w:p>
            <w:r>
              <w:rPr>
                <w:sz w:val="17"/>
              </w:rPr>
              <w:t>8,371</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7,658</w:t>
            </w:r>
          </w:p>
        </w:tc>
        <w:tc>
          <w:tcPr>
            <w:tcW w:type="dxa" w:w="1440"/>
            <w:shd w:fill="FFDCE0" w:val="clear"/>
          </w:tcPr>
          <w:p>
            <w:r>
              <w:rPr>
                <w:b/>
                <w:sz w:val="17"/>
              </w:rPr>
              <w:t>7,989</w:t>
            </w:r>
          </w:p>
        </w:tc>
        <w:tc>
          <w:tcPr>
            <w:tcW w:type="dxa" w:w="1440"/>
            <w:shd w:fill="FFDCE0" w:val="clear"/>
          </w:tcPr>
          <w:p>
            <w:r>
              <w:rPr>
                <w:sz w:val="17"/>
              </w:rPr>
              <w:t>8,320</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7,436</w:t>
            </w:r>
          </w:p>
        </w:tc>
        <w:tc>
          <w:tcPr>
            <w:tcW w:type="dxa" w:w="1440"/>
            <w:shd w:fill="FFDCE0" w:val="clear"/>
          </w:tcPr>
          <w:p>
            <w:r>
              <w:rPr>
                <w:b/>
                <w:sz w:val="17"/>
              </w:rPr>
              <w:t>7,834</w:t>
            </w:r>
          </w:p>
        </w:tc>
        <w:tc>
          <w:tcPr>
            <w:tcW w:type="dxa" w:w="1440"/>
            <w:shd w:fill="FFDCE0" w:val="clear"/>
          </w:tcPr>
          <w:p>
            <w:r>
              <w:rPr>
                <w:sz w:val="17"/>
              </w:rPr>
              <w:t>8,231</w:t>
            </w:r>
          </w:p>
        </w:tc>
        <w:tc>
          <w:tcPr>
            <w:tcW w:type="dxa" w:w="1440"/>
            <w:shd w:fill="FFDCE0" w:val="clear"/>
          </w:tcPr>
          <w:p>
            <w:r>
              <w:rPr>
                <w:b/>
                <w:color w:val="C00000"/>
                <w:sz w:val="17"/>
              </w:rPr>
              <w:t>-7.8%</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7,249</w:t>
            </w:r>
          </w:p>
        </w:tc>
        <w:tc>
          <w:tcPr>
            <w:tcW w:type="dxa" w:w="1440"/>
            <w:shd w:fill="FFDCE0" w:val="clear"/>
          </w:tcPr>
          <w:p>
            <w:r>
              <w:rPr>
                <w:b/>
                <w:sz w:val="17"/>
              </w:rPr>
              <w:t>7,700</w:t>
            </w:r>
          </w:p>
        </w:tc>
        <w:tc>
          <w:tcPr>
            <w:tcW w:type="dxa" w:w="1440"/>
            <w:shd w:fill="FFDCE0" w:val="clear"/>
          </w:tcPr>
          <w:p>
            <w:r>
              <w:rPr>
                <w:sz w:val="17"/>
              </w:rPr>
              <w:t>8,150</w:t>
            </w:r>
          </w:p>
        </w:tc>
        <w:tc>
          <w:tcPr>
            <w:tcW w:type="dxa" w:w="1440"/>
            <w:shd w:fill="FFDCE0" w:val="clear"/>
          </w:tcPr>
          <w:p>
            <w:r>
              <w:rPr>
                <w:b/>
                <w:color w:val="C00000"/>
                <w:sz w:val="17"/>
              </w:rPr>
              <w:t>-9.4%</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7,081</w:t>
            </w:r>
          </w:p>
        </w:tc>
        <w:tc>
          <w:tcPr>
            <w:tcW w:type="dxa" w:w="1440"/>
            <w:shd w:fill="FFDCE0" w:val="clear"/>
          </w:tcPr>
          <w:p>
            <w:r>
              <w:rPr>
                <w:b/>
                <w:sz w:val="17"/>
              </w:rPr>
              <w:t>7,577</w:t>
            </w:r>
          </w:p>
        </w:tc>
        <w:tc>
          <w:tcPr>
            <w:tcW w:type="dxa" w:w="1440"/>
            <w:shd w:fill="FFDCE0" w:val="clear"/>
          </w:tcPr>
          <w:p>
            <w:r>
              <w:rPr>
                <w:sz w:val="17"/>
              </w:rPr>
              <w:t>8,073</w:t>
            </w:r>
          </w:p>
        </w:tc>
        <w:tc>
          <w:tcPr>
            <w:tcW w:type="dxa" w:w="1440"/>
            <w:shd w:fill="FFDCE0" w:val="clear"/>
          </w:tcPr>
          <w:p>
            <w:r>
              <w:rPr>
                <w:b/>
                <w:color w:val="C00000"/>
                <w:sz w:val="17"/>
              </w:rPr>
              <w:t>-10.9%</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6,927</w:t>
            </w:r>
          </w:p>
        </w:tc>
        <w:tc>
          <w:tcPr>
            <w:tcW w:type="dxa" w:w="1440"/>
            <w:shd w:fill="FFDCE0" w:val="clear"/>
          </w:tcPr>
          <w:p>
            <w:r>
              <w:rPr>
                <w:b/>
                <w:sz w:val="17"/>
              </w:rPr>
              <w:t>7,462</w:t>
            </w:r>
          </w:p>
        </w:tc>
        <w:tc>
          <w:tcPr>
            <w:tcW w:type="dxa" w:w="1440"/>
            <w:shd w:fill="FFDCE0" w:val="clear"/>
          </w:tcPr>
          <w:p>
            <w:r>
              <w:rPr>
                <w:sz w:val="17"/>
              </w:rPr>
              <w:t>7,998</w:t>
            </w:r>
          </w:p>
        </w:tc>
        <w:tc>
          <w:tcPr>
            <w:tcW w:type="dxa" w:w="1440"/>
            <w:shd w:fill="FFDCE0" w:val="clear"/>
          </w:tcPr>
          <w:p>
            <w:r>
              <w:rPr>
                <w:b/>
                <w:color w:val="C00000"/>
                <w:sz w:val="17"/>
              </w:rPr>
              <w:t>-12.2%</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6,784</w:t>
            </w:r>
          </w:p>
        </w:tc>
        <w:tc>
          <w:tcPr>
            <w:tcW w:type="dxa" w:w="1440"/>
            <w:shd w:fill="FFDCE0" w:val="clear"/>
          </w:tcPr>
          <w:p>
            <w:r>
              <w:rPr>
                <w:b/>
                <w:sz w:val="17"/>
              </w:rPr>
              <w:t>7,354</w:t>
            </w:r>
          </w:p>
        </w:tc>
        <w:tc>
          <w:tcPr>
            <w:tcW w:type="dxa" w:w="1440"/>
            <w:shd w:fill="FFDCE0" w:val="clear"/>
          </w:tcPr>
          <w:p>
            <w:r>
              <w:rPr>
                <w:sz w:val="17"/>
              </w:rPr>
              <w:t>7,924</w:t>
            </w:r>
          </w:p>
        </w:tc>
        <w:tc>
          <w:tcPr>
            <w:tcW w:type="dxa" w:w="1440"/>
            <w:shd w:fill="FFDCE0" w:val="clear"/>
          </w:tcPr>
          <w:p>
            <w:r>
              <w:rPr>
                <w:b/>
                <w:color w:val="C00000"/>
                <w:sz w:val="17"/>
              </w:rPr>
              <w:t>-13.5%</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6,651</w:t>
            </w:r>
          </w:p>
        </w:tc>
        <w:tc>
          <w:tcPr>
            <w:tcW w:type="dxa" w:w="1440"/>
            <w:shd w:fill="FFDCE0" w:val="clear"/>
          </w:tcPr>
          <w:p>
            <w:r>
              <w:rPr>
                <w:b/>
                <w:sz w:val="17"/>
              </w:rPr>
              <w:t>7,252</w:t>
            </w:r>
          </w:p>
        </w:tc>
        <w:tc>
          <w:tcPr>
            <w:tcW w:type="dxa" w:w="1440"/>
            <w:shd w:fill="FFDCE0" w:val="clear"/>
          </w:tcPr>
          <w:p>
            <w:r>
              <w:rPr>
                <w:sz w:val="17"/>
              </w:rPr>
              <w:t>7,853</w:t>
            </w:r>
          </w:p>
        </w:tc>
        <w:tc>
          <w:tcPr>
            <w:tcW w:type="dxa" w:w="1440"/>
            <w:shd w:fill="FFDCE0" w:val="clear"/>
          </w:tcPr>
          <w:p>
            <w:r>
              <w:rPr>
                <w:b/>
                <w:color w:val="C00000"/>
                <w:sz w:val="17"/>
              </w:rPr>
              <w:t>-14.7%</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6,527</w:t>
            </w:r>
          </w:p>
        </w:tc>
        <w:tc>
          <w:tcPr>
            <w:tcW w:type="dxa" w:w="1440"/>
            <w:shd w:fill="FFDCE0" w:val="clear"/>
          </w:tcPr>
          <w:p>
            <w:r>
              <w:rPr>
                <w:b/>
                <w:sz w:val="17"/>
              </w:rPr>
              <w:t>7,155</w:t>
            </w:r>
          </w:p>
        </w:tc>
        <w:tc>
          <w:tcPr>
            <w:tcW w:type="dxa" w:w="1440"/>
            <w:shd w:fill="FFDCE0" w:val="clear"/>
          </w:tcPr>
          <w:p>
            <w:r>
              <w:rPr>
                <w:sz w:val="17"/>
              </w:rPr>
              <w:t>7,784</w:t>
            </w:r>
          </w:p>
        </w:tc>
        <w:tc>
          <w:tcPr>
            <w:tcW w:type="dxa" w:w="1440"/>
            <w:shd w:fill="FFDCE0" w:val="clear"/>
          </w:tcPr>
          <w:p>
            <w:r>
              <w:rPr>
                <w:b/>
                <w:color w:val="C00000"/>
                <w:sz w:val="17"/>
              </w:rPr>
              <w:t>-15.8%</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6,410</w:t>
            </w:r>
          </w:p>
        </w:tc>
        <w:tc>
          <w:tcPr>
            <w:tcW w:type="dxa" w:w="1440"/>
            <w:shd w:fill="FFDCE0" w:val="clear"/>
          </w:tcPr>
          <w:p>
            <w:r>
              <w:rPr>
                <w:b/>
                <w:sz w:val="17"/>
              </w:rPr>
              <w:t>7,064</w:t>
            </w:r>
          </w:p>
        </w:tc>
        <w:tc>
          <w:tcPr>
            <w:tcW w:type="dxa" w:w="1440"/>
            <w:shd w:fill="FFDCE0" w:val="clear"/>
          </w:tcPr>
          <w:p>
            <w:r>
              <w:rPr>
                <w:sz w:val="17"/>
              </w:rPr>
              <w:t>7,718</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306 milliards FCFA, ce qui en fait une valeur de première ligne sur la BRVM, représentant un poids significatif dans l'indice bancaire régional. Avec un BPA de 608 FCFA, chaque action génère un bénéfice substantiel, justifiant un PER de 14,0x. Ce ratio est supérieur à la moyenne historique de la BRVM (8-12x), indiquant que le marché valorise déjà une prime de croissance et de qualité sur le titre. Le P/B de 3,17x confirme cette lecture, le marché payant plus de trois fois la valeur comptable des actifs, une prime accordée aux banques performantes et bien gérées. Enfin, un EV/EBITDA de 9,1x, dans la fourchette haute des valeurs « raisonnables » (5-10x), suggère que la valorisation actuelle intègre des perspectives de croissance solides, sans pour autant atteindre des niveaux de surévaluation extrême.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spectaculaire de +28,98%, avec une accélération marquée lors de la dernière séance (+6,25% en une journée). Le titre évolue dans une fourchette de 6 590 à 8 500 FCFA, atteignant actuellement son plus haut niveau sur la période, ce qui démontre une dynamique haussière très forte. Les statistiques descriptives révèlent une distribution des cours relativement symétrique (skewness de -0,093) et mésokurtique (kurtosis de -0,350), indiquant une absence de pics de volatilité anormaux et un comportement de prix proche d'une distribution normale. La moyenne (7 369 FCFA) et la médiane (7 370 FCFA) sont quasi identiques, confirmant cette symétrie. L'écart-type de 396 FCFA (CV=5,4%) montre une dispersion modérée des prix autour de la moyenne. Enfin, la volatilité annualisée de 24,7% classe le titre dans une catégorie de risque modéré, typique des valeurs bancaires de la région.</w:t>
      </w:r>
    </w:p>
    <w:p>
      <w:pPr>
        <w:spacing w:after="120" w:line="276" w:lineRule="auto" w:before="240"/>
      </w:pPr>
      <w:r>
        <w:rPr>
          <w:b/>
          <w:color w:val="003366"/>
          <w:sz w:val="24"/>
        </w:rPr>
        <w:t>**PARTIE 2 : ANALYSE TECHNIQUE DÉTAILLÉE**</w:t>
      </w:r>
    </w:p>
    <w:p>
      <w:pPr>
        <w:spacing w:after="120" w:line="276" w:lineRule="auto"/>
      </w:pPr>
      <w:r>
        <w:t>Les **Moyennes Mobiles** (MM20 à 7 821 FCFA et MM50 à 7 563 FCFA) sont toutes deux largement dépassées par le cours actuel de 8 500 FCFA. Cette configuration haussière, où le prix se situe nettement au-dessus de ses moyennes, confirme une tendance de fond positive. La décision d'« Achat » est justifiée par la vigueur de la tendance, bien que l'écart important avec les moyennes suggère une possible consolidation à court terme.</w:t>
      </w:r>
    </w:p>
    <w:p>
      <w:pPr>
        <w:spacing w:after="120" w:line="276" w:lineRule="auto"/>
      </w:pPr>
      <w:r>
        <w:t>Les **Bandes de Bollinger** montrent un cours (8 500 FCFA) qui a franchi la borne supérieure (8 218 FCFA). Cette sortie de bande est un signal classique de surachat temporaire et d'extension excessive de la volatilité. La décision de « Vente » qui en découle est un avertissement technique indiquant que le titre est statistiquement étiré et pourrait subir un repli technique vers la moyenne mobile ou la borne supérieure.</w:t>
      </w:r>
    </w:p>
    <w:p>
      <w:pPr>
        <w:spacing w:after="120" w:line="276" w:lineRule="auto"/>
      </w:pPr>
      <w:r>
        <w:t>Le **MACD** affiche une valeur de 141,15, nettement au-dessus de sa ligne de signal (88,55). Cette divergence positive et l'écart croissant entre les deux lignes indiquent un momentum haussier puissant. La décision d'« Achat » est cohérente avec la dynamique actuelle, le MACD confirmant la force de la tendance en cours.</w:t>
      </w:r>
    </w:p>
    <w:p>
      <w:pPr>
        <w:spacing w:after="120" w:line="276" w:lineRule="auto"/>
      </w:pPr>
      <w:r>
        <w:t>Le **RSI** s'établit à 85,9, un niveau extrêmement élevé, bien au-delà du seuil de surachat de 70. Cette valeur indique que le titre est massivement suracheté à court terme. La décision de « Vente » est un signal d'alerte fort, suggérant une probabilité élevée de correction ou, à minima, de consolidation dans les prochaines séances.</w:t>
      </w:r>
    </w:p>
    <w:p>
      <w:pPr>
        <w:spacing w:after="120" w:line="276" w:lineRule="auto"/>
      </w:pPr>
      <w:r>
        <w:t>Le **Stochastique** est également bloqué à 100% pour %K et %D, confirmant la condition de surachat extrême. Cette configuration, où les deux lignes sont à leur maximum, indique que la pression acheteuse a été si intense qu'elle a épuisé le potentiel haussier immédiat. La décision de « Vente » reflète ce risque de retournement technique.</w:t>
      </w:r>
    </w:p>
    <w:p>
      <w:pPr>
        <w:spacing w:after="120" w:line="276" w:lineRule="auto"/>
      </w:pPr>
      <w:r>
        <w:t>En conclusion technique, le titre BOAS présente une configuration paradoxale : une tendance de fond résolument haussière (MM, MACD) mais des indicateurs de momentum (RSI, Stochastique, Bollinger) hurlant au surachat. Ce mélange signale une force sous-jacente indéniable, mais avec un risque élevé de correction technique à très court terme. Un investisseur avisé pourrait attendre un repli vers la zone des 7 800-8 000 FCFA pour renforcer une position, plutôt que de courir après le cours actuel.</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BOAS (base brvm_donnees_financieres) font état d'un Produit Net Bancaire (PNB) de 51,926 milliards FCFA et d'un résultat net de 21,905 milliards FCFA, soit une marge nette exceptionnelle de 42,2%. La banque affiche une rentabilité des fonds propres (ROE) de 22,7%, un niveau excellent qui témoigne d'une gestion très efficace, et un ROA de 2,6%. Le coefficient d'exploitation de 44,0% est remarquable, bien en dessous du seuil de 60% considéré comme le standard d'efficacité dans le secteur bancaire. Le coût du risque, à 23,3% des charges financières, reste un point de vigilance, indiquant un risque de crédit significatif, bien que les rapports trimestriels montrent une amélioration. Les dépôts clientèle (686,9 Mds FCFA) couvrent très largement les créances sur la clientèle (386,4 Mds FCFA), assurant une liquidité abondante. Les rapports trimestriels de 2025 confirment cette trajectoire : au T1, le PNB progressait de 2,4% et le résultat net de 9,3% ; au S1, la croissance s'est accélérée (+6,8% PNB, +12,7% résultat net) ; au T3, le PNB cumulé atteignait 37,44 Mds FCFA (+6,7%) et le résultat net 16,37 Mds FCFA (+10,0%). Sur la base de ces tendances, on estime que l'exercice 2025 devrait se clôturer avec un résultat net proche de 22-23 Mds FCFA, en ligne avec les données annuelles. Les rapports de 2026 (T1) montrent une poursuite de la dynamique avec un PNB de 12,58 Mds FCFA (+6,8%) et un résultat net de 5,74 Mds FCFA (+9,8%). La banque est fondamentalement solide, avec une croissance rentable et une amélioration continue de son efficacité opérationnelle.</w:t>
      </w:r>
    </w:p>
    <w:p>
      <w:pPr>
        <w:spacing w:after="120" w:line="276" w:lineRule="auto" w:before="240"/>
      </w:pPr>
      <w:r>
        <w:rPr>
          <w:b/>
          <w:color w:val="003366"/>
          <w:sz w:val="24"/>
        </w:rPr>
        <w:t>**PARTIE 4 : CONCLUSION D'INVESTISSEMENT**</w:t>
      </w:r>
    </w:p>
    <w:p>
      <w:pPr>
        <w:spacing w:after="120" w:line="276" w:lineRule="auto"/>
      </w:pPr>
      <w:r>
        <w:t>La valorisation de BOAS (PER 14x, P/B 3,17x) est exigeante mais justifiée par la qualité exceptionnelle des fondamentaux, la croissance à deux chiffres du résultat net et un ROE de 22,7%. Le comportement du cours, avec une hausse de 29% en 100 jours et une volatilité modérée (24,7%), reflète une confiance croissante des investisseurs, mais les statistiques de distribution (symétrie, mésokurtique) suggèrent un mouvement rationnel plutôt qu'une bulle spéculative. Les signaux techniques sont paradoxalement partagés : la tendance de fond (MM, MACD) est haussière, mais les indicateurs de surachat (RSI à 85,9, Stochastique à 100%, sortie des bandes de Bollinger) sont extrêmement tendus. Les fondamentaux, eux, sont indiscutablement solides, avec une banque performante, efficace et en croissance soutenue. Les prédictions IA pour les 10 prochains jours (8 133 à 7 577 FCFA) confirment le scénario d'une correction technique à court terme, anticipant un repli d'environ 10% par rapport au cours actuel. Cette convergence entre les signaux techniques de surachat et les prédictions IA suggère qu'il est prudent d'attendre un point d'entrée plus favorable. **Recommandation finale : CONSERVER**, avec un niveau de confiance **Moyen** et un risque global **Moyen**. L'horizon d'investissement optimal est le **moyen terme (3-12 mois)**, en attendant une correction technique pour renforcer les positions, tout en capitalisant sur la solidité fondamentale de la banque à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21.43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2,352 titres</w:t>
            </w:r>
          </w:p>
        </w:tc>
        <w:tc>
          <w:tcPr>
            <w:tcW w:type="dxa" w:w="2268"/>
            <w:shd w:fill="FFF2CC" w:val="clear"/>
          </w:tcPr>
          <w:p>
            <w:r>
              <w:rPr>
                <w:b/>
                <w:color w:val="503200"/>
                <w:sz w:val="16"/>
              </w:rPr>
              <w:t xml:space="preserve">Cours actuel : </w:t>
            </w:r>
            <w:r>
              <w:rPr>
                <w:color w:val="000000"/>
                <w:sz w:val="17"/>
              </w:rPr>
              <w:t>3,620 FCFA</w:t>
            </w:r>
          </w:p>
          <w:p>
            <w:r>
              <w:rPr>
                <w:b/>
                <w:color w:val="503200"/>
                <w:sz w:val="16"/>
              </w:rPr>
              <w:t xml:space="preserve">Var. 100 jours : </w:t>
            </w:r>
            <w:r>
              <w:rPr>
                <w:b/>
                <w:color w:val="007800"/>
                <w:sz w:val="17"/>
              </w:rPr>
              <w:t>+11.38%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3,250 FCFA</w:t>
            </w:r>
          </w:p>
          <w:p>
            <w:r>
              <w:rPr>
                <w:b/>
                <w:color w:val="503200"/>
                <w:sz w:val="16"/>
              </w:rPr>
              <w:t xml:space="preserve">Volatilité ann. : </w:t>
            </w:r>
            <w:r>
              <w:rPr>
                <w:color w:val="000000"/>
                <w:sz w:val="17"/>
              </w:rPr>
              <w:t>55.7%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μ=3,770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β=-0.0453 (Contre-cyclique) — Cov=-0.000002, Var(idx)=0.000034, ρ=-0.008,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2026-08-25</w:t>
            </w:r>
          </w:p>
        </w:tc>
        <w:tc>
          <w:tcPr>
            <w:tcW w:type="dxa" w:w="1440"/>
            <w:shd w:fill="C6EFCE" w:val="clear"/>
          </w:tcPr>
          <w:p>
            <w:r>
              <w:rPr>
                <w:sz w:val="17"/>
              </w:rPr>
              <w:t>3,615</w:t>
            </w:r>
          </w:p>
        </w:tc>
        <w:tc>
          <w:tcPr>
            <w:tcW w:type="dxa" w:w="1440"/>
            <w:shd w:fill="C6EFCE" w:val="clear"/>
          </w:tcPr>
          <w:p>
            <w:r>
              <w:rPr>
                <w:b/>
                <w:sz w:val="17"/>
              </w:rPr>
              <w:t>3,770</w:t>
            </w:r>
          </w:p>
        </w:tc>
        <w:tc>
          <w:tcPr>
            <w:tcW w:type="dxa" w:w="1440"/>
            <w:shd w:fill="C6EFCE" w:val="clear"/>
          </w:tcPr>
          <w:p>
            <w:r>
              <w:rPr>
                <w:sz w:val="17"/>
              </w:rPr>
              <w:t>3,925</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2026-08-27</w:t>
            </w:r>
          </w:p>
        </w:tc>
        <w:tc>
          <w:tcPr>
            <w:tcW w:type="dxa" w:w="1440"/>
            <w:shd w:fill="C6EFCE" w:val="clear"/>
          </w:tcPr>
          <w:p>
            <w:r>
              <w:rPr>
                <w:sz w:val="17"/>
              </w:rPr>
              <w:t>3,690</w:t>
            </w:r>
          </w:p>
        </w:tc>
        <w:tc>
          <w:tcPr>
            <w:tcW w:type="dxa" w:w="1440"/>
            <w:shd w:fill="C6EFCE" w:val="clear"/>
          </w:tcPr>
          <w:p>
            <w:r>
              <w:rPr>
                <w:b/>
                <w:sz w:val="17"/>
              </w:rPr>
              <w:t>3,918</w:t>
            </w:r>
          </w:p>
        </w:tc>
        <w:tc>
          <w:tcPr>
            <w:tcW w:type="dxa" w:w="1440"/>
            <w:shd w:fill="C6EFCE" w:val="clear"/>
          </w:tcPr>
          <w:p>
            <w:r>
              <w:rPr>
                <w:sz w:val="17"/>
              </w:rPr>
              <w:t>4,146</w:t>
            </w:r>
          </w:p>
        </w:tc>
        <w:tc>
          <w:tcPr>
            <w:tcW w:type="dxa" w:w="1440"/>
            <w:shd w:fill="C6EFCE" w:val="clear"/>
          </w:tcPr>
          <w:p>
            <w:r>
              <w:rPr>
                <w:b/>
                <w:color w:val="008000"/>
                <w:sz w:val="17"/>
              </w:rPr>
              <w:t>+8.2%</w:t>
            </w:r>
          </w:p>
        </w:tc>
      </w:tr>
      <w:tr>
        <w:tc>
          <w:tcPr>
            <w:tcW w:type="dxa" w:w="1440"/>
            <w:shd w:fill="C6EFCE" w:val="clear"/>
          </w:tcPr>
          <w:p>
            <w:r>
              <w:rPr>
                <w:sz w:val="17"/>
              </w:rPr>
              <w:t>J+3  Moyenne</w:t>
            </w:r>
          </w:p>
        </w:tc>
        <w:tc>
          <w:tcPr>
            <w:tcW w:type="dxa" w:w="1440"/>
            <w:shd w:fill="C6EFCE" w:val="clear"/>
          </w:tcPr>
          <w:p>
            <w:r>
              <w:rPr>
                <w:sz w:val="17"/>
              </w:rPr>
              <w:t>2026-08-28</w:t>
            </w:r>
          </w:p>
        </w:tc>
        <w:tc>
          <w:tcPr>
            <w:tcW w:type="dxa" w:w="1440"/>
            <w:shd w:fill="C6EFCE" w:val="clear"/>
          </w:tcPr>
          <w:p>
            <w:r>
              <w:rPr>
                <w:sz w:val="17"/>
              </w:rPr>
              <w:t>3,813</w:t>
            </w:r>
          </w:p>
        </w:tc>
        <w:tc>
          <w:tcPr>
            <w:tcW w:type="dxa" w:w="1440"/>
            <w:shd w:fill="C6EFCE" w:val="clear"/>
          </w:tcPr>
          <w:p>
            <w:r>
              <w:rPr>
                <w:b/>
                <w:sz w:val="17"/>
              </w:rPr>
              <w:t>4,105</w:t>
            </w:r>
          </w:p>
        </w:tc>
        <w:tc>
          <w:tcPr>
            <w:tcW w:type="dxa" w:w="1440"/>
            <w:shd w:fill="C6EFCE" w:val="clear"/>
          </w:tcPr>
          <w:p>
            <w:r>
              <w:rPr>
                <w:sz w:val="17"/>
              </w:rPr>
              <w:t>4,398</w:t>
            </w:r>
          </w:p>
        </w:tc>
        <w:tc>
          <w:tcPr>
            <w:tcW w:type="dxa" w:w="1440"/>
            <w:shd w:fill="C6EFCE" w:val="clear"/>
          </w:tcPr>
          <w:p>
            <w:r>
              <w:rPr>
                <w:b/>
                <w:color w:val="008000"/>
                <w:sz w:val="17"/>
              </w:rPr>
              <w:t>+13.4%</w:t>
            </w:r>
          </w:p>
        </w:tc>
      </w:tr>
      <w:tr>
        <w:tc>
          <w:tcPr>
            <w:tcW w:type="dxa" w:w="1440"/>
            <w:shd w:fill="C6EFCE" w:val="clear"/>
          </w:tcPr>
          <w:p>
            <w:r>
              <w:rPr>
                <w:sz w:val="17"/>
              </w:rPr>
              <w:t>J+4  ⭐</w:t>
            </w:r>
          </w:p>
        </w:tc>
        <w:tc>
          <w:tcPr>
            <w:tcW w:type="dxa" w:w="1440"/>
            <w:shd w:fill="C6EFCE" w:val="clear"/>
          </w:tcPr>
          <w:p>
            <w:r>
              <w:rPr>
                <w:sz w:val="17"/>
              </w:rPr>
              <w:t>2026-08-31</w:t>
            </w:r>
          </w:p>
        </w:tc>
        <w:tc>
          <w:tcPr>
            <w:tcW w:type="dxa" w:w="1440"/>
            <w:shd w:fill="C6EFCE" w:val="clear"/>
          </w:tcPr>
          <w:p>
            <w:r>
              <w:rPr>
                <w:sz w:val="17"/>
              </w:rPr>
              <w:t>3,969</w:t>
            </w:r>
          </w:p>
        </w:tc>
        <w:tc>
          <w:tcPr>
            <w:tcW w:type="dxa" w:w="1440"/>
            <w:shd w:fill="C6EFCE" w:val="clear"/>
          </w:tcPr>
          <w:p>
            <w:r>
              <w:rPr>
                <w:b/>
                <w:sz w:val="17"/>
              </w:rPr>
              <w:t>4,324</w:t>
            </w:r>
          </w:p>
        </w:tc>
        <w:tc>
          <w:tcPr>
            <w:tcW w:type="dxa" w:w="1440"/>
            <w:shd w:fill="C6EFCE" w:val="clear"/>
          </w:tcPr>
          <w:p>
            <w:r>
              <w:rPr>
                <w:sz w:val="17"/>
              </w:rPr>
              <w:t>4,680</w:t>
            </w:r>
          </w:p>
        </w:tc>
        <w:tc>
          <w:tcPr>
            <w:tcW w:type="dxa" w:w="1440"/>
            <w:shd w:fill="C6EFCE" w:val="clear"/>
          </w:tcPr>
          <w:p>
            <w:r>
              <w:rPr>
                <w:b/>
                <w:color w:val="008000"/>
                <w:sz w:val="17"/>
              </w:rPr>
              <w:t>+19.5%</w:t>
            </w:r>
          </w:p>
        </w:tc>
      </w:tr>
      <w:tr>
        <w:tc>
          <w:tcPr>
            <w:tcW w:type="dxa" w:w="1440"/>
            <w:shd w:fill="C6EFCE" w:val="clear"/>
          </w:tcPr>
          <w:p>
            <w:r>
              <w:rPr>
                <w:sz w:val="17"/>
              </w:rPr>
              <w:t>J+5  ⭐</w:t>
            </w:r>
          </w:p>
        </w:tc>
        <w:tc>
          <w:tcPr>
            <w:tcW w:type="dxa" w:w="1440"/>
            <w:shd w:fill="C6EFCE" w:val="clear"/>
          </w:tcPr>
          <w:p>
            <w:r>
              <w:rPr>
                <w:sz w:val="17"/>
              </w:rPr>
              <w:t>2026-09-01</w:t>
            </w:r>
          </w:p>
        </w:tc>
        <w:tc>
          <w:tcPr>
            <w:tcW w:type="dxa" w:w="1440"/>
            <w:shd w:fill="C6EFCE" w:val="clear"/>
          </w:tcPr>
          <w:p>
            <w:r>
              <w:rPr>
                <w:sz w:val="17"/>
              </w:rPr>
              <w:t>4,156</w:t>
            </w:r>
          </w:p>
        </w:tc>
        <w:tc>
          <w:tcPr>
            <w:tcW w:type="dxa" w:w="1440"/>
            <w:shd w:fill="C6EFCE" w:val="clear"/>
          </w:tcPr>
          <w:p>
            <w:r>
              <w:rPr>
                <w:b/>
                <w:sz w:val="17"/>
              </w:rPr>
              <w:t>4,577</w:t>
            </w:r>
          </w:p>
        </w:tc>
        <w:tc>
          <w:tcPr>
            <w:tcW w:type="dxa" w:w="1440"/>
            <w:shd w:fill="C6EFCE" w:val="clear"/>
          </w:tcPr>
          <w:p>
            <w:r>
              <w:rPr>
                <w:sz w:val="17"/>
              </w:rPr>
              <w:t>4,998</w:t>
            </w:r>
          </w:p>
        </w:tc>
        <w:tc>
          <w:tcPr>
            <w:tcW w:type="dxa" w:w="1440"/>
            <w:shd w:fill="C6EFCE" w:val="clear"/>
          </w:tcPr>
          <w:p>
            <w:r>
              <w:rPr>
                <w:b/>
                <w:color w:val="008000"/>
                <w:sz w:val="17"/>
              </w:rPr>
              <w:t>+26.4%</w:t>
            </w:r>
          </w:p>
        </w:tc>
      </w:tr>
      <w:tr>
        <w:tc>
          <w:tcPr>
            <w:tcW w:type="dxa" w:w="1440"/>
            <w:shd w:fill="C6EFCE" w:val="clear"/>
          </w:tcPr>
          <w:p>
            <w:r>
              <w:rPr>
                <w:sz w:val="17"/>
              </w:rPr>
              <w:t>J+6  ⭐</w:t>
            </w:r>
          </w:p>
        </w:tc>
        <w:tc>
          <w:tcPr>
            <w:tcW w:type="dxa" w:w="1440"/>
            <w:shd w:fill="C6EFCE" w:val="clear"/>
          </w:tcPr>
          <w:p>
            <w:r>
              <w:rPr>
                <w:sz w:val="17"/>
              </w:rPr>
              <w:t>2026-09-02</w:t>
            </w:r>
          </w:p>
        </w:tc>
        <w:tc>
          <w:tcPr>
            <w:tcW w:type="dxa" w:w="1440"/>
            <w:shd w:fill="C6EFCE" w:val="clear"/>
          </w:tcPr>
          <w:p>
            <w:r>
              <w:rPr>
                <w:sz w:val="17"/>
              </w:rPr>
              <w:t>4,379</w:t>
            </w:r>
          </w:p>
        </w:tc>
        <w:tc>
          <w:tcPr>
            <w:tcW w:type="dxa" w:w="1440"/>
            <w:shd w:fill="C6EFCE" w:val="clear"/>
          </w:tcPr>
          <w:p>
            <w:r>
              <w:rPr>
                <w:b/>
                <w:sz w:val="17"/>
              </w:rPr>
              <w:t>4,869</w:t>
            </w:r>
          </w:p>
        </w:tc>
        <w:tc>
          <w:tcPr>
            <w:tcW w:type="dxa" w:w="1440"/>
            <w:shd w:fill="C6EFCE" w:val="clear"/>
          </w:tcPr>
          <w:p>
            <w:r>
              <w:rPr>
                <w:sz w:val="17"/>
              </w:rPr>
              <w:t>5,359</w:t>
            </w:r>
          </w:p>
        </w:tc>
        <w:tc>
          <w:tcPr>
            <w:tcW w:type="dxa" w:w="1440"/>
            <w:shd w:fill="C6EFCE" w:val="clear"/>
          </w:tcPr>
          <w:p>
            <w:r>
              <w:rPr>
                <w:b/>
                <w:color w:val="008000"/>
                <w:sz w:val="17"/>
              </w:rPr>
              <w:t>+34.5%</w:t>
            </w:r>
          </w:p>
        </w:tc>
      </w:tr>
      <w:tr>
        <w:tc>
          <w:tcPr>
            <w:tcW w:type="dxa" w:w="1440"/>
            <w:shd w:fill="C6EFCE" w:val="clear"/>
          </w:tcPr>
          <w:p>
            <w:r>
              <w:rPr>
                <w:sz w:val="17"/>
              </w:rPr>
              <w:t>J+7  ⭐</w:t>
            </w:r>
          </w:p>
        </w:tc>
        <w:tc>
          <w:tcPr>
            <w:tcW w:type="dxa" w:w="1440"/>
            <w:shd w:fill="C6EFCE" w:val="clear"/>
          </w:tcPr>
          <w:p>
            <w:r>
              <w:rPr>
                <w:sz w:val="17"/>
              </w:rPr>
              <w:t>2026-09-03</w:t>
            </w:r>
          </w:p>
        </w:tc>
        <w:tc>
          <w:tcPr>
            <w:tcW w:type="dxa" w:w="1440"/>
            <w:shd w:fill="C6EFCE" w:val="clear"/>
          </w:tcPr>
          <w:p>
            <w:r>
              <w:rPr>
                <w:sz w:val="17"/>
              </w:rPr>
              <w:t>4,645</w:t>
            </w:r>
          </w:p>
        </w:tc>
        <w:tc>
          <w:tcPr>
            <w:tcW w:type="dxa" w:w="1440"/>
            <w:shd w:fill="C6EFCE" w:val="clear"/>
          </w:tcPr>
          <w:p>
            <w:r>
              <w:rPr>
                <w:b/>
                <w:sz w:val="17"/>
              </w:rPr>
              <w:t>5,212</w:t>
            </w:r>
          </w:p>
        </w:tc>
        <w:tc>
          <w:tcPr>
            <w:tcW w:type="dxa" w:w="1440"/>
            <w:shd w:fill="C6EFCE" w:val="clear"/>
          </w:tcPr>
          <w:p>
            <w:r>
              <w:rPr>
                <w:sz w:val="17"/>
              </w:rPr>
              <w:t>5,778</w:t>
            </w:r>
          </w:p>
        </w:tc>
        <w:tc>
          <w:tcPr>
            <w:tcW w:type="dxa" w:w="1440"/>
            <w:shd w:fill="C6EFCE" w:val="clear"/>
          </w:tcPr>
          <w:p>
            <w:r>
              <w:rPr>
                <w:b/>
                <w:color w:val="008000"/>
                <w:sz w:val="17"/>
              </w:rPr>
              <w:t>+44.0%</w:t>
            </w:r>
          </w:p>
        </w:tc>
      </w:tr>
      <w:tr>
        <w:tc>
          <w:tcPr>
            <w:tcW w:type="dxa" w:w="1440"/>
            <w:shd w:fill="C6EFCE" w:val="clear"/>
          </w:tcPr>
          <w:p>
            <w:r>
              <w:rPr>
                <w:sz w:val="17"/>
              </w:rPr>
              <w:t>J+8  ⭐</w:t>
            </w:r>
          </w:p>
        </w:tc>
        <w:tc>
          <w:tcPr>
            <w:tcW w:type="dxa" w:w="1440"/>
            <w:shd w:fill="C6EFCE" w:val="clear"/>
          </w:tcPr>
          <w:p>
            <w:r>
              <w:rPr>
                <w:sz w:val="17"/>
              </w:rPr>
              <w:t>2026-09-04</w:t>
            </w:r>
          </w:p>
        </w:tc>
        <w:tc>
          <w:tcPr>
            <w:tcW w:type="dxa" w:w="1440"/>
            <w:shd w:fill="C6EFCE" w:val="clear"/>
          </w:tcPr>
          <w:p>
            <w:r>
              <w:rPr>
                <w:sz w:val="17"/>
              </w:rPr>
              <w:t>4,951</w:t>
            </w:r>
          </w:p>
        </w:tc>
        <w:tc>
          <w:tcPr>
            <w:tcW w:type="dxa" w:w="1440"/>
            <w:shd w:fill="C6EFCE" w:val="clear"/>
          </w:tcPr>
          <w:p>
            <w:r>
              <w:rPr>
                <w:b/>
                <w:sz w:val="17"/>
              </w:rPr>
              <w:t>5,603</w:t>
            </w:r>
          </w:p>
        </w:tc>
        <w:tc>
          <w:tcPr>
            <w:tcW w:type="dxa" w:w="1440"/>
            <w:shd w:fill="C6EFCE" w:val="clear"/>
          </w:tcPr>
          <w:p>
            <w:r>
              <w:rPr>
                <w:sz w:val="17"/>
              </w:rPr>
              <w:t>6,254</w:t>
            </w:r>
          </w:p>
        </w:tc>
        <w:tc>
          <w:tcPr>
            <w:tcW w:type="dxa" w:w="1440"/>
            <w:shd w:fill="C6EFCE" w:val="clear"/>
          </w:tcPr>
          <w:p>
            <w:r>
              <w:rPr>
                <w:b/>
                <w:color w:val="008000"/>
                <w:sz w:val="17"/>
              </w:rPr>
              <w:t>+54.8%</w:t>
            </w:r>
          </w:p>
        </w:tc>
      </w:tr>
      <w:tr>
        <w:tc>
          <w:tcPr>
            <w:tcW w:type="dxa" w:w="1440"/>
            <w:shd w:fill="C6EFCE" w:val="clear"/>
          </w:tcPr>
          <w:p>
            <w:r>
              <w:rPr>
                <w:sz w:val="17"/>
              </w:rPr>
              <w:t>J+9  ⭐</w:t>
            </w:r>
          </w:p>
        </w:tc>
        <w:tc>
          <w:tcPr>
            <w:tcW w:type="dxa" w:w="1440"/>
            <w:shd w:fill="C6EFCE" w:val="clear"/>
          </w:tcPr>
          <w:p>
            <w:r>
              <w:rPr>
                <w:sz w:val="17"/>
              </w:rPr>
              <w:t>2026-09-07</w:t>
            </w:r>
          </w:p>
        </w:tc>
        <w:tc>
          <w:tcPr>
            <w:tcW w:type="dxa" w:w="1440"/>
            <w:shd w:fill="C6EFCE" w:val="clear"/>
          </w:tcPr>
          <w:p>
            <w:r>
              <w:rPr>
                <w:sz w:val="17"/>
              </w:rPr>
              <w:t>5,280</w:t>
            </w:r>
          </w:p>
        </w:tc>
        <w:tc>
          <w:tcPr>
            <w:tcW w:type="dxa" w:w="1440"/>
            <w:shd w:fill="C6EFCE" w:val="clear"/>
          </w:tcPr>
          <w:p>
            <w:r>
              <w:rPr>
                <w:b/>
                <w:sz w:val="17"/>
              </w:rPr>
              <w:t>6,023</w:t>
            </w:r>
          </w:p>
        </w:tc>
        <w:tc>
          <w:tcPr>
            <w:tcW w:type="dxa" w:w="1440"/>
            <w:shd w:fill="C6EFCE" w:val="clear"/>
          </w:tcPr>
          <w:p>
            <w:r>
              <w:rPr>
                <w:sz w:val="17"/>
              </w:rPr>
              <w:t>6,765</w:t>
            </w:r>
          </w:p>
        </w:tc>
        <w:tc>
          <w:tcPr>
            <w:tcW w:type="dxa" w:w="1440"/>
            <w:shd w:fill="C6EFCE" w:val="clear"/>
          </w:tcPr>
          <w:p>
            <w:r>
              <w:rPr>
                <w:b/>
                <w:color w:val="008000"/>
                <w:sz w:val="17"/>
              </w:rPr>
              <w:t>+66.4%</w:t>
            </w:r>
          </w:p>
        </w:tc>
      </w:tr>
      <w:tr>
        <w:tc>
          <w:tcPr>
            <w:tcW w:type="dxa" w:w="1440"/>
            <w:shd w:fill="C6EFCE" w:val="clear"/>
          </w:tcPr>
          <w:p>
            <w:r>
              <w:rPr>
                <w:sz w:val="17"/>
              </w:rPr>
              <w:t>J+10  ⭐</w:t>
            </w:r>
          </w:p>
        </w:tc>
        <w:tc>
          <w:tcPr>
            <w:tcW w:type="dxa" w:w="1440"/>
            <w:shd w:fill="C6EFCE" w:val="clear"/>
          </w:tcPr>
          <w:p>
            <w:r>
              <w:rPr>
                <w:sz w:val="17"/>
              </w:rPr>
              <w:t>2026-09-08</w:t>
            </w:r>
          </w:p>
        </w:tc>
        <w:tc>
          <w:tcPr>
            <w:tcW w:type="dxa" w:w="1440"/>
            <w:shd w:fill="C6EFCE" w:val="clear"/>
          </w:tcPr>
          <w:p>
            <w:r>
              <w:rPr>
                <w:sz w:val="17"/>
              </w:rPr>
              <w:t>5,633</w:t>
            </w:r>
          </w:p>
        </w:tc>
        <w:tc>
          <w:tcPr>
            <w:tcW w:type="dxa" w:w="1440"/>
            <w:shd w:fill="C6EFCE" w:val="clear"/>
          </w:tcPr>
          <w:p>
            <w:r>
              <w:rPr>
                <w:b/>
                <w:sz w:val="17"/>
              </w:rPr>
              <w:t>6,475</w:t>
            </w:r>
          </w:p>
        </w:tc>
        <w:tc>
          <w:tcPr>
            <w:tcW w:type="dxa" w:w="1440"/>
            <w:shd w:fill="C6EFCE" w:val="clear"/>
          </w:tcPr>
          <w:p>
            <w:r>
              <w:rPr>
                <w:sz w:val="17"/>
              </w:rPr>
              <w:t>7,316</w:t>
            </w:r>
          </w:p>
        </w:tc>
        <w:tc>
          <w:tcPr>
            <w:tcW w:type="dxa" w:w="1440"/>
            <w:shd w:fill="C6EFCE" w:val="clear"/>
          </w:tcPr>
          <w:p>
            <w:r>
              <w:rPr>
                <w:b/>
                <w:color w:val="008000"/>
                <w:sz w:val="17"/>
              </w:rPr>
              <w:t>+78.9%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21,43 milliards FCFA, un niveau modeste dans l'écosystème BRVM, reflétant un profil de valeur moyenne. Le BPA de 243 FCFA indique que chaque action génère un bénéfice de ce montant. Avec un PER de 14,9x, le titre se négocie avec une prime par rapport à la moyenne historique du marché BRVM (8-12x), suggérant que les investisseurs intègrent des perspectives de croissance future. Le P/B de 2,29x confirme cette prime, le marché valorisant la société à plus du double de sa valeur comptable, ce qui témoigne d'une confiance dans la création de valeur future. Enfin, l'EV/EBITDA de 7,6x se situe dans une fourchette raisonnable (5-10x), indiquant une valorisation opérationnelle cohérente avec la capacité bénéficiaire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totale de +11,38%, avec une légère correction de -0,55% lors de la dernière séance, pour s'établir à 3 620 FCFA. Le titre a évolué dans une fourchette de 3 250 FCFA (plus bas) à 4 500 FCFA (plus haut), démontrant une amplitude de trading significative de 38,5%. La moyenne du cours sur la période (3 770 FCFA) est supérieure à la médiane (3 700 FCFA), et le skewness positif de 0,678 indique une asymétrie avec davantage de journées sous la moyenne, mais des mouvements haussiers plus amples. L'écart-type de 290 FCFA (CV=7,7%) révèle une dispersion modérée, tandis que le kurtosis de -0,137 (mésokurtique) suggère une distribution proche de la normale, sans risque de pics extrêmes. La volatilité annualisée de 55,7% classe le titre dans la catégorie à volatilité élevée (&gt;30%), signalant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(3 620 FCFA) se situe sous la MM20 (3 573,25 FCFA) et nettement sous la MM50 (3 832,9 FCFA), configuration baissière à court terme. La MM50 agissant comme résistance dynamique, la décision de Vente est justifiée par cette structure défavorable, bien que le cours reste proche de la MM20, laissant entrevoir un possible rebond technique.</w:t>
      </w:r>
    </w:p>
    <w:p>
      <w:pPr>
        <w:spacing w:after="120" w:line="276" w:lineRule="auto"/>
      </w:pPr>
      <w:r>
        <w:t>**Bandes de Bollinger** : Le prix évolue entre la borne inférieure (3 413,27 FCFA) et la borne supérieure (3 733,23 FCFA), positionné dans la moitié supérieure du canal. Cette position médiane indique une volatilité normale sans extrême, justifiant une décision Neutre. L'écart entre les bornes (environ 320 FCFA) reflète une volatilité modérée sur la période récente.</w:t>
      </w:r>
    </w:p>
    <w:p>
      <w:pPr>
        <w:spacing w:after="120" w:line="276" w:lineRule="auto"/>
      </w:pPr>
      <w:r>
        <w:t>**MACD** : La valeur MACD (-43,685) est supérieure à sa ligne de signal (-71,751), formant un croisement haussier. Cette configuration suggère un momentum positif en cours de formation, malgré des valeurs négatives. La décision d'Achat se justifie par cette divergence positive qui précède souvent un retournement haussier du cours.</w:t>
      </w:r>
    </w:p>
    <w:p>
      <w:pPr>
        <w:spacing w:after="120" w:line="276" w:lineRule="auto"/>
      </w:pPr>
      <w:r>
        <w:t>**RSI** : À 47,934, le RSI se positionne en zone neutre (30-70), indiquant un équilibre entre pressions acheteuses et vendeuses. Cette valeur ne signale ni surachat ni survente, justifiant une décision Neutre. Le RSI laisse une marge de manœuvre avant d'atteindre des zones extrêmes, permettant des mouvements dans les deux sens.</w:t>
      </w:r>
    </w:p>
    <w:p>
      <w:pPr>
        <w:spacing w:after="120" w:line="276" w:lineRule="auto"/>
      </w:pPr>
      <w:r>
        <w:t>**Stochastique** : Le %K (63,043) est inférieur au %D (78,261), formant un croisement baissier potentiel. Cependant, les deux lignes restent en zone positive, indiquant une dynamique encore haussière. La décision Neutre reflète cette ambiguïté entre le croisement baissier et le niveau élevé des deux indicateurs.</w:t>
      </w:r>
    </w:p>
    <w:p>
      <w:pPr>
        <w:spacing w:after="120" w:line="276" w:lineRule="auto"/>
      </w:pPr>
      <w:r>
        <w:t>**Conclusion technique** : Les signaux sont mitigés avec une prédominance baissière à court terme (MM) mais des signes de retournement haussier (MACD). Le RSI neutre et les bandes de Bollinger sans extrême suggèrent une phase de consolidation. La prudence est de mise, le titre semblant chercher une direction après une période de forte volatilité.</w:t>
      </w:r>
    </w:p>
    <w:p>
      <w:pPr>
        <w:spacing w:after="120" w:line="276" w:lineRule="auto"/>
      </w:pPr>
      <w:r>
        <w:t>---</w:t>
      </w:r>
    </w:p>
    <w:p>
      <w:pPr>
        <w:spacing w:after="120" w:line="276" w:lineRule="auto"/>
      </w:pPr>
      <w:r>
        <w:t>### PARTIE 3 : ANALYSE FONDAMENTALE (SECTION CRITIQUE)</w:t>
      </w:r>
    </w:p>
    <w:p>
      <w:pPr>
        <w:spacing w:after="120" w:line="276" w:lineRule="auto"/>
      </w:pPr>
      <w:r>
        <w:t>En 2025, CABC affiche un chiffre d'affaires de 21,263 milliards FCFA, en croissance de +11,2% par rapport à 2024, avec un résultat net de 1,439 milliard FCFA, démontrant une rentabilité positive retrouvée après les pertes de 2023-2024. Le ROE de 15,4% est excellent, dépassant le seuil de 15%, tandis que le ROA de 6,1% témoigne d'une utilisation efficace des actifs. La marge nette de 6,77% et la marge opérationnelle de 9,82% confirment cette amélioration. Cependant, le BFR de 7,186 milliards FCFA et les délais clients élevés (144,69 jours) constituent des points de vigilance, signalant un risque de trésorerie. Les rapports trimestriels 2025 confirment cette dynamique : le S1 2025 montre un résultat net de 851,5 millions FCFA (+55,3%), et le T3 2025 un résultat net cumulé de 1 329,5 millions FCFA (+26%), suggérant une performance annuelle solide. Le rapport T1 2026 (baisse de CA de -26,5% due à une maintenance planifiée) est temporaire, la direction anticipant une normalisation au T2 2026. La structure financière reste saine avec une autonomie financière de 39,6% et une capacité de remboursement de 0,26 an, malgré un flux opérationnel négatif de -819,66 millions FCFA en 2025.</w:t>
      </w:r>
    </w:p>
    <w:p>
      <w:pPr>
        <w:spacing w:after="120" w:line="276" w:lineRule="auto"/>
      </w:pPr>
      <w:r>
        <w:t>---</w:t>
      </w:r>
    </w:p>
    <w:p>
      <w:pPr>
        <w:spacing w:after="120" w:line="276" w:lineRule="auto"/>
      </w:pPr>
      <w:r>
        <w:t>### PARTIE 4 : CONCLUSION D'INVESTISSEMENT</w:t>
      </w:r>
    </w:p>
    <w:p>
      <w:pPr>
        <w:spacing w:after="120" w:line="276" w:lineRule="auto"/>
      </w:pPr>
      <w:r>
        <w:t>La valorisation de CABC (PER 14,9x, P/B 2,29x) indique une prime de croissance justifiée par les fondamentaux solides, mais potentiellement exigeante. Le comportement du cours (+11,38% sur 100 jours, volatilité élevée de 55,7%) montre une dynamique positive mais risquée. Les signaux techniques sont mitigés, avec une convergence entre le MACD haussier et la tendance générale positive, mais une divergence avec les moyennes mobiles baissières. Les fondamentaux sont robustes avec une croissance du CA de +11,2% en 2025, un ROE de 15,4% et une amélioration continue de la rentabilité, malgré des défis de trésorerie. Les prédictions IA (+4,1% à J+1, +26,4% à J+10) confirment cette trajectoire haussière, anticipant une poursuite du mouvement. La convergence entre les fondamentaux solides, la dynamique positive du cours et les prédictions IA, malgré des signaux techniques partagés, conduit à une recommandation **ACHAT** avec un niveau de confiance **Moyen** et un risque global **Élevé** (volatilité importante). L'horizon d'investissement optimal serait le **moyen terme (3-12 mois)**, permettant de capturer la croissance attendue tout en surveillant la gestion du BFR et des délais clients.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1,411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+109.39%</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13,800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22.96% (Élevée) — μ=22,202 FCFA, σ=5,098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β=0.8195 (Neutre (suit le marché)) — Cov=0.000028, Var(idx)=0.000034, ρ=0.177,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25,970</w:t>
            </w:r>
          </w:p>
        </w:tc>
        <w:tc>
          <w:tcPr>
            <w:tcW w:type="dxa" w:w="1440"/>
            <w:shd w:fill="FFDCE0" w:val="clear"/>
          </w:tcPr>
          <w:p>
            <w:r>
              <w:rPr>
                <w:b/>
                <w:sz w:val="17"/>
              </w:rPr>
              <w:t>26,825</w:t>
            </w:r>
          </w:p>
        </w:tc>
        <w:tc>
          <w:tcPr>
            <w:tcW w:type="dxa" w:w="1440"/>
            <w:shd w:fill="FFDCE0" w:val="clear"/>
          </w:tcPr>
          <w:p>
            <w:r>
              <w:rPr>
                <w:sz w:val="17"/>
              </w:rPr>
              <w:t>27,680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23,695</w:t>
            </w:r>
          </w:p>
        </w:tc>
        <w:tc>
          <w:tcPr>
            <w:tcW w:type="dxa" w:w="1440"/>
            <w:shd w:fill="FFDCE0" w:val="clear"/>
          </w:tcPr>
          <w:p>
            <w:r>
              <w:rPr>
                <w:b/>
                <w:sz w:val="17"/>
              </w:rPr>
              <w:t>24,813</w:t>
            </w:r>
          </w:p>
        </w:tc>
        <w:tc>
          <w:tcPr>
            <w:tcW w:type="dxa" w:w="1440"/>
            <w:shd w:fill="FFDCE0" w:val="clear"/>
          </w:tcPr>
          <w:p>
            <w:r>
              <w:rPr>
                <w:sz w:val="17"/>
              </w:rPr>
              <w:t>25,932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21,685</w:t>
            </w:r>
          </w:p>
        </w:tc>
        <w:tc>
          <w:tcPr>
            <w:tcW w:type="dxa" w:w="1440"/>
            <w:shd w:fill="FFDCE0" w:val="clear"/>
          </w:tcPr>
          <w:p>
            <w:r>
              <w:rPr>
                <w:b/>
                <w:sz w:val="17"/>
              </w:rPr>
              <w:t>22,952</w:t>
            </w:r>
          </w:p>
        </w:tc>
        <w:tc>
          <w:tcPr>
            <w:tcW w:type="dxa" w:w="1440"/>
            <w:shd w:fill="FFDCE0" w:val="clear"/>
          </w:tcPr>
          <w:p>
            <w:r>
              <w:rPr>
                <w:sz w:val="17"/>
              </w:rPr>
              <w:t>24,219</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19,877</w:t>
            </w:r>
          </w:p>
        </w:tc>
        <w:tc>
          <w:tcPr>
            <w:tcW w:type="dxa" w:w="1440"/>
            <w:shd w:fill="FFDCE0" w:val="clear"/>
          </w:tcPr>
          <w:p>
            <w:r>
              <w:rPr>
                <w:b/>
                <w:sz w:val="17"/>
              </w:rPr>
              <w:t>21,231</w:t>
            </w:r>
          </w:p>
        </w:tc>
        <w:tc>
          <w:tcPr>
            <w:tcW w:type="dxa" w:w="1440"/>
            <w:shd w:fill="FFDCE0" w:val="clear"/>
          </w:tcPr>
          <w:p>
            <w:r>
              <w:rPr>
                <w:sz w:val="17"/>
              </w:rPr>
              <w:t>22,584</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18,256</w:t>
            </w:r>
          </w:p>
        </w:tc>
        <w:tc>
          <w:tcPr>
            <w:tcW w:type="dxa" w:w="1440"/>
            <w:shd w:fill="FFDCE0" w:val="clear"/>
          </w:tcPr>
          <w:p>
            <w:r>
              <w:rPr>
                <w:b/>
                <w:sz w:val="17"/>
              </w:rPr>
              <w:t>19,657</w:t>
            </w:r>
          </w:p>
        </w:tc>
        <w:tc>
          <w:tcPr>
            <w:tcW w:type="dxa" w:w="1440"/>
            <w:shd w:fill="FFDCE0" w:val="clear"/>
          </w:tcPr>
          <w:p>
            <w:r>
              <w:rPr>
                <w:sz w:val="17"/>
              </w:rPr>
              <w:t>21,058</w:t>
            </w:r>
          </w:p>
        </w:tc>
        <w:tc>
          <w:tcPr>
            <w:tcW w:type="dxa" w:w="1440"/>
            <w:shd w:fill="FFDCE0" w:val="clear"/>
          </w:tcPr>
          <w:p>
            <w:r>
              <w:rPr>
                <w:b/>
                <w:color w:val="C00000"/>
                <w:sz w:val="17"/>
              </w:rPr>
              <w:t>-32.2%</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17,609</w:t>
            </w:r>
          </w:p>
        </w:tc>
        <w:tc>
          <w:tcPr>
            <w:tcW w:type="dxa" w:w="1440"/>
            <w:shd w:fill="FFDCE0" w:val="clear"/>
          </w:tcPr>
          <w:p>
            <w:r>
              <w:rPr>
                <w:b/>
                <w:sz w:val="17"/>
              </w:rPr>
              <w:t>19,100</w:t>
            </w:r>
          </w:p>
        </w:tc>
        <w:tc>
          <w:tcPr>
            <w:tcW w:type="dxa" w:w="1440"/>
            <w:shd w:fill="FFDCE0" w:val="clear"/>
          </w:tcPr>
          <w:p>
            <w:r>
              <w:rPr>
                <w:sz w:val="17"/>
              </w:rPr>
              <w:t>20,592</w:t>
            </w:r>
          </w:p>
        </w:tc>
        <w:tc>
          <w:tcPr>
            <w:tcW w:type="dxa" w:w="1440"/>
            <w:shd w:fill="FFDCE0" w:val="clear"/>
          </w:tcPr>
          <w:p>
            <w:r>
              <w:rPr>
                <w:b/>
                <w:color w:val="C00000"/>
                <w:sz w:val="17"/>
              </w:rPr>
              <w:t>-34.1%</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17,043</w:t>
            </w:r>
          </w:p>
        </w:tc>
        <w:tc>
          <w:tcPr>
            <w:tcW w:type="dxa" w:w="1440"/>
            <w:shd w:fill="FFDCE0" w:val="clear"/>
          </w:tcPr>
          <w:p>
            <w:r>
              <w:rPr>
                <w:b/>
                <w:sz w:val="17"/>
              </w:rPr>
              <w:t>18,613</w:t>
            </w:r>
          </w:p>
        </w:tc>
        <w:tc>
          <w:tcPr>
            <w:tcW w:type="dxa" w:w="1440"/>
            <w:shd w:fill="FFDCE0" w:val="clear"/>
          </w:tcPr>
          <w:p>
            <w:r>
              <w:rPr>
                <w:sz w:val="17"/>
              </w:rPr>
              <w:t>20,183</w:t>
            </w:r>
          </w:p>
        </w:tc>
        <w:tc>
          <w:tcPr>
            <w:tcW w:type="dxa" w:w="1440"/>
            <w:shd w:fill="FFDCE0" w:val="clear"/>
          </w:tcPr>
          <w:p>
            <w:r>
              <w:rPr>
                <w:b/>
                <w:color w:val="C00000"/>
                <w:sz w:val="17"/>
              </w:rPr>
              <w:t>-35.8%</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16,540</w:t>
            </w:r>
          </w:p>
        </w:tc>
        <w:tc>
          <w:tcPr>
            <w:tcW w:type="dxa" w:w="1440"/>
            <w:shd w:fill="FFDCE0" w:val="clear"/>
          </w:tcPr>
          <w:p>
            <w:r>
              <w:rPr>
                <w:b/>
                <w:sz w:val="17"/>
              </w:rPr>
              <w:t>18,179</w:t>
            </w:r>
          </w:p>
        </w:tc>
        <w:tc>
          <w:tcPr>
            <w:tcW w:type="dxa" w:w="1440"/>
            <w:shd w:fill="FFDCE0" w:val="clear"/>
          </w:tcPr>
          <w:p>
            <w:r>
              <w:rPr>
                <w:sz w:val="17"/>
              </w:rPr>
              <w:t>19,818</w:t>
            </w:r>
          </w:p>
        </w:tc>
        <w:tc>
          <w:tcPr>
            <w:tcW w:type="dxa" w:w="1440"/>
            <w:shd w:fill="FFDCE0" w:val="clear"/>
          </w:tcPr>
          <w:p>
            <w:r>
              <w:rPr>
                <w:b/>
                <w:color w:val="C00000"/>
                <w:sz w:val="17"/>
              </w:rPr>
              <w:t>-37.3%</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16,086</w:t>
            </w:r>
          </w:p>
        </w:tc>
        <w:tc>
          <w:tcPr>
            <w:tcW w:type="dxa" w:w="1440"/>
            <w:shd w:fill="FFDCE0" w:val="clear"/>
          </w:tcPr>
          <w:p>
            <w:r>
              <w:rPr>
                <w:b/>
                <w:sz w:val="17"/>
              </w:rPr>
              <w:t>17,787</w:t>
            </w:r>
          </w:p>
        </w:tc>
        <w:tc>
          <w:tcPr>
            <w:tcW w:type="dxa" w:w="1440"/>
            <w:shd w:fill="FFDCE0" w:val="clear"/>
          </w:tcPr>
          <w:p>
            <w:r>
              <w:rPr>
                <w:sz w:val="17"/>
              </w:rPr>
              <w:t>19,488</w:t>
            </w:r>
          </w:p>
        </w:tc>
        <w:tc>
          <w:tcPr>
            <w:tcW w:type="dxa" w:w="1440"/>
            <w:shd w:fill="FFDCE0" w:val="clear"/>
          </w:tcPr>
          <w:p>
            <w:r>
              <w:rPr>
                <w:b/>
                <w:color w:val="C00000"/>
                <w:sz w:val="17"/>
              </w:rPr>
              <w:t>-38.7%</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15,674</w:t>
            </w:r>
          </w:p>
        </w:tc>
        <w:tc>
          <w:tcPr>
            <w:tcW w:type="dxa" w:w="1440"/>
            <w:shd w:fill="FFDCE0" w:val="clear"/>
          </w:tcPr>
          <w:p>
            <w:r>
              <w:rPr>
                <w:b/>
                <w:sz w:val="17"/>
              </w:rPr>
              <w:t>17,431</w:t>
            </w:r>
          </w:p>
        </w:tc>
        <w:tc>
          <w:tcPr>
            <w:tcW w:type="dxa" w:w="1440"/>
            <w:shd w:fill="FFDCE0" w:val="clear"/>
          </w:tcPr>
          <w:p>
            <w:r>
              <w:rPr>
                <w:sz w:val="17"/>
              </w:rPr>
              <w:t>19,188</w:t>
            </w:r>
          </w:p>
        </w:tc>
        <w:tc>
          <w:tcPr>
            <w:tcW w:type="dxa" w:w="1440"/>
            <w:shd w:fill="FFDCE0" w:val="clear"/>
          </w:tcPr>
          <w:p>
            <w:r>
              <w:rPr>
                <w:b/>
                <w:color w:val="C00000"/>
                <w:sz w:val="17"/>
              </w:rPr>
              <w:t>-39.9%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928 milliards FCFA, ce qui positionne le titre parmi les valeurs à grande capitalisation de la BRVM, lui conférant une liquidité théorique et un poids significatif dans les indices régionaux. Avec un BPA de 2 047 FCFA, chaque action détenue représente un droit sur un bénéfice substantiel. Le PER de 14,2x est supérieur à la moyenne historique de la BRVM (8-12x), indiquant que les investisseurs acceptent de payer une prime pour la croissance et la solidité de la banque. L'EV/EBITDA de 10,5x, bien que dans la fourchette haute (10-15x), reflète une valorisation qui intègre une forte capacité opérationnelle. Le ratio P/B n'est pas disponible dans les données fournies, ce qui limite la comparaison directe avec la valeur comptable, mais les autres ratios suggèrent une confiance marquée du marché dans les perspectives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+109,39%, passant d'un plus bas de 13 800 FCFA à un plus haut de 30 005 FCFA, avant de clôturer à 29 000 FCFA. Cette tendance fortement haussière est toutefois tempérée par une baisse de -3,33% lors de la dernière séance, suggérant un possible essoufflement à court terme. La moyenne du cours sur la période (22 202 FCFA) est proche de la médiane (21 898 FCFA), indiquant une distribution relativement symétrique, confirmée par un skewness quasi nul (-0,005). L'écart-type de 5 123 FCFA (CV=23,1%) témoigne d'une dispersion modérée, tandis que le kurtosis négatif (-1,335) révèle une distribution platykurtique, c'est-à-dire une faible concentration des variations autour de la moyenne, réduisant le risque de mouvements extrêmes. La volatilité annualisée de 42,8% classe le titre dans la catégorie des actifs à très forte volatilité,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(29 000 FCFA) se situe nettement au-dessus de la MM20 (28 413 FCFA) et de la MM50 (26 451 FCFA), confirmant une dynamique haussière solide à moyen terme. La configuration des moyennes mobiles, avec la MM20 au-dessus de la MM50, génère un signal d'achat classique, indiquant que la tendance de fond reste positive malgré le récent repli.</w:t>
      </w:r>
    </w:p>
    <w:p>
      <w:pPr>
        <w:spacing w:after="120" w:line="276" w:lineRule="auto"/>
      </w:pPr>
      <w:r>
        <w:t>**Bandes de Bollinger** : Le prix évolue à l'intérieur des bandes, entre la borne supérieure (29 715 FCFA) et la borne inférieure (27 112 FCFA), avec une largeur de bande relativement étroite. Cette position neutre suggère une phase de consolidation après la forte hausse, le marché digérant les gains récents avant une possible nouvelle impulsion.</w:t>
      </w:r>
    </w:p>
    <w:p>
      <w:pPr>
        <w:spacing w:after="120" w:line="276" w:lineRule="auto"/>
      </w:pPr>
      <w:r>
        <w:t>**MACD** : Le MACD (696) est passé sous sa ligne de signal (744), générant un signal de vente à court terme. Cette divergence indique un ralentissement du momentum haussier, ce qui pourrait précéder une correction ou une phase de consolidation supplémentaire.</w:t>
      </w:r>
    </w:p>
    <w:p>
      <w:pPr>
        <w:spacing w:after="120" w:line="276" w:lineRule="auto"/>
      </w:pPr>
      <w:r>
        <w:t>**RSI** : À 55,99, le RSI se situe en zone neutre, sans signal de surachat ni de survente. Cette valeur indique que la pression acheteuse s'est normalisée après la forte progression, laissant une marge de manœuvre pour une éventuelle reprise de la hausse.</w:t>
      </w:r>
    </w:p>
    <w:p>
      <w:pPr>
        <w:spacing w:after="120" w:line="276" w:lineRule="auto"/>
      </w:pPr>
      <w:r>
        <w:t>**Stochastique** : Le %K (41,18) est passé sous le %D (80,39), formant un croisement baissier. Cette configuration signale un affaiblissement de la dynamique haussière à très court terme, bien que le %K reste au-dessus du seuil de survente (30).</w:t>
      </w:r>
    </w:p>
    <w:p>
      <w:pPr>
        <w:spacing w:after="120" w:line="276" w:lineRule="auto"/>
      </w:pPr>
      <w:r>
        <w:t>**Conclusion technique** : Les indicateurs de tendance (MM) restent positifs, mais les oscillateurs (MACD, Stochastique) montrent des signes de faiblesse à court terme. Le titre semble entrer dans une phase de consolidation après une hausse spectaculaire,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 CBIBF. Le Produit Net Bancaire (PNB) s'établit à 138,99 milliards FCFA, en croissance de 6,1%, tandis que le résultat net atteint 65,5 milliards FCFA, en progression de 36,6% par rapport à 2024. Cette performance remarquable s'explique par une amélioration significative du coût du risque (-59,3%), qui passe à 16,5 milliards FCFA, et par une maîtrise du coefficient d'exploitation à 36,4%, témoignant d'une excellente efficacité opérationnelle (bien en dessous du seuil de 60%). La marge nette de 47,1% et le ROA de 2,18% confirment une rentabilité élevée. La banque a renforcé sa collecte de dépôts à 2 015 milliards FCFA (+14,9%) et ses crédits nets à 1 327 milliards FCFA (+5,4%), maintenant un ratio de transformation sain. Les rapports trimestriels 2025 montrent une dynamique positive : le T1 2025 affiche un PNB de 28,7 milliards FCFA (+2,8%) et un résultat net de 17,6 milliards FCFA (+5,9%), tandis que le T3 2025 confirme la tendance avec un PNB de 101,3 milliards FCFA (+9,65%) et un résultat net de 52,9 milliards FCFA (+6,25%). Le rapport du 1er semestre 2025 indique un PNB de 65,1 milliards FCFA (+8,75%) et un résultat net de 33,8 milliards FCFA (+0,66%), montrant une accélération au second semestre. Le rapport T1 2026, publié récemment, révèle une accélération spectaculaire : PNB de 36,8 milliards FCFA (+28,5%) et résultat net de 21,5 milliards FCFA (+22,2%), avec des dépôts en hausse de 37,9% à 2 365 milliards FCFA. Sur la base de ces performances, on estime que l'exercice 2026 pourrait voir un PNB dépasser 160 milliards FCFA et un résultat net supérieur à 75 milliards FCFA. La banque bénéficie d'une notation AA/AI avec perspective stable et d'une gouvernance renforcée par l'arrivée de deux administrateurs indépendants. Les risques identifiés incluent l'environnement sécuritaire et politique du Burkina Faso, ainsi qu'une croissance modérée des crédits (+3,8%) face à la forte collecte de dépôts, mais la qualité du portefeuille s'améliore nettement.</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configuration globalement positive pour CBIBF. La valorisation (PER 14,2x, EV/EBITDA 10,5x) est certes supérieure aux moyennes du marché, mais elle se justifie par une croissance exceptionnelle du résultat net (+36,6% en 2025) et des perspectives 2026 très prometteuses. Le comportement du cours (+109% sur 100 jours) démontre une forte dynamique, bien que la volatilité élevée (42,8%) et le récent repli de -3,33% appellent à la prudence à court terme. Les signaux techniques sont mitigés : les moyennes mobiles restent haussières, mais le MACD et le Stochastique indiquent un essoufflement temporaire. Les fondamentaux sont excellents, avec une banque bien capitalisée, efficace et en pleine expansion, comme en témoigne le T1 2026 (+28,5% de PNB). Les prédictions IA (baisse progressive de 26 825 à 19 657 FCFA sur 10 jours) suggèrent une correction significative à très court terme, ce qui contraste avec la tendance haussière de fond. Cette divergence indique un probable mouvement de consolidation technique après la forte hausse. **Recommandation finale : ACHAT** sur les replis, avec un niveau de confiance **Moyen** et un risque global **Élevé** en raison de la volatilité et des incertitudes géopolitiques. L'horizon d'investissement optimal serait le **moyen terme (3-12 mois)**, en profitant des éventuelles corrections pour renforcer les positions, la tendance fondamentale restant solidement haussière.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320.12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3,593 titres</w:t>
            </w:r>
          </w:p>
        </w:tc>
        <w:tc>
          <w:tcPr>
            <w:tcW w:type="dxa" w:w="2268"/>
            <w:shd w:fill="FFF2CC" w:val="clear"/>
          </w:tcPr>
          <w:p>
            <w:r>
              <w:rPr>
                <w:b/>
                <w:color w:val="503200"/>
                <w:sz w:val="16"/>
              </w:rPr>
              <w:t xml:space="preserve">Cours actuel : </w:t>
            </w:r>
            <w:r>
              <w:rPr>
                <w:color w:val="000000"/>
                <w:sz w:val="17"/>
              </w:rPr>
              <w:t>1,765 FCFA</w:t>
            </w:r>
          </w:p>
          <w:p>
            <w:r>
              <w:rPr>
                <w:b/>
                <w:color w:val="503200"/>
                <w:sz w:val="16"/>
              </w:rPr>
              <w:t xml:space="preserve">Var. 100 jours : </w:t>
            </w:r>
            <w:r>
              <w:rPr>
                <w:b/>
                <w:color w:val="007800"/>
                <w:sz w:val="17"/>
              </w:rPr>
              <w:t>+9.63%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μ=1,605 FCFA, σ=101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β=1.1194 (Neutre (suit le marché)) — Cov=0.000038, Var(idx)=0.000034, ρ=0.212,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1,613</w:t>
            </w:r>
          </w:p>
        </w:tc>
        <w:tc>
          <w:tcPr>
            <w:tcW w:type="dxa" w:w="1440"/>
            <w:shd w:fill="FFDCE0" w:val="clear"/>
          </w:tcPr>
          <w:p>
            <w:r>
              <w:rPr>
                <w:b/>
                <w:sz w:val="17"/>
              </w:rPr>
              <w:t>1,689</w:t>
            </w:r>
          </w:p>
        </w:tc>
        <w:tc>
          <w:tcPr>
            <w:tcW w:type="dxa" w:w="1440"/>
            <w:shd w:fill="FFDCE0" w:val="clear"/>
          </w:tcPr>
          <w:p>
            <w:r>
              <w:rPr>
                <w:sz w:val="17"/>
              </w:rPr>
              <w:t>1,765</w:t>
            </w:r>
          </w:p>
        </w:tc>
        <w:tc>
          <w:tcPr>
            <w:tcW w:type="dxa" w:w="1440"/>
            <w:shd w:fill="FFDCE0" w:val="clear"/>
          </w:tcPr>
          <w:p>
            <w:r>
              <w:rPr>
                <w:b/>
                <w:color w:val="C00000"/>
                <w:sz w:val="17"/>
              </w:rPr>
              <w:t>-4.3%</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1,565</w:t>
            </w:r>
          </w:p>
        </w:tc>
        <w:tc>
          <w:tcPr>
            <w:tcW w:type="dxa" w:w="1440"/>
            <w:shd w:fill="FFDCE0" w:val="clear"/>
          </w:tcPr>
          <w:p>
            <w:r>
              <w:rPr>
                <w:b/>
                <w:sz w:val="17"/>
              </w:rPr>
              <w:t>1,672</w:t>
            </w:r>
          </w:p>
        </w:tc>
        <w:tc>
          <w:tcPr>
            <w:tcW w:type="dxa" w:w="1440"/>
            <w:shd w:fill="FFDCE0" w:val="clear"/>
          </w:tcPr>
          <w:p>
            <w:r>
              <w:rPr>
                <w:sz w:val="17"/>
              </w:rPr>
              <w:t>1,778</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1,519</w:t>
            </w:r>
          </w:p>
        </w:tc>
        <w:tc>
          <w:tcPr>
            <w:tcW w:type="dxa" w:w="1440"/>
            <w:shd w:fill="FFDCE0" w:val="clear"/>
          </w:tcPr>
          <w:p>
            <w:r>
              <w:rPr>
                <w:b/>
                <w:sz w:val="17"/>
              </w:rPr>
              <w:t>1,648</w:t>
            </w:r>
          </w:p>
        </w:tc>
        <w:tc>
          <w:tcPr>
            <w:tcW w:type="dxa" w:w="1440"/>
            <w:shd w:fill="FFDCE0" w:val="clear"/>
          </w:tcPr>
          <w:p>
            <w:r>
              <w:rPr>
                <w:sz w:val="17"/>
              </w:rPr>
              <w:t>1,776</w:t>
            </w:r>
          </w:p>
        </w:tc>
        <w:tc>
          <w:tcPr>
            <w:tcW w:type="dxa" w:w="1440"/>
            <w:shd w:fill="FFDCE0" w:val="clear"/>
          </w:tcPr>
          <w:p>
            <w:r>
              <w:rPr>
                <w:b/>
                <w:color w:val="C00000"/>
                <w:sz w:val="17"/>
              </w:rPr>
              <w:t>-6.7%</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1,477</w:t>
            </w:r>
          </w:p>
        </w:tc>
        <w:tc>
          <w:tcPr>
            <w:tcW w:type="dxa" w:w="1440"/>
            <w:shd w:fill="FFDCE0" w:val="clear"/>
          </w:tcPr>
          <w:p>
            <w:r>
              <w:rPr>
                <w:b/>
                <w:sz w:val="17"/>
              </w:rPr>
              <w:t>1,623</w:t>
            </w:r>
          </w:p>
        </w:tc>
        <w:tc>
          <w:tcPr>
            <w:tcW w:type="dxa" w:w="1440"/>
            <w:shd w:fill="FFDCE0" w:val="clear"/>
          </w:tcPr>
          <w:p>
            <w:r>
              <w:rPr>
                <w:sz w:val="17"/>
              </w:rPr>
              <w:t>1,769</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1,438</w:t>
            </w:r>
          </w:p>
        </w:tc>
        <w:tc>
          <w:tcPr>
            <w:tcW w:type="dxa" w:w="1440"/>
            <w:shd w:fill="FFDCE0" w:val="clear"/>
          </w:tcPr>
          <w:p>
            <w:r>
              <w:rPr>
                <w:b/>
                <w:sz w:val="17"/>
              </w:rPr>
              <w:t>1,599</w:t>
            </w:r>
          </w:p>
        </w:tc>
        <w:tc>
          <w:tcPr>
            <w:tcW w:type="dxa" w:w="1440"/>
            <w:shd w:fill="FFDCE0" w:val="clear"/>
          </w:tcPr>
          <w:p>
            <w:r>
              <w:rPr>
                <w:sz w:val="17"/>
              </w:rPr>
              <w:t>1,760</w:t>
            </w:r>
          </w:p>
        </w:tc>
        <w:tc>
          <w:tcPr>
            <w:tcW w:type="dxa" w:w="1440"/>
            <w:shd w:fill="FFDCE0" w:val="clear"/>
          </w:tcPr>
          <w:p>
            <w:r>
              <w:rPr>
                <w:b/>
                <w:color w:val="C00000"/>
                <w:sz w:val="17"/>
              </w:rPr>
              <w:t>-9.4%</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1,402</w:t>
            </w:r>
          </w:p>
        </w:tc>
        <w:tc>
          <w:tcPr>
            <w:tcW w:type="dxa" w:w="1440"/>
            <w:shd w:fill="FFDCE0" w:val="clear"/>
          </w:tcPr>
          <w:p>
            <w:r>
              <w:rPr>
                <w:b/>
                <w:sz w:val="17"/>
              </w:rPr>
              <w:t>1,576</w:t>
            </w:r>
          </w:p>
        </w:tc>
        <w:tc>
          <w:tcPr>
            <w:tcW w:type="dxa" w:w="1440"/>
            <w:shd w:fill="FFDCE0" w:val="clear"/>
          </w:tcPr>
          <w:p>
            <w:r>
              <w:rPr>
                <w:sz w:val="17"/>
              </w:rPr>
              <w:t>1,749</w:t>
            </w:r>
          </w:p>
        </w:tc>
        <w:tc>
          <w:tcPr>
            <w:tcW w:type="dxa" w:w="1440"/>
            <w:shd w:fill="FFDCE0" w:val="clear"/>
          </w:tcPr>
          <w:p>
            <w:r>
              <w:rPr>
                <w:b/>
                <w:color w:val="C00000"/>
                <w:sz w:val="17"/>
              </w:rPr>
              <w:t>-10.7%</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1,368</w:t>
            </w:r>
          </w:p>
        </w:tc>
        <w:tc>
          <w:tcPr>
            <w:tcW w:type="dxa" w:w="1440"/>
            <w:shd w:fill="FFDCE0" w:val="clear"/>
          </w:tcPr>
          <w:p>
            <w:r>
              <w:rPr>
                <w:b/>
                <w:sz w:val="17"/>
              </w:rPr>
              <w:t>1,553</w:t>
            </w:r>
          </w:p>
        </w:tc>
        <w:tc>
          <w:tcPr>
            <w:tcW w:type="dxa" w:w="1440"/>
            <w:shd w:fill="FFDCE0" w:val="clear"/>
          </w:tcPr>
          <w:p>
            <w:r>
              <w:rPr>
                <w:sz w:val="17"/>
              </w:rPr>
              <w:t>1,738</w:t>
            </w:r>
          </w:p>
        </w:tc>
        <w:tc>
          <w:tcPr>
            <w:tcW w:type="dxa" w:w="1440"/>
            <w:shd w:fill="FFDCE0" w:val="clear"/>
          </w:tcPr>
          <w:p>
            <w:r>
              <w:rPr>
                <w:b/>
                <w:color w:val="C00000"/>
                <w:sz w:val="17"/>
              </w:rPr>
              <w:t>-12.0%</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1,336</w:t>
            </w:r>
          </w:p>
        </w:tc>
        <w:tc>
          <w:tcPr>
            <w:tcW w:type="dxa" w:w="1440"/>
            <w:shd w:fill="FFDCE0" w:val="clear"/>
          </w:tcPr>
          <w:p>
            <w:r>
              <w:rPr>
                <w:b/>
                <w:sz w:val="17"/>
              </w:rPr>
              <w:t>1,530</w:t>
            </w:r>
          </w:p>
        </w:tc>
        <w:tc>
          <w:tcPr>
            <w:tcW w:type="dxa" w:w="1440"/>
            <w:shd w:fill="FFDCE0" w:val="clear"/>
          </w:tcPr>
          <w:p>
            <w:r>
              <w:rPr>
                <w:sz w:val="17"/>
              </w:rPr>
              <w:t>1,725</w:t>
            </w:r>
          </w:p>
        </w:tc>
        <w:tc>
          <w:tcPr>
            <w:tcW w:type="dxa" w:w="1440"/>
            <w:shd w:fill="FFDCE0" w:val="clear"/>
          </w:tcPr>
          <w:p>
            <w:r>
              <w:rPr>
                <w:b/>
                <w:color w:val="C00000"/>
                <w:sz w:val="17"/>
              </w:rPr>
              <w:t>-13.3%</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1,305</w:t>
            </w:r>
          </w:p>
        </w:tc>
        <w:tc>
          <w:tcPr>
            <w:tcW w:type="dxa" w:w="1440"/>
            <w:shd w:fill="FFDCE0" w:val="clear"/>
          </w:tcPr>
          <w:p>
            <w:r>
              <w:rPr>
                <w:b/>
                <w:sz w:val="17"/>
              </w:rPr>
              <w:t>1,508</w:t>
            </w:r>
          </w:p>
        </w:tc>
        <w:tc>
          <w:tcPr>
            <w:tcW w:type="dxa" w:w="1440"/>
            <w:shd w:fill="FFDCE0" w:val="clear"/>
          </w:tcPr>
          <w:p>
            <w:r>
              <w:rPr>
                <w:sz w:val="17"/>
              </w:rPr>
              <w:t>1,712</w:t>
            </w:r>
          </w:p>
        </w:tc>
        <w:tc>
          <w:tcPr>
            <w:tcW w:type="dxa" w:w="1440"/>
            <w:shd w:fill="FFDCE0" w:val="clear"/>
          </w:tcPr>
          <w:p>
            <w:r>
              <w:rPr>
                <w:b/>
                <w:color w:val="C00000"/>
                <w:sz w:val="17"/>
              </w:rPr>
              <w:t>-14.5%</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1,275</w:t>
            </w:r>
          </w:p>
        </w:tc>
        <w:tc>
          <w:tcPr>
            <w:tcW w:type="dxa" w:w="1440"/>
            <w:shd w:fill="FFDCE0" w:val="clear"/>
          </w:tcPr>
          <w:p>
            <w:r>
              <w:rPr>
                <w:b/>
                <w:sz w:val="17"/>
              </w:rPr>
              <w:t>1,487</w:t>
            </w:r>
          </w:p>
        </w:tc>
        <w:tc>
          <w:tcPr>
            <w:tcW w:type="dxa" w:w="1440"/>
            <w:shd w:fill="FFDCE0" w:val="clear"/>
          </w:tcPr>
          <w:p>
            <w:r>
              <w:rPr>
                <w:sz w:val="17"/>
              </w:rPr>
              <w:t>1,698</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320,12 milliards FCFA, ce qui en fait une valeur significative sur le compartiment principal de la BRVM, reflétant la position dominante de l'entreprise sur le marché automobile ivoirien. Avec un BPA de 26 FCFA, le titre se négocie à un PER de 68,2x, un niveau extrêmement élevé comparé à la moyenne historique de la BRVM (8-12x), indiquant que les investisseurs paient une prime considérable pour chaque franc de bénéfice. Le P/B de 16,46x confirme cette surévaluation relative, le marché valorisant l'actif net comptable à plus de seize fois sa valeur, tandis que l'EV/EBITDA de 34,7x souligne une exigence de rentabilité opérationnelle future très ambitieuse. Ces multiples, tous supérieurs aux seuils de vigilance, témoignent d'un optimisme marqué du marché qui anticipe une forte croissance des bénéfices, mais exposent le titre à un risque de correction significatif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 enregistré une progression totale de +9,63%, avec une dernière séance en hausse de +1,44% à 1 765 FCFA, dans un range de trading compris entre 1 325 et 1 825 FCFA. La moyenne (1 605 FCFA) et la médiane (1 602 FCFA) étant quasi identiques, la distribution des prix est remarquablement symétrique, ce que confirme le skewness de -0,360, indiquant une légère asymétrie négative sans déséquilibre majeur. L'écart-type de 102 FCFA, avec un coefficient de variation de 6,3%, révèle une dispersion modérée des cours autour de la moyenne, tandis que le kurtosis de -0,029 (mésokurtique) suggère une distribution proche de la normale, sans risque extrême de pics ou de queues épaisses. La volatilité annualisée de 48,8% classe le titre dans la catégorie des valeurs à forte volatilité, un niveau élevé qui reflète une sensibilité marquée aux variations du marché et aux annonces spécifiques à l'entreprise.</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1 670,75 et 1 671,4 FCFA) sont très proches l'une de l'autre, mais le cours actuel de 1 765 FCFA se situe nettement au-dessus de ces deux niveaux, indiquant une dynamique haussière à court terme. Cependant, la décision de "Vente" suggère que le marché pourrait considérer cette avance comme excessive et anticiper un repli vers ces moyennes, d'autant que la convergence des deux MM indique une consolidation en cours.</w:t>
      </w:r>
    </w:p>
    <w:p>
      <w:pPr>
        <w:spacing w:after="120" w:line="276" w:lineRule="auto"/>
      </w:pPr>
      <w:r>
        <w:t>Les bandes de Bollinger, avec une borne supérieure à 1 755,06 et une borne inférieure à 1 586,44, montrent que le cours à 1 765 FCFA a franchi la borne supérieure, signalant une condition de surachat temporaire. Cette sortie de canal, combinée à la décision de "Vente", suggère une probabilité accrue de retour vers la moyenne des bandes, d'autant que la volatilité mesurée par l'écart-type des bandes reste contenue.</w:t>
      </w:r>
    </w:p>
    <w:p>
      <w:pPr>
        <w:spacing w:after="120" w:line="276" w:lineRule="auto"/>
      </w:pPr>
      <w:r>
        <w:t>Le MACD affiche une valeur de 13,684 contre un signal à 5,629, avec une divergence positive de 8 points, indiquant un momentum haussier encore actif. La décision "Achat" reflète cette dynamique positive, le MACD étant nettement au-dessus de sa ligne de signal, ce qui soutient la poursuite de la tendance à court terme malgré les signaux de surachat venant d'autres indicateurs.</w:t>
      </w:r>
    </w:p>
    <w:p>
      <w:pPr>
        <w:spacing w:after="120" w:line="276" w:lineRule="auto"/>
      </w:pPr>
      <w:r>
        <w:t>Le RSI à 58,537 se situe en zone neutre, entre 30 et 70, indiquant un équilibre relatif entre pressions acheteuses et vendeuses, sans surachat ni survente. Cette valeur suggère que le titre dispose encore de marge avant d'atteindre des conditions de surachat extrêmes, mais la décision "Neutre" reflète l'absence de signal directionnel fort de cet indicateur.</w:t>
      </w:r>
    </w:p>
    <w:p>
      <w:pPr>
        <w:spacing w:after="120" w:line="276" w:lineRule="auto"/>
      </w:pPr>
      <w:r>
        <w:t>Le stochastique, avec %K à 100 et %D à 93,333, est en zone de surachat extrême, le %K ayant atteint son niveau maximal. Cette configuration, avec le %K nettement au-dessus du %D, indique une pression acheteuse très forte mais potentiellement épuisée, justifiant la décision de "Vente" et suggérant un risque élevé de retournement à très court terme.</w:t>
      </w:r>
    </w:p>
    <w:p>
      <w:pPr>
        <w:spacing w:after="120" w:line="276" w:lineRule="auto"/>
      </w:pPr>
      <w:r>
        <w:t>La convergence des signaux techniques est mitigée : les indicateurs de momentum (MACD) restent positifs, mais les oscillateurs de surachat (stochastique, bandes de Bollinger) et la position du cours au-dessus des moyennes mobiles suggèrent une correction technique probable. Le croisement des signaux de "Vente" pour les MM, Bollinger et stochastique contre un "Achat" pour le MACD indique une phase de consolidation imminente, avec un risque de repli vers les 1 670-1 700 FCFA dans les prochaines séances.</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font état d'un chiffre d'affaires de 158,313 milliards FCFA, en baisse de -12,1% par rapport à 2023, et d'un résultat net de 4,693 milliards FCFA, en recul de -26,7%. La marge nette s'établit à 2,96%, tandis que le ROE atteint 24,13% et le ROA 5,52%, des niveaux encore solides malgré la dégradation. Le BFR négatif de -3,482 milliards FCFA constitue un point positif, indiquant que l'entreprise finance son cycle d'exploitation par ses fournisseurs (délai fournisseurs de 81,75 jours contre 36,64 jours pour les clients), tandis que la durée de stockage de 88,35 jours reflète une immobilisation de capital importante. Le ratio d'endettement de 23,07% et la capacité de remboursement de 0,72 an témoignent d'une structure financière maîtrisée, malgré une trésorerie nette négative de -624 millions FCFA. Les rapports trimestriels 2025 montrent un redressement spectaculaire : le T1 2025 affiche un CA de 46,161 milliards (+14,5%) et un résultat net de 3,836 milliards (+279,7%), tandis que le S1 2025 confirme avec un CA de 91,182 milliards (+18,4%) et un RN de 5,420 milliards (+152,7%). Le T3 2025 poursuit cette dynamique avec un CA de 43,580 milliards (+18,3%) et un RN de 1,489 milliard (+38,1%). Sur la base de ces performances, on estime que l'exercice 2025 devrait dépasser 175 milliards de CA et un résultat net supérieur à 8 milliards FCFA, soit une croissance de plus de 70% par rapport à 2024, portée par une part de marché de 41,7% et une amélioration significative des marges opérationnelles (8,2% au S1 2025 contre 5,0% en 2024).</w:t>
      </w:r>
    </w:p>
    <w:p>
      <w:pPr>
        <w:spacing w:after="120" w:line="276" w:lineRule="auto" w:before="240"/>
      </w:pPr>
      <w:r>
        <w:rPr>
          <w:b/>
          <w:color w:val="003366"/>
          <w:sz w:val="24"/>
        </w:rPr>
        <w:t>**PARTIE 4 : CONCLUSION D'INVESTISSEMENT**</w:t>
      </w:r>
    </w:p>
    <w:p>
      <w:pPr>
        <w:spacing w:after="120" w:line="276" w:lineRule="auto"/>
      </w:pPr>
      <w:r>
        <w:t>La valorisation actuelle de CFAC, avec un PER de 68,2x et un P/B de 16,46x, apparaît extrêmement exigeante, intégrant une croissance future des bénéfices qui, bien que réelle au vu des rapports 2025, pourrait être déjà largement anticipée par le marché. Le comportement du cours sur 100 jours (+9,63%) et la volatilité élevée de 48,8% témoignent d'un intérêt soutenu mais d'un risque de retournement accru, les statistiques descriptives indiquant une distribution relativement normale sans signaux extrêmes. Les signaux techniques sont partagés : le MACD reste positif, mais le stochastique en surachat extrême et le franchissement de la borne supérieure de Bollinger suggèrent une correction à court terme, d'autant que les prédictions IA anticipent un repli progressif vers 1 599 FCFA sur 10 jours, soit une baisse de -9,4%. Les fondamentaux, bien que solides avec un ROE de 24,13% et un redressement spectaculaire en 2025, ne justifient pas pleinement les multiples actuels, le PER ressortant à environ 40x sur la base des bénéfices estimés 2025. La convergence entre la surévaluation flagrante, les signaux techniques de surachat et la trajectoire baissière prédite par l'IA conduit à une recommandation de **VENTE** avec un niveau de confiance **Moyen** et un risque global **Élevé**. L'horizon d'investissement optimal serait de court terme (&lt;3 mois) pour les investisseurs cherchant à sécuriser des gains, avec un point d'entrée potentiel autour de 1 600 FCFA si la correction prédite se matérialise.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390.32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6,003 titres</w:t>
            </w:r>
          </w:p>
        </w:tc>
        <w:tc>
          <w:tcPr>
            <w:tcW w:type="dxa" w:w="2268"/>
            <w:shd w:fill="FFF2CC" w:val="clear"/>
          </w:tcPr>
          <w:p>
            <w:r>
              <w:rPr>
                <w:b/>
                <w:color w:val="503200"/>
                <w:sz w:val="16"/>
              </w:rPr>
              <w:t xml:space="preserve">Cours actuel : </w:t>
            </w:r>
            <w:r>
              <w:rPr>
                <w:color w:val="000000"/>
                <w:sz w:val="17"/>
              </w:rPr>
              <w:t>6,970 FCFA</w:t>
            </w:r>
          </w:p>
          <w:p>
            <w:r>
              <w:rPr>
                <w:b/>
                <w:color w:val="503200"/>
                <w:sz w:val="16"/>
              </w:rPr>
              <w:t xml:space="preserve">Var. 100 jours : </w:t>
            </w:r>
            <w:r>
              <w:rPr>
                <w:b/>
                <w:color w:val="007800"/>
                <w:sz w:val="17"/>
              </w:rPr>
              <w:t>+111.21%</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23.59% (Élevée) — μ=4,503 FCFA, σ=1,062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β=1.2468 (Agressif) — Cov=0.000042, Var(idx)=0.000034, ρ=0.232,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6,078</w:t>
            </w:r>
          </w:p>
        </w:tc>
        <w:tc>
          <w:tcPr>
            <w:tcW w:type="dxa" w:w="1440"/>
            <w:shd w:fill="FFDCE0" w:val="clear"/>
          </w:tcPr>
          <w:p>
            <w:r>
              <w:rPr>
                <w:b/>
                <w:sz w:val="17"/>
              </w:rPr>
              <w:t>6,447</w:t>
            </w:r>
          </w:p>
        </w:tc>
        <w:tc>
          <w:tcPr>
            <w:tcW w:type="dxa" w:w="1440"/>
            <w:shd w:fill="FFDCE0" w:val="clear"/>
          </w:tcPr>
          <w:p>
            <w:r>
              <w:rPr>
                <w:sz w:val="17"/>
              </w:rPr>
              <w:t>6,817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5,480</w:t>
            </w:r>
          </w:p>
        </w:tc>
        <w:tc>
          <w:tcPr>
            <w:tcW w:type="dxa" w:w="1440"/>
            <w:shd w:fill="FFDCE0" w:val="clear"/>
          </w:tcPr>
          <w:p>
            <w:r>
              <w:rPr>
                <w:b/>
                <w:sz w:val="17"/>
              </w:rPr>
              <w:t>5,964</w:t>
            </w:r>
          </w:p>
        </w:tc>
        <w:tc>
          <w:tcPr>
            <w:tcW w:type="dxa" w:w="1440"/>
            <w:shd w:fill="FFDCE0" w:val="clear"/>
          </w:tcPr>
          <w:p>
            <w:r>
              <w:rPr>
                <w:sz w:val="17"/>
              </w:rPr>
              <w:t>6,447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4,969</w:t>
            </w:r>
          </w:p>
        </w:tc>
        <w:tc>
          <w:tcPr>
            <w:tcW w:type="dxa" w:w="1440"/>
            <w:shd w:fill="FFDCE0" w:val="clear"/>
          </w:tcPr>
          <w:p>
            <w:r>
              <w:rPr>
                <w:b/>
                <w:sz w:val="17"/>
              </w:rPr>
              <w:t>5,516</w:t>
            </w:r>
          </w:p>
        </w:tc>
        <w:tc>
          <w:tcPr>
            <w:tcW w:type="dxa" w:w="1440"/>
            <w:shd w:fill="FFDCE0" w:val="clear"/>
          </w:tcPr>
          <w:p>
            <w:r>
              <w:rPr>
                <w:sz w:val="17"/>
              </w:rPr>
              <w:t>6,064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4,518</w:t>
            </w:r>
          </w:p>
        </w:tc>
        <w:tc>
          <w:tcPr>
            <w:tcW w:type="dxa" w:w="1440"/>
            <w:shd w:fill="FFDCE0" w:val="clear"/>
          </w:tcPr>
          <w:p>
            <w:r>
              <w:rPr>
                <w:b/>
                <w:sz w:val="17"/>
              </w:rPr>
              <w:t>5,103</w:t>
            </w:r>
          </w:p>
        </w:tc>
        <w:tc>
          <w:tcPr>
            <w:tcW w:type="dxa" w:w="1440"/>
            <w:shd w:fill="FFDCE0" w:val="clear"/>
          </w:tcPr>
          <w:p>
            <w:r>
              <w:rPr>
                <w:sz w:val="17"/>
              </w:rPr>
              <w:t>5,688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4,115</w:t>
            </w:r>
          </w:p>
        </w:tc>
        <w:tc>
          <w:tcPr>
            <w:tcW w:type="dxa" w:w="1440"/>
            <w:shd w:fill="FFDCE0" w:val="clear"/>
          </w:tcPr>
          <w:p>
            <w:r>
              <w:rPr>
                <w:b/>
                <w:sz w:val="17"/>
              </w:rPr>
              <w:t>4,720</w:t>
            </w:r>
          </w:p>
        </w:tc>
        <w:tc>
          <w:tcPr>
            <w:tcW w:type="dxa" w:w="1440"/>
            <w:shd w:fill="FFDCE0" w:val="clear"/>
          </w:tcPr>
          <w:p>
            <w:r>
              <w:rPr>
                <w:sz w:val="17"/>
              </w:rPr>
              <w:t>5,325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3,753</w:t>
            </w:r>
          </w:p>
        </w:tc>
        <w:tc>
          <w:tcPr>
            <w:tcW w:type="dxa" w:w="1440"/>
            <w:shd w:fill="FFDCE0" w:val="clear"/>
          </w:tcPr>
          <w:p>
            <w:r>
              <w:rPr>
                <w:b/>
                <w:sz w:val="17"/>
              </w:rPr>
              <w:t>4,366</w:t>
            </w:r>
          </w:p>
        </w:tc>
        <w:tc>
          <w:tcPr>
            <w:tcW w:type="dxa" w:w="1440"/>
            <w:shd w:fill="FFDCE0" w:val="clear"/>
          </w:tcPr>
          <w:p>
            <w:r>
              <w:rPr>
                <w:sz w:val="17"/>
              </w:rPr>
              <w:t>4,979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3,426</w:t>
            </w:r>
          </w:p>
        </w:tc>
        <w:tc>
          <w:tcPr>
            <w:tcW w:type="dxa" w:w="1440"/>
            <w:shd w:fill="FFDCE0" w:val="clear"/>
          </w:tcPr>
          <w:p>
            <w:r>
              <w:rPr>
                <w:b/>
                <w:sz w:val="17"/>
              </w:rPr>
              <w:t>4,039</w:t>
            </w:r>
          </w:p>
        </w:tc>
        <w:tc>
          <w:tcPr>
            <w:tcW w:type="dxa" w:w="1440"/>
            <w:shd w:fill="FFDCE0" w:val="clear"/>
          </w:tcPr>
          <w:p>
            <w:r>
              <w:rPr>
                <w:sz w:val="17"/>
              </w:rPr>
              <w:t>4,651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3,130</w:t>
            </w:r>
          </w:p>
        </w:tc>
        <w:tc>
          <w:tcPr>
            <w:tcW w:type="dxa" w:w="1440"/>
            <w:shd w:fill="FFDCE0" w:val="clear"/>
          </w:tcPr>
          <w:p>
            <w:r>
              <w:rPr>
                <w:b/>
                <w:sz w:val="17"/>
              </w:rPr>
              <w:t>3,736</w:t>
            </w:r>
          </w:p>
        </w:tc>
        <w:tc>
          <w:tcPr>
            <w:tcW w:type="dxa" w:w="1440"/>
            <w:shd w:fill="FFDCE0" w:val="clear"/>
          </w:tcPr>
          <w:p>
            <w:r>
              <w:rPr>
                <w:sz w:val="17"/>
              </w:rPr>
              <w:t>4,341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2,861</w:t>
            </w:r>
          </w:p>
        </w:tc>
        <w:tc>
          <w:tcPr>
            <w:tcW w:type="dxa" w:w="1440"/>
            <w:shd w:fill="FFDCE0" w:val="clear"/>
          </w:tcPr>
          <w:p>
            <w:r>
              <w:rPr>
                <w:b/>
                <w:sz w:val="17"/>
              </w:rPr>
              <w:t>3,455</w:t>
            </w:r>
          </w:p>
        </w:tc>
        <w:tc>
          <w:tcPr>
            <w:tcW w:type="dxa" w:w="1440"/>
            <w:shd w:fill="FFDCE0" w:val="clear"/>
          </w:tcPr>
          <w:p>
            <w:r>
              <w:rPr>
                <w:sz w:val="17"/>
              </w:rPr>
              <w:t>4,050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2,681</w:t>
            </w:r>
          </w:p>
        </w:tc>
        <w:tc>
          <w:tcPr>
            <w:tcW w:type="dxa" w:w="1440"/>
            <w:shd w:fill="FFDCE0" w:val="clear"/>
          </w:tcPr>
          <w:p>
            <w:r>
              <w:rPr>
                <w:b/>
                <w:sz w:val="17"/>
              </w:rPr>
              <w:t>3,275</w:t>
            </w:r>
          </w:p>
        </w:tc>
        <w:tc>
          <w:tcPr>
            <w:tcW w:type="dxa" w:w="1440"/>
            <w:shd w:fill="FFDCE0" w:val="clear"/>
          </w:tcPr>
          <w:p>
            <w:r>
              <w:rPr>
                <w:sz w:val="17"/>
              </w:rPr>
              <w:t>3,868</w:t>
            </w:r>
          </w:p>
        </w:tc>
        <w:tc>
          <w:tcPr>
            <w:tcW w:type="dxa" w:w="1440"/>
            <w:shd w:fill="FFDCE0" w:val="clear"/>
          </w:tcPr>
          <w:p>
            <w:r>
              <w:rPr>
                <w:b/>
                <w:color w:val="C00000"/>
                <w:sz w:val="17"/>
              </w:rPr>
              <w:t>-53.0%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390,32 milliards FCFA, positionnant le titre parmi les valeurs moyennes du marché BRVM, dans un secteur stratégique et régulé. Le BPA de 234 FCFA indique que chaque action génère un bénéfice net de ce montant, mais le PER de 29,7x est très supérieur à la moyenne historique de la BRVM (8-12x), signifiant que les investisseurs paient une prime substantielle pour chaque franc de bénéfice, anticipant une forte croissance future. Le P/B de 10,85x confirme cette valorisation exigeante, le marché valorisant l'actif net comptable plus de dix fois au-dessus de sa valeur, un niveau extrême pour la place. Enfin, l'EV/EBITDA de 15,6x, supérieur au seuil de 15x, indique que la valeur totale de l'entreprise (capitalisation + dette nette) est élevée par rapport à sa capacité opérationnelle de génération de cash, renforçant le constat d'une valorisation qui intègre des attentes de performance très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CIEC a enregistré une progression spectaculaire de +111,21%, passant d'un plus bas de 3 000 FCFA à un cours actuel de 6 970 FCFA, avec une dernière séance en hausse de +1,01%. Cette tendance fortement haussière s'est accompagnée d'un volume moyen de 6 003 titres par jour, reflétant un intérêt soutenu. La moyenne du cours sur la période (4 503 FCFA) est inférieure à la médiane (4 995 FCFA), indiquant une distribution légèrement asymétrique où les valeurs hautes ont dominé la fin de période. L'écart-type de 1 068 FCFA (CV de 23,7%) montre une dispersion modérée, tandis que le kurtosis de -0,802 (mésokurtique) et le skewness de 0,108 suggèrent une distribution proche de la normale, sans risque de pics extrêmes. La volatilité annualisée de 49,6% classe le titre comme très volatil (&gt;30%), un niveau élevé qui implique un risque important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(6 970 FCFA) évolue nettement au-dessus de la MM20 (5 642 FCFA) et de la MM50 (5 367,7 FCFA), confirmant une dynamique haussière solide à court et moyen terme. L'écart positif entre les deux moyennes et le cours indique une tendance robuste, justifiant la décision d'achat.</w:t>
      </w:r>
    </w:p>
    <w:p>
      <w:pPr>
        <w:spacing w:after="120" w:line="276" w:lineRule="auto"/>
      </w:pPr>
      <w:r>
        <w:t>**Bandes de Bollinger** : Le prix se situe proche de la borne supérieure (7 171,8 FCFA), à 97% de celle-ci, ce qui témoigne d'une pression acheteuse intense et d'une volatilité élevée. Cette position extrême suggère un marché suracheté à court terme, mais la décision reste neutre car le titre n'a pas encore franchi la borne, laissant place à une possible poursuite ou à un repli technique.</w:t>
      </w:r>
    </w:p>
    <w:p>
      <w:pPr>
        <w:spacing w:after="120" w:line="276" w:lineRule="auto"/>
      </w:pPr>
      <w:r>
        <w:t>**MACD** : La valeur du MACD (465,8) est nettement supérieure à sa ligne de signal (274,0), avec un écart positif croissant. Cette configuration signale un momentum haussier puissant et une accélération de la tendance, justifiant la décision d'achat.</w:t>
      </w:r>
    </w:p>
    <w:p>
      <w:pPr>
        <w:spacing w:after="120" w:line="276" w:lineRule="auto"/>
      </w:pPr>
      <w:r>
        <w:t>**RSI** : À 88,5, le RSI est profondément en zone de surachat (&gt;70), indiquant que le titre est surévalué à court terme et qu'un retournement ou une consolidation est probable. La décision de vente est donc cohérente avec ce niveau extrême.</w:t>
      </w:r>
    </w:p>
    <w:p>
      <w:pPr>
        <w:spacing w:after="120" w:line="276" w:lineRule="auto"/>
      </w:pPr>
      <w:r>
        <w:t>**Stochastique** : Le %K (89,98) et le %D (92,26) sont tous deux en zone de surachat, avec un %D au-dessus du %K, signalant une possible divergence baissière. Cette configuration suggère un épuisement de la dynamique haussière, justifiant la décision de vente.</w:t>
      </w:r>
    </w:p>
    <w:p>
      <w:pPr>
        <w:spacing w:after="120" w:line="276" w:lineRule="auto"/>
      </w:pPr>
      <w:r>
        <w:t>**Conclusion technique** : Les indicateurs de tendance (MM, MACD) sont positifs et confirment une forte dynamique haussière, mais les oscillateurs (RSI, Stochastique) sont en surachat extrême, signalant un risque élevé de correction. La prudence est de mise à court terme, malgré une tendance de fond favorable.</w:t>
      </w:r>
    </w:p>
    <w:p>
      <w:pPr>
        <w:spacing w:after="120" w:line="276" w:lineRule="auto"/>
      </w:pPr>
      <w:r>
        <w:t>---</w:t>
      </w:r>
    </w:p>
    <w:p>
      <w:pPr>
        <w:spacing w:after="120" w:line="276" w:lineRule="auto"/>
      </w:pPr>
      <w:r>
        <w:t>### PARTIE 3 : ANALYSE FONDAMENTALE (SECTION CRITIQUE)</w:t>
      </w:r>
    </w:p>
    <w:p>
      <w:pPr>
        <w:spacing w:after="120" w:line="276" w:lineRule="auto"/>
      </w:pPr>
      <w:r>
        <w:t>En 2025, la CIEC affiche un chiffre d'affaires de 302,32 milliards FCFA, en hausse de +14,8% par rapport à 2024 (263,29 milliards), et un résultat net de 13,13 milliards FCFA, en progression de +24,4% (10,53 milliards en 2024). La rentabilité des fonds propres (ROE) est excellente à 36,5%, tandis que le ROA reste faible à 0,65%, en raison d'un total bilan très élevé (2 018,4 milliards FCFA) lié à la concession. La marge nette s'établit à 4,3%, typique d'une entreprise régulée. Le BFR est négatif (-90,24 milliards FCFA), une situation favorable qui indique que la société finance son exploitation grâce aux délais fournisseurs (970 jours), mais le délai client de 164 jours constitue un risque de trésorerie significatif. L'endettement est très élevé (ratio d'endettement de 612,9%), mais la capacité de remboursement reste acceptable (7,64 ans). Les rapports semestriels 2025 (S1) montrent un CA de 134,92 milliards (+18,85%) et un résultat net de 5,10 milliards (+13,4%), suggérant une croissance soutenue pour le second semestre. Sur la base de ces données, on estime que l'exercice 2026 pourrait voir un CA dépassant 330 milliards FCFA et un résultat net autour de 15 milliards, si la tendance se maintient. La politique de dividende est très généreuse (234 FCFA/action, soit ~99,8% du résultat net), mais elle limite la capacité d'autofinancement. Les risques majeurs restent la dépendance au cadre réglementaire et le risque de crédit client, tandis que la croissance de la demande énergétique (+8,3% en volume) offre des perspectives favorables.</w:t>
      </w:r>
    </w:p>
    <w:p>
      <w:pPr>
        <w:spacing w:after="120" w:line="276" w:lineRule="auto"/>
      </w:pPr>
      <w:r>
        <w:t>---</w:t>
      </w:r>
    </w:p>
    <w:p>
      <w:pPr>
        <w:spacing w:after="120" w:line="276" w:lineRule="auto"/>
      </w:pPr>
      <w:r>
        <w:t>### PARTIE 4 : CONCLUSION D'INVESTISSEMENT</w:t>
      </w:r>
    </w:p>
    <w:p>
      <w:pPr>
        <w:spacing w:after="120" w:line="276" w:lineRule="auto"/>
      </w:pPr>
      <w:r>
        <w:t>La valorisation de la CIEC (PER 29,7x, P/B 10,85x, EV/EBITDA 15,6x) indique une nette surévaluation par rapport aux fondamentaux historiques du marché BRVM, intégrant des attentes de croissance très optimistes. Le comportement du cours (+111% en 100 jours) montre une tendance haussière spectaculaire mais avec une volatilité élevée (49,6%) et des statistiques (kurtosis, skewness) proches de la normale, sans signe de distribution extrême. Les signaux techniques sont mitigés : les moyennes mobiles et le MACD confirment la tendance haussière, mais le RSI (88,5) et le Stochastique (89,9/92,3) sont en surachat extrême, signalant un risque de correction imminent. Les fondamentaux sont solides (ROE de 36,5%, croissance du CA de +14,8%, dividende attractif), mais l'endettement élevé et la dépendance réglementaire constituent des fragilités. Les prédictions IA pour les 10 prochains jours (6 447 à 4 720 FCFA) confirment un scénario de correction, avec une baisse potentielle de 8% à 32%. La convergence entre la surévaluation, les signaux techniques surachetés et les prédictions baissières suggère une recommandation de **VENTE** à court terme, avec un niveau de confiance **Élevé** et un risque global **Élevé**. L'horizon optimal serait de court terme (&lt;3 mois) pour éviter une correction, mais les fondamentaux solides pourraient justifier une réévaluation à moyen terme si le cours se stabilise autour de 5 000-5 500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926.50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3,854 titres</w:t>
            </w:r>
          </w:p>
        </w:tc>
        <w:tc>
          <w:tcPr>
            <w:tcW w:type="dxa" w:w="2268"/>
            <w:shd w:fill="FFF2CC" w:val="clear"/>
          </w:tcPr>
          <w:p>
            <w:r>
              <w:rPr>
                <w:b/>
                <w:color w:val="503200"/>
                <w:sz w:val="16"/>
              </w:rPr>
              <w:t xml:space="preserve">Cours actuel : </w:t>
            </w:r>
            <w:r>
              <w:rPr>
                <w:color w:val="000000"/>
                <w:sz w:val="17"/>
              </w:rPr>
              <w:t>16,830 FCFA</w:t>
            </w:r>
          </w:p>
          <w:p>
            <w:r>
              <w:rPr>
                <w:b/>
                <w:color w:val="503200"/>
                <w:sz w:val="16"/>
              </w:rPr>
              <w:t xml:space="preserve">Var. 100 jours : </w:t>
            </w:r>
            <w:r>
              <w:rPr>
                <w:b/>
                <w:color w:val="007800"/>
                <w:sz w:val="17"/>
              </w:rPr>
              <w:t>+2.00%</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2.21% (Faible) — μ=16,324 FCFA, σ=361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β=0.2993 (Défensif) — Cov=0.000010, Var(idx)=0.000034, ρ=0.100,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16,264</w:t>
            </w:r>
          </w:p>
        </w:tc>
        <w:tc>
          <w:tcPr>
            <w:tcW w:type="dxa" w:w="1440"/>
            <w:shd w:fill="FAFAFA" w:val="clear"/>
          </w:tcPr>
          <w:p>
            <w:r>
              <w:rPr>
                <w:b/>
                <w:sz w:val="17"/>
              </w:rPr>
              <w:t>16,678</w:t>
            </w:r>
          </w:p>
        </w:tc>
        <w:tc>
          <w:tcPr>
            <w:tcW w:type="dxa" w:w="1440"/>
            <w:shd w:fill="FAFAFA" w:val="clear"/>
          </w:tcPr>
          <w:p>
            <w:r>
              <w:rPr>
                <w:sz w:val="17"/>
              </w:rPr>
              <w:t>17,092</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16,075</w:t>
            </w:r>
          </w:p>
        </w:tc>
        <w:tc>
          <w:tcPr>
            <w:tcW w:type="dxa" w:w="1440"/>
            <w:shd w:fill="FAFAFA" w:val="clear"/>
          </w:tcPr>
          <w:p>
            <w:r>
              <w:rPr>
                <w:b/>
                <w:sz w:val="17"/>
              </w:rPr>
              <w:t>16,661</w:t>
            </w:r>
          </w:p>
        </w:tc>
        <w:tc>
          <w:tcPr>
            <w:tcW w:type="dxa" w:w="1440"/>
            <w:shd w:fill="FAFAFA" w:val="clear"/>
          </w:tcPr>
          <w:p>
            <w:r>
              <w:rPr>
                <w:sz w:val="17"/>
              </w:rPr>
              <w:t>17,246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15,921</w:t>
            </w:r>
          </w:p>
        </w:tc>
        <w:tc>
          <w:tcPr>
            <w:tcW w:type="dxa" w:w="1440"/>
            <w:shd w:fill="FAFAFA" w:val="clear"/>
          </w:tcPr>
          <w:p>
            <w:r>
              <w:rPr>
                <w:b/>
                <w:sz w:val="17"/>
              </w:rPr>
              <w:t>16,637</w:t>
            </w:r>
          </w:p>
        </w:tc>
        <w:tc>
          <w:tcPr>
            <w:tcW w:type="dxa" w:w="1440"/>
            <w:shd w:fill="FAFAFA" w:val="clear"/>
          </w:tcPr>
          <w:p>
            <w:r>
              <w:rPr>
                <w:sz w:val="17"/>
              </w:rPr>
              <w:t>17,353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15,792</w:t>
            </w:r>
          </w:p>
        </w:tc>
        <w:tc>
          <w:tcPr>
            <w:tcW w:type="dxa" w:w="1440"/>
            <w:shd w:fill="FAFAFA" w:val="clear"/>
          </w:tcPr>
          <w:p>
            <w:r>
              <w:rPr>
                <w:b/>
                <w:sz w:val="17"/>
              </w:rPr>
              <w:t>16,617</w:t>
            </w:r>
          </w:p>
        </w:tc>
        <w:tc>
          <w:tcPr>
            <w:tcW w:type="dxa" w:w="1440"/>
            <w:shd w:fill="FAFAFA" w:val="clear"/>
          </w:tcPr>
          <w:p>
            <w:r>
              <w:rPr>
                <w:sz w:val="17"/>
              </w:rPr>
              <w:t>17,443</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2026-09-01</w:t>
            </w:r>
          </w:p>
        </w:tc>
        <w:tc>
          <w:tcPr>
            <w:tcW w:type="dxa" w:w="1440"/>
            <w:shd w:fill="FAFAFA" w:val="clear"/>
          </w:tcPr>
          <w:p>
            <w:r>
              <w:rPr>
                <w:sz w:val="17"/>
              </w:rPr>
              <w:t>15,677</w:t>
            </w:r>
          </w:p>
        </w:tc>
        <w:tc>
          <w:tcPr>
            <w:tcW w:type="dxa" w:w="1440"/>
            <w:shd w:fill="FAFAFA" w:val="clear"/>
          </w:tcPr>
          <w:p>
            <w:r>
              <w:rPr>
                <w:b/>
                <w:sz w:val="17"/>
              </w:rPr>
              <w:t>16,599</w:t>
            </w:r>
          </w:p>
        </w:tc>
        <w:tc>
          <w:tcPr>
            <w:tcW w:type="dxa" w:w="1440"/>
            <w:shd w:fill="FAFAFA" w:val="clear"/>
          </w:tcPr>
          <w:p>
            <w:r>
              <w:rPr>
                <w:sz w:val="17"/>
              </w:rPr>
              <w:t>17,521</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2026-09-02</w:t>
            </w:r>
          </w:p>
        </w:tc>
        <w:tc>
          <w:tcPr>
            <w:tcW w:type="dxa" w:w="1440"/>
            <w:shd w:fill="FAFAFA" w:val="clear"/>
          </w:tcPr>
          <w:p>
            <w:r>
              <w:rPr>
                <w:sz w:val="17"/>
              </w:rPr>
              <w:t>15,573</w:t>
            </w:r>
          </w:p>
        </w:tc>
        <w:tc>
          <w:tcPr>
            <w:tcW w:type="dxa" w:w="1440"/>
            <w:shd w:fill="FAFAFA" w:val="clear"/>
          </w:tcPr>
          <w:p>
            <w:r>
              <w:rPr>
                <w:b/>
                <w:sz w:val="17"/>
              </w:rPr>
              <w:t>16,582</w:t>
            </w:r>
          </w:p>
        </w:tc>
        <w:tc>
          <w:tcPr>
            <w:tcW w:type="dxa" w:w="1440"/>
            <w:shd w:fill="FAFAFA" w:val="clear"/>
          </w:tcPr>
          <w:p>
            <w:r>
              <w:rPr>
                <w:sz w:val="17"/>
              </w:rPr>
              <w:t>17,591</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2026-09-03</w:t>
            </w:r>
          </w:p>
        </w:tc>
        <w:tc>
          <w:tcPr>
            <w:tcW w:type="dxa" w:w="1440"/>
            <w:shd w:fill="FAFAFA" w:val="clear"/>
          </w:tcPr>
          <w:p>
            <w:r>
              <w:rPr>
                <w:sz w:val="17"/>
              </w:rPr>
              <w:t>15,476</w:t>
            </w:r>
          </w:p>
        </w:tc>
        <w:tc>
          <w:tcPr>
            <w:tcW w:type="dxa" w:w="1440"/>
            <w:shd w:fill="FAFAFA" w:val="clear"/>
          </w:tcPr>
          <w:p>
            <w:r>
              <w:rPr>
                <w:b/>
                <w:sz w:val="17"/>
              </w:rPr>
              <w:t>16,565</w:t>
            </w:r>
          </w:p>
        </w:tc>
        <w:tc>
          <w:tcPr>
            <w:tcW w:type="dxa" w:w="1440"/>
            <w:shd w:fill="FAFAFA" w:val="clear"/>
          </w:tcPr>
          <w:p>
            <w:r>
              <w:rPr>
                <w:sz w:val="17"/>
              </w:rPr>
              <w:t>17,653</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2026-09-04</w:t>
            </w:r>
          </w:p>
        </w:tc>
        <w:tc>
          <w:tcPr>
            <w:tcW w:type="dxa" w:w="1440"/>
            <w:shd w:fill="FAFAFA" w:val="clear"/>
          </w:tcPr>
          <w:p>
            <w:r>
              <w:rPr>
                <w:sz w:val="17"/>
              </w:rPr>
              <w:t>15,385</w:t>
            </w:r>
          </w:p>
        </w:tc>
        <w:tc>
          <w:tcPr>
            <w:tcW w:type="dxa" w:w="1440"/>
            <w:shd w:fill="FAFAFA" w:val="clear"/>
          </w:tcPr>
          <w:p>
            <w:r>
              <w:rPr>
                <w:b/>
                <w:sz w:val="17"/>
              </w:rPr>
              <w:t>16,548</w:t>
            </w:r>
          </w:p>
        </w:tc>
        <w:tc>
          <w:tcPr>
            <w:tcW w:type="dxa" w:w="1440"/>
            <w:shd w:fill="FAFAFA" w:val="clear"/>
          </w:tcPr>
          <w:p>
            <w:r>
              <w:rPr>
                <w:sz w:val="17"/>
              </w:rPr>
              <w:t>17,710</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2026-09-07</w:t>
            </w:r>
          </w:p>
        </w:tc>
        <w:tc>
          <w:tcPr>
            <w:tcW w:type="dxa" w:w="1440"/>
            <w:shd w:fill="FAFAFA" w:val="clear"/>
          </w:tcPr>
          <w:p>
            <w:r>
              <w:rPr>
                <w:sz w:val="17"/>
              </w:rPr>
              <w:t>15,299</w:t>
            </w:r>
          </w:p>
        </w:tc>
        <w:tc>
          <w:tcPr>
            <w:tcW w:type="dxa" w:w="1440"/>
            <w:shd w:fill="FAFAFA" w:val="clear"/>
          </w:tcPr>
          <w:p>
            <w:r>
              <w:rPr>
                <w:b/>
                <w:sz w:val="17"/>
              </w:rPr>
              <w:t>16,531</w:t>
            </w:r>
          </w:p>
        </w:tc>
        <w:tc>
          <w:tcPr>
            <w:tcW w:type="dxa" w:w="1440"/>
            <w:shd w:fill="FAFAFA" w:val="clear"/>
          </w:tcPr>
          <w:p>
            <w:r>
              <w:rPr>
                <w:sz w:val="17"/>
              </w:rPr>
              <w:t>17,762</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2026-09-08</w:t>
            </w:r>
          </w:p>
        </w:tc>
        <w:tc>
          <w:tcPr>
            <w:tcW w:type="dxa" w:w="1440"/>
            <w:shd w:fill="FAFAFA" w:val="clear"/>
          </w:tcPr>
          <w:p>
            <w:r>
              <w:rPr>
                <w:sz w:val="17"/>
              </w:rPr>
              <w:t>15,217</w:t>
            </w:r>
          </w:p>
        </w:tc>
        <w:tc>
          <w:tcPr>
            <w:tcW w:type="dxa" w:w="1440"/>
            <w:shd w:fill="FAFAFA" w:val="clear"/>
          </w:tcPr>
          <w:p>
            <w:r>
              <w:rPr>
                <w:b/>
                <w:sz w:val="17"/>
              </w:rPr>
              <w:t>16,514</w:t>
            </w:r>
          </w:p>
        </w:tc>
        <w:tc>
          <w:tcPr>
            <w:tcW w:type="dxa" w:w="1440"/>
            <w:shd w:fill="FAFAFA" w:val="clear"/>
          </w:tcPr>
          <w:p>
            <w:r>
              <w:rPr>
                <w:sz w:val="17"/>
              </w:rPr>
              <w:t>17,811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926,50 milliards FCFA, ce qui en fait l'une des plus importantes capitalisations de la BRVM, reflétant son statut de leader bancaire régional. Le BPA de 1 153 FCFA indique que chaque action a généré un bénéfice substantiel sur l'exercice. Le PER de 14,6x est supérieur à la moyenne historique de la BRVM (8-12x), ce qui suggère que les investisseurs acceptent de payer une prime pour la qualité des actifs et la croissance d'ECOC. Le P/B de 4,24x confirme cette prime, le marché valorisant fortement les capitaux propres de la banque, signe d'une confiance dans sa rentabilité future (ROE &gt; 29%). Enfin, l'EV/EBITDA de 14,2x, bien que dans la fourchette haute (10-15x), reste cohérent avec la solidité opérationnelle de l'établissement, justifiant une valorisation exigeante mais non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 enregistré une variation totale de +2,00%, avec une dernière séance en légère hausse de +0,21% à 16 830 FCFA. Le cours a évolué dans un range de 15 520 FCFA (plus bas) à 17 270 FCFA (plus haut), soit une amplitude de 11,3%, indiquant une volatilité modérée. La moyenne (16 324 FCFA) et la médiane (16 300 FCFA) sont très proches, avec un mode identique, ce qui témoigne d'une distribution des prix très symétrique et stable. L'écart-type de 363 FCFA (CV=2,2%) confirme une dispersion très faible des cours autour de la moyenne. Le kurtosis de -0,084 (mésokurtique) indique une absence de risques extrêmes, tandis que le skewness de 0,224 suggère une légère asymétrie positive, avec des queues de distribution orientées vers le haut. La volatilité annualisée de 27,6% positionne le titre dans une zone modérée (15-30%), reflétant une stabilité relative tout en offrant des opportunités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(16 287,75 FCFA) et la MM50 (16 406,5 FCFA) sont toutes deux inférieures au cours actuel (16 830 FCFA), ce qui indique une tendance haussière à court et moyen terme. Cependant, le signal de "Vente" suggère que le cours pourrait avoir dépassé son niveau d'équilibre à court terme, avec un risque de correction vers les moyennes mobiles.</w:t>
      </w:r>
    </w:p>
    <w:p>
      <w:pPr>
        <w:spacing w:after="120" w:line="276" w:lineRule="auto"/>
      </w:pPr>
      <w:r>
        <w:t>**Bandes de Bollinger :** Le cours se situe à 16 830 FCFA, proche de la borne supérieure (16 910 FCFA), indiquant une pression acheteuse soutenue. La décision "Neutre" reflète une volatilité modérée, avec un écart entre les bornes (1 245 FCFA) qui n'est pas excessif. Le titre n'est pas en zone de surachat extrême, mais une consolidation est possible.</w:t>
      </w:r>
    </w:p>
    <w:p>
      <w:pPr>
        <w:spacing w:after="120" w:line="276" w:lineRule="auto"/>
      </w:pPr>
      <w:r>
        <w:t>**MACD :** Le MACD (113,834) est nettement supérieur à son signal (11,968), avec un écart positif important. Ce croisement haussier indique un momentum fort en faveur des acheteurs, confirmant la dynamique positive du titre. La décision "Achat" est justifiée par cette divergence positive.</w:t>
      </w:r>
    </w:p>
    <w:p>
      <w:pPr>
        <w:spacing w:after="120" w:line="276" w:lineRule="auto"/>
      </w:pPr>
      <w:r>
        <w:t>**RSI :** Le RSI à 65,083 est en zone neutre (30-70), mais proche du seuil de surachat (70). Cela indique une pression acheteuse soutenue sans excès, laissant une marge de progression avant une éventuelle correction. La décision "Neutre" est cohérente avec cette lecture.</w:t>
      </w:r>
    </w:p>
    <w:p>
      <w:pPr>
        <w:spacing w:after="120" w:line="276" w:lineRule="auto"/>
      </w:pPr>
      <w:r>
        <w:t>**Stochastique :** Le %K (93,785) et le %D (93,409) sont tous deux à des niveaux très élevés, indiquant une zone de surachat extrême. Le croisement baissier potentiel suggère un risque de retournement à court terme, justifiant la décision "Vente".</w:t>
      </w:r>
    </w:p>
    <w:p>
      <w:pPr>
        <w:spacing w:after="120" w:line="276" w:lineRule="auto"/>
      </w:pPr>
      <w:r>
        <w:t>**Conclusion technique :** Les indicateurs sont mitigés : le MACD et les moyennes mobiles soutiennent une tendance haussière, tandis que le stochastique et le RSI signalent un risque de surachat. La convergence de ces signaux suggère une possible consolidation à court terme avant une poursuite de la hausse, mais avec une prudence accrue.</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 affiché des performances financières exceptionnelles, avec un Produit Net Bancaire (PNB) de 132,725 milliards FCFA, en croissance de 8,5% par rapport à 2024. Le résultat net a atteint 63,482 milliards FCFA, portant le ROE à 29,04% et le ROA à 3,09%, des niveaux excellents pour le secteur bancaire. Le coefficient d'exploitation de 42,89% témoigne d'une gestion rigoureuse des charges, bien en dessous du seuil de 60% considéré comme efficace. Le coût du risque de 1,36% reste modéré, reflétant une qualité de portefeuille maîtrisée. Les dépôts clientèle (1 626,223 milliards FCFA) dépassent largement les créances sur la clientèle (1 050,803 milliards FCFA), indiquant une transformation saine et une forte liquidité. Les rapports trimestriels 2025 confirment cette dynamique : le T3 2025 (PNB de 96,4 milliards FCFA, +11,3%) et le S1 2025 (PNB de 62,8 milliards FCFA, +6,9%) montrent une croissance soutenue. Le rapport annuel 2024 (PNB de 122,3 milliards FCFA, +11,0%) et le T1 2026 (PNB de 30,8 milliards FCFA, +3,7%) indiquent une poursuite de la tendance, malgré un léger ralentissement. La banque propose un dividende de 888 FCFA brut par action pour 2025, en hausse par rapport à 804 FCFA en 2024, reflétant une politique actionnariale généreuse. Les fondamentaux d'ECOC sont solides, avec une croissance rentable et une gestion prudente des risques.</w:t>
      </w:r>
    </w:p>
    <w:p>
      <w:pPr>
        <w:spacing w:after="120" w:line="276" w:lineRule="auto"/>
      </w:pPr>
      <w:r>
        <w:t>---</w:t>
      </w:r>
    </w:p>
    <w:p>
      <w:pPr>
        <w:spacing w:after="120" w:line="276" w:lineRule="auto"/>
      </w:pPr>
      <w:r>
        <w:t>### PARTIE 4 : CONCLUSION D'INVESTISSEMENT</w:t>
      </w:r>
    </w:p>
    <w:p>
      <w:pPr>
        <w:spacing w:after="120" w:line="276" w:lineRule="auto"/>
      </w:pPr>
      <w:r>
        <w:t>La valorisation d'ECOC (PER 14,6x, P/B 4,24x) indique une prime de marché justifiée par une rentabilité exceptionnelle (ROE &gt; 29%), mais qui limite le potentiel de hausse à court terme. Le comportement du cours sur 100 jours montre une stabilité remarquable (CV=2,2%) avec une tendance légèrement haussière, soutenue par une volatilité modérée (27,6%). Les signaux techniques sont mitigés : le MACD et les moyennes mobiles sont positifs, mais le stochastique et le RSI signalent un risque de surachat, suggérant une possible consolidation. Les fondamentaux sont excellents, avec une croissance du PNB de 8,5% en 2025, un coefficient d'exploitation de 42,9% et un coût du risque maîtrisé. Les prédictions IA (16 678 FCFA à 16 599 FCFA sur 10 jours) indiquent une légère baisse, cohérente avec les signaux techniques de surachat. En synthèse, la convergence entre des fondamentaux solides et une valorisation élevée justifie une recommandation de **CONSERVER**, avec un niveau de confiance **Moyen** et un risque global **Moyen**. L'horizon d'investissement optimal est le **moyen terme (3-12 mois)**, en attendant une éventuelle correction pour renforcer la position.</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1,426,484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+109.38%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38.46%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β=2.6960 (Très agressif) — Cov=0.000092, Var(idx)=0.000034, ρ=0.385,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1,426,484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57</w:t>
            </w:r>
          </w:p>
        </w:tc>
        <w:tc>
          <w:tcPr>
            <w:tcW w:type="dxa" w:w="1440"/>
            <w:shd w:fill="FFDCE0" w:val="clear"/>
          </w:tcPr>
          <w:p>
            <w:r>
              <w:rPr>
                <w:b/>
                <w:sz w:val="17"/>
              </w:rPr>
              <w:t>62</w:t>
            </w:r>
          </w:p>
        </w:tc>
        <w:tc>
          <w:tcPr>
            <w:tcW w:type="dxa" w:w="1440"/>
            <w:shd w:fill="FFDCE0" w:val="clear"/>
          </w:tcPr>
          <w:p>
            <w:r>
              <w:rPr>
                <w:sz w:val="17"/>
              </w:rPr>
              <w:t>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51</w:t>
            </w:r>
          </w:p>
        </w:tc>
        <w:tc>
          <w:tcPr>
            <w:tcW w:type="dxa" w:w="1440"/>
            <w:shd w:fill="FFDCE0" w:val="clear"/>
          </w:tcPr>
          <w:p>
            <w:r>
              <w:rPr>
                <w:b/>
                <w:sz w:val="17"/>
              </w:rPr>
              <w:t>57</w:t>
            </w:r>
          </w:p>
        </w:tc>
        <w:tc>
          <w:tcPr>
            <w:tcW w:type="dxa" w:w="1440"/>
            <w:shd w:fill="FFDCE0" w:val="clear"/>
          </w:tcPr>
          <w:p>
            <w:r>
              <w:rPr>
                <w:sz w:val="17"/>
              </w:rPr>
              <w:t>64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46</w:t>
            </w:r>
          </w:p>
        </w:tc>
        <w:tc>
          <w:tcPr>
            <w:tcW w:type="dxa" w:w="1440"/>
            <w:shd w:fill="FFDCE0" w:val="clear"/>
          </w:tcPr>
          <w:p>
            <w:r>
              <w:rPr>
                <w:b/>
                <w:sz w:val="17"/>
              </w:rPr>
              <w:t>53</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41</w:t>
            </w:r>
          </w:p>
        </w:tc>
        <w:tc>
          <w:tcPr>
            <w:tcW w:type="dxa" w:w="1440"/>
            <w:shd w:fill="FFDCE0" w:val="clear"/>
          </w:tcPr>
          <w:p>
            <w:r>
              <w:rPr>
                <w:b/>
                <w:sz w:val="17"/>
              </w:rPr>
              <w:t>49</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37</w:t>
            </w:r>
          </w:p>
        </w:tc>
        <w:tc>
          <w:tcPr>
            <w:tcW w:type="dxa" w:w="1440"/>
            <w:shd w:fill="FFDCE0" w:val="clear"/>
          </w:tcPr>
          <w:p>
            <w:r>
              <w:rPr>
                <w:b/>
                <w:sz w:val="17"/>
              </w:rPr>
              <w:t>45</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34</w:t>
            </w:r>
          </w:p>
        </w:tc>
        <w:tc>
          <w:tcPr>
            <w:tcW w:type="dxa" w:w="1440"/>
            <w:shd w:fill="FFDCE0" w:val="clear"/>
          </w:tcPr>
          <w:p>
            <w:r>
              <w:rPr>
                <w:b/>
                <w:sz w:val="17"/>
              </w:rPr>
              <w:t>42</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28</w:t>
            </w:r>
          </w:p>
        </w:tc>
        <w:tc>
          <w:tcPr>
            <w:tcW w:type="dxa" w:w="1440"/>
            <w:shd w:fill="FFDCE0" w:val="clear"/>
          </w:tcPr>
          <w:p>
            <w:r>
              <w:rPr>
                <w:b/>
                <w:sz w:val="17"/>
              </w:rPr>
              <w:t>36</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25</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25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1 211,64 milliards FCFA, un niveau qui confirme son statut de valeur phare de la BRVM, représentant une part significative de l'indice composite. Avec un BPA de 19 FCFA, le titre se négocie à un PER de 3,5x, soit une décote massive par rapport à la moyenne historique du marché (8-12x), suggérant une sous-évaluation potentielle. Le P/B de 0,76x indique que le marché valorise l'action en dessous de sa valeur comptable, une situation souvent synonyme d'opportunité. Enfin, un EV/EBITDA de 5,0x confirme une valorisation très attractive, la capacité opérationnelle de la banque n'étant pas pleinement reflétée dans le cours actuel. Ces ratios, pris ensemble, signalent une décote boursière marquée pour un actif de cette envergure.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ETIT a enregistré une performance spectaculaire de +109,38%, clôturant à 67 FCFA, avec une progression de +1,52% lors de la dernière séance. Le titre a évolué dans une fourchette très large, entre un plus bas de 26 FCFA et un plus haut de 78 FCFA, illustrant une volatilité extrême. La moyenne du cours (44 FCFA) est nettement supérieure à la médiane (34 FCFA), et le skewness positif (0,640) confirme une distribution asymétrique avec des journées de forte hausse. L'écart-type de 17 FCFA (CV = 38,7%) et une volatilité annualisée de 64,8% classent le titre comme extrêmement risqué. Le kurtosis négatif (-1,372) indique une distribution platykurtique, avec moins de valeurs extrêmes que la normale, mais la tendance générale reste résolument haussière, portée par un volume moyen élevé de 1,4 million de titres par jour.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(67 FCFA) se positionne au-dessus de la MM20 (66,95 FCFA) et de la MM50 (57,76 FCFA), avec un écart de 16% entre les deux moyennes, confirmant une dynamique haussière à court et moyen terme. Le signal d'achat est justifié par cette configuration positive où le prix évolue dans la partie supérieure de son canal.</w:t>
      </w:r>
    </w:p>
    <w:p>
      <w:pPr>
        <w:spacing w:after="120" w:line="276" w:lineRule="auto"/>
      </w:pPr>
      <w:r>
        <w:t>**Bandes de Bollinger** : Le prix se situe à 67 FCFA, entre la borne inférieure (62,20 FCFA) et la borne supérieure (71,70 FCFA), dans la zone médiane. Cette position neutre indique une volatilité modérée après une phase de forte expansion, le marché cherchant un nouvel équilibre.</w:t>
      </w:r>
    </w:p>
    <w:p>
      <w:pPr>
        <w:spacing w:after="120" w:line="276" w:lineRule="auto"/>
      </w:pPr>
      <w:r>
        <w:t>**MACD** : La valeur du MACD (1,846) est inférieure à son signal (2,706), générant un signal de vente. Cette divergence baissière suggère un affaiblissement du momentum haussier à court terme, même si le MACD reste positif, indiquant que la tendance de fond demeure haussière.</w:t>
      </w:r>
    </w:p>
    <w:p>
      <w:pPr>
        <w:spacing w:after="120" w:line="276" w:lineRule="auto"/>
      </w:pPr>
      <w:r>
        <w:t>**RSI** : À 46,154, le RSI se situe en zone neutre, loin des seuils de surachat (70) et de survente (30). Cette valeur indique un équilibre entre pression acheteuse et vendeuse, offrant une marge de manœuvre dans les deux sens.</w:t>
      </w:r>
    </w:p>
    <w:p>
      <w:pPr>
        <w:spacing w:after="120" w:line="276" w:lineRule="auto"/>
      </w:pPr>
      <w:r>
        <w:t>**Stochastique** : Le %K (60,0) est supérieur au %D (46,667), suggérant un croisement haussier en cours de formation. Cette configuration, bien que neutre, indique un potentiel de reprise du mouvement haussier.</w:t>
      </w:r>
    </w:p>
    <w:p>
      <w:pPr>
        <w:spacing w:after="120" w:line="276" w:lineRule="auto"/>
      </w:pPr>
      <w:r>
        <w:t>**Conclusion technique** : Les signaux sont mitigés, avec une divergence entre les moyennes mobiles (achat) et le MACD (vente). Le RSI et les bandes de Bollinger restent neutres, tandis que le stochastique montre un léger biais haussier. La tendance de fond reste positive, mais un repli technique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révèlent une banque très performante : le Produit Net Bancaire (PNB) s'établit à 1 424,26 milliards FCFA, avec un résultat net de 345,52 milliards FCFA, soit une marge nette de 24,26%. Le ROE atteint 21,62%, un niveau excellent (&gt;15%), et le ROA de 1,80% est solide. Le coefficient d'exploitation de 27,35% est exceptionnel, démontrant une efficacité opérationnelle remarquable. Cependant, le coût du risque de 18,97% (provisions/charges financières) est élevé, signalant un risque de crédit significatif. Les dépôts clientèle (14 120,14 Mds FCFA) couvrent largement les créances (6 570,39 Mds FCFA), avec un ratio de transformation prudent. Sur la base du rapport semestriel 2026 (publié en juillet 2026), le PNB progresse de +15% à 721,32 milliards FCFA, et le résultat net de +6% à 166,68 milliards FCFA, malgré une hausse de +40% du coût du risque. Le rapport T1 2026 (PNB +23%) suggère une accélération, et on estime que l'exercice 2026 pourrait dépasser les 1 500 milliards FCFA de PNB, avec un résultat net autour de 370 milliards FCFA. Les rapports 2024 (résultat net +21%) et 2025 (résultat net +23% au S1) confirment une trajectoire de croissance soutenue, malgré les tensions géopolitiques et la hausse des prix de l'énergie. La solidité du bilan (total actif de 19 243,87 Mds FCFA) et la solvabilité (109,06%) renforcent la confiance, mais la dépendance financière (91,70%) et l'autonomie financière faible (8,30%) restent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avec un PER de 3,5x, un P/B de 0,76x et un EV/EBITDA de 5,0x, indiquant une sous-évaluation manifeste. Le comportement du cours (+109% sur 100 jours) montre une dynamique haussière forte, mais avec une volatilité très élevée (64,8%) et des statistiques (kurtosis négatif, skewness positif) qui suggèrent des mouvements erratiques. Les signaux techniques sont mitigés, avec une convergence haussière des moyennes mobiles mais une divergence baissière du MACD, le RSI restant neutre. Les fondamentaux sont excellents, avec un ROE de 21,62%, un coefficient d'exploitation de 27,35% et une croissance soutenue du PNB (+15% au S1 2026), bien que le coût du risque élevé (+40%) nécessite une surveillance. Les prédictions IA (62 à 45 FCFA sur 10 jours) contredisent la tendance haussière récente, anticipant un repli technique. En synthèse, la convergence entre la sous-évaluation fondamentale et la solidité financière plaide pour une recommandation **ACHAT**, malgré la divergence technique et les prédictions baissières à court terme. Le niveau de confiance est **Moyen**, le risque global **Élevé**, et l'horizon d'investissement optimal est le **moyen terme (3-12 mois)**, en attendant une stabilisation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3,886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6.41% (Moyenne) — μ=2,158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β=0.8306 (Neutre (suit le marché)) — Cov=0.000028, Var(idx)=0.000034, ρ=0.216,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2,096</w:t>
            </w:r>
          </w:p>
        </w:tc>
        <w:tc>
          <w:tcPr>
            <w:tcW w:type="dxa" w:w="1440"/>
            <w:shd w:fill="FAFAFA" w:val="clear"/>
          </w:tcPr>
          <w:p>
            <w:r>
              <w:rPr>
                <w:b/>
                <w:sz w:val="17"/>
              </w:rPr>
              <w:t>2,162</w:t>
            </w:r>
          </w:p>
        </w:tc>
        <w:tc>
          <w:tcPr>
            <w:tcW w:type="dxa" w:w="1440"/>
            <w:shd w:fill="FAFAFA" w:val="clear"/>
          </w:tcPr>
          <w:p>
            <w:r>
              <w:rPr>
                <w:sz w:val="17"/>
              </w:rPr>
              <w:t>2,229</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2,076</w:t>
            </w:r>
          </w:p>
        </w:tc>
        <w:tc>
          <w:tcPr>
            <w:tcW w:type="dxa" w:w="1440"/>
            <w:shd w:fill="FAFAFA" w:val="clear"/>
          </w:tcPr>
          <w:p>
            <w:r>
              <w:rPr>
                <w:b/>
                <w:sz w:val="17"/>
              </w:rPr>
              <w:t>2,171</w:t>
            </w:r>
          </w:p>
        </w:tc>
        <w:tc>
          <w:tcPr>
            <w:tcW w:type="dxa" w:w="1440"/>
            <w:shd w:fill="FAFAFA" w:val="clear"/>
          </w:tcPr>
          <w:p>
            <w:r>
              <w:rPr>
                <w:sz w:val="17"/>
              </w:rPr>
              <w:t>2,266</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2,065</w:t>
            </w:r>
          </w:p>
        </w:tc>
        <w:tc>
          <w:tcPr>
            <w:tcW w:type="dxa" w:w="1440"/>
            <w:shd w:fill="FAFAFA" w:val="clear"/>
          </w:tcPr>
          <w:p>
            <w:r>
              <w:rPr>
                <w:b/>
                <w:sz w:val="17"/>
              </w:rPr>
              <w:t>2,182</w:t>
            </w:r>
          </w:p>
        </w:tc>
        <w:tc>
          <w:tcPr>
            <w:tcW w:type="dxa" w:w="1440"/>
            <w:shd w:fill="FAFAFA" w:val="clear"/>
          </w:tcPr>
          <w:p>
            <w:r>
              <w:rPr>
                <w:sz w:val="17"/>
              </w:rPr>
              <w:t>2,299</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2,056</w:t>
            </w:r>
          </w:p>
        </w:tc>
        <w:tc>
          <w:tcPr>
            <w:tcW w:type="dxa" w:w="1440"/>
            <w:shd w:fill="FAFAFA" w:val="clear"/>
          </w:tcPr>
          <w:p>
            <w:r>
              <w:rPr>
                <w:b/>
                <w:sz w:val="17"/>
              </w:rPr>
              <w:t>2,192</w:t>
            </w:r>
          </w:p>
        </w:tc>
        <w:tc>
          <w:tcPr>
            <w:tcW w:type="dxa" w:w="1440"/>
            <w:shd w:fill="FAFAFA" w:val="clear"/>
          </w:tcPr>
          <w:p>
            <w:r>
              <w:rPr>
                <w:sz w:val="17"/>
              </w:rPr>
              <w:t>2,327</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2026-09-01</w:t>
            </w:r>
          </w:p>
        </w:tc>
        <w:tc>
          <w:tcPr>
            <w:tcW w:type="dxa" w:w="1440"/>
            <w:shd w:fill="C6EFCE" w:val="clear"/>
          </w:tcPr>
          <w:p>
            <w:r>
              <w:rPr>
                <w:sz w:val="17"/>
              </w:rPr>
              <w:t>2,049</w:t>
            </w:r>
          </w:p>
        </w:tc>
        <w:tc>
          <w:tcPr>
            <w:tcW w:type="dxa" w:w="1440"/>
            <w:shd w:fill="C6EFCE" w:val="clear"/>
          </w:tcPr>
          <w:p>
            <w:r>
              <w:rPr>
                <w:b/>
                <w:sz w:val="17"/>
              </w:rPr>
              <w:t>2,201</w:t>
            </w:r>
          </w:p>
        </w:tc>
        <w:tc>
          <w:tcPr>
            <w:tcW w:type="dxa" w:w="1440"/>
            <w:shd w:fill="C6EFCE" w:val="clear"/>
          </w:tcPr>
          <w:p>
            <w:r>
              <w:rPr>
                <w:sz w:val="17"/>
              </w:rPr>
              <w:t>2,354</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2026-09-02</w:t>
            </w:r>
          </w:p>
        </w:tc>
        <w:tc>
          <w:tcPr>
            <w:tcW w:type="dxa" w:w="1440"/>
            <w:shd w:fill="C6EFCE" w:val="clear"/>
          </w:tcPr>
          <w:p>
            <w:r>
              <w:rPr>
                <w:sz w:val="17"/>
              </w:rPr>
              <w:t>2,043</w:t>
            </w:r>
          </w:p>
        </w:tc>
        <w:tc>
          <w:tcPr>
            <w:tcW w:type="dxa" w:w="1440"/>
            <w:shd w:fill="C6EFCE" w:val="clear"/>
          </w:tcPr>
          <w:p>
            <w:r>
              <w:rPr>
                <w:b/>
                <w:sz w:val="17"/>
              </w:rPr>
              <w:t>2,211</w:t>
            </w:r>
          </w:p>
        </w:tc>
        <w:tc>
          <w:tcPr>
            <w:tcW w:type="dxa" w:w="1440"/>
            <w:shd w:fill="C6EFCE" w:val="clear"/>
          </w:tcPr>
          <w:p>
            <w:r>
              <w:rPr>
                <w:sz w:val="17"/>
              </w:rPr>
              <w:t>2,379</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2026-09-03</w:t>
            </w:r>
          </w:p>
        </w:tc>
        <w:tc>
          <w:tcPr>
            <w:tcW w:type="dxa" w:w="1440"/>
            <w:shd w:fill="C6EFCE" w:val="clear"/>
          </w:tcPr>
          <w:p>
            <w:r>
              <w:rPr>
                <w:sz w:val="17"/>
              </w:rPr>
              <w:t>2,039</w:t>
            </w:r>
          </w:p>
        </w:tc>
        <w:tc>
          <w:tcPr>
            <w:tcW w:type="dxa" w:w="1440"/>
            <w:shd w:fill="C6EFCE" w:val="clear"/>
          </w:tcPr>
          <w:p>
            <w:r>
              <w:rPr>
                <w:b/>
                <w:sz w:val="17"/>
              </w:rPr>
              <w:t>2,220</w:t>
            </w:r>
          </w:p>
        </w:tc>
        <w:tc>
          <w:tcPr>
            <w:tcW w:type="dxa" w:w="1440"/>
            <w:shd w:fill="C6EFCE" w:val="clear"/>
          </w:tcPr>
          <w:p>
            <w:r>
              <w:rPr>
                <w:sz w:val="17"/>
              </w:rPr>
              <w:t>2,402</w:t>
            </w:r>
          </w:p>
        </w:tc>
        <w:tc>
          <w:tcPr>
            <w:tcW w:type="dxa" w:w="1440"/>
            <w:shd w:fill="C6EFCE" w:val="clear"/>
          </w:tcPr>
          <w:p>
            <w:r>
              <w:rPr>
                <w:b/>
                <w:color w:val="008000"/>
                <w:sz w:val="17"/>
              </w:rPr>
              <w:t>+3.3%</w:t>
            </w:r>
          </w:p>
        </w:tc>
      </w:tr>
      <w:tr>
        <w:tc>
          <w:tcPr>
            <w:tcW w:type="dxa" w:w="1440"/>
            <w:shd w:fill="C6EFCE" w:val="clear"/>
          </w:tcPr>
          <w:p>
            <w:r>
              <w:rPr>
                <w:sz w:val="17"/>
              </w:rPr>
              <w:t>J+8  Moyenne</w:t>
            </w:r>
          </w:p>
        </w:tc>
        <w:tc>
          <w:tcPr>
            <w:tcW w:type="dxa" w:w="1440"/>
            <w:shd w:fill="C6EFCE" w:val="clear"/>
          </w:tcPr>
          <w:p>
            <w:r>
              <w:rPr>
                <w:sz w:val="17"/>
              </w:rPr>
              <w:t>2026-09-04</w:t>
            </w:r>
          </w:p>
        </w:tc>
        <w:tc>
          <w:tcPr>
            <w:tcW w:type="dxa" w:w="1440"/>
            <w:shd w:fill="C6EFCE" w:val="clear"/>
          </w:tcPr>
          <w:p>
            <w:r>
              <w:rPr>
                <w:sz w:val="17"/>
              </w:rPr>
              <w:t>2,035</w:t>
            </w:r>
          </w:p>
        </w:tc>
        <w:tc>
          <w:tcPr>
            <w:tcW w:type="dxa" w:w="1440"/>
            <w:shd w:fill="C6EFCE" w:val="clear"/>
          </w:tcPr>
          <w:p>
            <w:r>
              <w:rPr>
                <w:b/>
                <w:sz w:val="17"/>
              </w:rPr>
              <w:t>2,230</w:t>
            </w:r>
          </w:p>
        </w:tc>
        <w:tc>
          <w:tcPr>
            <w:tcW w:type="dxa" w:w="1440"/>
            <w:shd w:fill="C6EFCE" w:val="clear"/>
          </w:tcPr>
          <w:p>
            <w:r>
              <w:rPr>
                <w:sz w:val="17"/>
              </w:rPr>
              <w:t>2,425</w:t>
            </w:r>
          </w:p>
        </w:tc>
        <w:tc>
          <w:tcPr>
            <w:tcW w:type="dxa" w:w="1440"/>
            <w:shd w:fill="C6EFCE" w:val="clear"/>
          </w:tcPr>
          <w:p>
            <w:r>
              <w:rPr>
                <w:b/>
                <w:color w:val="008000"/>
                <w:sz w:val="17"/>
              </w:rPr>
              <w:t>+3.7%</w:t>
            </w:r>
          </w:p>
        </w:tc>
      </w:tr>
      <w:tr>
        <w:tc>
          <w:tcPr>
            <w:tcW w:type="dxa" w:w="1440"/>
            <w:shd w:fill="C6EFCE" w:val="clear"/>
          </w:tcPr>
          <w:p>
            <w:r>
              <w:rPr>
                <w:sz w:val="17"/>
              </w:rPr>
              <w:t>J+9  Moyenne</w:t>
            </w:r>
          </w:p>
        </w:tc>
        <w:tc>
          <w:tcPr>
            <w:tcW w:type="dxa" w:w="1440"/>
            <w:shd w:fill="C6EFCE" w:val="clear"/>
          </w:tcPr>
          <w:p>
            <w:r>
              <w:rPr>
                <w:sz w:val="17"/>
              </w:rPr>
              <w:t>2026-09-07</w:t>
            </w:r>
          </w:p>
        </w:tc>
        <w:tc>
          <w:tcPr>
            <w:tcW w:type="dxa" w:w="1440"/>
            <w:shd w:fill="C6EFCE" w:val="clear"/>
          </w:tcPr>
          <w:p>
            <w:r>
              <w:rPr>
                <w:sz w:val="17"/>
              </w:rPr>
              <w:t>2,032</w:t>
            </w:r>
          </w:p>
        </w:tc>
        <w:tc>
          <w:tcPr>
            <w:tcW w:type="dxa" w:w="1440"/>
            <w:shd w:fill="C6EFCE" w:val="clear"/>
          </w:tcPr>
          <w:p>
            <w:r>
              <w:rPr>
                <w:b/>
                <w:sz w:val="17"/>
              </w:rPr>
              <w:t>2,240</w:t>
            </w:r>
          </w:p>
        </w:tc>
        <w:tc>
          <w:tcPr>
            <w:tcW w:type="dxa" w:w="1440"/>
            <w:shd w:fill="C6EFCE" w:val="clear"/>
          </w:tcPr>
          <w:p>
            <w:r>
              <w:rPr>
                <w:sz w:val="17"/>
              </w:rPr>
              <w:t>2,448</w:t>
            </w:r>
          </w:p>
        </w:tc>
        <w:tc>
          <w:tcPr>
            <w:tcW w:type="dxa" w:w="1440"/>
            <w:shd w:fill="C6EFCE" w:val="clear"/>
          </w:tcPr>
          <w:p>
            <w:r>
              <w:rPr>
                <w:b/>
                <w:color w:val="008000"/>
                <w:sz w:val="17"/>
              </w:rPr>
              <w:t>+4.2%</w:t>
            </w:r>
          </w:p>
        </w:tc>
      </w:tr>
      <w:tr>
        <w:tc>
          <w:tcPr>
            <w:tcW w:type="dxa" w:w="1440"/>
            <w:shd w:fill="C6EFCE" w:val="clear"/>
          </w:tcPr>
          <w:p>
            <w:r>
              <w:rPr>
                <w:sz w:val="17"/>
              </w:rPr>
              <w:t>J+10  Moyenne</w:t>
            </w:r>
          </w:p>
        </w:tc>
        <w:tc>
          <w:tcPr>
            <w:tcW w:type="dxa" w:w="1440"/>
            <w:shd w:fill="C6EFCE" w:val="clear"/>
          </w:tcPr>
          <w:p>
            <w:r>
              <w:rPr>
                <w:sz w:val="17"/>
              </w:rPr>
              <w:t>2026-09-08</w:t>
            </w:r>
          </w:p>
        </w:tc>
        <w:tc>
          <w:tcPr>
            <w:tcW w:type="dxa" w:w="1440"/>
            <w:shd w:fill="C6EFCE" w:val="clear"/>
          </w:tcPr>
          <w:p>
            <w:r>
              <w:rPr>
                <w:sz w:val="17"/>
              </w:rPr>
              <w:t>2,029</w:t>
            </w:r>
          </w:p>
        </w:tc>
        <w:tc>
          <w:tcPr>
            <w:tcW w:type="dxa" w:w="1440"/>
            <w:shd w:fill="C6EFCE" w:val="clear"/>
          </w:tcPr>
          <w:p>
            <w:r>
              <w:rPr>
                <w:b/>
                <w:sz w:val="17"/>
              </w:rPr>
              <w:t>2,249</w:t>
            </w:r>
          </w:p>
        </w:tc>
        <w:tc>
          <w:tcPr>
            <w:tcW w:type="dxa" w:w="1440"/>
            <w:shd w:fill="C6EFCE" w:val="clear"/>
          </w:tcPr>
          <w:p>
            <w:r>
              <w:rPr>
                <w:sz w:val="17"/>
              </w:rPr>
              <w:t>2,469</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25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30,32 milliards FCFA, un niveau modeste qui la classe parmi les valeurs moyennes de la cote. Le titre se traite à un PER de 65,1x, un niveau extrêmement élevé comparé à la moyenne historique de la BRVM (8-12x). Ce ratio indique que les investisseurs paient un prix très cher pour chaque franc de bénéfice, ce qui reflète soit des attentes de croissance future importantes, soit une surévaluation relative. Le P/B de 1,93x montre que le marché valorise la société à près du double de sa valeur comptable, ce qui est raisonnable mais suppose une création de valeur future. Enfin, l'EV/EBITDA de 38,1x est particulièrement exigeant, indiquant que la valeur totale de l'entreprise (dette incluse) est très élevée par rapport à sa capacité opérationnelle de génération de cash. Ces ratios suggèrent une valorisation qui anticipe un redressement majeur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6,72%, avec une dernière séance en recul de 1,38% à 2 150 FCFA. Le titre a évolué dans une fourchette de 1 910 à 2 430 FCFA, montrant une amplitude de 520 FCFA. La moyenne du cours sur la période est de 2 158 FCFA, très proche de la médiane de 2 190 FCFA, ce qui indique une distribution relativement symétrique des prix, confirmée par le skewness de -0,159. L'écart-type de 139 FCFA (CV=6,4%) révèle une dispersion modérée des cours autour de la moyenne. Le kurtosis de -1,187 (platykurtique) indique une distribution aplatie avec peu de valeurs extrêmes, signe d'un titre sans pics de volatilité brutaux. La volatilité annualisée de 35,5% est élevée (&gt;30%), ce qui positionne FTSC comme une valeur à risque supérieur à la moyenne du marché, nécessitant une gestion attentive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respectivement à 2 073 FCFA et 2 045 FCFA, sont toutes deux inférieures au cours actuel de 2 150 FCFA, ce qui confirme une tendance haussière de moyen terme. La configuration en "courbe ascendante" des moyennes mobiles et leur position sous le prix indiquent un momentum positif. La décision d'achat est justifiée par cette structure technique favorable.</w:t>
      </w:r>
    </w:p>
    <w:p>
      <w:pPr>
        <w:spacing w:after="120" w:line="276" w:lineRule="auto"/>
      </w:pPr>
      <w:r>
        <w:t>**Bandes de Bollinger** : Le prix à 2 150 FCFA se situe dans la partie supérieure de l'enveloppe, entre la borne inférieure à 1 857 FCFA et la borne supérieure à 2 290 FCFA. La distance par rapport à la borne supérieure (environ 6%) suggère une pression acheteuse modérée sans surachat extrême. La décision neutre reflète un équilibre entre la tendance haussière et la proximité de zones de résistance.</w:t>
      </w:r>
    </w:p>
    <w:p>
      <w:pPr>
        <w:spacing w:after="120" w:line="276" w:lineRule="auto"/>
      </w:pPr>
      <w:r>
        <w:t>**MACD** : Le MACD (40,19) est nettement au-dessus de sa ligne de signal (29,32), confirmant un momentum haussier soutenu. L'écart positif et croissant entre les deux lignes indique une accélération de la dynamique acheteuse, justifiant la décision d'achat. Cette configuration suggère que la tendance haussière pourrait se poursuivre à court terme.</w:t>
      </w:r>
    </w:p>
    <w:p>
      <w:pPr>
        <w:spacing w:after="120" w:line="276" w:lineRule="auto"/>
      </w:pPr>
      <w:r>
        <w:t>**RSI** : Le RSI à 77,27 est entré en zone de surachat (&gt;70), signalant que le titre est techniquement surévalué à court terme. Cette situation appelle à la prudence car elle précède souvent un repli ou une consolidation. La décision de vente est justifiée par ce niveau extrême, bien que dans une tendance haussière, le RSI puisse rester suracheté pendant plusieurs séances.</w:t>
      </w:r>
    </w:p>
    <w:p>
      <w:pPr>
        <w:spacing w:after="120" w:line="276" w:lineRule="auto"/>
      </w:pPr>
      <w:r>
        <w:t>**Stochastique** : Le %K (81,82) et le %D (91,56) sont tous deux en zone de surachat, avec un %D supérieur au %K, indiquant un possible retournement baissier imminent. La décision de vente est cohérente avec cette configuration de surachat extrême, suggérant une correction technique probable à très court terme.</w:t>
      </w:r>
    </w:p>
    <w:p>
      <w:pPr>
        <w:spacing w:after="120" w:line="276" w:lineRule="auto"/>
      </w:pPr>
      <w:r>
        <w:t>**Conclusion technique** : La convergence des indicateurs de tendance (MM, MACD) vers l'achat contraste avec les oscillateurs de momentum (RSI, Stochastique) en zone de surachat. Cette divergence signale un marché haussier mais fatigué, où le risque de correction technique augmente. La prudence est recommandée à court terme, avec un possible repli vers les 2 073 FCFA (MM20)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4,6% par rapport à 2024, mais le résultat net s'effondre à 466 millions FCFA contre 18,6 milliards en 2024, principalement en raison de l'absence de produits exceptionnels liés à la cession de filiales. La marge nette chute à 1,45%, le ROE à 2,97% et le ROA à 1,19%, des niveaux très faibles pour une entreprise industrielle. Le BFR s'établit à 11,529 milliards FCFA, avec un délai clients de 214 jours et une durée de stockage de 215 jours, des niveaux élevés qui pèsent sur la trésorerie. La trésorerie nette est fortement négative à -11,528 milliards FCFA suite au versement massif de dividendes en 2024. Le ratio d'endettement de 97,6% et la capacité de remboursement de 11,49 ans indiquent une structure financière fragile. Les rapports trimestriels 2025 montrent une amélioration opérationnelle progressive : le T1 2025 était déficitaire (-78 millions FCFA de résultat d'exploitation), le S1 2025 s'est amélioré à -13 millions FCFA, et le T3 2025 à -230 millions FCFA. Le rapport T1 2026 (publié en 2026) montre une forte croissance du CA (+55% à 8,9 milliards FCFA) portée par la demande cacaoyère, avec un résultat d'exploitation positif de 75 millions FCFA, mais un résultat net encore déficitaire de -154 millions FCFA. On estime que l'exercice 2026 pourrait voir un redressement de la rentabilité opérationnelle, mais la dépendance à la campagne cacaoyère et les risques d'approvisionnement en jute restent des facteurs d'incertitude majeurs.</w:t>
      </w:r>
    </w:p>
    <w:p>
      <w:pPr>
        <w:spacing w:after="120" w:line="276" w:lineRule="auto"/>
      </w:pPr>
      <w:r>
        <w:t>---</w:t>
      </w:r>
    </w:p>
    <w:p>
      <w:pPr>
        <w:spacing w:after="120" w:line="276" w:lineRule="auto"/>
      </w:pPr>
      <w:r>
        <w:t>### PARTIE 4 : CONCLUSION D'INVESTISSEMENT</w:t>
      </w:r>
    </w:p>
    <w:p>
      <w:pPr>
        <w:spacing w:after="120" w:line="276" w:lineRule="auto"/>
      </w:pPr>
      <w:r>
        <w:t>La valorisation de FTSC (PER 65,1x, EV/EBITDA 38,1x) est clairement surévaluée par rapport aux fondamentaux actuels, tandis que le comportement du cours montre une tendance baissière sur 100 jours avec une volatilité élevée de 35,5%. Les signaux techniques sont mitigés : les indicateurs de tendance (MM, MACD) restent positifs mais les oscillateurs (RSI, Stochastique) signalent un surachat imminent. Les fondamentaux sont préoccupants avec une rentabilité très faible (ROE 2,97%), une trésorerie négative et un endettement élevé, bien que le T1 2026 montre des signes d'amélioration opérationnelle. Les prédictions IA (2 162 à 2 201 FCFA sur 10 jours) suggèrent une légère progression, mais celle-ci semble fragile face aux risques identifiés. La convergence des signaux défavorables (valorisation excessive, fondamentaux fragiles, surachat technique) conduit à une recommandation de **VENTE** avec un niveau de confiance **Moyen** et un risque global **Élevé**. L'horizon d'investissement optimal serait le **court terme (&lt;3 mois)** pour les investisseurs existants cherchant à réduire leur exposition, tandis que les nouveaux investisseurs devraient attendre une amélioration durable de la rentabilité et une correction du cours vers des niveaux plus proches des 1 900-2 000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3,375 titres</w:t>
            </w:r>
          </w:p>
        </w:tc>
        <w:tc>
          <w:tcPr>
            <w:tcW w:type="dxa" w:w="2268"/>
            <w:shd w:fill="FFF2CC" w:val="clear"/>
          </w:tcPr>
          <w:p>
            <w:r>
              <w:rPr>
                <w:b/>
                <w:color w:val="503200"/>
                <w:sz w:val="16"/>
              </w:rPr>
              <w:t xml:space="preserve">Cours actuel : </w:t>
            </w:r>
            <w:r>
              <w:rPr>
                <w:color w:val="000000"/>
                <w:sz w:val="17"/>
              </w:rPr>
              <w:t>4,075 FCFA</w:t>
            </w:r>
          </w:p>
          <w:p>
            <w:r>
              <w:rPr>
                <w:b/>
                <w:color w:val="503200"/>
                <w:sz w:val="16"/>
              </w:rPr>
              <w:t xml:space="preserve">Var. 100 jours : </w:t>
            </w:r>
            <w:r>
              <w:rPr>
                <w:b/>
                <w:color w:val="007800"/>
                <w:sz w:val="17"/>
              </w:rPr>
              <w:t>+4.49%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μ=4,050 FCFA, σ=204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β=0.0777 (Défensif) — Cov=0.000003, Var(idx)=0.000034, ρ=0.020,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3,847</w:t>
            </w:r>
          </w:p>
        </w:tc>
        <w:tc>
          <w:tcPr>
            <w:tcW w:type="dxa" w:w="1440"/>
            <w:shd w:fill="FAFAFA" w:val="clear"/>
          </w:tcPr>
          <w:p>
            <w:r>
              <w:rPr>
                <w:b/>
                <w:sz w:val="17"/>
              </w:rPr>
              <w:t>4,019</w:t>
            </w:r>
          </w:p>
        </w:tc>
        <w:tc>
          <w:tcPr>
            <w:tcW w:type="dxa" w:w="1440"/>
            <w:shd w:fill="FAFAFA" w:val="clear"/>
          </w:tcPr>
          <w:p>
            <w:r>
              <w:rPr>
                <w:sz w:val="17"/>
              </w:rPr>
              <w:t>4,192</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3,762</w:t>
            </w:r>
          </w:p>
        </w:tc>
        <w:tc>
          <w:tcPr>
            <w:tcW w:type="dxa" w:w="1440"/>
            <w:shd w:fill="FAFAFA" w:val="clear"/>
          </w:tcPr>
          <w:p>
            <w:r>
              <w:rPr>
                <w:b/>
                <w:sz w:val="17"/>
              </w:rPr>
              <w:t>4,005</w:t>
            </w:r>
          </w:p>
        </w:tc>
        <w:tc>
          <w:tcPr>
            <w:tcW w:type="dxa" w:w="1440"/>
            <w:shd w:fill="FAFAFA" w:val="clear"/>
          </w:tcPr>
          <w:p>
            <w:r>
              <w:rPr>
                <w:sz w:val="17"/>
              </w:rPr>
              <w:t>4,248</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3,694</w:t>
            </w:r>
          </w:p>
        </w:tc>
        <w:tc>
          <w:tcPr>
            <w:tcW w:type="dxa" w:w="1440"/>
            <w:shd w:fill="FFDCE0" w:val="clear"/>
          </w:tcPr>
          <w:p>
            <w:r>
              <w:rPr>
                <w:b/>
                <w:sz w:val="17"/>
              </w:rPr>
              <w:t>3,991</w:t>
            </w:r>
          </w:p>
        </w:tc>
        <w:tc>
          <w:tcPr>
            <w:tcW w:type="dxa" w:w="1440"/>
            <w:shd w:fill="FFDCE0" w:val="clear"/>
          </w:tcPr>
          <w:p>
            <w:r>
              <w:rPr>
                <w:sz w:val="17"/>
              </w:rPr>
              <w:t>4,287</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3,637</w:t>
            </w:r>
          </w:p>
        </w:tc>
        <w:tc>
          <w:tcPr>
            <w:tcW w:type="dxa" w:w="1440"/>
            <w:shd w:fill="FFDCE0" w:val="clear"/>
          </w:tcPr>
          <w:p>
            <w:r>
              <w:rPr>
                <w:b/>
                <w:sz w:val="17"/>
              </w:rPr>
              <w:t>3,978</w:t>
            </w:r>
          </w:p>
        </w:tc>
        <w:tc>
          <w:tcPr>
            <w:tcW w:type="dxa" w:w="1440"/>
            <w:shd w:fill="FFDCE0" w:val="clear"/>
          </w:tcPr>
          <w:p>
            <w:r>
              <w:rPr>
                <w:sz w:val="17"/>
              </w:rPr>
              <w:t>4,320</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3,587</w:t>
            </w:r>
          </w:p>
        </w:tc>
        <w:tc>
          <w:tcPr>
            <w:tcW w:type="dxa" w:w="1440"/>
            <w:shd w:fill="FFDCE0" w:val="clear"/>
          </w:tcPr>
          <w:p>
            <w:r>
              <w:rPr>
                <w:b/>
                <w:sz w:val="17"/>
              </w:rPr>
              <w:t>3,967</w:t>
            </w:r>
          </w:p>
        </w:tc>
        <w:tc>
          <w:tcPr>
            <w:tcW w:type="dxa" w:w="1440"/>
            <w:shd w:fill="FFDCE0" w:val="clear"/>
          </w:tcPr>
          <w:p>
            <w:r>
              <w:rPr>
                <w:sz w:val="17"/>
              </w:rPr>
              <w:t>4,348</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3,543</w:t>
            </w:r>
          </w:p>
        </w:tc>
        <w:tc>
          <w:tcPr>
            <w:tcW w:type="dxa" w:w="1440"/>
            <w:shd w:fill="FFDCE0" w:val="clear"/>
          </w:tcPr>
          <w:p>
            <w:r>
              <w:rPr>
                <w:b/>
                <w:sz w:val="17"/>
              </w:rPr>
              <w:t>3,958</w:t>
            </w:r>
          </w:p>
        </w:tc>
        <w:tc>
          <w:tcPr>
            <w:tcW w:type="dxa" w:w="1440"/>
            <w:shd w:fill="FFDCE0" w:val="clear"/>
          </w:tcPr>
          <w:p>
            <w:r>
              <w:rPr>
                <w:sz w:val="17"/>
              </w:rPr>
              <w:t>4,374</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3,503</w:t>
            </w:r>
          </w:p>
        </w:tc>
        <w:tc>
          <w:tcPr>
            <w:tcW w:type="dxa" w:w="1440"/>
            <w:shd w:fill="FFDCE0" w:val="clear"/>
          </w:tcPr>
          <w:p>
            <w:r>
              <w:rPr>
                <w:b/>
                <w:sz w:val="17"/>
              </w:rPr>
              <w:t>3,951</w:t>
            </w:r>
          </w:p>
        </w:tc>
        <w:tc>
          <w:tcPr>
            <w:tcW w:type="dxa" w:w="1440"/>
            <w:shd w:fill="FFDCE0" w:val="clear"/>
          </w:tcPr>
          <w:p>
            <w:r>
              <w:rPr>
                <w:sz w:val="17"/>
              </w:rPr>
              <w:t>4,400</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3,469</w:t>
            </w:r>
          </w:p>
        </w:tc>
        <w:tc>
          <w:tcPr>
            <w:tcW w:type="dxa" w:w="1440"/>
            <w:shd w:fill="FFDCE0" w:val="clear"/>
          </w:tcPr>
          <w:p>
            <w:r>
              <w:rPr>
                <w:b/>
                <w:sz w:val="17"/>
              </w:rPr>
              <w:t>3,947</w:t>
            </w:r>
          </w:p>
        </w:tc>
        <w:tc>
          <w:tcPr>
            <w:tcW w:type="dxa" w:w="1440"/>
            <w:shd w:fill="FFDCE0" w:val="clear"/>
          </w:tcPr>
          <w:p>
            <w:r>
              <w:rPr>
                <w:sz w:val="17"/>
              </w:rPr>
              <w:t>4,426</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3,440</w:t>
            </w:r>
          </w:p>
        </w:tc>
        <w:tc>
          <w:tcPr>
            <w:tcW w:type="dxa" w:w="1440"/>
            <w:shd w:fill="FFDCE0" w:val="clear"/>
          </w:tcPr>
          <w:p>
            <w:r>
              <w:rPr>
                <w:b/>
                <w:sz w:val="17"/>
              </w:rPr>
              <w:t>3,947</w:t>
            </w:r>
          </w:p>
        </w:tc>
        <w:tc>
          <w:tcPr>
            <w:tcW w:type="dxa" w:w="1440"/>
            <w:shd w:fill="FFDCE0" w:val="clear"/>
          </w:tcPr>
          <w:p>
            <w:r>
              <w:rPr>
                <w:sz w:val="17"/>
              </w:rPr>
              <w:t>4,455</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3,416</w:t>
            </w:r>
          </w:p>
        </w:tc>
        <w:tc>
          <w:tcPr>
            <w:tcW w:type="dxa" w:w="1440"/>
            <w:shd w:fill="FFDCE0" w:val="clear"/>
          </w:tcPr>
          <w:p>
            <w:r>
              <w:rPr>
                <w:b/>
                <w:sz w:val="17"/>
              </w:rPr>
              <w:t>3,952</w:t>
            </w:r>
          </w:p>
        </w:tc>
        <w:tc>
          <w:tcPr>
            <w:tcW w:type="dxa" w:w="1440"/>
            <w:shd w:fill="FFDCE0" w:val="clear"/>
          </w:tcPr>
          <w:p>
            <w:r>
              <w:rPr>
                <w:sz w:val="17"/>
              </w:rPr>
              <w:t>4,488</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81,50 milliards FCFA, un niveau significatif sur la BRVM qui positionne le titre comme une valeur moyenne dans le compartiment des entreprises non financières. Le BPA de 231 FCFA indique que chaque action génère un bénéfice substantiel, mais le PER de 17,6x se situe nettement au-dessus de la moyenne historique de la BRVM (8-12x), suggérant que les investisseurs paient une prime de valorisation. Cette prime est confirmée par le P/B de 3,71x, qui reflète une décote du marché par rapport à la valeur comptable des actifs, et par un EV/EBITDA de 10,3x, indiquant une valorisation élevée par rapport à la capacité opérationnelle de l'entreprise. Ces ratios suggèrent que le marché intègre des perspectives de croissance future, mais laissent peu de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 progressé de +4,49%, avec une légère baisse de -0,49% lors de la dernière séance, s'établissant à 4 075 FCFA. Le titre a évolué dans une fourchette de 3 825 à 4 560 FCFA, démontrant une amplitude de trading de 735 FCFA. La moyenne de 4 050 FCFA est légèrement supérieure à la médiane de 3 988 FCFA, indiquant une asymétrie positive confirmée par le skewness de 0,643, ce qui signifie que le cours a passé plus de journées sous la moyenne. L'écart-type de 205 FCFA (CV=5,1%) révèle une dispersion modérée, tandis que le kurtosis de -0,959 indique une distribution mésokurtique, proche d'une normale, avec un risque de pics limité. La volatilité annualisée de 36,2% classe le titre dans la catégorie des valeurs à forte volatilité, ce qui implique des fluctuations de cours importantes et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à 4 234,5 FCFA et la MM50 à 4 216,4 FCFA sont toutes deux supérieures au cours actuel de 4 075 FCFA, indiquant une tendance baissière à court et moyen terme. La décision d'achat signalée par cet indicateur semble prématurée, car le cours évolue sous ses moyennes mobiles, ce qui suggère une pression vendeuse persistante.</w:t>
      </w:r>
    </w:p>
    <w:p>
      <w:pPr>
        <w:spacing w:after="120" w:line="276" w:lineRule="auto"/>
      </w:pPr>
      <w:r>
        <w:t>**Bandes de Bollinger** : Le cours se situe à 4 075 FCFA, proche de la borne inférieure à 3 934,85 FCFA, indiquant une zone de survente potentielle. La largeur des bandes (4534,15 - 3934,85) reflète une volatilité élevée, mais la position du prix suggère un possible rebond technique vers la moyenne mobile à 4 234 FCFA.</w:t>
      </w:r>
    </w:p>
    <w:p>
      <w:pPr>
        <w:spacing w:after="120" w:line="276" w:lineRule="auto"/>
      </w:pPr>
      <w:r>
        <w:t>**MACD** : La valeur négative de -42,32 avec un signal à -18,36 confirme une dynamique baissière, avec un écart négatif de -23,95 points. Cette divergence indique un momentum négatif persistant, justifiant la décision de vente, bien que la distance entre le MACD et son signal pourrait signaler une possible correction technique.</w:t>
      </w:r>
    </w:p>
    <w:p>
      <w:pPr>
        <w:spacing w:after="120" w:line="276" w:lineRule="auto"/>
      </w:pPr>
      <w:r>
        <w:t>**RSI** : À 24,06, le RSI est en zone de survente (&lt;30), indiquant que le titre est techniquement survendu. Cette situation suggère un potentiel de rebond à court terme, mais elle reflète également une faiblesse sous-jacente du marché, justifiant la décision d'achat pour les investisseurs opportunistes.</w:t>
      </w:r>
    </w:p>
    <w:p>
      <w:pPr>
        <w:spacing w:after="120" w:line="276" w:lineRule="auto"/>
      </w:pPr>
      <w:r>
        <w:t>**Stochastique** : Le %K à 18,75 et le %D à 17,86 sont tous deux en zone de survente, avec un croisement haussier potentiel. Cette configuration indique que la pression vendeuse s'essouffle, mais la faiblesse des valeurs suggère que le rebond pourrait être limité.</w:t>
      </w:r>
    </w:p>
    <w:p>
      <w:pPr>
        <w:spacing w:after="120" w:line="276" w:lineRule="auto"/>
      </w:pPr>
      <w:r>
        <w:t>**Conclusion technique** : Les indicateurs sont mitigés, avec une majorité en zone de survente (RSI, Stochastique) mais une tendance baissière confirmée par le MACD et les moyennes mobiles. La convergence des signaux de survente suggère un possible rebond technique, mais la tendance de fond reste baissière, nécessitant une confirmation avant toute position.</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enregistré un chiffre d'affaires de 98,598 milliards FCFA, en baisse de -3,85% par rapport à 2024, avec un résultat net de 4,622 milliards FCFA, reflétant une marge nette de 4,69%. Le ROE de 21,05% et le ROA de 14,17% démontrent une excellente rentabilité des fonds propres et des actifs, bien que la marge opérationnelle de 6,47% soit sous pression. La structure financière est solide avec une autonomie financière de 67,32%, un endettement très faible (ratio d'endettement de 2,57%) et une trésorerie nette positive de 7,979 milliards FCFA. Le BFR de 217,45 millions FCFA est favorable, avec des délais clients (4,82 jours) et fournisseurs (20,41 jours) bien gérés. Les rapports trimestriels 2025 montrent une dégradation progressive (S1 2025 : résultat net de 841 millions, -77%), mais le T1 2026 affiche une amélioration avec un résultat net de 848 millions (+5% vs T1 2025) et un CA en hausse de 6%. Le S1 2026 confirme cette tendance avec un résultat net en progression de +60%, grâce à la maîtrise des charges et aux revenus de partenariats. Le dividende proposé de 173 FCFA brut par action pour 2025 (net de 164 FCFA) représente un rendement de 4,25% sur le cours actuel, confirmant une politique de distribution généreuse. Les perspectives 2026 sont positives avec le déploiement de 1 500 nouveaux terminaux et le lancement de nouveaux produits, mais la dépendance croissante au pari sportif (taux de retour de 95%) constitue un risque pour la rentabilité future.</w:t>
      </w:r>
    </w:p>
    <w:p>
      <w:pPr>
        <w:spacing w:after="120" w:line="276" w:lineRule="auto"/>
      </w:pPr>
      <w:r>
        <w:t>---</w:t>
      </w:r>
    </w:p>
    <w:p>
      <w:pPr>
        <w:spacing w:after="120" w:line="276" w:lineRule="auto"/>
      </w:pPr>
      <w:r>
        <w:t>### PARTIE 4 : CONCLUSION D'INVESTISSEMENT</w:t>
      </w:r>
    </w:p>
    <w:p>
      <w:pPr>
        <w:spacing w:after="120" w:line="276" w:lineRule="auto"/>
      </w:pPr>
      <w:r>
        <w:t>La valorisation de LNBB (PER 17,6x, P/B 3,71x, EV/EBITDA 10,3x) indique une surévaluation relative par rapport au marché BRVM, mais les fondamentaux solides (ROE &gt;20%, structure financière saine) justifient partiellement cette prime. Le comportement du cours montre une tendance haussière sur 100 jours (+4,49%) mais avec une volatilité élevée (36,2%) et une asymétrie positive, suggérant un potentiel de correction. Les signaux techniques sont mitigés, avec une convergence des indicateurs de survente (RSI, Stochastique) mais une tendance baissière confirmée par le MACD et les moyennes mobiles. Les fondamentaux sont solides avec une amélioration séquentielle des résultats (S1 2026 : +60% du résultat net), mais les prédictions IA indiquent une trajectoire baissière à court terme (4 019 à 3 967 FCFA sur 10 jours), contredisant les signaux de survente. La recommandation finale est **CONSERVER**, avec un niveau de confiance **Moyen** et un risque global **Élevé** en raison de la volatilité et de la dépendance au pari sportif. L'horizon d'investissement optimal est le **moyen terme (3-12 mois)**, en attendant la confirmation de la stabilisation des marges et l'efficacité des nouvelles stratégies commerciales.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5,226 titres</w:t>
            </w:r>
          </w:p>
        </w:tc>
        <w:tc>
          <w:tcPr>
            <w:tcW w:type="dxa" w:w="2268"/>
            <w:shd w:fill="FFF2CC" w:val="clear"/>
          </w:tcPr>
          <w:p>
            <w:r>
              <w:rPr>
                <w:b/>
                <w:color w:val="503200"/>
                <w:sz w:val="16"/>
              </w:rPr>
              <w:t xml:space="preserve">Cours actuel : </w:t>
            </w:r>
            <w:r>
              <w:rPr>
                <w:color w:val="000000"/>
                <w:sz w:val="17"/>
              </w:rPr>
              <w:t>2,500 FCFA</w:t>
            </w:r>
          </w:p>
          <w:p>
            <w:r>
              <w:rPr>
                <w:b/>
                <w:color w:val="503200"/>
                <w:sz w:val="16"/>
              </w:rPr>
              <w:t xml:space="preserve">Var. 100 jours : </w:t>
            </w:r>
            <w:r>
              <w:rPr>
                <w:b/>
                <w:color w:val="007800"/>
                <w:sz w:val="17"/>
              </w:rPr>
              <w:t>+74.83%</w:t>
            </w:r>
          </w:p>
          <w:p>
            <w:r>
              <w:rPr>
                <w:b/>
                <w:color w:val="503200"/>
                <w:sz w:val="16"/>
              </w:rPr>
              <w:t xml:space="preserve">Plus haut 100j : </w:t>
            </w:r>
            <w:r>
              <w:rPr>
                <w:color w:val="000000"/>
                <w:sz w:val="17"/>
              </w:rPr>
              <w:t>2,500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μ=1,988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β=0.0152 (Défensif) — Cov=0.000001, Var(idx)=0.000034, ρ=0.003,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2,175</w:t>
            </w:r>
          </w:p>
        </w:tc>
        <w:tc>
          <w:tcPr>
            <w:tcW w:type="dxa" w:w="1440"/>
            <w:shd w:fill="FFDCE0" w:val="clear"/>
          </w:tcPr>
          <w:p>
            <w:r>
              <w:rPr>
                <w:b/>
                <w:sz w:val="17"/>
              </w:rPr>
              <w:t>2,312</w:t>
            </w:r>
          </w:p>
        </w:tc>
        <w:tc>
          <w:tcPr>
            <w:tcW w:type="dxa" w:w="1440"/>
            <w:shd w:fill="FFDCE0" w:val="clear"/>
          </w:tcPr>
          <w:p>
            <w:r>
              <w:rPr>
                <w:sz w:val="17"/>
              </w:rPr>
              <w:t>2,450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1,959</w:t>
            </w:r>
          </w:p>
        </w:tc>
        <w:tc>
          <w:tcPr>
            <w:tcW w:type="dxa" w:w="1440"/>
            <w:shd w:fill="FFDCE0" w:val="clear"/>
          </w:tcPr>
          <w:p>
            <w:r>
              <w:rPr>
                <w:b/>
                <w:sz w:val="17"/>
              </w:rPr>
              <w:t>2,139</w:t>
            </w:r>
          </w:p>
        </w:tc>
        <w:tc>
          <w:tcPr>
            <w:tcW w:type="dxa" w:w="1440"/>
            <w:shd w:fill="FFDCE0" w:val="clear"/>
          </w:tcPr>
          <w:p>
            <w:r>
              <w:rPr>
                <w:sz w:val="17"/>
              </w:rPr>
              <w:t>2,319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1,775</w:t>
            </w:r>
          </w:p>
        </w:tc>
        <w:tc>
          <w:tcPr>
            <w:tcW w:type="dxa" w:w="1440"/>
            <w:shd w:fill="FFDCE0" w:val="clear"/>
          </w:tcPr>
          <w:p>
            <w:r>
              <w:rPr>
                <w:b/>
                <w:sz w:val="17"/>
              </w:rPr>
              <w:t>1,979</w:t>
            </w:r>
          </w:p>
        </w:tc>
        <w:tc>
          <w:tcPr>
            <w:tcW w:type="dxa" w:w="1440"/>
            <w:shd w:fill="FFDCE0" w:val="clear"/>
          </w:tcPr>
          <w:p>
            <w:r>
              <w:rPr>
                <w:sz w:val="17"/>
              </w:rPr>
              <w:t>2,183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1,612</w:t>
            </w:r>
          </w:p>
        </w:tc>
        <w:tc>
          <w:tcPr>
            <w:tcW w:type="dxa" w:w="1440"/>
            <w:shd w:fill="FFDCE0" w:val="clear"/>
          </w:tcPr>
          <w:p>
            <w:r>
              <w:rPr>
                <w:b/>
                <w:sz w:val="17"/>
              </w:rPr>
              <w:t>1,830</w:t>
            </w:r>
          </w:p>
        </w:tc>
        <w:tc>
          <w:tcPr>
            <w:tcW w:type="dxa" w:w="1440"/>
            <w:shd w:fill="FFDCE0" w:val="clear"/>
          </w:tcPr>
          <w:p>
            <w:r>
              <w:rPr>
                <w:sz w:val="17"/>
              </w:rPr>
              <w:t>2,048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1,487</w:t>
            </w:r>
          </w:p>
        </w:tc>
        <w:tc>
          <w:tcPr>
            <w:tcW w:type="dxa" w:w="1440"/>
            <w:shd w:fill="FFDCE0" w:val="clear"/>
          </w:tcPr>
          <w:p>
            <w:r>
              <w:rPr>
                <w:b/>
                <w:sz w:val="17"/>
              </w:rPr>
              <w:t>1,715</w:t>
            </w:r>
          </w:p>
        </w:tc>
        <w:tc>
          <w:tcPr>
            <w:tcW w:type="dxa" w:w="1440"/>
            <w:shd w:fill="FFDCE0" w:val="clear"/>
          </w:tcPr>
          <w:p>
            <w:r>
              <w:rPr>
                <w:sz w:val="17"/>
              </w:rPr>
              <w:t>1,944</w:t>
            </w:r>
          </w:p>
        </w:tc>
        <w:tc>
          <w:tcPr>
            <w:tcW w:type="dxa" w:w="1440"/>
            <w:shd w:fill="FFDCE0" w:val="clear"/>
          </w:tcPr>
          <w:p>
            <w:r>
              <w:rPr>
                <w:b/>
                <w:color w:val="C00000"/>
                <w:sz w:val="17"/>
              </w:rPr>
              <w:t>-31.4%</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1,400</w:t>
            </w:r>
          </w:p>
        </w:tc>
        <w:tc>
          <w:tcPr>
            <w:tcW w:type="dxa" w:w="1440"/>
            <w:shd w:fill="FFDCE0" w:val="clear"/>
          </w:tcPr>
          <w:p>
            <w:r>
              <w:rPr>
                <w:b/>
                <w:sz w:val="17"/>
              </w:rPr>
              <w:t>1,639</w:t>
            </w:r>
          </w:p>
        </w:tc>
        <w:tc>
          <w:tcPr>
            <w:tcW w:type="dxa" w:w="1440"/>
            <w:shd w:fill="FFDCE0" w:val="clear"/>
          </w:tcPr>
          <w:p>
            <w:r>
              <w:rPr>
                <w:sz w:val="17"/>
              </w:rPr>
              <w:t>1,878</w:t>
            </w:r>
          </w:p>
        </w:tc>
        <w:tc>
          <w:tcPr>
            <w:tcW w:type="dxa" w:w="1440"/>
            <w:shd w:fill="FFDCE0" w:val="clear"/>
          </w:tcPr>
          <w:p>
            <w:r>
              <w:rPr>
                <w:b/>
                <w:color w:val="C00000"/>
                <w:sz w:val="17"/>
              </w:rPr>
              <w:t>-34.4%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1,326</w:t>
            </w:r>
          </w:p>
        </w:tc>
        <w:tc>
          <w:tcPr>
            <w:tcW w:type="dxa" w:w="1440"/>
            <w:shd w:fill="FFDCE0" w:val="clear"/>
          </w:tcPr>
          <w:p>
            <w:r>
              <w:rPr>
                <w:b/>
                <w:sz w:val="17"/>
              </w:rPr>
              <w:t>1,573</w:t>
            </w:r>
          </w:p>
        </w:tc>
        <w:tc>
          <w:tcPr>
            <w:tcW w:type="dxa" w:w="1440"/>
            <w:shd w:fill="FFDCE0" w:val="clear"/>
          </w:tcPr>
          <w:p>
            <w:r>
              <w:rPr>
                <w:sz w:val="17"/>
              </w:rPr>
              <w:t>1,821</w:t>
            </w:r>
          </w:p>
        </w:tc>
        <w:tc>
          <w:tcPr>
            <w:tcW w:type="dxa" w:w="1440"/>
            <w:shd w:fill="FFDCE0" w:val="clear"/>
          </w:tcPr>
          <w:p>
            <w:r>
              <w:rPr>
                <w:b/>
                <w:color w:val="C00000"/>
                <w:sz w:val="17"/>
              </w:rPr>
              <w:t>-37.1%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1,261</w:t>
            </w:r>
          </w:p>
        </w:tc>
        <w:tc>
          <w:tcPr>
            <w:tcW w:type="dxa" w:w="1440"/>
            <w:shd w:fill="FFDCE0" w:val="clear"/>
          </w:tcPr>
          <w:p>
            <w:r>
              <w:rPr>
                <w:b/>
                <w:sz w:val="17"/>
              </w:rPr>
              <w:t>1,516</w:t>
            </w:r>
          </w:p>
        </w:tc>
        <w:tc>
          <w:tcPr>
            <w:tcW w:type="dxa" w:w="1440"/>
            <w:shd w:fill="FFDCE0" w:val="clear"/>
          </w:tcPr>
          <w:p>
            <w:r>
              <w:rPr>
                <w:sz w:val="17"/>
              </w:rPr>
              <w:t>1,771</w:t>
            </w:r>
          </w:p>
        </w:tc>
        <w:tc>
          <w:tcPr>
            <w:tcW w:type="dxa" w:w="1440"/>
            <w:shd w:fill="FFDCE0" w:val="clear"/>
          </w:tcPr>
          <w:p>
            <w:r>
              <w:rPr>
                <w:b/>
                <w:color w:val="C00000"/>
                <w:sz w:val="17"/>
              </w:rPr>
              <w:t>-39.4%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1,203</w:t>
            </w:r>
          </w:p>
        </w:tc>
        <w:tc>
          <w:tcPr>
            <w:tcW w:type="dxa" w:w="1440"/>
            <w:shd w:fill="FFDCE0" w:val="clear"/>
          </w:tcPr>
          <w:p>
            <w:r>
              <w:rPr>
                <w:b/>
                <w:sz w:val="17"/>
              </w:rPr>
              <w:t>1,465</w:t>
            </w:r>
          </w:p>
        </w:tc>
        <w:tc>
          <w:tcPr>
            <w:tcW w:type="dxa" w:w="1440"/>
            <w:shd w:fill="FFDCE0" w:val="clear"/>
          </w:tcPr>
          <w:p>
            <w:r>
              <w:rPr>
                <w:sz w:val="17"/>
              </w:rPr>
              <w:t>1,726</w:t>
            </w:r>
          </w:p>
        </w:tc>
        <w:tc>
          <w:tcPr>
            <w:tcW w:type="dxa" w:w="1440"/>
            <w:shd w:fill="FFDCE0" w:val="clear"/>
          </w:tcPr>
          <w:p>
            <w:r>
              <w:rPr>
                <w:b/>
                <w:color w:val="C00000"/>
                <w:sz w:val="17"/>
              </w:rPr>
              <w:t>-41.4%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1,152</w:t>
            </w:r>
          </w:p>
        </w:tc>
        <w:tc>
          <w:tcPr>
            <w:tcW w:type="dxa" w:w="1440"/>
            <w:shd w:fill="FFDCE0" w:val="clear"/>
          </w:tcPr>
          <w:p>
            <w:r>
              <w:rPr>
                <w:b/>
                <w:sz w:val="17"/>
              </w:rPr>
              <w:t>1,419</w:t>
            </w:r>
          </w:p>
        </w:tc>
        <w:tc>
          <w:tcPr>
            <w:tcW w:type="dxa" w:w="1440"/>
            <w:shd w:fill="FFDCE0" w:val="clear"/>
          </w:tcPr>
          <w:p>
            <w:r>
              <w:rPr>
                <w:sz w:val="17"/>
              </w:rPr>
              <w:t>1,685</w:t>
            </w:r>
          </w:p>
        </w:tc>
        <w:tc>
          <w:tcPr>
            <w:tcW w:type="dxa" w:w="1440"/>
            <w:shd w:fill="FFDCE0" w:val="clear"/>
          </w:tcPr>
          <w:p>
            <w:r>
              <w:rPr>
                <w:b/>
                <w:color w:val="C00000"/>
                <w:sz w:val="17"/>
              </w:rPr>
              <w:t>-43.3%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31,91 milliards FCFA, un niveau modeste qui la classe parmi les valeurs moyennes de la cote BRVM. Avec un BPA de 160 FCFA, le titre se négocie à un PER de 15,7x, nettement supérieur à la moyenne historique de la place (~8-12x), indiquant que les investisseurs paient une prime substantielle pour les bénéfices actuels. Le P/B de 5,55x confirme cette lecture, le marché valorisant le titre plus de cinq fois sa valeur comptable, ce qui traduit des attentes de croissance élevées. Enfin, l'EV/EBITDA de 23,4x, bien au-delà du seuil exigeant de 15x, suggère que la valeur d'entreprise intègre une forte anticipation de performance opérationnelle future. Ces ratios combinés signalent une valorisation exigeante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NEIC a enregistré une progression spectaculaire de +74,83%, avec une dernière séance en hausse de +4,17% à 2 500 FCFA, son plus haut niveau sur la période. Le titre a évolué dans une fourchette très large de 1 365 à 2 500 FCFA, illustrant un mouvement haussier puissant. La moyenne de 1 988 FCFA est inférieure à la médiane de 2 060 FCFA, confirmant une asymétrie positive des rendements récents. L'écart-type de 335 FCFA (CV=16,9%) révèle une dispersion modérée, tandis que le kurtosis de -0,748 (mésokurtique) indique l'absence de pics extrêmes. Le skewness négatif de -0,722 suggère que les journées de forte hausse ont été plus fréquentes que les fortes baisses. La volatilité annualisée de 51,3%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MM20 (2 266,5 FCFA) et MM50 (2 259,1 FCFA) sont très proches l'une de l'autre, mais le cours actuel de 2 500 FCFA évolue nettement au-dessus des deux, confirmant une dynamique haussière solide. La décision d'achat est justifiée par cette configuration positive.</w:t>
      </w:r>
    </w:p>
    <w:p>
      <w:pPr>
        <w:spacing w:after="120" w:line="276" w:lineRule="auto"/>
      </w:pPr>
      <w:r>
        <w:t>Les **Bandes de Bollinger** montrent un cours (2 500 FCFA) qui a franchi la borne supérieure (2 434,87 FCFA), signalant une extension excessive et une possible surachete. La décision de vente reflète ce dépassement qui précède souvent un repli technique.</w:t>
      </w:r>
    </w:p>
    <w:p>
      <w:pPr>
        <w:spacing w:after="120" w:line="276" w:lineRule="auto"/>
      </w:pPr>
      <w:r>
        <w:t>Le **MACD** affiche une valeur de 35,856 contre un signal de 12,895, soit une divergence positive de près de 23 points. Ce momentum haussier soutient la décision d'achat, indiquant une accélération de la tendance.</w:t>
      </w:r>
    </w:p>
    <w:p>
      <w:pPr>
        <w:spacing w:after="120" w:line="276" w:lineRule="auto"/>
      </w:pPr>
      <w:r>
        <w:t>Le **RSI** à 65,068 se situe en zone neutre, en dessous du seuil de surachat de 70. Cette valeur suggère que la pression acheteuse reste soutenue sans être excessive, justifiant une position neutre.</w:t>
      </w:r>
    </w:p>
    <w:p>
      <w:pPr>
        <w:spacing w:after="120" w:line="276" w:lineRule="auto"/>
      </w:pPr>
      <w:r>
        <w:t>Le **Stochastique** avec %K et %D à 100,0 est en zone de surachat extrême. Cette configuration signale un épuisement potentiel du mouvement haussier à court terme, d'où la décision de vente.</w:t>
      </w:r>
    </w:p>
    <w:p>
      <w:pPr>
        <w:spacing w:after="120" w:line="276" w:lineRule="auto"/>
      </w:pPr>
      <w:r>
        <w:t>La **conclusion technique** est contrastée : la tendance de fond reste haussière (MM, MACD), mais les oscillateurs de surachat (Bollinger, Stochastique) suggèrent un risque de correction technique à court terme. Le RSI neutre laisse une marge de manœuvre avant une éventuelle consolidation.</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 un chiffre d'affaires de 5,139 milliards FCFA, un résultat net de 2,037 milliards FCFA, soit une marge nette exceptionnelle de 39,6%. Le ROE de 35,4% et le ROA de 27,3% témoignent d'une excellente rentabilité des fonds propres et des actifs. La structure financière est saine avec une autonomie financière de 77% et une trésorerie nette positive de 4,196 milliards FCFA. Cependant, le taux de croissance du CA est négatif à -23,8%, et le délai clients de 154,7 jours représente un risque de trésorerie. Le rapport T3 2025 (CA de 3,406 milliards, en baisse de 35%) confirme ce ralentissement commercial, mais le bénéfice net de 1,596 milliard est porté par une reprise de provision exceptionnelle. Le rapport T1 2026 montre une amélioration du CA (+137% à 115,1 millions) mais des pertes persistantes de -168,9 millions. Les états financiers 2024 certifiés indiquaient une perte de 759 millions, contrastant avec la performance 2025. On estime que l'exercice 2026 devrait maintenir une rentabilité positive grâce à la solidité du bilan, mais la croissance du CA reste le principal défi.</w:t>
      </w:r>
    </w:p>
    <w:p>
      <w:pPr>
        <w:spacing w:after="120" w:line="276" w:lineRule="auto" w:before="240"/>
      </w:pPr>
      <w:r>
        <w:rPr>
          <w:b/>
          <w:color w:val="003366"/>
          <w:sz w:val="24"/>
        </w:rPr>
        <w:t>**PARTIE 4 : CONCLUSION D'INVESTISSEMENT**</w:t>
      </w:r>
    </w:p>
    <w:p>
      <w:pPr>
        <w:spacing w:after="120" w:line="276" w:lineRule="auto"/>
      </w:pPr>
      <w:r>
        <w:t>La valorisation actuelle (PER 15,7x, P/B 5,55x, EV/EBITDA 23,4x) est exigeante et laisse peu de marge de sécurité. Le comportement du cours (+74,83% en 100 jours) avec une volatilité élevée de 51,3% et un skewness négatif suggère un potentiel de repli. Les signaux techniques sont mitigés : tendance haussière (MM, MACD) mais surachat imminent (Bollinger, Stochastique). Les fondamentaux 2025 sont excellents (ROE 35,4%, trésorerie solide), mais la baisse du CA et la dépendance aux éléments exceptionnels constituent des risques. Les prédictions IA (baisse progressive à 1 715 FCFA en 10 jours) contredisent fortement la tendance actuelle, anticipant une correction majeure. **Recommandation : VENTE** — la convergence entre valorisation excessive, surachat technique et prédictions baissières l'emporte sur les fondamentaux solides. Confiance : Moyenne. Risque global : Élevé. Horizon optimal : court terme (&lt;3 mois) pour les investisseurs existants cherchant à sécuriser leurs gains.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2,006 titres</w:t>
            </w:r>
          </w:p>
        </w:tc>
        <w:tc>
          <w:tcPr>
            <w:tcW w:type="dxa" w:w="2268"/>
            <w:shd w:fill="FFF2CC" w:val="clear"/>
          </w:tcPr>
          <w:p>
            <w:r>
              <w:rPr>
                <w:b/>
                <w:color w:val="503200"/>
                <w:sz w:val="16"/>
              </w:rPr>
              <w:t xml:space="preserve">Cours actuel : </w:t>
            </w:r>
            <w:r>
              <w:rPr>
                <w:color w:val="000000"/>
                <w:sz w:val="17"/>
              </w:rPr>
              <w:t>22,800 FCFA</w:t>
            </w:r>
          </w:p>
          <w:p>
            <w:r>
              <w:rPr>
                <w:b/>
                <w:color w:val="503200"/>
                <w:sz w:val="16"/>
              </w:rPr>
              <w:t xml:space="preserve">Var. 100 jours : </w:t>
            </w:r>
            <w:r>
              <w:rPr>
                <w:b/>
                <w:color w:val="007800"/>
                <w:sz w:val="17"/>
              </w:rPr>
              <w:t>+61.76%</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19.37% (Élevée) — μ=18,702 FCFA, σ=3,623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β=1.2833 (Agressif) — Cov=0.000044, Var(idx)=0.000034, ρ=0.315,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2026-08-25</w:t>
            </w:r>
          </w:p>
        </w:tc>
        <w:tc>
          <w:tcPr>
            <w:tcW w:type="dxa" w:w="1440"/>
            <w:shd w:fill="C6EFCE" w:val="clear"/>
          </w:tcPr>
          <w:p>
            <w:r>
              <w:rPr>
                <w:sz w:val="17"/>
              </w:rPr>
              <w:t>22,499</w:t>
            </w:r>
          </w:p>
        </w:tc>
        <w:tc>
          <w:tcPr>
            <w:tcW w:type="dxa" w:w="1440"/>
            <w:shd w:fill="C6EFCE" w:val="clear"/>
          </w:tcPr>
          <w:p>
            <w:r>
              <w:rPr>
                <w:b/>
                <w:sz w:val="17"/>
              </w:rPr>
              <w:t>23,387</w:t>
            </w:r>
          </w:p>
        </w:tc>
        <w:tc>
          <w:tcPr>
            <w:tcW w:type="dxa" w:w="1440"/>
            <w:shd w:fill="C6EFCE" w:val="clear"/>
          </w:tcPr>
          <w:p>
            <w:r>
              <w:rPr>
                <w:sz w:val="17"/>
              </w:rPr>
              <w:t>24,275</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2026-08-27</w:t>
            </w:r>
          </w:p>
        </w:tc>
        <w:tc>
          <w:tcPr>
            <w:tcW w:type="dxa" w:w="1440"/>
            <w:shd w:fill="C6EFCE" w:val="clear"/>
          </w:tcPr>
          <w:p>
            <w:r>
              <w:rPr>
                <w:sz w:val="17"/>
              </w:rPr>
              <w:t>22,528</w:t>
            </w:r>
          </w:p>
        </w:tc>
        <w:tc>
          <w:tcPr>
            <w:tcW w:type="dxa" w:w="1440"/>
            <w:shd w:fill="C6EFCE" w:val="clear"/>
          </w:tcPr>
          <w:p>
            <w:r>
              <w:rPr>
                <w:b/>
                <w:sz w:val="17"/>
              </w:rPr>
              <w:t>23,806</w:t>
            </w:r>
          </w:p>
        </w:tc>
        <w:tc>
          <w:tcPr>
            <w:tcW w:type="dxa" w:w="1440"/>
            <w:shd w:fill="C6EFCE" w:val="clear"/>
          </w:tcPr>
          <w:p>
            <w:r>
              <w:rPr>
                <w:sz w:val="17"/>
              </w:rPr>
              <w:t>25,085</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2026-08-28</w:t>
            </w:r>
          </w:p>
        </w:tc>
        <w:tc>
          <w:tcPr>
            <w:tcW w:type="dxa" w:w="1440"/>
            <w:shd w:fill="C6EFCE" w:val="clear"/>
          </w:tcPr>
          <w:p>
            <w:r>
              <w:rPr>
                <w:sz w:val="17"/>
              </w:rPr>
              <w:t>22,621</w:t>
            </w:r>
          </w:p>
        </w:tc>
        <w:tc>
          <w:tcPr>
            <w:tcW w:type="dxa" w:w="1440"/>
            <w:shd w:fill="C6EFCE" w:val="clear"/>
          </w:tcPr>
          <w:p>
            <w:r>
              <w:rPr>
                <w:b/>
                <w:sz w:val="17"/>
              </w:rPr>
              <w:t>24,213</w:t>
            </w:r>
          </w:p>
        </w:tc>
        <w:tc>
          <w:tcPr>
            <w:tcW w:type="dxa" w:w="1440"/>
            <w:shd w:fill="C6EFCE" w:val="clear"/>
          </w:tcPr>
          <w:p>
            <w:r>
              <w:rPr>
                <w:sz w:val="17"/>
              </w:rPr>
              <w:t>25,805</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2026-08-31</w:t>
            </w:r>
          </w:p>
        </w:tc>
        <w:tc>
          <w:tcPr>
            <w:tcW w:type="dxa" w:w="1440"/>
            <w:shd w:fill="C6EFCE" w:val="clear"/>
          </w:tcPr>
          <w:p>
            <w:r>
              <w:rPr>
                <w:sz w:val="17"/>
              </w:rPr>
              <w:t>22,736</w:t>
            </w:r>
          </w:p>
        </w:tc>
        <w:tc>
          <w:tcPr>
            <w:tcW w:type="dxa" w:w="1440"/>
            <w:shd w:fill="C6EFCE" w:val="clear"/>
          </w:tcPr>
          <w:p>
            <w:r>
              <w:rPr>
                <w:b/>
                <w:sz w:val="17"/>
              </w:rPr>
              <w:t>24,605</w:t>
            </w:r>
          </w:p>
        </w:tc>
        <w:tc>
          <w:tcPr>
            <w:tcW w:type="dxa" w:w="1440"/>
            <w:shd w:fill="C6EFCE" w:val="clear"/>
          </w:tcPr>
          <w:p>
            <w:r>
              <w:rPr>
                <w:sz w:val="17"/>
              </w:rPr>
              <w:t>26,473</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2026-09-01</w:t>
            </w:r>
          </w:p>
        </w:tc>
        <w:tc>
          <w:tcPr>
            <w:tcW w:type="dxa" w:w="1440"/>
            <w:shd w:fill="C6EFCE" w:val="clear"/>
          </w:tcPr>
          <w:p>
            <w:r>
              <w:rPr>
                <w:sz w:val="17"/>
              </w:rPr>
              <w:t>22,871</w:t>
            </w:r>
          </w:p>
        </w:tc>
        <w:tc>
          <w:tcPr>
            <w:tcW w:type="dxa" w:w="1440"/>
            <w:shd w:fill="C6EFCE" w:val="clear"/>
          </w:tcPr>
          <w:p>
            <w:r>
              <w:rPr>
                <w:b/>
                <w:sz w:val="17"/>
              </w:rPr>
              <w:t>24,993</w:t>
            </w:r>
          </w:p>
        </w:tc>
        <w:tc>
          <w:tcPr>
            <w:tcW w:type="dxa" w:w="1440"/>
            <w:shd w:fill="C6EFCE" w:val="clear"/>
          </w:tcPr>
          <w:p>
            <w:r>
              <w:rPr>
                <w:sz w:val="17"/>
              </w:rPr>
              <w:t>27,115</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2026-09-02</w:t>
            </w:r>
          </w:p>
        </w:tc>
        <w:tc>
          <w:tcPr>
            <w:tcW w:type="dxa" w:w="1440"/>
            <w:shd w:fill="C6EFCE" w:val="clear"/>
          </w:tcPr>
          <w:p>
            <w:r>
              <w:rPr>
                <w:sz w:val="17"/>
              </w:rPr>
              <w:t>23,019</w:t>
            </w:r>
          </w:p>
        </w:tc>
        <w:tc>
          <w:tcPr>
            <w:tcW w:type="dxa" w:w="1440"/>
            <w:shd w:fill="C6EFCE" w:val="clear"/>
          </w:tcPr>
          <w:p>
            <w:r>
              <w:rPr>
                <w:b/>
                <w:sz w:val="17"/>
              </w:rPr>
              <w:t>25,379</w:t>
            </w:r>
          </w:p>
        </w:tc>
        <w:tc>
          <w:tcPr>
            <w:tcW w:type="dxa" w:w="1440"/>
            <w:shd w:fill="C6EFCE" w:val="clear"/>
          </w:tcPr>
          <w:p>
            <w:r>
              <w:rPr>
                <w:sz w:val="17"/>
              </w:rPr>
              <w:t>27,740</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2026-09-03</w:t>
            </w:r>
          </w:p>
        </w:tc>
        <w:tc>
          <w:tcPr>
            <w:tcW w:type="dxa" w:w="1440"/>
            <w:shd w:fill="C6EFCE" w:val="clear"/>
          </w:tcPr>
          <w:p>
            <w:r>
              <w:rPr>
                <w:sz w:val="17"/>
              </w:rPr>
              <w:t>23,177</w:t>
            </w:r>
          </w:p>
        </w:tc>
        <w:tc>
          <w:tcPr>
            <w:tcW w:type="dxa" w:w="1440"/>
            <w:shd w:fill="C6EFCE" w:val="clear"/>
          </w:tcPr>
          <w:p>
            <w:r>
              <w:rPr>
                <w:b/>
                <w:sz w:val="17"/>
              </w:rPr>
              <w:t>25,765</w:t>
            </w:r>
          </w:p>
        </w:tc>
        <w:tc>
          <w:tcPr>
            <w:tcW w:type="dxa" w:w="1440"/>
            <w:shd w:fill="C6EFCE" w:val="clear"/>
          </w:tcPr>
          <w:p>
            <w:r>
              <w:rPr>
                <w:sz w:val="17"/>
              </w:rPr>
              <w:t>28,354</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2026-09-04</w:t>
            </w:r>
          </w:p>
        </w:tc>
        <w:tc>
          <w:tcPr>
            <w:tcW w:type="dxa" w:w="1440"/>
            <w:shd w:fill="C6EFCE" w:val="clear"/>
          </w:tcPr>
          <w:p>
            <w:r>
              <w:rPr>
                <w:sz w:val="17"/>
              </w:rPr>
              <w:t>23,342</w:t>
            </w:r>
          </w:p>
        </w:tc>
        <w:tc>
          <w:tcPr>
            <w:tcW w:type="dxa" w:w="1440"/>
            <w:shd w:fill="C6EFCE" w:val="clear"/>
          </w:tcPr>
          <w:p>
            <w:r>
              <w:rPr>
                <w:b/>
                <w:sz w:val="17"/>
              </w:rPr>
              <w:t>26,151</w:t>
            </w:r>
          </w:p>
        </w:tc>
        <w:tc>
          <w:tcPr>
            <w:tcW w:type="dxa" w:w="1440"/>
            <w:shd w:fill="C6EFCE" w:val="clear"/>
          </w:tcPr>
          <w:p>
            <w:r>
              <w:rPr>
                <w:sz w:val="17"/>
              </w:rPr>
              <w:t>28,959</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2026-09-07</w:t>
            </w:r>
          </w:p>
        </w:tc>
        <w:tc>
          <w:tcPr>
            <w:tcW w:type="dxa" w:w="1440"/>
            <w:shd w:fill="C6EFCE" w:val="clear"/>
          </w:tcPr>
          <w:p>
            <w:r>
              <w:rPr>
                <w:sz w:val="17"/>
              </w:rPr>
              <w:t>23,512</w:t>
            </w:r>
          </w:p>
        </w:tc>
        <w:tc>
          <w:tcPr>
            <w:tcW w:type="dxa" w:w="1440"/>
            <w:shd w:fill="C6EFCE" w:val="clear"/>
          </w:tcPr>
          <w:p>
            <w:r>
              <w:rPr>
                <w:b/>
                <w:sz w:val="17"/>
              </w:rPr>
              <w:t>26,535</w:t>
            </w:r>
          </w:p>
        </w:tc>
        <w:tc>
          <w:tcPr>
            <w:tcW w:type="dxa" w:w="1440"/>
            <w:shd w:fill="C6EFCE" w:val="clear"/>
          </w:tcPr>
          <w:p>
            <w:r>
              <w:rPr>
                <w:sz w:val="17"/>
              </w:rPr>
              <w:t>29,558</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2026-09-08</w:t>
            </w:r>
          </w:p>
        </w:tc>
        <w:tc>
          <w:tcPr>
            <w:tcW w:type="dxa" w:w="1440"/>
            <w:shd w:fill="C6EFCE" w:val="clear"/>
          </w:tcPr>
          <w:p>
            <w:r>
              <w:rPr>
                <w:sz w:val="17"/>
              </w:rPr>
              <w:t>23,686</w:t>
            </w:r>
          </w:p>
        </w:tc>
        <w:tc>
          <w:tcPr>
            <w:tcW w:type="dxa" w:w="1440"/>
            <w:shd w:fill="C6EFCE" w:val="clear"/>
          </w:tcPr>
          <w:p>
            <w:r>
              <w:rPr>
                <w:b/>
                <w:sz w:val="17"/>
              </w:rPr>
              <w:t>26,919</w:t>
            </w:r>
          </w:p>
        </w:tc>
        <w:tc>
          <w:tcPr>
            <w:tcW w:type="dxa" w:w="1440"/>
            <w:shd w:fill="C6EFCE" w:val="clear"/>
          </w:tcPr>
          <w:p>
            <w:r>
              <w:rPr>
                <w:sz w:val="17"/>
              </w:rPr>
              <w:t>30,151</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Avec une capitalisation boursière de 563,95 milliards FCFA, NSBC se positionne parmi les valeurs bancaires majeures de la BRVM, reflétant la confiance des investisseurs dans le leadership de NSIA Banque en Côte d'Ivoire. Le BPA de 1 646 FCFA indique que chaque action génère un bénéfice substantiel, justifiant un PER de 13,9x. Bien que supérieur à la moyenne historique de la BRVM (8-12x), ce niveau reste modéré pour une banque affichant une croissance à deux chiffres, les investisseurs acceptant de payer une prime pour la qualité de la gestion. Le P/B de 2,42x confirme cette prime de croissance, le marché valorisant la société à plus du double de sa valeur comptable, signe d'une rentabilité des fonds propres élevée (ROE &gt;17%). En revanche, l'EV/EBITDA de 21,4x est très exigeant, indiquant que la valeur totale de l'entreprise (capitaux propres + dettes) est élevée par rapport à sa capacité opérationnelle, un signal de prudence pour les investisseurs à la recherche de marges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performance spectaculaire de +61,76%, passant d'un plus bas de 13 810 FCFA à un plus haut de 24 020 FCFA, avant de clôturer à 22 800 FCFA, en léger repli de -0,44% sur la dernière séance. Cette tendance résolument haussière témoigne d'un fort appétit des investisseurs pour le titre. La moyenne du cours sur la période (18 702 FCFA) est inférieure à la médiane (19 150 FCFA), suggérant une distribution légèrement asymétrique avec une concentration des valeurs vers le bas de la fourchette avant l'accélération récente. L'écart-type de 3 641 FCFA (CV=19,5%) indique une dispersion modérée des prix autour de la moyenne. Le kurtosis négatif (-1,448) révèle une distribution platykurtique, avec moins de valeurs extrêmes que la normale, tandis que le skewness proche de zéro (-0,098) confirme une symétrie relative. La volatilité annualisée de 37,6% classe le titre dans la catégorie des valeurs à forte volatilité, un paramètre essentiel pour les investisseurs à horizon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22 800 FCFA se positionne au-dessus de la MM20 (23 327,25 FCFA) et de la MM50 (21 769,4 FCFA), avec une MM20 supérieure à la MM50, configuration typique d'une tendance haussière. La décision "Achat" est justifiée par cette structure positive, le prix évoluant dans un canal ascendant soutenu par les moyennes mobiles.</w:t>
      </w:r>
    </w:p>
    <w:p>
      <w:pPr>
        <w:spacing w:after="120" w:line="276" w:lineRule="auto"/>
      </w:pPr>
      <w:r>
        <w:t>**Bandes de Bollinger** : Le prix se situe à 22 800 FCFA, proche de la borne inférieure (22 589,141 FCFA) et nettement sous la borne supérieure (24 065,359 FCFA). Cette position indique une phase de consolidation après une forte hausse, la volatilité restant élevée. La décision "Neutre" reflète l'attente d'une direction claire, le marché digérant les gains récents.</w:t>
      </w:r>
    </w:p>
    <w:p>
      <w:pPr>
        <w:spacing w:after="120" w:line="276" w:lineRule="auto"/>
      </w:pPr>
      <w:r>
        <w:t>**MACD** : La valeur du MACD (280,515) est inférieure à sa ligne de signal (489,356), générant un signal de "Vente" à court terme. Cette divergence négative suggère un affaiblissement du momentum haussier, les acheteurs perdant temporairement le contrôle. Les investisseurs devront surveiller un éventuel croisement haussier pour confirmer la reprise.</w:t>
      </w:r>
    </w:p>
    <w:p>
      <w:pPr>
        <w:spacing w:after="120" w:line="276" w:lineRule="auto"/>
      </w:pPr>
      <w:r>
        <w:t>**RSI** : Avec une valeur de 16,848, le RSI est en zone de survente sévère (&lt;30), indiquant que le titre est techniquement survendu après la récente consolidation. La décision "Achat" est justifiée par ce niveau extrême, qui précède souvent un rebond technique. Les investisseurs pourraient considérer cette zone comme une opportunité d'entrée.</w:t>
      </w:r>
    </w:p>
    <w:p>
      <w:pPr>
        <w:spacing w:after="120" w:line="276" w:lineRule="auto"/>
      </w:pPr>
      <w:r>
        <w:t>**Stochastique** : Le %K et le %D sont tous deux à 0,0, un niveau extrême de survente. Cette configuration signale un épuisement des vendeurs et un potentiel de retournement haussier imminent. La décision "Achat" est cohérente avec cette lecture, le marché semblant prêt pour une correction technique à la hausse.</w:t>
      </w:r>
    </w:p>
    <w:p>
      <w:pPr>
        <w:spacing w:after="120" w:line="276" w:lineRule="auto"/>
      </w:pPr>
      <w:r>
        <w:t>**Conclusion technique** : Les indicateurs sont partagés entre un signal de vente (MACD) et des signaux d'achat (MM, RSI, Stochastique). La tendance de fond reste haussière, mais le court terme montre une consolidation nécessaire après une progression de plus de 60%. La convergence des indicateurs de survente (RSI, Stochastique) avec le support des MM50 suggère un potentiel de rebond, mais la prudence est de mise tant que le MACD ne s'est pas retourné.</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avec un Produit Net Bancaire (PNB) de 112,928 milliards FCFA, en hausse de 15,45% par rapport à 2024, et un résultat net de 40,712 milliards FCFA, en progression de 7%. La banque démontre une excellente efficacité opérationnelle avec un coefficient d'exploitation de 54,59%, nettement sous le seuil de 60% considéré comme satisfaisant. Le ROE de 17,45% et le ROA de 1,32% confirment une rentabilité supérieure aux standards du secteur bancaire régional. Cependant, le coût du risque de 7,54% (provisions sur charges financières) est un point de vigilance, reflétant une dégradation de la qualité du portefeuille de crédits, avec des provisions passant de +0,6 milliard (reprise) en 2024 à -8,5 milliards en 2025. Les dépôts clientèle (2 242,218 milliards FCFA) couvrent largement les créances clientèle (1 818,671 milliards FCFA), soit un ratio de transformation de 81%, signe d'une gestion prudente de la liquidité. Sur la base du rapport T1 2026 (PNB de 28,615 milliards FCFA, +28% et résultat net de 10,912 milliards FCFA, +53%), on estime que l'exercice 2026 pourrait dépasser les 45 milliards FCFA de résultat net, confirmant la dynamique positive. Les rapports S1 2025 (PNB +10,6%, résultat net +12,3%) et T3 2025 (PNB +7%, résultat net +6%) montrent une trajectoire de croissance régulière, renforcée par une stratégie de digitalisation et de finance verte.</w:t>
      </w:r>
    </w:p>
    <w:p>
      <w:pPr>
        <w:spacing w:after="120" w:line="276" w:lineRule="auto" w:before="240"/>
      </w:pPr>
      <w:r>
        <w:rPr>
          <w:b/>
          <w:color w:val="003366"/>
          <w:sz w:val="24"/>
        </w:rPr>
        <w:t>**PARTIE 4 : CONCLUSION D'INVESTISSEMENT**</w:t>
      </w:r>
    </w:p>
    <w:p>
      <w:pPr>
        <w:spacing w:after="120" w:line="276" w:lineRule="auto"/>
      </w:pPr>
      <w:r>
        <w:t>La valorisation de NSBC (PER 13,9x, P/B 2,42x, EV/EBITDA 21,4x) indique une prime de croissance justifiée par des fondamentaux solides, mais qui laisse peu de marge de sécurité. Le comportement du cours sur 100 jours (+61,76%) avec une volatilité élevée (37,6%) et une distribution platykurtique suggère un mouvement puissant mais potentiellement sujette à des corrections. Les signaux techniques sont mitigés à court terme (MACD vendeur) mais globalement positifs à moyen terme (MM, RSI, Stochastique en zone de survente), indiquant un possible rebond technique. Les fondamentaux restent robustes avec une croissance du PNB de 15% en 2025 et une accélération au T1 2026 (+28%), soutenue par une gestion efficace (coefficient d'exploitation &lt;55%) et une rentabilité élevée (ROE &gt;17%). Les prédictions IA sur 10 jours (23 387 à 24 993 FCFA) confirment une poursuite de la tendance haussière, en cohérence avec les signaux de survente. La convergence entre la solidité fondamentale, la dynamique de croissance et les prédictions techniques plaide pour une recommandation **ACHAT**, avec un niveau de confiance **Élevé** et un risque global **Moyen** (volatilité et coût du risque à surveiller). L'horizon d'investissement optimal est le **moyen terme (3-12 mois)**, permettant de bénéficier de la croissance des résultats 2026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1,465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+31.01%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14.04% (Moyenne) — μ=14,351 FCFA, σ=2,015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β=0.0163 (Défensif) — Cov=0.000001, Var(idx)=0.000034, ρ=0.004,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16,544</w:t>
            </w:r>
          </w:p>
        </w:tc>
        <w:tc>
          <w:tcPr>
            <w:tcW w:type="dxa" w:w="1440"/>
            <w:shd w:fill="FAFAFA" w:val="clear"/>
          </w:tcPr>
          <w:p>
            <w:r>
              <w:rPr>
                <w:b/>
                <w:sz w:val="17"/>
              </w:rPr>
              <w:t>16,831</w:t>
            </w:r>
          </w:p>
        </w:tc>
        <w:tc>
          <w:tcPr>
            <w:tcW w:type="dxa" w:w="1440"/>
            <w:shd w:fill="FAFAFA" w:val="clear"/>
          </w:tcPr>
          <w:p>
            <w:r>
              <w:rPr>
                <w:sz w:val="17"/>
              </w:rPr>
              <w:t>17,117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16,371</w:t>
            </w:r>
          </w:p>
        </w:tc>
        <w:tc>
          <w:tcPr>
            <w:tcW w:type="dxa" w:w="1440"/>
            <w:shd w:fill="FAFAFA" w:val="clear"/>
          </w:tcPr>
          <w:p>
            <w:r>
              <w:rPr>
                <w:b/>
                <w:sz w:val="17"/>
              </w:rPr>
              <w:t>16,774</w:t>
            </w:r>
          </w:p>
        </w:tc>
        <w:tc>
          <w:tcPr>
            <w:tcW w:type="dxa" w:w="1440"/>
            <w:shd w:fill="FAFAFA" w:val="clear"/>
          </w:tcPr>
          <w:p>
            <w:r>
              <w:rPr>
                <w:sz w:val="17"/>
              </w:rPr>
              <w:t>17,178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16,226</w:t>
            </w:r>
          </w:p>
        </w:tc>
        <w:tc>
          <w:tcPr>
            <w:tcW w:type="dxa" w:w="1440"/>
            <w:shd w:fill="FAFAFA" w:val="clear"/>
          </w:tcPr>
          <w:p>
            <w:r>
              <w:rPr>
                <w:b/>
                <w:sz w:val="17"/>
              </w:rPr>
              <w:t>16,719</w:t>
            </w:r>
          </w:p>
        </w:tc>
        <w:tc>
          <w:tcPr>
            <w:tcW w:type="dxa" w:w="1440"/>
            <w:shd w:fill="FAFAFA" w:val="clear"/>
          </w:tcPr>
          <w:p>
            <w:r>
              <w:rPr>
                <w:sz w:val="17"/>
              </w:rPr>
              <w:t>17,211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16,098</w:t>
            </w:r>
          </w:p>
        </w:tc>
        <w:tc>
          <w:tcPr>
            <w:tcW w:type="dxa" w:w="1440"/>
            <w:shd w:fill="FAFAFA" w:val="clear"/>
          </w:tcPr>
          <w:p>
            <w:r>
              <w:rPr>
                <w:b/>
                <w:sz w:val="17"/>
              </w:rPr>
              <w:t>16,664</w:t>
            </w:r>
          </w:p>
        </w:tc>
        <w:tc>
          <w:tcPr>
            <w:tcW w:type="dxa" w:w="1440"/>
            <w:shd w:fill="FAFAFA" w:val="clear"/>
          </w:tcPr>
          <w:p>
            <w:r>
              <w:rPr>
                <w:sz w:val="17"/>
              </w:rPr>
              <w:t>17,231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2026-09-01</w:t>
            </w:r>
          </w:p>
        </w:tc>
        <w:tc>
          <w:tcPr>
            <w:tcW w:type="dxa" w:w="1440"/>
            <w:shd w:fill="FAFAFA" w:val="clear"/>
          </w:tcPr>
          <w:p>
            <w:r>
              <w:rPr>
                <w:sz w:val="17"/>
              </w:rPr>
              <w:t>15,980</w:t>
            </w:r>
          </w:p>
        </w:tc>
        <w:tc>
          <w:tcPr>
            <w:tcW w:type="dxa" w:w="1440"/>
            <w:shd w:fill="FAFAFA" w:val="clear"/>
          </w:tcPr>
          <w:p>
            <w:r>
              <w:rPr>
                <w:b/>
                <w:sz w:val="17"/>
              </w:rPr>
              <w:t>16,611</w:t>
            </w:r>
          </w:p>
        </w:tc>
        <w:tc>
          <w:tcPr>
            <w:tcW w:type="dxa" w:w="1440"/>
            <w:shd w:fill="FAFAFA" w:val="clear"/>
          </w:tcPr>
          <w:p>
            <w:r>
              <w:rPr>
                <w:sz w:val="17"/>
              </w:rPr>
              <w:t>17,243</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15,870</w:t>
            </w:r>
          </w:p>
        </w:tc>
        <w:tc>
          <w:tcPr>
            <w:tcW w:type="dxa" w:w="1440"/>
            <w:shd w:fill="FFDCE0" w:val="clear"/>
          </w:tcPr>
          <w:p>
            <w:r>
              <w:rPr>
                <w:b/>
                <w:sz w:val="17"/>
              </w:rPr>
              <w:t>16,560</w:t>
            </w:r>
          </w:p>
        </w:tc>
        <w:tc>
          <w:tcPr>
            <w:tcW w:type="dxa" w:w="1440"/>
            <w:shd w:fill="FFDCE0" w:val="clear"/>
          </w:tcPr>
          <w:p>
            <w:r>
              <w:rPr>
                <w:sz w:val="17"/>
              </w:rPr>
              <w:t>17,249</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15,766</w:t>
            </w:r>
          </w:p>
        </w:tc>
        <w:tc>
          <w:tcPr>
            <w:tcW w:type="dxa" w:w="1440"/>
            <w:shd w:fill="FFDCE0" w:val="clear"/>
          </w:tcPr>
          <w:p>
            <w:r>
              <w:rPr>
                <w:b/>
                <w:sz w:val="17"/>
              </w:rPr>
              <w:t>16,509</w:t>
            </w:r>
          </w:p>
        </w:tc>
        <w:tc>
          <w:tcPr>
            <w:tcW w:type="dxa" w:w="1440"/>
            <w:shd w:fill="FFDCE0" w:val="clear"/>
          </w:tcPr>
          <w:p>
            <w:r>
              <w:rPr>
                <w:sz w:val="17"/>
              </w:rPr>
              <w:t>17,252</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15,668</w:t>
            </w:r>
          </w:p>
        </w:tc>
        <w:tc>
          <w:tcPr>
            <w:tcW w:type="dxa" w:w="1440"/>
            <w:shd w:fill="FFDCE0" w:val="clear"/>
          </w:tcPr>
          <w:p>
            <w:r>
              <w:rPr>
                <w:b/>
                <w:sz w:val="17"/>
              </w:rPr>
              <w:t>16,460</w:t>
            </w:r>
          </w:p>
        </w:tc>
        <w:tc>
          <w:tcPr>
            <w:tcW w:type="dxa" w:w="1440"/>
            <w:shd w:fill="FFDCE0" w:val="clear"/>
          </w:tcPr>
          <w:p>
            <w:r>
              <w:rPr>
                <w:sz w:val="17"/>
              </w:rPr>
              <w:t>17,251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15,574</w:t>
            </w:r>
          </w:p>
        </w:tc>
        <w:tc>
          <w:tcPr>
            <w:tcW w:type="dxa" w:w="1440"/>
            <w:shd w:fill="FFDCE0" w:val="clear"/>
          </w:tcPr>
          <w:p>
            <w:r>
              <w:rPr>
                <w:b/>
                <w:sz w:val="17"/>
              </w:rPr>
              <w:t>16,411</w:t>
            </w:r>
          </w:p>
        </w:tc>
        <w:tc>
          <w:tcPr>
            <w:tcW w:type="dxa" w:w="1440"/>
            <w:shd w:fill="FFDCE0" w:val="clear"/>
          </w:tcPr>
          <w:p>
            <w:r>
              <w:rPr>
                <w:sz w:val="17"/>
              </w:rPr>
              <w:t>17,248</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15,484</w:t>
            </w:r>
          </w:p>
        </w:tc>
        <w:tc>
          <w:tcPr>
            <w:tcW w:type="dxa" w:w="1440"/>
            <w:shd w:fill="FFDCE0" w:val="clear"/>
          </w:tcPr>
          <w:p>
            <w:r>
              <w:rPr>
                <w:b/>
                <w:sz w:val="17"/>
              </w:rPr>
              <w:t>16,364</w:t>
            </w:r>
          </w:p>
        </w:tc>
        <w:tc>
          <w:tcPr>
            <w:tcW w:type="dxa" w:w="1440"/>
            <w:shd w:fill="FFDCE0" w:val="clear"/>
          </w:tcPr>
          <w:p>
            <w:r>
              <w:rPr>
                <w:sz w:val="17"/>
              </w:rPr>
              <w:t>17,244</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financière professionnel et structuré pour l'action NTLC (Nestlé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en fait l'une des plus importantes capitalisations de la BRVM, reflétant son statut de valeur de premier plan. Avec un BPA de 835 FCFA, le PER de 20,2x est nettement supérieur à la moyenne historique du marché BRVM (8-12x), indiquant que les investisseurs sont prêts à payer une prime substantielle pour la croissance et la stabilité perçues de l'entreprise. Cette prime est encore plus marquée au niveau du P/B, qui s'élève à 12,61x, signifiant que le marché valorise l'actif net de la société à plus de douze fois sa valeur comptable, un niveau très exigeant. Enfin, l'EV/EBITDA de 10,0x se situe dans la fourchette haute des valeurs considérées comme raisonnables, ce qui tempère légèrement la vision d'une surévaluation extrême en intégrant la dette dans l'équation.</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avec une variation totale de +31,01%, bien que la dernière séance ait enregistré un léger repli de -0,59% à 16 900 FCFA. Le titre a évolué dans une fourchette de trading large, entre un plus bas de 11 150 FCFA et un plus haut de 17 450 FCFA, démontrant une forte dynamique haussière. La moyenne du cours sur la période (14 351 FCFA) est inférieure à la médiane (14 825 FCFA), ce qui, combiné à un mode de 12 900 FCFA, suggère que le titre a passé plus de temps à des niveaux bas avant une accélération récente. L'écart-type de 2 025 FCFA (CV de 14,1%) indique une dispersion modérée autour de la moyenne. Le kurtosis négatif (-1.624) signale une distribution platykurtique, avec peu de valeurs extrêmes, tandis que le skewness quasi nul (0.006) confirme une distribution symétrique. La volatilité annualisée de 33,9% classe le titre comme étant à risque élevé, une caractéristique importante pour un investisseur.</w:t>
      </w:r>
    </w:p>
    <w:p>
      <w:pPr>
        <w:spacing w:after="120" w:line="276" w:lineRule="auto"/>
      </w:pPr>
      <w:r>
        <w:t>### PARTIE 2 : ANALYSE TECHNIQUE DÉTAILLÉE</w:t>
      </w:r>
    </w:p>
    <w:p>
      <w:pPr>
        <w:spacing w:after="120" w:line="276" w:lineRule="auto"/>
      </w:pPr>
      <w:r>
        <w:t>**Moyennes Mobiles** : Le cours actuel de 16 900 FCFA est supérieur à la MM20 (16 883 FCFA) et à la MM50 (16 187,6 FCFA), avec une MM20 au-dessus de la MM50. Cette configuration haussière (courts termes au-dessus des longs termes) confirme la tendance positive et justifie la décision d'**Achat**.</w:t>
      </w:r>
    </w:p>
    <w:p>
      <w:pPr>
        <w:spacing w:after="120" w:line="276" w:lineRule="auto"/>
      </w:pPr>
      <w:r>
        <w:t>**Bandes de Bollinger** : Le prix se situe à 16 900 FCFA, entre la borne inférieure (16 156,6 FCFA) et la borne supérieure (17 609,3 FCFA), proche de la moyenne mobile. Cette position centrale indique une volatilité normale sans condition de surachat ou de survente, d'où une décision **Neutre**.</w:t>
      </w:r>
    </w:p>
    <w:p>
      <w:pPr>
        <w:spacing w:after="120" w:line="276" w:lineRule="auto"/>
      </w:pPr>
      <w:r>
        <w:t>**MACD** : La valeur du MACD (300,878) est inférieure à son signal (367,793), indiquant un momentum baissier à court terme. Bien que les deux lignes soient en territoire positif, ce croisement baissier suggère un essoufflement de la dynamique haussière, justifiant une décision de **Vente**.</w:t>
      </w:r>
    </w:p>
    <w:p>
      <w:pPr>
        <w:spacing w:after="120" w:line="276" w:lineRule="auto"/>
      </w:pPr>
      <w:r>
        <w:t>**RSI** : Avec une valeur de 59,943, le RSI se situe dans la zone neutre (30-70), sans signal de surachat ni de survente. Cela indique que le marché n'est pas encore survendu ni suracheté, laissant place à une évolution dans les deux sens, d'où une décision **Neutre**.</w:t>
      </w:r>
    </w:p>
    <w:p>
      <w:pPr>
        <w:spacing w:after="120" w:line="276" w:lineRule="auto"/>
      </w:pPr>
      <w:r>
        <w:t>**Stochastique** : Le %K (35,673) est inférieur au %D (46,101), indiquant une dynamique baissière récente. Le fait que %K soit sous %D et sous la zone des 50 suggère une faiblesse relative du momentum, justifiant une décision **Neutre** avec un biais négatif.</w:t>
      </w:r>
    </w:p>
    <w:p>
      <w:pPr>
        <w:spacing w:after="120" w:line="276" w:lineRule="auto"/>
      </w:pPr>
      <w:r>
        <w:t>**Conclusion technique** : Les indicateurs de tendance (MM) sont positifs, mais les indicateurs de momentum (MACD, Stochastique) montrent des signes de ralentissement. Le RSI et les Bandes de Bollinger sont neutres. L'ensemble suggère une consolidation après une forte hausse, avec un risque de correction à court terme avant une possible reprise de la tendance haussière.</w:t>
      </w:r>
    </w:p>
    <w:p>
      <w:pPr>
        <w:spacing w:after="120" w:line="276" w:lineRule="auto"/>
      </w:pPr>
      <w:r>
        <w:t>### PARTIE 3 : ANALYSE FONDAMENTALE (SECTION CRITIQUE)</w:t>
      </w:r>
    </w:p>
    <w:p>
      <w:pPr>
        <w:spacing w:after="120" w:line="276" w:lineRule="auto"/>
      </w:pPr>
      <w:r>
        <w:t>En 2025, selon les données structurées, Nestlé CI a réalisé un chiffre d'affaires de 233,26 milliards FCFA, en hausse de 5,97% par rapport à 2024, et un résultat net de 18,43 milliards FCFA (+1,5%). La rentabilité reste excellente avec un ROE de 62,3% et un ROA de 9,7%. Cependant, la structure financière montre une dépendance élevée avec un ratio d'endettement de 135,9% et une liquidité générale faible (79,9%), ce qui est un point de vigilance. Le BFR positif de 22,6 milliards FCFA et un délai de paiement clients de 74 jours indiquent un besoin de financement du cycle d'exploitation. Les rapports trimestriels de 2025 montrent une année en deux temps : un T1 difficile (CA -11%, mais RN +19%), un S1 en stagnation avec une marge nette en baisse à 8,1%, et un 9 mois avec un CA en légère hausse (+1,36%) mais un RN en recul de -21,3%. En revanche, le rapport du T1 2026 (publié en mai 2026) fait état d'une performance exceptionnelle avec un CA en hausse de +31% à 70,8 milliards FCFA et un RN en hausse de +37% à 7,5 milliards FCFA, soit une marge nette de 10,6%. Sur cette base, on estime que l'exercice 2026 pourrait voir un CA dépasser les 280 milliards FCFA et un résultat net potentiellement supérieur à 24 milliards FCFA, si cette dynamique se maintient. La recommandation fondamentale est positive, portée par la reprise de la croissance et l'amélioration de la rentabilité, mais tempérée par les risques de coûts et la structure financière.</w:t>
      </w:r>
    </w:p>
    <w:p>
      <w:pPr>
        <w:spacing w:after="120" w:line="276" w:lineRule="auto"/>
      </w:pPr>
      <w:r>
        <w:t>### PARTIE 4 : CONCLUSION D'INVESTISSEMENT</w:t>
      </w:r>
    </w:p>
    <w:p>
      <w:pPr>
        <w:spacing w:after="120" w:line="276" w:lineRule="auto"/>
      </w:pPr>
      <w:r>
        <w:t>La valorisation de NTLC est exigeante (PER 20,2x, P/B 12,6x), mais elle est justifiée par une rentabilité exceptionnelle (ROE &gt; 60%) et des perspectives de croissance renouvelées. Le comportement du cours sur 100 jours est très positif (+31%), avec une volatilité élevée (33,9%) qui implique un risque de fluctuations importantes. Les signaux techniques sont mitigés, avec une tendance de fond haussière (MM) mais un momentum à court terme qui s'essouffle (MACD, Stochastique), suggérant une possible consolidation. Les fondamentaux sont solides, avec une amélioration spectaculaire au T1 2026 qui contraste avec les difficultés de 2025, laissant entrevoir une année 2026 potentiellement record. Les prédictions IA pour les 10 prochains jours (baisse progressive de 16 831 à 16 611 FCFA) confirment le scénario de consolidation à court terme. En synthèse, la convergence entre des fondamentaux en amélioration, une tendance de fond haussière et une valorisation élevée mais justifiée, nous amène à formuler une recommandation **CONSERVER** pour les investisseurs à moyen/long terme, avec un niveau de confiance **Moyen** et un risque global **Élevé**. L'horizon d'investissement optimal est le **moyen terme (3-12 mois)**, en attendant de voir si la performance du T1 2026 se confirme sur les trimestres suivants.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4,765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B40000"/>
                <w:sz w:val="17"/>
              </w:rPr>
              <w:t>-1.70%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3.09% (Faible) — μ=2,823 FCFA, σ=87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β=0.3391 (Défensif) — Cov=0.000012, Var(idx)=0.000034,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2,791</w:t>
            </w:r>
          </w:p>
        </w:tc>
        <w:tc>
          <w:tcPr>
            <w:tcW w:type="dxa" w:w="1440"/>
            <w:shd w:fill="FAFAFA" w:val="clear"/>
          </w:tcPr>
          <w:p>
            <w:r>
              <w:rPr>
                <w:b/>
                <w:sz w:val="17"/>
              </w:rPr>
              <w:t>2,886</w:t>
            </w:r>
          </w:p>
        </w:tc>
        <w:tc>
          <w:tcPr>
            <w:tcW w:type="dxa" w:w="1440"/>
            <w:shd w:fill="FAFAFA" w:val="clear"/>
          </w:tcPr>
          <w:p>
            <w:r>
              <w:rPr>
                <w:sz w:val="17"/>
              </w:rPr>
              <w:t>2,981</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2,745</w:t>
            </w:r>
          </w:p>
        </w:tc>
        <w:tc>
          <w:tcPr>
            <w:tcW w:type="dxa" w:w="1440"/>
            <w:shd w:fill="FAFAFA" w:val="clear"/>
          </w:tcPr>
          <w:p>
            <w:r>
              <w:rPr>
                <w:b/>
                <w:sz w:val="17"/>
              </w:rPr>
              <w:t>2,879</w:t>
            </w:r>
          </w:p>
        </w:tc>
        <w:tc>
          <w:tcPr>
            <w:tcW w:type="dxa" w:w="1440"/>
            <w:shd w:fill="FAFAFA" w:val="clear"/>
          </w:tcPr>
          <w:p>
            <w:r>
              <w:rPr>
                <w:sz w:val="17"/>
              </w:rPr>
              <w:t>3,013</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2,709</w:t>
            </w:r>
          </w:p>
        </w:tc>
        <w:tc>
          <w:tcPr>
            <w:tcW w:type="dxa" w:w="1440"/>
            <w:shd w:fill="FAFAFA" w:val="clear"/>
          </w:tcPr>
          <w:p>
            <w:r>
              <w:rPr>
                <w:b/>
                <w:sz w:val="17"/>
              </w:rPr>
              <w:t>2,873</w:t>
            </w:r>
          </w:p>
        </w:tc>
        <w:tc>
          <w:tcPr>
            <w:tcW w:type="dxa" w:w="1440"/>
            <w:shd w:fill="FAFAFA" w:val="clear"/>
          </w:tcPr>
          <w:p>
            <w:r>
              <w:rPr>
                <w:sz w:val="17"/>
              </w:rPr>
              <w:t>3,037</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2,678</w:t>
            </w:r>
          </w:p>
        </w:tc>
        <w:tc>
          <w:tcPr>
            <w:tcW w:type="dxa" w:w="1440"/>
            <w:shd w:fill="FAFAFA" w:val="clear"/>
          </w:tcPr>
          <w:p>
            <w:r>
              <w:rPr>
                <w:b/>
                <w:sz w:val="17"/>
              </w:rPr>
              <w:t>2,867</w:t>
            </w:r>
          </w:p>
        </w:tc>
        <w:tc>
          <w:tcPr>
            <w:tcW w:type="dxa" w:w="1440"/>
            <w:shd w:fill="FAFAFA" w:val="clear"/>
          </w:tcPr>
          <w:p>
            <w:r>
              <w:rPr>
                <w:sz w:val="17"/>
              </w:rPr>
              <w:t>3,056</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2026-09-01</w:t>
            </w:r>
          </w:p>
        </w:tc>
        <w:tc>
          <w:tcPr>
            <w:tcW w:type="dxa" w:w="1440"/>
            <w:shd w:fill="FAFAFA" w:val="clear"/>
          </w:tcPr>
          <w:p>
            <w:r>
              <w:rPr>
                <w:sz w:val="17"/>
              </w:rPr>
              <w:t>2,651</w:t>
            </w:r>
          </w:p>
        </w:tc>
        <w:tc>
          <w:tcPr>
            <w:tcW w:type="dxa" w:w="1440"/>
            <w:shd w:fill="FAFAFA" w:val="clear"/>
          </w:tcPr>
          <w:p>
            <w:r>
              <w:rPr>
                <w:b/>
                <w:sz w:val="17"/>
              </w:rPr>
              <w:t>2,861</w:t>
            </w:r>
          </w:p>
        </w:tc>
        <w:tc>
          <w:tcPr>
            <w:tcW w:type="dxa" w:w="1440"/>
            <w:shd w:fill="FAFAFA" w:val="clear"/>
          </w:tcPr>
          <w:p>
            <w:r>
              <w:rPr>
                <w:sz w:val="17"/>
              </w:rPr>
              <w:t>3,072</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2026-09-02</w:t>
            </w:r>
          </w:p>
        </w:tc>
        <w:tc>
          <w:tcPr>
            <w:tcW w:type="dxa" w:w="1440"/>
            <w:shd w:fill="FAFAFA" w:val="clear"/>
          </w:tcPr>
          <w:p>
            <w:r>
              <w:rPr>
                <w:sz w:val="17"/>
              </w:rPr>
              <w:t>2,626</w:t>
            </w:r>
          </w:p>
        </w:tc>
        <w:tc>
          <w:tcPr>
            <w:tcW w:type="dxa" w:w="1440"/>
            <w:shd w:fill="FAFAFA" w:val="clear"/>
          </w:tcPr>
          <w:p>
            <w:r>
              <w:rPr>
                <w:b/>
                <w:sz w:val="17"/>
              </w:rPr>
              <w:t>2,856</w:t>
            </w:r>
          </w:p>
        </w:tc>
        <w:tc>
          <w:tcPr>
            <w:tcW w:type="dxa" w:w="1440"/>
            <w:shd w:fill="FAFAFA" w:val="clear"/>
          </w:tcPr>
          <w:p>
            <w:r>
              <w:rPr>
                <w:sz w:val="17"/>
              </w:rPr>
              <w:t>3,086</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2026-09-03</w:t>
            </w:r>
          </w:p>
        </w:tc>
        <w:tc>
          <w:tcPr>
            <w:tcW w:type="dxa" w:w="1440"/>
            <w:shd w:fill="FAFAFA" w:val="clear"/>
          </w:tcPr>
          <w:p>
            <w:r>
              <w:rPr>
                <w:sz w:val="17"/>
              </w:rPr>
              <w:t>2,602</w:t>
            </w:r>
          </w:p>
        </w:tc>
        <w:tc>
          <w:tcPr>
            <w:tcW w:type="dxa" w:w="1440"/>
            <w:shd w:fill="FAFAFA" w:val="clear"/>
          </w:tcPr>
          <w:p>
            <w:r>
              <w:rPr>
                <w:b/>
                <w:sz w:val="17"/>
              </w:rPr>
              <w:t>2,850</w:t>
            </w:r>
          </w:p>
        </w:tc>
        <w:tc>
          <w:tcPr>
            <w:tcW w:type="dxa" w:w="1440"/>
            <w:shd w:fill="FAFAFA" w:val="clear"/>
          </w:tcPr>
          <w:p>
            <w:r>
              <w:rPr>
                <w:sz w:val="17"/>
              </w:rPr>
              <w:t>3,098</w:t>
            </w:r>
          </w:p>
        </w:tc>
        <w:tc>
          <w:tcPr>
            <w:tcW w:type="dxa" w:w="1440"/>
            <w:shd w:fill="FAFAFA" w:val="clear"/>
          </w:tcPr>
          <w:p>
            <w:r>
              <w:rPr>
                <w:b/>
                <w:color w:val="C00000"/>
                <w:sz w:val="17"/>
              </w:rPr>
              <w:t>-1.4%</w:t>
            </w:r>
          </w:p>
        </w:tc>
      </w:tr>
      <w:tr>
        <w:tc>
          <w:tcPr>
            <w:tcW w:type="dxa" w:w="1440"/>
            <w:shd w:fill="FAFAFA" w:val="clear"/>
          </w:tcPr>
          <w:p>
            <w:r>
              <w:rPr>
                <w:sz w:val="17"/>
              </w:rPr>
              <w:t>J+8  Moyenne</w:t>
            </w:r>
          </w:p>
        </w:tc>
        <w:tc>
          <w:tcPr>
            <w:tcW w:type="dxa" w:w="1440"/>
            <w:shd w:fill="FAFAFA" w:val="clear"/>
          </w:tcPr>
          <w:p>
            <w:r>
              <w:rPr>
                <w:sz w:val="17"/>
              </w:rPr>
              <w:t>2026-09-04</w:t>
            </w:r>
          </w:p>
        </w:tc>
        <w:tc>
          <w:tcPr>
            <w:tcW w:type="dxa" w:w="1440"/>
            <w:shd w:fill="FAFAFA" w:val="clear"/>
          </w:tcPr>
          <w:p>
            <w:r>
              <w:rPr>
                <w:sz w:val="17"/>
              </w:rPr>
              <w:t>2,580</w:t>
            </w:r>
          </w:p>
        </w:tc>
        <w:tc>
          <w:tcPr>
            <w:tcW w:type="dxa" w:w="1440"/>
            <w:shd w:fill="FAFAFA" w:val="clear"/>
          </w:tcPr>
          <w:p>
            <w:r>
              <w:rPr>
                <w:b/>
                <w:sz w:val="17"/>
              </w:rPr>
              <w:t>2,845</w:t>
            </w:r>
          </w:p>
        </w:tc>
        <w:tc>
          <w:tcPr>
            <w:tcW w:type="dxa" w:w="1440"/>
            <w:shd w:fill="FAFAFA" w:val="clear"/>
          </w:tcPr>
          <w:p>
            <w:r>
              <w:rPr>
                <w:sz w:val="17"/>
              </w:rPr>
              <w:t>3,110</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2026-09-07</w:t>
            </w:r>
          </w:p>
        </w:tc>
        <w:tc>
          <w:tcPr>
            <w:tcW w:type="dxa" w:w="1440"/>
            <w:shd w:fill="FAFAFA" w:val="clear"/>
          </w:tcPr>
          <w:p>
            <w:r>
              <w:rPr>
                <w:sz w:val="17"/>
              </w:rPr>
              <w:t>2,559</w:t>
            </w:r>
          </w:p>
        </w:tc>
        <w:tc>
          <w:tcPr>
            <w:tcW w:type="dxa" w:w="1440"/>
            <w:shd w:fill="FAFAFA" w:val="clear"/>
          </w:tcPr>
          <w:p>
            <w:r>
              <w:rPr>
                <w:b/>
                <w:sz w:val="17"/>
              </w:rPr>
              <w:t>2,839</w:t>
            </w:r>
          </w:p>
        </w:tc>
        <w:tc>
          <w:tcPr>
            <w:tcW w:type="dxa" w:w="1440"/>
            <w:shd w:fill="FAFAFA" w:val="clear"/>
          </w:tcPr>
          <w:p>
            <w:r>
              <w:rPr>
                <w:sz w:val="17"/>
              </w:rPr>
              <w:t>3,120</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2026-09-08</w:t>
            </w:r>
          </w:p>
        </w:tc>
        <w:tc>
          <w:tcPr>
            <w:tcW w:type="dxa" w:w="1440"/>
            <w:shd w:fill="FAFAFA" w:val="clear"/>
          </w:tcPr>
          <w:p>
            <w:r>
              <w:rPr>
                <w:sz w:val="17"/>
              </w:rPr>
              <w:t>2,539</w:t>
            </w:r>
          </w:p>
        </w:tc>
        <w:tc>
          <w:tcPr>
            <w:tcW w:type="dxa" w:w="1440"/>
            <w:shd w:fill="FAFAFA" w:val="clear"/>
          </w:tcPr>
          <w:p>
            <w:r>
              <w:rPr>
                <w:b/>
                <w:sz w:val="17"/>
              </w:rPr>
              <w:t>2,834</w:t>
            </w:r>
          </w:p>
        </w:tc>
        <w:tc>
          <w:tcPr>
            <w:tcW w:type="dxa" w:w="1440"/>
            <w:shd w:fill="FAFAFA" w:val="clear"/>
          </w:tcPr>
          <w:p>
            <w:r>
              <w:rPr>
                <w:sz w:val="17"/>
              </w:rPr>
              <w:t>3,129</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25 août 2026</w:t>
        <w:br/>
        <w:t>**Cours de référence :** 2 890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196,52 milliards FCFA positionne ONTBF comme une valeur moyenne sur la BRVM, avec un poids significatif dans l'indice composite. Le BPA de 234 FCFA indique que chaque action génère un bénéfice confortable, justifiant un PER de 12,4x, légèrement au-dessus de la moyenne historique de la place (~8-12x), ce qui traduit une valorisation modérée sans être excessive. Le P/B de 3,42x montre que le marché valorise l'actif net comptable avec une prime substantielle, reflétant les attentes de croissance et la qualité des actifs télécoms. Enfin, un EV/EBITDA de 5,2x est particulièrement attractif, indiquant que la valeur totale de l'entreprise (dette incluse) reste raisonnable par rapport à sa capacité opérationnelle de génération de cash. L'ensemble de ces ratios suggère un titre correctement valorisé, avec une décote relative sur le EV/EBITDA qui pourrait intéresser les investisseurs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-1,70%, avec une légère reprise de +0,17% lors de la dernière séance, indiquant une tendance globalement stable mais légèrement baissière. Le cours a évolué dans un range de 2 610 à 3 070 FCFA, montrant une amplitude de 460 FCFA, ce qui témoigne d'une certaine nervosité sur la période. La moyenne (2 823 FCFA) et la médiane (2 802 FCFA) sont très proches, avec un mode à 2 800 FCFA, ce qui indique une distribution quasi symétrique des prix, confirmée par un skewness de 0,213. L'écart-type de 88 FCFA (CV=3,1%) révèle une dispersion très faible, signe d'un cours très stable. Le kurtosis de -0,309 (mésokurtique) indique l'absence de queues de distribution épaisses, donc un risque de mouvements extrêmes limité. La volatilité annualisée de 30,9% classe le titre dans la catégorie "élevée" (&gt;30%), ce qui est paradoxal avec la stabilité récente mais reflète les épisodes de tension passés.</w:t>
      </w:r>
    </w:p>
    <w:p>
      <w:pPr>
        <w:spacing w:after="120" w:line="276" w:lineRule="auto"/>
      </w:pPr>
      <w:r>
        <w:t>---</w:t>
      </w:r>
    </w:p>
    <w:p>
      <w:pPr>
        <w:spacing w:after="120" w:line="276" w:lineRule="auto"/>
      </w:pPr>
      <w:r>
        <w:t>### PARTIE 2 : ANALYSE TECHNIQUE DÉTAILLÉE</w:t>
      </w:r>
    </w:p>
    <w:p>
      <w:pPr>
        <w:spacing w:after="120" w:line="276" w:lineRule="auto"/>
      </w:pPr>
      <w:r>
        <w:t>**Moyennes Mobiles :** La MM20 (2 893,25 FCFA) est légèrement au-dessus du cours actuel (2 890 FCFA), tandis que la MM50 (2 823 FCFA) est en dessous. Cette configuration, avec un cours qui évolue entre les deux moyennes, suggère une phase de consolidation. La décision "Achat" est justifiée par le fait que le cours reste au-dessus de la MM50, indiquant une tendance de fond positive à moyen terme, malgré le léger repli à court terme.</w:t>
      </w:r>
    </w:p>
    <w:p>
      <w:pPr>
        <w:spacing w:after="120" w:line="276" w:lineRule="auto"/>
      </w:pPr>
      <w:r>
        <w:t>**Bandes de Bollinger :** Le cours (2 890 FCFA) se situe presque à mi-chemin entre la borne inférieure (2 759,19 FCFA) et la borne supérieure (3 027,31 FCFA). La largeur des bandes reflète une volatilité modérée. La décision "Neutre" est cohérente : le titre n'est ni suracheté ni survendu, évoluant dans une zone de confort sans signal directionnel fort.</w:t>
      </w:r>
    </w:p>
    <w:p>
      <w:pPr>
        <w:spacing w:after="120" w:line="276" w:lineRule="auto"/>
      </w:pPr>
      <w:r>
        <w:t>**MACD :** La valeur du MACD (23,05) est inférieure à son signal (25,35), indiquant un momentum baissier à court terme. La décision "Vente" est justifiée par cette divergence négative, bien que les valeurs restent positives, ce qui nuance le signal. Cela suggère un essoufflement de la dynamique haussière sans retournement majeur.</w:t>
      </w:r>
    </w:p>
    <w:p>
      <w:pPr>
        <w:spacing w:after="120" w:line="276" w:lineRule="auto"/>
      </w:pPr>
      <w:r>
        <w:t>**RSI :** À 39,80, le RSI se situe dans la zone neutre (30-70), mais proche de la zone de survente. Cela indique que le titre n'est pas encore survendu mais que la pression vendeuse est présente. La décision "Neutre" est appropriée, avec une vigilance sur une possible entrée en zone de survente qui pourrait offrir un point d'entrée.</w:t>
      </w:r>
    </w:p>
    <w:p>
      <w:pPr>
        <w:spacing w:after="120" w:line="276" w:lineRule="auto"/>
      </w:pPr>
      <w:r>
        <w:t>**Stochastique :** Le %K (48,65) est inférieur au %D (55,06), montrant une dynamique baissière. La décision "Neutre" s'explique par le fait que les valeurs restent dans la zone médiane, sans croisement décisif. Un croisement haussier du %K au-dessus du %D serait nécessaire pour signaler un retournement.</w:t>
      </w:r>
    </w:p>
    <w:p>
      <w:pPr>
        <w:spacing w:after="120" w:line="276" w:lineRule="auto"/>
      </w:pPr>
      <w:r>
        <w:t>**Conclusion technique :** Les indicateurs sont globalement mitigés, avec une légère prédominance baissière à court terme (MACD, Stochastique) mais des signaux de soutien à moyen terme (MM50). Le titre semble en phase de consolidation, sans direction claire. Un catalyseur (résultats, dividende) sera nécessaire pour sortir de cette zone d'indécision.</w:t>
      </w:r>
    </w:p>
    <w:p>
      <w:pPr>
        <w:spacing w:after="120" w:line="276" w:lineRule="auto"/>
      </w:pPr>
      <w:r>
        <w:t>---</w:t>
      </w:r>
    </w:p>
    <w:p>
      <w:pPr>
        <w:spacing w:after="120" w:line="276" w:lineRule="auto"/>
      </w:pPr>
      <w:r>
        <w:t>### PARTIE 3 : ANALYSE FONDAMENTALE (SECTION CRITIQUE)</w:t>
      </w:r>
    </w:p>
    <w:p>
      <w:pPr>
        <w:spacing w:after="120" w:line="276" w:lineRule="auto"/>
      </w:pPr>
      <w:r>
        <w:t>Sur la base des états financiers structurés de l'exercice 2025, ONTBF affiche un Produit Net Bancaire/Chiffre d'affaires de 146,18 milliards FCFA, en croissance de 3,1%, mais un résultat net de 15,89 milliards FCFA, en repli de 26% par rapport à 2024. Le ROE s'établit à un niveau excellent de 27,6%, tandis que le ROA est de 4,9%, montrant une utilisation efficace des capitaux propres mais une rentabilité des actifs plus modérée. Le coefficient d'exploitation de 67,1% est élevé, indiquant une pression sur l'efficacité opérationnelle. Le coût du risque de 3,6% est significatif, reflétant les provisions liées aux créances douteuses. Les dépôts clientèle (42,69 Mds) sont inférieurs aux créances clients (12,33 Mds), montrant une transformation limitée. Les rapports narratifs de 2025 (publiés en avril 2026) confirment cette tendance : la baisse du résultat net est due aux charges exceptionnelles (indemnités, sanctions ARCEP) et à la hausse des coûts énergétiques. Sur la base du rapport T1 2026 (CA de 37,1 Mds, +2,7%, résultat net de 3,58 Mds, -8%), on estime que l'exercice 2026 pourrait voir une stabilisation de la rentabilité, avec un résultat net annuel autour de 15-16 Mds FCFA si la maîtrise des coûts s'améliore. La solidité financière reste néanmoins robuste avec une CAF de 46,95 Mds FCFA, permettant de couvrir les investissements (couverture à 103,8%) et de maintenir un dividende élevé (166,08 FCFA/action proposé). Les risques sécuritaires et réglementaires demeurent les principaux facteurs de vigilance.</w:t>
      </w:r>
    </w:p>
    <w:p>
      <w:pPr>
        <w:spacing w:after="120" w:line="276" w:lineRule="auto"/>
      </w:pPr>
      <w:r>
        <w:t>---</w:t>
      </w:r>
    </w:p>
    <w:p>
      <w:pPr>
        <w:spacing w:after="120" w:line="276" w:lineRule="auto"/>
      </w:pPr>
      <w:r>
        <w:t>### PARTIE 4 : CONCLUSION D'INVESTISSEMENT</w:t>
      </w:r>
    </w:p>
    <w:p>
      <w:pPr>
        <w:spacing w:after="120" w:line="276" w:lineRule="auto"/>
      </w:pPr>
      <w:r>
        <w:t>La valorisation d'ONTBF est modérée (PER 12,4x, EV/EBITDA 5,2x), avec une prime sur le P/B justifiée par la qualité des actifs. Le comportement du cours sur 100 jours montre une stabilité remarquable (CV 3,1%) avec une volatilité annualisée élevée (30,9%), suggérant un potentiel de mouvements brusques. Les signaux techniques sont mitigés, avec une légère pression baissière à court terme mais un soutien à moyen terme, indiquant une phase de consolidation. Les fondamentaux sont solides mais en dégradation (baisse du résultat net de 26% en 2025), avec une rentabilité toujours excellente (ROE 27,6%) et une génération de cash importante. Les prédictions IA (2 886 à 2 861 FCFA sur 10 jours) confirment une légère tendance baissière à court terme, en ligne avec les signaux techniques. La convergence des signaux (valorisation correcte, technique neutre-baissier, fondamentaux solides mais en repli, prédictions baissières) conduit à une recommandation **CONSERVER**. Le niveau de confiance est **Moyen**, le risque global est **Élevé** (contexte sécuritaire, pression réglementaire). L'horizon d'investissement optimal est le **moyen terme (3-12 mois)**, en attendant une stabilisation de la rentabilité et une clarification des perspectives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3193.89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2,363 titres</w:t>
            </w:r>
          </w:p>
        </w:tc>
        <w:tc>
          <w:tcPr>
            <w:tcW w:type="dxa" w:w="2268"/>
            <w:shd w:fill="FFF2CC" w:val="clear"/>
          </w:tcPr>
          <w:p>
            <w:r>
              <w:rPr>
                <w:b/>
                <w:color w:val="503200"/>
                <w:sz w:val="16"/>
              </w:rPr>
              <w:t xml:space="preserve">Cours actuel : </w:t>
            </w:r>
            <w:r>
              <w:rPr>
                <w:color w:val="000000"/>
                <w:sz w:val="17"/>
              </w:rPr>
              <w:t>21,200 FCFA</w:t>
            </w:r>
          </w:p>
          <w:p>
            <w:r>
              <w:rPr>
                <w:b/>
                <w:color w:val="503200"/>
                <w:sz w:val="16"/>
              </w:rPr>
              <w:t xml:space="preserve">Var. 100 jours : </w:t>
            </w:r>
            <w:r>
              <w:rPr>
                <w:b/>
                <w:color w:val="007800"/>
                <w:sz w:val="17"/>
              </w:rPr>
              <w:t>+44.71%</w:t>
            </w:r>
          </w:p>
          <w:p>
            <w:r>
              <w:rPr>
                <w:b/>
                <w:color w:val="503200"/>
                <w:sz w:val="16"/>
              </w:rPr>
              <w:t xml:space="preserve">Plus haut 100j : </w:t>
            </w:r>
            <w:r>
              <w:rPr>
                <w:color w:val="000000"/>
                <w:sz w:val="17"/>
              </w:rPr>
              <w:t>21,200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μ=16,141 FCFA, σ=1,252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β=1.2531 (Agressif) — Cov=0.000043, Var(idx)=0.000034, ρ=0.400,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19,624</w:t>
            </w:r>
          </w:p>
        </w:tc>
        <w:tc>
          <w:tcPr>
            <w:tcW w:type="dxa" w:w="1440"/>
            <w:shd w:fill="FFDCE0" w:val="clear"/>
          </w:tcPr>
          <w:p>
            <w:r>
              <w:rPr>
                <w:b/>
                <w:sz w:val="17"/>
              </w:rPr>
              <w:t>20,187</w:t>
            </w:r>
          </w:p>
        </w:tc>
        <w:tc>
          <w:tcPr>
            <w:tcW w:type="dxa" w:w="1440"/>
            <w:shd w:fill="FFDCE0" w:val="clear"/>
          </w:tcPr>
          <w:p>
            <w:r>
              <w:rPr>
                <w:sz w:val="17"/>
              </w:rPr>
              <w:t>20,750</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19,367</w:t>
            </w:r>
          </w:p>
        </w:tc>
        <w:tc>
          <w:tcPr>
            <w:tcW w:type="dxa" w:w="1440"/>
            <w:shd w:fill="FFDCE0" w:val="clear"/>
          </w:tcPr>
          <w:p>
            <w:r>
              <w:rPr>
                <w:b/>
                <w:sz w:val="17"/>
              </w:rPr>
              <w:t>20,162</w:t>
            </w:r>
          </w:p>
        </w:tc>
        <w:tc>
          <w:tcPr>
            <w:tcW w:type="dxa" w:w="1440"/>
            <w:shd w:fill="FFDCE0" w:val="clear"/>
          </w:tcPr>
          <w:p>
            <w:r>
              <w:rPr>
                <w:sz w:val="17"/>
              </w:rPr>
              <w:t>20,957</w:t>
            </w:r>
          </w:p>
        </w:tc>
        <w:tc>
          <w:tcPr>
            <w:tcW w:type="dxa" w:w="1440"/>
            <w:shd w:fill="FFDCE0" w:val="clear"/>
          </w:tcPr>
          <w:p>
            <w:r>
              <w:rPr>
                <w:b/>
                <w:color w:val="C00000"/>
                <w:sz w:val="17"/>
              </w:rPr>
              <w:t>-4.9%</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19,081</w:t>
            </w:r>
          </w:p>
        </w:tc>
        <w:tc>
          <w:tcPr>
            <w:tcW w:type="dxa" w:w="1440"/>
            <w:shd w:fill="FFDCE0" w:val="clear"/>
          </w:tcPr>
          <w:p>
            <w:r>
              <w:rPr>
                <w:b/>
                <w:sz w:val="17"/>
              </w:rPr>
              <w:t>20,050</w:t>
            </w:r>
          </w:p>
        </w:tc>
        <w:tc>
          <w:tcPr>
            <w:tcW w:type="dxa" w:w="1440"/>
            <w:shd w:fill="FFDCE0" w:val="clear"/>
          </w:tcPr>
          <w:p>
            <w:r>
              <w:rPr>
                <w:sz w:val="17"/>
              </w:rPr>
              <w:t>21,018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18,816</w:t>
            </w:r>
          </w:p>
        </w:tc>
        <w:tc>
          <w:tcPr>
            <w:tcW w:type="dxa" w:w="1440"/>
            <w:shd w:fill="FFDCE0" w:val="clear"/>
          </w:tcPr>
          <w:p>
            <w:r>
              <w:rPr>
                <w:b/>
                <w:sz w:val="17"/>
              </w:rPr>
              <w:t>19,928</w:t>
            </w:r>
          </w:p>
        </w:tc>
        <w:tc>
          <w:tcPr>
            <w:tcW w:type="dxa" w:w="1440"/>
            <w:shd w:fill="FFDCE0" w:val="clear"/>
          </w:tcPr>
          <w:p>
            <w:r>
              <w:rPr>
                <w:sz w:val="17"/>
              </w:rPr>
              <w:t>21,040</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18,574</w:t>
            </w:r>
          </w:p>
        </w:tc>
        <w:tc>
          <w:tcPr>
            <w:tcW w:type="dxa" w:w="1440"/>
            <w:shd w:fill="FFDCE0" w:val="clear"/>
          </w:tcPr>
          <w:p>
            <w:r>
              <w:rPr>
                <w:b/>
                <w:sz w:val="17"/>
              </w:rPr>
              <w:t>19,810</w:t>
            </w:r>
          </w:p>
        </w:tc>
        <w:tc>
          <w:tcPr>
            <w:tcW w:type="dxa" w:w="1440"/>
            <w:shd w:fill="FFDCE0" w:val="clear"/>
          </w:tcPr>
          <w:p>
            <w:r>
              <w:rPr>
                <w:sz w:val="17"/>
              </w:rPr>
              <w:t>21,045</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18,350</w:t>
            </w:r>
          </w:p>
        </w:tc>
        <w:tc>
          <w:tcPr>
            <w:tcW w:type="dxa" w:w="1440"/>
            <w:shd w:fill="FFDCE0" w:val="clear"/>
          </w:tcPr>
          <w:p>
            <w:r>
              <w:rPr>
                <w:b/>
                <w:sz w:val="17"/>
              </w:rPr>
              <w:t>19,695</w:t>
            </w:r>
          </w:p>
        </w:tc>
        <w:tc>
          <w:tcPr>
            <w:tcW w:type="dxa" w:w="1440"/>
            <w:shd w:fill="FFDCE0" w:val="clear"/>
          </w:tcPr>
          <w:p>
            <w:r>
              <w:rPr>
                <w:sz w:val="17"/>
              </w:rPr>
              <w:t>21,041</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18,140</w:t>
            </w:r>
          </w:p>
        </w:tc>
        <w:tc>
          <w:tcPr>
            <w:tcW w:type="dxa" w:w="1440"/>
            <w:shd w:fill="FFDCE0" w:val="clear"/>
          </w:tcPr>
          <w:p>
            <w:r>
              <w:rPr>
                <w:b/>
                <w:sz w:val="17"/>
              </w:rPr>
              <w:t>19,585</w:t>
            </w:r>
          </w:p>
        </w:tc>
        <w:tc>
          <w:tcPr>
            <w:tcW w:type="dxa" w:w="1440"/>
            <w:shd w:fill="FFDCE0" w:val="clear"/>
          </w:tcPr>
          <w:p>
            <w:r>
              <w:rPr>
                <w:sz w:val="17"/>
              </w:rPr>
              <w:t>21,030</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17,942</w:t>
            </w:r>
          </w:p>
        </w:tc>
        <w:tc>
          <w:tcPr>
            <w:tcW w:type="dxa" w:w="1440"/>
            <w:shd w:fill="FFDCE0" w:val="clear"/>
          </w:tcPr>
          <w:p>
            <w:r>
              <w:rPr>
                <w:b/>
                <w:sz w:val="17"/>
              </w:rPr>
              <w:t>19,479</w:t>
            </w:r>
          </w:p>
        </w:tc>
        <w:tc>
          <w:tcPr>
            <w:tcW w:type="dxa" w:w="1440"/>
            <w:shd w:fill="FFDCE0" w:val="clear"/>
          </w:tcPr>
          <w:p>
            <w:r>
              <w:rPr>
                <w:sz w:val="17"/>
              </w:rPr>
              <w:t>21,015</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17,755</w:t>
            </w:r>
          </w:p>
        </w:tc>
        <w:tc>
          <w:tcPr>
            <w:tcW w:type="dxa" w:w="1440"/>
            <w:shd w:fill="FFDCE0" w:val="clear"/>
          </w:tcPr>
          <w:p>
            <w:r>
              <w:rPr>
                <w:b/>
                <w:sz w:val="17"/>
              </w:rPr>
              <w:t>19,376</w:t>
            </w:r>
          </w:p>
        </w:tc>
        <w:tc>
          <w:tcPr>
            <w:tcW w:type="dxa" w:w="1440"/>
            <w:shd w:fill="FFDCE0" w:val="clear"/>
          </w:tcPr>
          <w:p>
            <w:r>
              <w:rPr>
                <w:sz w:val="17"/>
              </w:rPr>
              <w:t>20,997</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17,576</w:t>
            </w:r>
          </w:p>
        </w:tc>
        <w:tc>
          <w:tcPr>
            <w:tcW w:type="dxa" w:w="1440"/>
            <w:shd w:fill="FFDCE0" w:val="clear"/>
          </w:tcPr>
          <w:p>
            <w:r>
              <w:rPr>
                <w:b/>
                <w:sz w:val="17"/>
              </w:rPr>
              <w:t>19,276</w:t>
            </w:r>
          </w:p>
        </w:tc>
        <w:tc>
          <w:tcPr>
            <w:tcW w:type="dxa" w:w="1440"/>
            <w:shd w:fill="FFDCE0" w:val="clear"/>
          </w:tcPr>
          <w:p>
            <w:r>
              <w:rPr>
                <w:sz w:val="17"/>
              </w:rPr>
              <w:t>20,976</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3 193,89 milliards FCFA, représentant une part significative de la capitalisation totale de la BRVM et confirmant le statut de valeur vedette du marché régional. Avec un BPA de 1 114 FCFA, chaque action génère un bénéfice substantiel, mais le PER de 19,0x indique que les investisseurs paient une prime notable par rapport à la moyenne historique de la BRVM (8-12x), traduisant des anticipations de croissance élevées. Le P/B de 4,51x confirme cette prime, le marché valorisant l'actif net comptable plus de quatre fois au-dessus de sa valeur comptable, signe d'une confiance forte dans la création de valeur future. L'EV/EBITDA de 7,6x reste dans une zone raisonnable (5-10x), suggérant que la valorisation opérationnelle n'est pas excessive malgré les autres ratios élevés. Globalement, la valorisation reflète un consensus haussier sur les perspectives de croissance du groupe, avec une prime qui pourrait se justifier par la solidité des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spectaculaire de +44,71%, avec une dernière séance en hausse de +0,88% à 21 200 FCFA, atteignant son plus haut historique sur la période. Le cours a évolué dans une fourchette large de 14 650 à 21 200 FCFA, démontrant une dynamique haussière puissante et soutenue. La moyenne de 16 141 FCFA, proche de la médiane de 16 000 FCFA, indique une distribution relativement symétrique des cours, mais le skewness positif de 1,829 révèle que la majorité des séances se sont situées sous la moyenne, avec des poussées haussières ponctuelles. L'écart-type de 1 258 FCFA (CV=7,8%) témoigne d'une dispersion modérée, tandis que le kurtosis élevé de 4,396 signale un risque de mouvements extrêmes, confirmé par la récente accélération. La volatilité annualisée de 29,0% classe le titre dans la catégorie élevée (&gt;30% étant très élevé), reflétant un profil de risque soutenu mais encore gérable pour les investisseurs tolérants.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21 200 FCFA se situe nettement au-dessus de la MM20 (17 954,5 FCFA) et de la MM50 (16 970,7 FCFA), avec un écart de +18% et +25% respectivement. Cette configuration haussière classique, où le prix évolue au-dessus des deux moyennes, confirme une tendance de fond positive. La décision d'ACHAT est justifiée par la vigueur du mouvement, bien que l'écart important entre le cours et les moyennes suggère une possible consolidation à court terme.</w:t>
      </w:r>
    </w:p>
    <w:p>
      <w:pPr>
        <w:spacing w:after="120" w:line="276" w:lineRule="auto"/>
      </w:pPr>
      <w:r>
        <w:t>**Bandes de Bollinger** : Le cours à 21 200 FCFA a franchi la borne supérieure (20 889,4 FCFA), signalant une extension excessive du mouvement haussier. Cette sortie de bande indique une volatilité accrue et un marché potentiellement suracheté à très court terme. La décision de VENTE reflète la probabilité d'un repli technique vers la zone des 20 000-20 500 FCFA, sans remettre en cause la tendance de fond.</w:t>
      </w:r>
    </w:p>
    <w:p>
      <w:pPr>
        <w:spacing w:after="120" w:line="276" w:lineRule="auto"/>
      </w:pPr>
      <w:r>
        <w:t>**MACD** : La valeur du MACD (1 053,2) nettement supérieure à son signal (657,3) confirme un momentum haussier robuste. La divergence positive de près de 400 points indique que la dynamique d'achat reste dominante. La décision d'ACHAT est cohérente avec la poursuite de la tendance, même si l'ampleur de l'écart pourrait précéder un ralentissement progressif.</w:t>
      </w:r>
    </w:p>
    <w:p>
      <w:pPr>
        <w:spacing w:after="120" w:line="276" w:lineRule="auto"/>
      </w:pPr>
      <w:r>
        <w:t>**RSI** : À 96,2, le RSI se trouve en zone de surachat extrême (&gt;70), signalant une pression d'achat exceptionnelle mais insoutenable à court terme. Cette lecture justifie la décision de VENTE, car historiquement, des niveaux aussi élevés précèdent souvent des corrections techniques, même dans les tendances haussières les plus fortes.</w:t>
      </w:r>
    </w:p>
    <w:p>
      <w:pPr>
        <w:spacing w:after="120" w:line="276" w:lineRule="auto"/>
      </w:pPr>
      <w:r>
        <w:t>**Stochastique** : Le %K et le %D à 100,0 indiquent une condition de surachat maximal. Cette configuration extrême, où les deux lignes sont bloquées au plafond, suggère un épuisement probable du mouvement haussier à très court terme. La décision de VENTE est justifiée par la probabilité élevée d'un croisement baissier imminent.</w:t>
      </w:r>
    </w:p>
    <w:p>
      <w:pPr>
        <w:spacing w:after="120" w:line="276" w:lineRule="auto"/>
      </w:pPr>
      <w:r>
        <w:t>**Conclusion technique** : Les indicateurs de tendance (MM, MACD) restent positifs, mais les oscillateurs de momentum (RSI, Stochastique, Bollinger) signalent tous un surachat extrême. Cette divergence classique en fin de mouvement haussier suggère une consolidation probable à court terme, sans remettre en cause la tendance de fond. Un repli vers 19 500-20 000 FCFA serait sain et offrirait un point d'entrée plus attractif.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font état d'un chiffre d'affaires consolidé de 1 197,1 milliards FCFA, en hausse de +10,4% par rapport à 2024, avec un résultat net consolidé de 167,8 milliards FCFA et un résultat net part du groupe de 129,1 milliards FCFA. La rentabilité demeure solide avec un ROE de 23,7%, nettement supérieur au seuil d'excellence de 15%, et un ROA de 6,6%. La marge opérationnelle de 24,0% et la marge nette de 14,0% confirment l'efficacité du modèle économique. Le BFR négatif de -198 milliards FCFA constitue un avantage structurel majeur, le groupe finançant son exploitation grâce aux délais fournisseurs très favorables (210,9 jours contre 52,3 jours pour les clients). La capacité de remboursement de 0,99 an et la couverture des intérêts de 1 018% témoignent d'une solidité financière remarquable. Sur la base du rapport T1 2026 (CA +14,8% à 325,6 milliards FCFA, résultat net +25,2% à 48,3 milliards FCFA), on estime que l'exercice 2026 pourrait dépasser 1 350 milliards FCFA de CA et 190 milliards FCFA de résultat net, confirmant l'accélération de la croissance. Le dividende proposé de 800 FCFA brut par action, bien qu'en baisse par rapport à 2024, offre un rendement encore attractif. Les risques identifiés incluent la pression fiscale au Burkina Faso, la concurrence sur Orange Money et les charges financières en hausse, mais les perspectives restent positives avec la fibre, la 5G et les services financiers digitaux comme relais de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(PER 19,0x, P/B 4,51x) apparaît exigeante par rapport aux standards BRVM, mais se justifie par la qualité des fondamentaux et les perspectives de croissance. Le comportement du cours (+44,71% sur 100 jours) démontre une dynamique haussière exceptionnelle, bien que les statistiques (kurtosis 4,4, skewness 1,8) signalent un risque accru de mouvements extrêmes. Les signaux techniques sont partagés : les indicateurs de tendance restent positifs (MM, MACD), mais les oscillateurs (RSI 96,2, Stochastique 100) indiquent un surachat extrême nécessitant une consolidation. Les fondamentaux sont excellents avec un ROE de 23,7%, un BFR négatif favorable et une croissance soutenue du CA (+10,4% en 2025, +14,8% au T1 2026). Les prédictions IA (19 810-20 187 FCFA à J+10) confirment la probabilité d'un repli technique vers 19 800-20 200 FCFA, en cohérence avec les signaux de surachat. La convergence entre le fondamental solide et la prédiction technique suggère une opportunité d'achat sur repli. **Recommandation : ACHAT** sur repli vers 19 500-20 000 FCFA, avec un niveau de confiance **Moyen** et un risque global **Moyen**. L'horizon optimal est le **moyen terme (3-12 mois)**, permettant de bénéficier de la croissance des résultats tout en évitant la volatilité à court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221.43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5,577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B40000"/>
                <w:sz w:val="17"/>
              </w:rPr>
              <w:t>-12.72%</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11.52% (Moyenne) — μ=2,955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β=0.3744 (Défensif) — Cov=0.000013, Var(idx)=0.000034, ρ=0.080,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3,051</w:t>
            </w:r>
          </w:p>
        </w:tc>
        <w:tc>
          <w:tcPr>
            <w:tcW w:type="dxa" w:w="1440"/>
            <w:shd w:fill="FAFAFA" w:val="clear"/>
          </w:tcPr>
          <w:p>
            <w:r>
              <w:rPr>
                <w:b/>
                <w:sz w:val="17"/>
              </w:rPr>
              <w:t>3,146</w:t>
            </w:r>
          </w:p>
        </w:tc>
        <w:tc>
          <w:tcPr>
            <w:tcW w:type="dxa" w:w="1440"/>
            <w:shd w:fill="FAFAFA" w:val="clear"/>
          </w:tcPr>
          <w:p>
            <w:r>
              <w:rPr>
                <w:sz w:val="17"/>
              </w:rPr>
              <w:t>3,240</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3,009</w:t>
            </w:r>
          </w:p>
        </w:tc>
        <w:tc>
          <w:tcPr>
            <w:tcW w:type="dxa" w:w="1440"/>
            <w:shd w:fill="FAFAFA" w:val="clear"/>
          </w:tcPr>
          <w:p>
            <w:r>
              <w:rPr>
                <w:b/>
                <w:sz w:val="17"/>
              </w:rPr>
              <w:t>3,143</w:t>
            </w:r>
          </w:p>
        </w:tc>
        <w:tc>
          <w:tcPr>
            <w:tcW w:type="dxa" w:w="1440"/>
            <w:shd w:fill="FAFAFA" w:val="clear"/>
          </w:tcPr>
          <w:p>
            <w:r>
              <w:rPr>
                <w:sz w:val="17"/>
              </w:rPr>
              <w:t>3,276</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2,975</w:t>
            </w:r>
          </w:p>
        </w:tc>
        <w:tc>
          <w:tcPr>
            <w:tcW w:type="dxa" w:w="1440"/>
            <w:shd w:fill="FAFAFA" w:val="clear"/>
          </w:tcPr>
          <w:p>
            <w:r>
              <w:rPr>
                <w:b/>
                <w:sz w:val="17"/>
              </w:rPr>
              <w:t>3,138</w:t>
            </w:r>
          </w:p>
        </w:tc>
        <w:tc>
          <w:tcPr>
            <w:tcW w:type="dxa" w:w="1440"/>
            <w:shd w:fill="FAFAFA" w:val="clear"/>
          </w:tcPr>
          <w:p>
            <w:r>
              <w:rPr>
                <w:sz w:val="17"/>
              </w:rPr>
              <w:t>3,301</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2,946</w:t>
            </w:r>
          </w:p>
        </w:tc>
        <w:tc>
          <w:tcPr>
            <w:tcW w:type="dxa" w:w="1440"/>
            <w:shd w:fill="FAFAFA" w:val="clear"/>
          </w:tcPr>
          <w:p>
            <w:r>
              <w:rPr>
                <w:b/>
                <w:sz w:val="17"/>
              </w:rPr>
              <w:t>3,134</w:t>
            </w:r>
          </w:p>
        </w:tc>
        <w:tc>
          <w:tcPr>
            <w:tcW w:type="dxa" w:w="1440"/>
            <w:shd w:fill="FAFAFA" w:val="clear"/>
          </w:tcPr>
          <w:p>
            <w:r>
              <w:rPr>
                <w:sz w:val="17"/>
              </w:rPr>
              <w:t>3,322</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2026-09-01</w:t>
            </w:r>
          </w:p>
        </w:tc>
        <w:tc>
          <w:tcPr>
            <w:tcW w:type="dxa" w:w="1440"/>
            <w:shd w:fill="FAFAFA" w:val="clear"/>
          </w:tcPr>
          <w:p>
            <w:r>
              <w:rPr>
                <w:sz w:val="17"/>
              </w:rPr>
              <w:t>2,921</w:t>
            </w:r>
          </w:p>
        </w:tc>
        <w:tc>
          <w:tcPr>
            <w:tcW w:type="dxa" w:w="1440"/>
            <w:shd w:fill="FAFAFA" w:val="clear"/>
          </w:tcPr>
          <w:p>
            <w:r>
              <w:rPr>
                <w:b/>
                <w:sz w:val="17"/>
              </w:rPr>
              <w:t>3,131</w:t>
            </w:r>
          </w:p>
        </w:tc>
        <w:tc>
          <w:tcPr>
            <w:tcW w:type="dxa" w:w="1440"/>
            <w:shd w:fill="FAFAFA" w:val="clear"/>
          </w:tcPr>
          <w:p>
            <w:r>
              <w:rPr>
                <w:sz w:val="17"/>
              </w:rPr>
              <w:t>3,341</w:t>
            </w:r>
          </w:p>
        </w:tc>
        <w:tc>
          <w:tcPr>
            <w:tcW w:type="dxa" w:w="1440"/>
            <w:shd w:fill="FAFAFA" w:val="clear"/>
          </w:tcPr>
          <w:p>
            <w:r>
              <w:rPr>
                <w:b/>
                <w:color w:val="C00000"/>
                <w:sz w:val="17"/>
              </w:rPr>
              <w:t>-1.9%</w:t>
            </w:r>
          </w:p>
        </w:tc>
      </w:tr>
      <w:tr>
        <w:tc>
          <w:tcPr>
            <w:tcW w:type="dxa" w:w="1440"/>
            <w:shd w:fill="FAFAFA" w:val="clear"/>
          </w:tcPr>
          <w:p>
            <w:r>
              <w:rPr>
                <w:sz w:val="17"/>
              </w:rPr>
              <w:t>J+6  Moyenne</w:t>
            </w:r>
          </w:p>
        </w:tc>
        <w:tc>
          <w:tcPr>
            <w:tcW w:type="dxa" w:w="1440"/>
            <w:shd w:fill="FAFAFA" w:val="clear"/>
          </w:tcPr>
          <w:p>
            <w:r>
              <w:rPr>
                <w:sz w:val="17"/>
              </w:rPr>
              <w:t>2026-09-02</w:t>
            </w:r>
          </w:p>
        </w:tc>
        <w:tc>
          <w:tcPr>
            <w:tcW w:type="dxa" w:w="1440"/>
            <w:shd w:fill="FAFAFA" w:val="clear"/>
          </w:tcPr>
          <w:p>
            <w:r>
              <w:rPr>
                <w:sz w:val="17"/>
              </w:rPr>
              <w:t>2,898</w:t>
            </w:r>
          </w:p>
        </w:tc>
        <w:tc>
          <w:tcPr>
            <w:tcW w:type="dxa" w:w="1440"/>
            <w:shd w:fill="FAFAFA" w:val="clear"/>
          </w:tcPr>
          <w:p>
            <w:r>
              <w:rPr>
                <w:b/>
                <w:sz w:val="17"/>
              </w:rPr>
              <w:t>3,128</w:t>
            </w:r>
          </w:p>
        </w:tc>
        <w:tc>
          <w:tcPr>
            <w:tcW w:type="dxa" w:w="1440"/>
            <w:shd w:fill="FAFAFA" w:val="clear"/>
          </w:tcPr>
          <w:p>
            <w:r>
              <w:rPr>
                <w:sz w:val="17"/>
              </w:rPr>
              <w:t>3,358</w:t>
            </w:r>
          </w:p>
        </w:tc>
        <w:tc>
          <w:tcPr>
            <w:tcW w:type="dxa" w:w="1440"/>
            <w:shd w:fill="FAFAFA"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2,877</w:t>
            </w:r>
          </w:p>
        </w:tc>
        <w:tc>
          <w:tcPr>
            <w:tcW w:type="dxa" w:w="1440"/>
            <w:shd w:fill="FFDCE0" w:val="clear"/>
          </w:tcPr>
          <w:p>
            <w:r>
              <w:rPr>
                <w:b/>
                <w:sz w:val="17"/>
              </w:rPr>
              <w:t>3,125</w:t>
            </w:r>
          </w:p>
        </w:tc>
        <w:tc>
          <w:tcPr>
            <w:tcW w:type="dxa" w:w="1440"/>
            <w:shd w:fill="FFDCE0" w:val="clear"/>
          </w:tcPr>
          <w:p>
            <w:r>
              <w:rPr>
                <w:sz w:val="17"/>
              </w:rPr>
              <w:t>3,373</w:t>
            </w:r>
          </w:p>
        </w:tc>
        <w:tc>
          <w:tcPr>
            <w:tcW w:type="dxa" w:w="1440"/>
            <w:shd w:fill="FFDCE0"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2,857</w:t>
            </w:r>
          </w:p>
        </w:tc>
        <w:tc>
          <w:tcPr>
            <w:tcW w:type="dxa" w:w="1440"/>
            <w:shd w:fill="FFDCE0" w:val="clear"/>
          </w:tcPr>
          <w:p>
            <w:r>
              <w:rPr>
                <w:b/>
                <w:sz w:val="17"/>
              </w:rPr>
              <w:t>3,122</w:t>
            </w:r>
          </w:p>
        </w:tc>
        <w:tc>
          <w:tcPr>
            <w:tcW w:type="dxa" w:w="1440"/>
            <w:shd w:fill="FFDCE0" w:val="clear"/>
          </w:tcPr>
          <w:p>
            <w:r>
              <w:rPr>
                <w:sz w:val="17"/>
              </w:rPr>
              <w:t>3,387</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2,838</w:t>
            </w:r>
          </w:p>
        </w:tc>
        <w:tc>
          <w:tcPr>
            <w:tcW w:type="dxa" w:w="1440"/>
            <w:shd w:fill="FFDCE0" w:val="clear"/>
          </w:tcPr>
          <w:p>
            <w:r>
              <w:rPr>
                <w:b/>
                <w:sz w:val="17"/>
              </w:rPr>
              <w:t>3,119</w:t>
            </w:r>
          </w:p>
        </w:tc>
        <w:tc>
          <w:tcPr>
            <w:tcW w:type="dxa" w:w="1440"/>
            <w:shd w:fill="FFDCE0" w:val="clear"/>
          </w:tcPr>
          <w:p>
            <w:r>
              <w:rPr>
                <w:sz w:val="17"/>
              </w:rPr>
              <w:t>3,400</w:t>
            </w:r>
          </w:p>
        </w:tc>
        <w:tc>
          <w:tcPr>
            <w:tcW w:type="dxa" w:w="1440"/>
            <w:shd w:fill="FFDCE0" w:val="clear"/>
          </w:tcPr>
          <w:p>
            <w:r>
              <w:rPr>
                <w:b/>
                <w:color w:val="C00000"/>
                <w:sz w:val="17"/>
              </w:rPr>
              <w:t>-2.2%</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2,821</w:t>
            </w:r>
          </w:p>
        </w:tc>
        <w:tc>
          <w:tcPr>
            <w:tcW w:type="dxa" w:w="1440"/>
            <w:shd w:fill="FFDCE0" w:val="clear"/>
          </w:tcPr>
          <w:p>
            <w:r>
              <w:rPr>
                <w:b/>
                <w:sz w:val="17"/>
              </w:rPr>
              <w:t>3,117</w:t>
            </w:r>
          </w:p>
        </w:tc>
        <w:tc>
          <w:tcPr>
            <w:tcW w:type="dxa" w:w="1440"/>
            <w:shd w:fill="FFDCE0" w:val="clear"/>
          </w:tcPr>
          <w:p>
            <w:r>
              <w:rPr>
                <w:sz w:val="17"/>
              </w:rPr>
              <w:t>3,412</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Août 2026**</w:t>
        <w:br/>
        <w:t>**Secteur : Banque**</w:t>
        <w:br/>
        <w:t>**Marché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221,43 milliards FCFA, un niveau significatif qui la positionne parmi les valeurs moyennes à grandes capitalisations de la BRVM. Le BPA de 312 FCFA indique que chaque action génère un bénéfice de ce montant, ce qui, rapporté au cours de 3 190 FCFA, donne un PER de 10,2x. Ce ratio est parfaitement en ligne avec la moyenne du marché BRVM (8-12x), suggérant une valorisation raisonnable. Le P/B de 1,96x indique que le marché valorise le titre à près de deux fois sa valeur comptable, ce qui est également considéré comme modéré. En revanche, l'EV/EBITDA de 20,1x est nettement supérieur au seuil de 15x, signalant que la valeur totale de l'entreprise (dette incluse) est exigeante par rapport à sa capacité opérationnelle, un point de vigilance pour les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variation totale de -12,72%, mais a rebondi de +2,08% lors de la dernière séance, signe d'un possible retournement à court terme. Le cours a évolué dans une fourchette large de 2 435 FCFA (plus bas) à 3 660 FCFA (plus haut), démontrant une forte amplitude de trading. La moyenne du cours sur la période est de 2 955 FCFA, tandis que la médiane est de 2 780 FCFA ; l'écart entre ces deux valeurs, couplé à un skewness positif de 0,690, indique une distribution asymétrique avec une majorité de journées sous la moyenne mais quelques fortes hausses. Le kurtosis de -0,703 (mésokurtique) suggère un risque de pics limité. L'écart-type de 342 FCFA (CV=11,6%) montre une dispersion modérée, mais la volatilité annualisée de 43,6% classe le titre comme très volatil, un élément crucial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(3 190 FCFA) est supérieur à la MM20 (3 062,25 FCFA) et à la MM50 (2 837,2 FCFA), avec une MM20 au-dessus de la MM50. Cette configuration haussière (courts termes au-dessus des longs termes) justifie la décision d'**Achat**, indiquant une dynamique positive à moyen terme.</w:t>
      </w:r>
    </w:p>
    <w:p>
      <w:pPr>
        <w:spacing w:after="120" w:line="276" w:lineRule="auto"/>
      </w:pPr>
      <w:r>
        <w:t>**Bandes de Bollinger :** Le prix se situe à 3 190 FCFA, entre la borne inférieure (2 810,59 FCFA) et la borne supérieure (3 313,91 FCFA), proche de cette dernière. La largeur des bandes reflète la volatilité élevée. Le signal est **Neutre**, le cours n'étant pas en zone de surachat ou de survente extrême, mais la proximité de la borne supérieure suggère une possible résistance.</w:t>
      </w:r>
    </w:p>
    <w:p>
      <w:pPr>
        <w:spacing w:after="120" w:line="276" w:lineRule="auto"/>
      </w:pPr>
      <w:r>
        <w:t>**MACD :** Le MACD (92,03) est légèrement inférieur à sa ligne de signal (94,2), indiquant un momentum baissier à très court terme. La décision est **Vente**, signalant un possible essoufflement de la tendance haussière récente, bien que les valeurs restent positives.</w:t>
      </w:r>
    </w:p>
    <w:p>
      <w:pPr>
        <w:spacing w:after="120" w:line="276" w:lineRule="auto"/>
      </w:pPr>
      <w:r>
        <w:t>**RSI :** Le RSI à 57,5 est en zone neutre (30-70), ne montrant ni surachat ni survente. La décision est **Neutre**, laissant place à une évolution dans les deux sens sans pression excessive des acheteurs ou vendeurs.</w:t>
      </w:r>
    </w:p>
    <w:p>
      <w:pPr>
        <w:spacing w:after="120" w:line="276" w:lineRule="auto"/>
      </w:pPr>
      <w:r>
        <w:t>**Stochastique :** Le %K (100,0) est très supérieur au %D (87,36), indiquant une condition de surachat extrême. La décision est **Vente**, signalant un risque élevé de correction à court terme après cette forte hausse.</w:t>
      </w:r>
    </w:p>
    <w:p>
      <w:pPr>
        <w:spacing w:after="120" w:line="276" w:lineRule="auto"/>
      </w:pPr>
      <w:r>
        <w:t>**Conclusion technique :** Les indicateurs sont mitigés : les moyennes mobiles sont haussières, mais le MACD et le stochastique signalent une faiblesse à court terme, tandis que le RSI est neutre. Cette divergence suggère une consolidation probable avant une poursuite de la tendance, ou un repli technique.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d'ORGT montrent un Produit Net Bancaire (PNB) de 186,609 milliards FCFA, en baisse de -4,5% par rapport à 2024 (195,4 milliards). Le résultat net, quant à lui, est spectaculairement revenu à un bénéfice de 21,643 milliards FCFA, contre une perte de -44,363 milliards en 2024. Cette performance s'explique par une réduction drastique du coût du risque (provisions) de -90%, passant à -6,971 milliards, et une maîtrise des charges générales (-12%). Le ROE est excellent à 19,13%, et le ROA est de 0,54%. Le coefficient d'exploitation de 42,85% est remarquable, indiquant une banque très efficace. Le ratio dépôts/crédits est sain (3 088,7 Mds / 1 523,8 Mds), montrant une forte liquidité. Les rapports trimestriels de 2025 confirment cette tendance : au T1, le résultat net était de 4,8 milliards, au S1 de 18,3 milliards, et au T3 de 19,6 milliards, montrant une amélioration progressive. Pour 2026, le rapport T1 2026 (daté de 2026) indique un résultat net de 6,555 milliards (+37% vs T1 2025), laissant estimer un exercice 2026 potentiellement supérieur à 2025, malgré un PNB toujours en léger repli. La solidité financière est renforcée par des capitaux propres de 113,165 milliards (+17%). La recommandation fondamentale est **CONSERVER**, la banque étant assainie mais devant relancer sa croissance commerciale.</w:t>
      </w:r>
    </w:p>
    <w:p>
      <w:pPr>
        <w:spacing w:after="120" w:line="276" w:lineRule="auto"/>
      </w:pPr>
      <w:r>
        <w:t>---</w:t>
      </w:r>
    </w:p>
    <w:p>
      <w:pPr>
        <w:spacing w:after="120" w:line="276" w:lineRule="auto"/>
      </w:pPr>
      <w:r>
        <w:t>### PARTIE 4 : CONCLUSION D'INVESTISSEMENT</w:t>
      </w:r>
    </w:p>
    <w:p>
      <w:pPr>
        <w:spacing w:after="120" w:line="276" w:lineRule="auto"/>
      </w:pPr>
      <w:r>
        <w:t>La valorisation d'ORGT est modérée (PER 10,2x, P/B 1,96x), mais l'EV/EBITDA élevé (20,1x) tempère cet optimisme. Le comportement du cours sur 100 jours est baissier (-12,72%) avec une volatilité très élevée (43,6%), mais le rebond récent et les statistiques (skewness positif) suggèrent un potentiel de reprise. Les signaux techniques sont mitigés : les moyennes mobiles sont haussières, mais le MACD et le stochastique indiquent une faiblesse à court terme, avec un RSI neutre. Fondamentalement, la banque a réalisé un redressement spectaculaire en 2025, avec un ROE de 19,1% et un coût du risque maîtrisé, et les estimations pour 2026 sont positives. Les prédictions IA (3 146 FCFA à J+10) suggèrent une légère baisse par rapport au cours actuel, mais restent au-dessus de la moyenne sur 100 jours. En synthèse, la convergence entre des fondamentaux solides et une valorisation raisonnable plaide pour une position de **CONSERVER**, avec un niveau de confiance **Moyen** et un risque global **Élevé** dû à la volatilité. L'horizon d'investissement optimal est le **moyen terme (3-12 mois)**, en attendant une confirmation de la reprise commerciale.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146.86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3,586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+18.01%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6.43% (Moyenne) — μ=8,449 FCFA, σ=543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β=-0.3360 (Contre-cyclique) — Cov=-0.000011, Var(idx)=0.000034, ρ=-0.084,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9,330</w:t>
            </w:r>
          </w:p>
        </w:tc>
        <w:tc>
          <w:tcPr>
            <w:tcW w:type="dxa" w:w="1440"/>
            <w:shd w:fill="FAFAFA" w:val="clear"/>
          </w:tcPr>
          <w:p>
            <w:r>
              <w:rPr>
                <w:b/>
                <w:sz w:val="17"/>
              </w:rPr>
              <w:t>9,604</w:t>
            </w:r>
          </w:p>
        </w:tc>
        <w:tc>
          <w:tcPr>
            <w:tcW w:type="dxa" w:w="1440"/>
            <w:shd w:fill="FAFAFA" w:val="clear"/>
          </w:tcPr>
          <w:p>
            <w:r>
              <w:rPr>
                <w:sz w:val="17"/>
              </w:rPr>
              <w:t>9,879</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9,229</w:t>
            </w:r>
          </w:p>
        </w:tc>
        <w:tc>
          <w:tcPr>
            <w:tcW w:type="dxa" w:w="1440"/>
            <w:shd w:fill="FAFAFA" w:val="clear"/>
          </w:tcPr>
          <w:p>
            <w:r>
              <w:rPr>
                <w:b/>
                <w:sz w:val="17"/>
              </w:rPr>
              <w:t>9,618</w:t>
            </w:r>
          </w:p>
        </w:tc>
        <w:tc>
          <w:tcPr>
            <w:tcW w:type="dxa" w:w="1440"/>
            <w:shd w:fill="FAFAFA" w:val="clear"/>
          </w:tcPr>
          <w:p>
            <w:r>
              <w:rPr>
                <w:sz w:val="17"/>
              </w:rPr>
              <w:t>10,006</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9,166</w:t>
            </w:r>
          </w:p>
        </w:tc>
        <w:tc>
          <w:tcPr>
            <w:tcW w:type="dxa" w:w="1440"/>
            <w:shd w:fill="FAFAFA" w:val="clear"/>
          </w:tcPr>
          <w:p>
            <w:r>
              <w:rPr>
                <w:b/>
                <w:sz w:val="17"/>
              </w:rPr>
              <w:t>9,643</w:t>
            </w:r>
          </w:p>
        </w:tc>
        <w:tc>
          <w:tcPr>
            <w:tcW w:type="dxa" w:w="1440"/>
            <w:shd w:fill="FAFAFA" w:val="clear"/>
          </w:tcPr>
          <w:p>
            <w:r>
              <w:rPr>
                <w:sz w:val="17"/>
              </w:rPr>
              <w:t>10,121</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9,117</w:t>
            </w:r>
          </w:p>
        </w:tc>
        <w:tc>
          <w:tcPr>
            <w:tcW w:type="dxa" w:w="1440"/>
            <w:shd w:fill="FAFAFA" w:val="clear"/>
          </w:tcPr>
          <w:p>
            <w:r>
              <w:rPr>
                <w:b/>
                <w:sz w:val="17"/>
              </w:rPr>
              <w:t>9,670</w:t>
            </w:r>
          </w:p>
        </w:tc>
        <w:tc>
          <w:tcPr>
            <w:tcW w:type="dxa" w:w="1440"/>
            <w:shd w:fill="FAFAFA" w:val="clear"/>
          </w:tcPr>
          <w:p>
            <w:r>
              <w:rPr>
                <w:sz w:val="17"/>
              </w:rPr>
              <w:t>10,223</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2026-09-01</w:t>
            </w:r>
          </w:p>
        </w:tc>
        <w:tc>
          <w:tcPr>
            <w:tcW w:type="dxa" w:w="1440"/>
            <w:shd w:fill="C6EFCE" w:val="clear"/>
          </w:tcPr>
          <w:p>
            <w:r>
              <w:rPr>
                <w:sz w:val="17"/>
              </w:rPr>
              <w:t>9,076</w:t>
            </w:r>
          </w:p>
        </w:tc>
        <w:tc>
          <w:tcPr>
            <w:tcW w:type="dxa" w:w="1440"/>
            <w:shd w:fill="C6EFCE" w:val="clear"/>
          </w:tcPr>
          <w:p>
            <w:r>
              <w:rPr>
                <w:b/>
                <w:sz w:val="17"/>
              </w:rPr>
              <w:t>9,696</w:t>
            </w:r>
          </w:p>
        </w:tc>
        <w:tc>
          <w:tcPr>
            <w:tcW w:type="dxa" w:w="1440"/>
            <w:shd w:fill="C6EFCE" w:val="clear"/>
          </w:tcPr>
          <w:p>
            <w:r>
              <w:rPr>
                <w:sz w:val="17"/>
              </w:rPr>
              <w:t>10,316</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2026-09-02</w:t>
            </w:r>
          </w:p>
        </w:tc>
        <w:tc>
          <w:tcPr>
            <w:tcW w:type="dxa" w:w="1440"/>
            <w:shd w:fill="C6EFCE" w:val="clear"/>
          </w:tcPr>
          <w:p>
            <w:r>
              <w:rPr>
                <w:sz w:val="17"/>
              </w:rPr>
              <w:t>9,040</w:t>
            </w:r>
          </w:p>
        </w:tc>
        <w:tc>
          <w:tcPr>
            <w:tcW w:type="dxa" w:w="1440"/>
            <w:shd w:fill="C6EFCE" w:val="clear"/>
          </w:tcPr>
          <w:p>
            <w:r>
              <w:rPr>
                <w:b/>
                <w:sz w:val="17"/>
              </w:rPr>
              <w:t>9,721</w:t>
            </w:r>
          </w:p>
        </w:tc>
        <w:tc>
          <w:tcPr>
            <w:tcW w:type="dxa" w:w="1440"/>
            <w:shd w:fill="C6EFCE" w:val="clear"/>
          </w:tcPr>
          <w:p>
            <w:r>
              <w:rPr>
                <w:sz w:val="17"/>
              </w:rPr>
              <w:t>10,402</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2026-09-03</w:t>
            </w:r>
          </w:p>
        </w:tc>
        <w:tc>
          <w:tcPr>
            <w:tcW w:type="dxa" w:w="1440"/>
            <w:shd w:fill="C6EFCE" w:val="clear"/>
          </w:tcPr>
          <w:p>
            <w:r>
              <w:rPr>
                <w:sz w:val="17"/>
              </w:rPr>
              <w:t>9,009</w:t>
            </w:r>
          </w:p>
        </w:tc>
        <w:tc>
          <w:tcPr>
            <w:tcW w:type="dxa" w:w="1440"/>
            <w:shd w:fill="C6EFCE" w:val="clear"/>
          </w:tcPr>
          <w:p>
            <w:r>
              <w:rPr>
                <w:b/>
                <w:sz w:val="17"/>
              </w:rPr>
              <w:t>9,746</w:t>
            </w:r>
          </w:p>
        </w:tc>
        <w:tc>
          <w:tcPr>
            <w:tcW w:type="dxa" w:w="1440"/>
            <w:shd w:fill="C6EFCE" w:val="clear"/>
          </w:tcPr>
          <w:p>
            <w:r>
              <w:rPr>
                <w:sz w:val="17"/>
              </w:rPr>
              <w:t>10,484</w:t>
            </w:r>
          </w:p>
        </w:tc>
        <w:tc>
          <w:tcPr>
            <w:tcW w:type="dxa" w:w="1440"/>
            <w:shd w:fill="C6EFCE" w:val="clear"/>
          </w:tcPr>
          <w:p>
            <w:r>
              <w:rPr>
                <w:b/>
                <w:color w:val="008000"/>
                <w:sz w:val="17"/>
              </w:rPr>
              <w:t>+2.6%</w:t>
            </w:r>
          </w:p>
        </w:tc>
      </w:tr>
      <w:tr>
        <w:tc>
          <w:tcPr>
            <w:tcW w:type="dxa" w:w="1440"/>
            <w:shd w:fill="C6EFCE" w:val="clear"/>
          </w:tcPr>
          <w:p>
            <w:r>
              <w:rPr>
                <w:sz w:val="17"/>
              </w:rPr>
              <w:t>J+8  Moyenne</w:t>
            </w:r>
          </w:p>
        </w:tc>
        <w:tc>
          <w:tcPr>
            <w:tcW w:type="dxa" w:w="1440"/>
            <w:shd w:fill="C6EFCE" w:val="clear"/>
          </w:tcPr>
          <w:p>
            <w:r>
              <w:rPr>
                <w:sz w:val="17"/>
              </w:rPr>
              <w:t>2026-09-04</w:t>
            </w:r>
          </w:p>
        </w:tc>
        <w:tc>
          <w:tcPr>
            <w:tcW w:type="dxa" w:w="1440"/>
            <w:shd w:fill="C6EFCE" w:val="clear"/>
          </w:tcPr>
          <w:p>
            <w:r>
              <w:rPr>
                <w:sz w:val="17"/>
              </w:rPr>
              <w:t>8,981</w:t>
            </w:r>
          </w:p>
        </w:tc>
        <w:tc>
          <w:tcPr>
            <w:tcW w:type="dxa" w:w="1440"/>
            <w:shd w:fill="C6EFCE" w:val="clear"/>
          </w:tcPr>
          <w:p>
            <w:r>
              <w:rPr>
                <w:b/>
                <w:sz w:val="17"/>
              </w:rPr>
              <w:t>9,771</w:t>
            </w:r>
          </w:p>
        </w:tc>
        <w:tc>
          <w:tcPr>
            <w:tcW w:type="dxa" w:w="1440"/>
            <w:shd w:fill="C6EFCE" w:val="clear"/>
          </w:tcPr>
          <w:p>
            <w:r>
              <w:rPr>
                <w:sz w:val="17"/>
              </w:rPr>
              <w:t>10,562</w:t>
            </w:r>
          </w:p>
        </w:tc>
        <w:tc>
          <w:tcPr>
            <w:tcW w:type="dxa" w:w="1440"/>
            <w:shd w:fill="C6EFCE" w:val="clear"/>
          </w:tcPr>
          <w:p>
            <w:r>
              <w:rPr>
                <w:b/>
                <w:color w:val="008000"/>
                <w:sz w:val="17"/>
              </w:rPr>
              <w:t>+2.9%</w:t>
            </w:r>
          </w:p>
        </w:tc>
      </w:tr>
      <w:tr>
        <w:tc>
          <w:tcPr>
            <w:tcW w:type="dxa" w:w="1440"/>
            <w:shd w:fill="C6EFCE" w:val="clear"/>
          </w:tcPr>
          <w:p>
            <w:r>
              <w:rPr>
                <w:sz w:val="17"/>
              </w:rPr>
              <w:t>J+9  Moyenne</w:t>
            </w:r>
          </w:p>
        </w:tc>
        <w:tc>
          <w:tcPr>
            <w:tcW w:type="dxa" w:w="1440"/>
            <w:shd w:fill="C6EFCE" w:val="clear"/>
          </w:tcPr>
          <w:p>
            <w:r>
              <w:rPr>
                <w:sz w:val="17"/>
              </w:rPr>
              <w:t>2026-09-07</w:t>
            </w:r>
          </w:p>
        </w:tc>
        <w:tc>
          <w:tcPr>
            <w:tcW w:type="dxa" w:w="1440"/>
            <w:shd w:fill="C6EFCE" w:val="clear"/>
          </w:tcPr>
          <w:p>
            <w:r>
              <w:rPr>
                <w:sz w:val="17"/>
              </w:rPr>
              <w:t>8,956</w:t>
            </w:r>
          </w:p>
        </w:tc>
        <w:tc>
          <w:tcPr>
            <w:tcW w:type="dxa" w:w="1440"/>
            <w:shd w:fill="C6EFCE" w:val="clear"/>
          </w:tcPr>
          <w:p>
            <w:r>
              <w:rPr>
                <w:b/>
                <w:sz w:val="17"/>
              </w:rPr>
              <w:t>9,796</w:t>
            </w:r>
          </w:p>
        </w:tc>
        <w:tc>
          <w:tcPr>
            <w:tcW w:type="dxa" w:w="1440"/>
            <w:shd w:fill="C6EFCE" w:val="clear"/>
          </w:tcPr>
          <w:p>
            <w:r>
              <w:rPr>
                <w:sz w:val="17"/>
              </w:rPr>
              <w:t>10,637</w:t>
            </w:r>
          </w:p>
        </w:tc>
        <w:tc>
          <w:tcPr>
            <w:tcW w:type="dxa" w:w="1440"/>
            <w:shd w:fill="C6EFCE" w:val="clear"/>
          </w:tcPr>
          <w:p>
            <w:r>
              <w:rPr>
                <w:b/>
                <w:color w:val="008000"/>
                <w:sz w:val="17"/>
              </w:rPr>
              <w:t>+3.1%</w:t>
            </w:r>
          </w:p>
        </w:tc>
      </w:tr>
      <w:tr>
        <w:tc>
          <w:tcPr>
            <w:tcW w:type="dxa" w:w="1440"/>
            <w:shd w:fill="C6EFCE" w:val="clear"/>
          </w:tcPr>
          <w:p>
            <w:r>
              <w:rPr>
                <w:sz w:val="17"/>
              </w:rPr>
              <w:t>J+10  Moyenne</w:t>
            </w:r>
          </w:p>
        </w:tc>
        <w:tc>
          <w:tcPr>
            <w:tcW w:type="dxa" w:w="1440"/>
            <w:shd w:fill="C6EFCE" w:val="clear"/>
          </w:tcPr>
          <w:p>
            <w:r>
              <w:rPr>
                <w:sz w:val="17"/>
              </w:rPr>
              <w:t>2026-09-08</w:t>
            </w:r>
          </w:p>
        </w:tc>
        <w:tc>
          <w:tcPr>
            <w:tcW w:type="dxa" w:w="1440"/>
            <w:shd w:fill="C6EFCE" w:val="clear"/>
          </w:tcPr>
          <w:p>
            <w:r>
              <w:rPr>
                <w:sz w:val="17"/>
              </w:rPr>
              <w:t>8,933</w:t>
            </w:r>
          </w:p>
        </w:tc>
        <w:tc>
          <w:tcPr>
            <w:tcW w:type="dxa" w:w="1440"/>
            <w:shd w:fill="C6EFCE" w:val="clear"/>
          </w:tcPr>
          <w:p>
            <w:r>
              <w:rPr>
                <w:b/>
                <w:sz w:val="17"/>
              </w:rPr>
              <w:t>9,821</w:t>
            </w:r>
          </w:p>
        </w:tc>
        <w:tc>
          <w:tcPr>
            <w:tcW w:type="dxa" w:w="1440"/>
            <w:shd w:fill="C6EFCE" w:val="clear"/>
          </w:tcPr>
          <w:p>
            <w:r>
              <w:rPr>
                <w:sz w:val="17"/>
              </w:rPr>
              <w:t>10,709</w:t>
            </w:r>
          </w:p>
        </w:tc>
        <w:tc>
          <w:tcPr>
            <w:tcW w:type="dxa" w:w="1440"/>
            <w:shd w:fill="C6EFCE" w:val="clear"/>
          </w:tcPr>
          <w:p>
            <w:r>
              <w:rPr>
                <w:b/>
                <w:color w:val="008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146,86 milliards FCFA, un niveau significatif qui la positionne parmi les valeurs moyennes à grandes capitalisations de la BRVM. Avec un BPA de 1 003 FCFA, chaque action génère un bénéfice substantiel, justifiant un PER de 9,5x, inférieur à la moyenne du marché (8-12x), ce qui suggère une sous-évaluation relative du titre. Le P/B de 1,03x indique que le marché valorise l'action quasiment à hauteur de sa valeur comptable, un niveau raisonnable qui n'intègre pas de prime de croissance. Enfin, l'EV/EBITDA de 4,6x, nettement sous le seuil de 5x, confirme une valorisation très attractive de la capacité opérationnelle de l'entreprise, renforçant le potentiel de revalorisation.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enregistré une progression de +18,01%, avec une légère consolidation de -1,35% lors de la dernière séance, pour s'établir à 9 500 FCFA. Le titre a évolué dans une fourchette de 7 000 à 9 640 FCFA, démontrant une dynamique haussière soutenue. La moyenne (8 449 FCFA) est inférieure à la médiane (8 655 FCFA), indiquant une distribution légèrement asymétrique avec des valeurs extrêmes basses tirant la moyenne vers le bas. L'écart-type de 546 FCFA (CV=6,5%) révèle une dispersion modérée des cours autour de la moyenne. Le kurtosis de -0,455 (mésokurtique) suggère une distribution proche de la normale, sans risque de pics extrêmes, tandis que le skewness de -0,140 confirme une symétrie relative. La volatilité annualisée de 37,1% classe le titre comme très volatil, un niveau élevé qui implique des fluctuations importantes et un risque accru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(9 500 FCFA) se situe nettement au-dessus de la MM20 (9 118,75 FCFA) et de la MM50 (8 881,6 FCFA), confirmant une tendance haussière solide. La configuration des moyennes mobiles, avec la MM20 au-dessus de la MM50, valide un momentum positif, justifiant la décision d'achat.</w:t>
      </w:r>
    </w:p>
    <w:p>
      <w:pPr>
        <w:spacing w:after="120" w:line="276" w:lineRule="auto"/>
      </w:pPr>
      <w:r>
        <w:t>**Bandes de Bollinger** : Le cours évolue près de la borne supérieure (9 723,19 FCFA), indiquant une pression acheteuse soutenue. La largeur des bandes (écart de 1 208,88 FCFA entre les bornes) reflète une volatilité élevée. La position du prix dans la partie haute des bandes suggère une tendance forte, mais la décision reste neutre, signalant un possible essoufflement à court terme.</w:t>
      </w:r>
    </w:p>
    <w:p>
      <w:pPr>
        <w:spacing w:after="120" w:line="276" w:lineRule="auto"/>
      </w:pPr>
      <w:r>
        <w:t>**MACD** : La valeur du MACD (216,43) est supérieure à son signal (167,53), avec un écart positif de 48,9 points. Cette configuration haussière confirme un momentum positif et une dynamique d'achat, justifiant la décision d'achat. La divergence positive indique que la tendance haussière est toujours en vigueur.</w:t>
      </w:r>
    </w:p>
    <w:p>
      <w:pPr>
        <w:spacing w:after="120" w:line="276" w:lineRule="auto"/>
      </w:pPr>
      <w:r>
        <w:t>**RSI** : Le RSI à 70,4 se situe en zone de surachat, au-delà du seuil critique de 70. Cette valeur indique que le titre est potentiellement surévalué à court terme, avec un risque de correction. La décision de vente est donc justifiée, même si le RSI peut rester en zone de surachat pendant une tendance haussière prolongée.</w:t>
      </w:r>
    </w:p>
    <w:p>
      <w:pPr>
        <w:spacing w:after="120" w:line="276" w:lineRule="auto"/>
      </w:pPr>
      <w:r>
        <w:t>**Stochastique** : Le %K (78,79) est inférieur au %D (92,42), suggérant un croisement baissier potentiel. Cette configuration indique un affaiblissement du momentum haussier, bien que les deux valeurs restent en zone élevée. La décision neutre reflète l'incertitude quant à la poursuite de la hausse.</w:t>
      </w:r>
    </w:p>
    <w:p>
      <w:pPr>
        <w:spacing w:after="120" w:line="276" w:lineRule="auto"/>
      </w:pPr>
      <w:r>
        <w:t>**Conclusion technique** : Les indicateurs sont mitigés, avec une majorité de signaux d'achat (MM, MACD) mais des signaux de prudence (RSI en surachat, Stochastique en croisement baissier). La tendance globale reste haussière, mais un repli technique à court terme est possible. Les investisseurs devraient surveiller le niveau de support à 9 118 FCFA (MM20) en cas de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 milliards FCFA, en croissance de +14,8% par rapport à 2024 (172,2 milliards FCFA), avec un résultat net de 15,51 milliards FCFA, en légère baisse de -2,2% (vs 15,9 milliards en 2024). La marge nette s'établit à 7,85%, en recul de 1,4 point, tandis que le ROE atteint 10,87% et le ROA 7,79%, des niveaux corrects mais en dessous du seuil d'excellence de 15%. La structure financière est très saine avec une autonomie financière de 71,64% et un endettement faible (ratio d'endettement de 0,56%). Le BFR de 44,62 milliards FCFA (positif) et le délai clients de 142,58 jours constituent des points de vigilance pour la trésorerie, malgré un cash-flow opérationnel solide de 38,74 milliards FCFA. Les rapports trimestriels 2025 montrent une forte dynamique au S1 (CA +25%, résultat net +37% à 22,9 milliards FCFA), mais le T1 2026 est décevant avec un CA en baisse de -27% et un résultat net en chute de -86% à 1,6 milliard FCFA, que la direction attribue à un décalage temporel des ventes. Sur la base de ces éléments, on estime que l'exercice 2026 pourrait être contrasté, avec une normalisation attendue au S2. La recommandation fondamentale est de conserver le titre, compte tenu de la solidité bilancielle mais des incertitudes sur la rentabilité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9,5x, un P/B de 1,03x et un EV/EBITDA de 4,6x, indiquant une sous-évaluation relative. Le comportement du cours sur 100 jours montre une tendance haussière (+18%) mais avec une volatilité élevée (37,1%) et des statistiques suggérant une distribution normale des rendements. Les signaux techniques sont mitigés : les moyennes mobiles et le MACD sont positifs, mais le RSI en surachat (70,4) et le stochastique en croisement baissier appellent à la prudence à court terme. Les fondamentaux restent solides avec une croissance du CA de +14,8% en 2025, mais la baisse du résultat net et les performances décevantes du T1 2026 (résultat net -86%) tempèrent l'optimisme. Les prédictions IA (9 604 à 9 696 FCFA sur 10 jours) confirment une poursuite de la hausse, en cohérence avec la tendance technique. La convergence entre la valorisation attractive, la tendance haussière et les prédictions IA, malgré des signaux techniques de surachat, conduit à une recommandation **ACHAT** avec un niveau de confiance **Moyen** et un risque global **Élevé** (volatilité et incertitudes fondamentales). L'horizon d'investissement optimal est le **moyen terme (3-12 mois)**, en surveillant les publications trimestrielles et l'évolution des cours de l'huile de palme.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885 titres</w:t>
            </w:r>
          </w:p>
        </w:tc>
        <w:tc>
          <w:tcPr>
            <w:tcW w:type="dxa" w:w="2268"/>
            <w:shd w:fill="FFF2CC" w:val="clear"/>
          </w:tcPr>
          <w:p>
            <w:r>
              <w:rPr>
                <w:b/>
                <w:color w:val="503200"/>
                <w:sz w:val="16"/>
              </w:rPr>
              <w:t xml:space="preserve">Cours actuel : </w:t>
            </w:r>
            <w:r>
              <w:rPr>
                <w:color w:val="000000"/>
                <w:sz w:val="17"/>
              </w:rPr>
              <w:t>4,470 FCFA</w:t>
            </w:r>
          </w:p>
          <w:p>
            <w:r>
              <w:rPr>
                <w:b/>
                <w:color w:val="503200"/>
                <w:sz w:val="16"/>
              </w:rPr>
              <w:t xml:space="preserve">Var. 100 jours : </w:t>
            </w:r>
            <w:r>
              <w:rPr>
                <w:b/>
                <w:color w:val="B40000"/>
                <w:sz w:val="17"/>
              </w:rPr>
              <w:t>-8.31%</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7.94% (Moyenne) — μ=4,456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β=-0.2843 (Contre-cyclique) — Cov=-0.000010, Var(idx)=0.000034, ρ=-0.066,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4,326</w:t>
            </w:r>
          </w:p>
        </w:tc>
        <w:tc>
          <w:tcPr>
            <w:tcW w:type="dxa" w:w="1440"/>
            <w:shd w:fill="FAFAFA" w:val="clear"/>
          </w:tcPr>
          <w:p>
            <w:r>
              <w:rPr>
                <w:b/>
                <w:sz w:val="17"/>
              </w:rPr>
              <w:t>4,432</w:t>
            </w:r>
          </w:p>
        </w:tc>
        <w:tc>
          <w:tcPr>
            <w:tcW w:type="dxa" w:w="1440"/>
            <w:shd w:fill="FAFAFA" w:val="clear"/>
          </w:tcPr>
          <w:p>
            <w:r>
              <w:rPr>
                <w:sz w:val="17"/>
              </w:rPr>
              <w:t>4,538</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4,263</w:t>
            </w:r>
          </w:p>
        </w:tc>
        <w:tc>
          <w:tcPr>
            <w:tcW w:type="dxa" w:w="1440"/>
            <w:shd w:fill="FAFAFA" w:val="clear"/>
          </w:tcPr>
          <w:p>
            <w:r>
              <w:rPr>
                <w:b/>
                <w:sz w:val="17"/>
              </w:rPr>
              <w:t>4,412</w:t>
            </w:r>
          </w:p>
        </w:tc>
        <w:tc>
          <w:tcPr>
            <w:tcW w:type="dxa" w:w="1440"/>
            <w:shd w:fill="FAFAFA" w:val="clear"/>
          </w:tcPr>
          <w:p>
            <w:r>
              <w:rPr>
                <w:sz w:val="17"/>
              </w:rPr>
              <w:t>4,561</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4,208</w:t>
            </w:r>
          </w:p>
        </w:tc>
        <w:tc>
          <w:tcPr>
            <w:tcW w:type="dxa" w:w="1440"/>
            <w:shd w:fill="FAFAFA" w:val="clear"/>
          </w:tcPr>
          <w:p>
            <w:r>
              <w:rPr>
                <w:b/>
                <w:sz w:val="17"/>
              </w:rPr>
              <w:t>4,390</w:t>
            </w:r>
          </w:p>
        </w:tc>
        <w:tc>
          <w:tcPr>
            <w:tcW w:type="dxa" w:w="1440"/>
            <w:shd w:fill="FAFAFA" w:val="clear"/>
          </w:tcPr>
          <w:p>
            <w:r>
              <w:rPr>
                <w:sz w:val="17"/>
              </w:rPr>
              <w:t>4,572</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4,159</w:t>
            </w:r>
          </w:p>
        </w:tc>
        <w:tc>
          <w:tcPr>
            <w:tcW w:type="dxa" w:w="1440"/>
            <w:shd w:fill="FFDCE0" w:val="clear"/>
          </w:tcPr>
          <w:p>
            <w:r>
              <w:rPr>
                <w:b/>
                <w:sz w:val="17"/>
              </w:rPr>
              <w:t>4,368</w:t>
            </w:r>
          </w:p>
        </w:tc>
        <w:tc>
          <w:tcPr>
            <w:tcW w:type="dxa" w:w="1440"/>
            <w:shd w:fill="FFDCE0" w:val="clear"/>
          </w:tcPr>
          <w:p>
            <w:r>
              <w:rPr>
                <w:sz w:val="17"/>
              </w:rPr>
              <w:t>4,577</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4,115</w:t>
            </w:r>
          </w:p>
        </w:tc>
        <w:tc>
          <w:tcPr>
            <w:tcW w:type="dxa" w:w="1440"/>
            <w:shd w:fill="FFDCE0" w:val="clear"/>
          </w:tcPr>
          <w:p>
            <w:r>
              <w:rPr>
                <w:b/>
                <w:sz w:val="17"/>
              </w:rPr>
              <w:t>4,347</w:t>
            </w:r>
          </w:p>
        </w:tc>
        <w:tc>
          <w:tcPr>
            <w:tcW w:type="dxa" w:w="1440"/>
            <w:shd w:fill="FFDCE0" w:val="clear"/>
          </w:tcPr>
          <w:p>
            <w:r>
              <w:rPr>
                <w:sz w:val="17"/>
              </w:rPr>
              <w:t>4,580</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4,073</w:t>
            </w:r>
          </w:p>
        </w:tc>
        <w:tc>
          <w:tcPr>
            <w:tcW w:type="dxa" w:w="1440"/>
            <w:shd w:fill="FFDCE0" w:val="clear"/>
          </w:tcPr>
          <w:p>
            <w:r>
              <w:rPr>
                <w:b/>
                <w:sz w:val="17"/>
              </w:rPr>
              <w:t>4,327</w:t>
            </w:r>
          </w:p>
        </w:tc>
        <w:tc>
          <w:tcPr>
            <w:tcW w:type="dxa" w:w="1440"/>
            <w:shd w:fill="FFDCE0" w:val="clear"/>
          </w:tcPr>
          <w:p>
            <w:r>
              <w:rPr>
                <w:sz w:val="17"/>
              </w:rPr>
              <w:t>4,580</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4,034</w:t>
            </w:r>
          </w:p>
        </w:tc>
        <w:tc>
          <w:tcPr>
            <w:tcW w:type="dxa" w:w="1440"/>
            <w:shd w:fill="FFDCE0" w:val="clear"/>
          </w:tcPr>
          <w:p>
            <w:r>
              <w:rPr>
                <w:b/>
                <w:sz w:val="17"/>
              </w:rPr>
              <w:t>4,307</w:t>
            </w:r>
          </w:p>
        </w:tc>
        <w:tc>
          <w:tcPr>
            <w:tcW w:type="dxa" w:w="1440"/>
            <w:shd w:fill="FFDCE0" w:val="clear"/>
          </w:tcPr>
          <w:p>
            <w:r>
              <w:rPr>
                <w:sz w:val="17"/>
              </w:rPr>
              <w:t>4,579</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3,997</w:t>
            </w:r>
          </w:p>
        </w:tc>
        <w:tc>
          <w:tcPr>
            <w:tcW w:type="dxa" w:w="1440"/>
            <w:shd w:fill="FFDCE0" w:val="clear"/>
          </w:tcPr>
          <w:p>
            <w:r>
              <w:rPr>
                <w:b/>
                <w:sz w:val="17"/>
              </w:rPr>
              <w:t>4,287</w:t>
            </w:r>
          </w:p>
        </w:tc>
        <w:tc>
          <w:tcPr>
            <w:tcW w:type="dxa" w:w="1440"/>
            <w:shd w:fill="FFDCE0" w:val="clear"/>
          </w:tcPr>
          <w:p>
            <w:r>
              <w:rPr>
                <w:sz w:val="17"/>
              </w:rPr>
              <w:t>4,577</w:t>
            </w:r>
          </w:p>
        </w:tc>
        <w:tc>
          <w:tcPr>
            <w:tcW w:type="dxa" w:w="1440"/>
            <w:shd w:fill="FFDCE0" w:val="clear"/>
          </w:tcPr>
          <w:p>
            <w:r>
              <w:rPr>
                <w:b/>
                <w:color w:val="C00000"/>
                <w:sz w:val="17"/>
              </w:rPr>
              <w:t>-4.1%</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3,962</w:t>
            </w:r>
          </w:p>
        </w:tc>
        <w:tc>
          <w:tcPr>
            <w:tcW w:type="dxa" w:w="1440"/>
            <w:shd w:fill="FFDCE0" w:val="clear"/>
          </w:tcPr>
          <w:p>
            <w:r>
              <w:rPr>
                <w:b/>
                <w:sz w:val="17"/>
              </w:rPr>
              <w:t>4,268</w:t>
            </w:r>
          </w:p>
        </w:tc>
        <w:tc>
          <w:tcPr>
            <w:tcW w:type="dxa" w:w="1440"/>
            <w:shd w:fill="FFDCE0" w:val="clear"/>
          </w:tcPr>
          <w:p>
            <w:r>
              <w:rPr>
                <w:sz w:val="17"/>
              </w:rPr>
              <w:t>4,574</w:t>
            </w:r>
          </w:p>
        </w:tc>
        <w:tc>
          <w:tcPr>
            <w:tcW w:type="dxa" w:w="1440"/>
            <w:shd w:fill="FFDCE0" w:val="clear"/>
          </w:tcPr>
          <w:p>
            <w:r>
              <w:rPr>
                <w:b/>
                <w:color w:val="C00000"/>
                <w:sz w:val="17"/>
              </w:rPr>
              <w:t>-4.5%</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3,928</w:t>
            </w:r>
          </w:p>
        </w:tc>
        <w:tc>
          <w:tcPr>
            <w:tcW w:type="dxa" w:w="1440"/>
            <w:shd w:fill="FFDCE0" w:val="clear"/>
          </w:tcPr>
          <w:p>
            <w:r>
              <w:rPr>
                <w:b/>
                <w:sz w:val="17"/>
              </w:rPr>
              <w:t>4,249</w:t>
            </w:r>
          </w:p>
        </w:tc>
        <w:tc>
          <w:tcPr>
            <w:tcW w:type="dxa" w:w="1440"/>
            <w:shd w:fill="FFDCE0" w:val="clear"/>
          </w:tcPr>
          <w:p>
            <w:r>
              <w:rPr>
                <w:sz w:val="17"/>
              </w:rPr>
              <w:t>4,570</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25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45,77 milliards FCFA, ce qui positionne la société comme une valeur de taille moyenne sur la BRVM. Avec un BPA de 231 FCFA, le titre se négocie à un PER de 19,3x, nettement supérieur à la moyenne historique du marché (~8-12x). Cette prime de valorisation suggère que les investisseurs anticipent une croissance future des bénéfices, mais elle implique également une moindre marge de sécurité. Le P/B de 3,97x confirme cette lecture, le marché valorisant l'actif net comptable près de 4 fois sa valeur, ce qui reflète une prime de croissance substantielle. Enfin, l'EV/EBITDA de 9,9x se situe dans la fourchette haute des valeurs "raisonnables" (5-10x), indiquant que la capacité opérationnelle de l'entreprise est correctement évaluée, sans excès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 enregistré une baisse de 8,31%, avec une dernière séance stable (+0,00%). Le cours a évolué dans une fourchette de 3 620 FCFA (plus bas) à 5 100 FCFA (plus haut), démontrant une amplitude de trading significative. La moyenne (4 456 FCFA) est légèrement inférieure à la médiane (4 495 FCFA), indiquant une distribution quasi symétrique, mais le skewness de -0,680 révèle une asymétrie négative : les fortes baisses ont été plus fréquentes que les fortes hausses. L'écart-type de 355 FCFA (CV de 8,0%) montre une dispersion modérée, tandis que le kurtosis de 0,127 (mésokurtique) suggère une distribution normale sans risque de pics extrêmes. La volatilité annualisée de 40,0% classe le titre comme très volatil, un niveau élevé qui reflète une incertitude marquée sur le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(4 465,5 FCFA) et la MM50 (4 493,3 FCFA) sont toutes deux supérieures au cours actuel (4 470 FCFA), indiquant une pression vendeuse à court et moyen terme. La décision de "Vente" est justifiée par cette configuration baissière, le prix évoluant sous ses moyennes mobiles clés.</w:t>
      </w:r>
    </w:p>
    <w:p>
      <w:pPr>
        <w:spacing w:after="120" w:line="276" w:lineRule="auto"/>
      </w:pPr>
      <w:r>
        <w:t>**Bandes de Bollinger :** Le cours se situe à 4 470 FCFA, entre la borne inférieure (4 364,98 FCFA) et la borne supérieure (4 566,02 FCFA). Cette position centrale indique une volatilité modérée et une absence de signal directionnel fort. La décision "Neutre" est cohérente avec cette configuration.</w:t>
      </w:r>
    </w:p>
    <w:p>
      <w:pPr>
        <w:spacing w:after="120" w:line="276" w:lineRule="auto"/>
      </w:pPr>
      <w:r>
        <w:t>**MACD :** La valeur du MACD (-3,471) est inférieure à son signal (-1,281), confirmant un momentum baissier. Cette divergence négative suggère que la pression vendeuse persiste à court terme, justifiant la décision de "Vente".</w:t>
      </w:r>
    </w:p>
    <w:p>
      <w:pPr>
        <w:spacing w:after="120" w:line="276" w:lineRule="auto"/>
      </w:pPr>
      <w:r>
        <w:t>**RSI :** À 58,14, le RSI se situe en zone neutre (30-70), indiquant un équilibre entre les forces acheteuses et vendeuses. Cette valeur ne signale ni surachat ni survente, d'où la décision "Neutre".</w:t>
      </w:r>
    </w:p>
    <w:p>
      <w:pPr>
        <w:spacing w:after="120" w:line="276" w:lineRule="auto"/>
      </w:pPr>
      <w:r>
        <w:t>**Stochastique :** Le %K (73,684) est supérieur au %D (70,862), indiquant un momentum haussier naissant. Cependant, ces valeurs proches de la zone de surachat (70) suggèrent une prudence. La décision "Neutre" est justifiée par cette proximité.</w:t>
      </w:r>
    </w:p>
    <w:p>
      <w:pPr>
        <w:spacing w:after="120" w:line="276" w:lineRule="auto"/>
      </w:pPr>
      <w:r>
        <w:t>**Conclusion technique :** Les indicateurs techniques sont mitigés, avec une prédominance de signaux baissiers (MM, MACD) contre des signaux neutres (Bollinger, RSI, Stochastique). Cette divergence indique une tendance baissière modérée mais non confirmée, avec un potentiel de stabilisation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FCFA), selon les données structurées officielles. Le résultat net s'établit à 2,367 milliards FCFA, en légère progression par rapport aux 2,177 milliards de 2024, avec une marge nette de 2,92%. Le ROE de 20,53% est excellent, démontrant une utilisation efficace des capitaux propres (11,531 milliards FCFA), tandis que le ROA de 4,95% reflète une rentabilité modérée des actifs (47,836 milliards FCFA). En tant qu'entreprise de distribution automobile, l'analyse du BFR est cruciale : le BFR de 11,267 milliards FCFA est positif, avec un délai clients de 45,99 jours (risque de trésorerie modéré) et un délai fournisseurs de 102,65 jours (favorable pour la trésorerie). La durée de stockage de 150,51 jours est élevée, immobilisant du capital. Le rapport d'activité du S1 2025 (daté du 30/06/2025) montre une performance exceptionnelle : CA de 39,968 milliards FCFA (+15,1%), résultat net multiplié par 28 à 1,436 milliard FCFA. Sur la base de ce S1, on estime que l'exercice 2025 devrait dépasser les 81 milliards FCFA de CA, ce qui est confirmé par les données annuelles. La société a annoncé un dividende de 209 FCFA par action pour 2025 (AG du 30/06/2026), offrant un rendement de 4,7%. Malgré une dette totale de 36,305 milliards FCFA (ratio d'endettement de 314,86%), la solvabilité générale de 131,76% et la couverture des intérêts de 1585% indiquent une structure financière saine. La recommandation fondamentale est **CONSERVER**, avec une vigilance sur la gestion du BFR et la pression sur les marges.</w:t>
      </w:r>
    </w:p>
    <w:p>
      <w:pPr>
        <w:spacing w:after="120" w:line="276" w:lineRule="auto"/>
      </w:pPr>
      <w:r>
        <w:t>---</w:t>
      </w:r>
    </w:p>
    <w:p>
      <w:pPr>
        <w:spacing w:after="120" w:line="276" w:lineRule="auto"/>
      </w:pPr>
      <w:r>
        <w:t>### PARTIE 4 : CONCLUSION D'INVESTISSEMENT</w:t>
      </w:r>
    </w:p>
    <w:p>
      <w:pPr>
        <w:spacing w:after="120" w:line="276" w:lineRule="auto"/>
      </w:pPr>
      <w:r>
        <w:t>La valorisation de PRSC (PER 19,3x, P/B 3,97x) indique une prime de croissance significative, potentiellement justifiée par le ROE de 20,53% et la croissance du CA de 9,5% en 2025. Cependant, le comportement du cours sur 100 jours (-8,31%) avec une volatilité élevée (40%) et une asymétrie négative (skewness -0,680) suggère un sentiment baissier persistant. Les signaux techniques sont mitigés, avec une prédominance vendeuse (MM, MACD) mais des indicateurs neutres (RSI, Stochastique) qui pourraient signaler une stabilisation. Les fondamentaux restent solides, avec une amélioration de la rentabilité (ROE &gt;20%) et une politique de dividende attractive (209 FCFA/action), mais la gestion du BFR et la pression sur les marges nécessitent une surveillance. Les prédictions IA (4 432 FCFA à J+1, 4 347 FCFA à J+10) confirment la tendance baissière à court terme, avec une baisse attendue de 2,8% sur 10 jours. La convergence entre la faiblesse technique, la pression baissière prédite et la valorisation élevée suggère une prudence. **Recommandation : CONSERVER** avec un niveau de confiance **Moyen** et un risque global **Élevé**. L'horizon d'investissement optimal est le **moyen terme (3-12 mois)**, en attendant une clarification de la tendance technique et une amélioration de la gestion du BFR.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7,332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B40000"/>
                <w:sz w:val="17"/>
              </w:rPr>
              <w:t>-11.31%</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23.11% (Élevée) — μ=4,770 FCFA, σ=1,102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β=0.6937 (Défensif) — Cov=0.000024, Var(idx)=0.000034, ρ=0.076,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σ_j=5.29%/j (Instable) — Vol. annualisée≈84.0%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5,041</w:t>
            </w:r>
          </w:p>
        </w:tc>
        <w:tc>
          <w:tcPr>
            <w:tcW w:type="dxa" w:w="1440"/>
            <w:shd w:fill="FFDCE0" w:val="clear"/>
          </w:tcPr>
          <w:p>
            <w:r>
              <w:rPr>
                <w:b/>
                <w:sz w:val="17"/>
              </w:rPr>
              <w:t>5,365</w:t>
            </w:r>
          </w:p>
        </w:tc>
        <w:tc>
          <w:tcPr>
            <w:tcW w:type="dxa" w:w="1440"/>
            <w:shd w:fill="FFDCE0" w:val="clear"/>
          </w:tcPr>
          <w:p>
            <w:r>
              <w:rPr>
                <w:sz w:val="17"/>
              </w:rPr>
              <w:t>5,689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4,539</w:t>
            </w:r>
          </w:p>
        </w:tc>
        <w:tc>
          <w:tcPr>
            <w:tcW w:type="dxa" w:w="1440"/>
            <w:shd w:fill="FFDCE0" w:val="clear"/>
          </w:tcPr>
          <w:p>
            <w:r>
              <w:rPr>
                <w:b/>
                <w:sz w:val="17"/>
              </w:rPr>
              <w:t>4,963</w:t>
            </w:r>
          </w:p>
        </w:tc>
        <w:tc>
          <w:tcPr>
            <w:tcW w:type="dxa" w:w="1440"/>
            <w:shd w:fill="FFDCE0" w:val="clear"/>
          </w:tcPr>
          <w:p>
            <w:r>
              <w:rPr>
                <w:sz w:val="17"/>
              </w:rPr>
              <w:t>5,386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4,111</w:t>
            </w:r>
          </w:p>
        </w:tc>
        <w:tc>
          <w:tcPr>
            <w:tcW w:type="dxa" w:w="1440"/>
            <w:shd w:fill="FFDCE0" w:val="clear"/>
          </w:tcPr>
          <w:p>
            <w:r>
              <w:rPr>
                <w:b/>
                <w:sz w:val="17"/>
              </w:rPr>
              <w:t>4,590</w:t>
            </w:r>
          </w:p>
        </w:tc>
        <w:tc>
          <w:tcPr>
            <w:tcW w:type="dxa" w:w="1440"/>
            <w:shd w:fill="FFDCE0" w:val="clear"/>
          </w:tcPr>
          <w:p>
            <w:r>
              <w:rPr>
                <w:sz w:val="17"/>
              </w:rPr>
              <w:t>5,070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3,734</w:t>
            </w:r>
          </w:p>
        </w:tc>
        <w:tc>
          <w:tcPr>
            <w:tcW w:type="dxa" w:w="1440"/>
            <w:shd w:fill="FFDCE0" w:val="clear"/>
          </w:tcPr>
          <w:p>
            <w:r>
              <w:rPr>
                <w:b/>
                <w:sz w:val="17"/>
              </w:rPr>
              <w:t>4,246</w:t>
            </w:r>
          </w:p>
        </w:tc>
        <w:tc>
          <w:tcPr>
            <w:tcW w:type="dxa" w:w="1440"/>
            <w:shd w:fill="FFDCE0" w:val="clear"/>
          </w:tcPr>
          <w:p>
            <w:r>
              <w:rPr>
                <w:sz w:val="17"/>
              </w:rPr>
              <w:t>4,758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3,398</w:t>
            </w:r>
          </w:p>
        </w:tc>
        <w:tc>
          <w:tcPr>
            <w:tcW w:type="dxa" w:w="1440"/>
            <w:shd w:fill="FFDCE0" w:val="clear"/>
          </w:tcPr>
          <w:p>
            <w:r>
              <w:rPr>
                <w:b/>
                <w:sz w:val="17"/>
              </w:rPr>
              <w:t>3,928</w:t>
            </w:r>
          </w:p>
        </w:tc>
        <w:tc>
          <w:tcPr>
            <w:tcW w:type="dxa" w:w="1440"/>
            <w:shd w:fill="FFDCE0" w:val="clear"/>
          </w:tcPr>
          <w:p>
            <w:r>
              <w:rPr>
                <w:sz w:val="17"/>
              </w:rPr>
              <w:t>4,457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3,096</w:t>
            </w:r>
          </w:p>
        </w:tc>
        <w:tc>
          <w:tcPr>
            <w:tcW w:type="dxa" w:w="1440"/>
            <w:shd w:fill="FFDCE0" w:val="clear"/>
          </w:tcPr>
          <w:p>
            <w:r>
              <w:rPr>
                <w:b/>
                <w:sz w:val="17"/>
              </w:rPr>
              <w:t>3,633</w:t>
            </w:r>
          </w:p>
        </w:tc>
        <w:tc>
          <w:tcPr>
            <w:tcW w:type="dxa" w:w="1440"/>
            <w:shd w:fill="FFDCE0" w:val="clear"/>
          </w:tcPr>
          <w:p>
            <w:r>
              <w:rPr>
                <w:sz w:val="17"/>
              </w:rPr>
              <w:t>4,170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2,824</w:t>
            </w:r>
          </w:p>
        </w:tc>
        <w:tc>
          <w:tcPr>
            <w:tcW w:type="dxa" w:w="1440"/>
            <w:shd w:fill="FFDCE0" w:val="clear"/>
          </w:tcPr>
          <w:p>
            <w:r>
              <w:rPr>
                <w:b/>
                <w:sz w:val="17"/>
              </w:rPr>
              <w:t>3,361</w:t>
            </w:r>
          </w:p>
        </w:tc>
        <w:tc>
          <w:tcPr>
            <w:tcW w:type="dxa" w:w="1440"/>
            <w:shd w:fill="FFDCE0" w:val="clear"/>
          </w:tcPr>
          <w:p>
            <w:r>
              <w:rPr>
                <w:sz w:val="17"/>
              </w:rPr>
              <w:t>3,897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2,578</w:t>
            </w:r>
          </w:p>
        </w:tc>
        <w:tc>
          <w:tcPr>
            <w:tcW w:type="dxa" w:w="1440"/>
            <w:shd w:fill="FFDCE0" w:val="clear"/>
          </w:tcPr>
          <w:p>
            <w:r>
              <w:rPr>
                <w:b/>
                <w:sz w:val="17"/>
              </w:rPr>
              <w:t>3,109</w:t>
            </w:r>
          </w:p>
        </w:tc>
        <w:tc>
          <w:tcPr>
            <w:tcW w:type="dxa" w:w="1440"/>
            <w:shd w:fill="FFDCE0" w:val="clear"/>
          </w:tcPr>
          <w:p>
            <w:r>
              <w:rPr>
                <w:sz w:val="17"/>
              </w:rPr>
              <w:t>3,639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2,355</w:t>
            </w:r>
          </w:p>
        </w:tc>
        <w:tc>
          <w:tcPr>
            <w:tcW w:type="dxa" w:w="1440"/>
            <w:shd w:fill="FFDCE0" w:val="clear"/>
          </w:tcPr>
          <w:p>
            <w:r>
              <w:rPr>
                <w:b/>
                <w:sz w:val="17"/>
              </w:rPr>
              <w:t>2,875</w:t>
            </w:r>
          </w:p>
        </w:tc>
        <w:tc>
          <w:tcPr>
            <w:tcW w:type="dxa" w:w="1440"/>
            <w:shd w:fill="FFDCE0" w:val="clear"/>
          </w:tcPr>
          <w:p>
            <w:r>
              <w:rPr>
                <w:sz w:val="17"/>
              </w:rPr>
              <w:t>3,396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2,153</w:t>
            </w:r>
          </w:p>
        </w:tc>
        <w:tc>
          <w:tcPr>
            <w:tcW w:type="dxa" w:w="1440"/>
            <w:shd w:fill="FFDCE0" w:val="clear"/>
          </w:tcPr>
          <w:p>
            <w:r>
              <w:rPr>
                <w:b/>
                <w:sz w:val="17"/>
              </w:rPr>
              <w:t>2,660</w:t>
            </w:r>
          </w:p>
        </w:tc>
        <w:tc>
          <w:tcPr>
            <w:tcW w:type="dxa" w:w="1440"/>
            <w:shd w:fill="FFDCE0" w:val="clear"/>
          </w:tcPr>
          <w:p>
            <w:r>
              <w:rPr>
                <w:sz w:val="17"/>
              </w:rPr>
              <w:t>3,167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25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47,09 milliards FCFA, un niveau modeste dans l'écosystème de la BRVM, reflétant le profil de petite capitalisation de la société. Le BPA de 86 FCFA par action indique un bénéfice net par action relativement faible, ce qui explique le PER de 67,2x, extrêmement élevé par rapport à la moyenne du marché BRVM (8-12x). Les investisseurs paient donc une prime considérable pour chaque franc de bénéfice, signe d'anticipations de croissance très fortes. Le P/B de 7,96x confirme cette exubérance, le marché valorisant le titre près de 8 fois sa valeur comptable, contre une norme de 4x jugée déjà exigeante. Enfin, l'EV/EBITDA de 81,5x est un signal d'alerte majeur, indiquant que la valeur totale de l'entreprise est déconnectée de sa capacité opérationnelle actuelle. Ces ratios suggèrent une valorisation très spéculative, intégrant un scénario de redressement parfait.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variation totale de -11,31%, avec un rebond de +1,75% lors de la dernière séance, reflétant une volatilité extrême. Le cours a oscillé entre un plus bas de 3 340 FCFA et un plus haut de 7 555 FCFA, soit une fourchette de trading très large, typique d'un titre spéculatif. La moyenne du cours sur la période est de 4 770 FCFA, tandis que la médiane est de 4 505 FCFA ; cet écart, couplé à un skewness positif de 0,986, indique une distribution asymétrique avec des journées de forte hausse concentrées, mais une majorité de séances sous la moyenne. L'écart-type de 1 108 FCFA (CV=23,2%) montre une dispersion élevée, et le kurtosis de 0,118 (mésokurtique) suggère une absence de pics extrêmes dans la distribution, malgré la volatilité. La volatilité annualisée de 84% est extrêmement élevée, positionnant SAFC comme un actif à très haut risque,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5 800 FCFA se situe nettement au-dessus de la MM20 (5 318,5 FCFA) et de la MM50 (4 779,8 FCFA), confirmant une tendance haussière à court et moyen terme. La configuration des MM, avec le cours au-dessus des deux moyennes, génère un signal d'achat, indiquant que la dynamique positive est intacte.</w:t>
      </w:r>
    </w:p>
    <w:p>
      <w:pPr>
        <w:spacing w:after="120" w:line="276" w:lineRule="auto"/>
      </w:pPr>
      <w:r>
        <w:t>**Bandes de Bollinger** : Le prix évolue dans la partie supérieure des bandes, proche de la borne haute (6 027,9 FCFA), ce qui témoigne d'une forte pression acheteuse. La décision est neutre, car le cours n'a pas encore franchi la borne supérieure, mais la proximité de celle-ci suggère une possible consolidation ou une poursuite de la hausse si la volatilité s'accroît.</w:t>
      </w:r>
    </w:p>
    <w:p>
      <w:pPr>
        <w:spacing w:after="120" w:line="276" w:lineRule="auto"/>
      </w:pPr>
      <w:r>
        <w:t>**MACD** : Le MACD (306,7) est nettement au-dessus de sa ligne de signal (276,9), confirmant un momentum haussier solide. Cette configuration positive indique que la tendance de fond reste acheteuse, avec une accélération de la dynamique des prix.</w:t>
      </w:r>
    </w:p>
    <w:p>
      <w:pPr>
        <w:spacing w:after="120" w:line="276" w:lineRule="auto"/>
      </w:pPr>
      <w:r>
        <w:t>**RSI** : Le RSI à 67,1 est en zone neutre, mais proche du seuil de surachat (70). Cela suggère que le titre a encore un potentiel de hausse à court terme, mais qu'une correction pourrait survenir si le RSI dépasse 70, signalant une possible surchauffe.</w:t>
      </w:r>
    </w:p>
    <w:p>
      <w:pPr>
        <w:spacing w:after="120" w:line="276" w:lineRule="auto"/>
      </w:pPr>
      <w:r>
        <w:t>**Stochastique** : Le %K (96,1) et le %D (89,6) sont tous deux en zone de surachat extrême, avec une décision de vente. Cette configuration indique que le titre est survendu à la hausse, et un croisement baissier du %K sous le %D pourrait déclencher une correction technique imminente.</w:t>
      </w:r>
    </w:p>
    <w:p>
      <w:pPr>
        <w:spacing w:after="120" w:line="276" w:lineRule="auto"/>
      </w:pPr>
      <w:r>
        <w:t>**Conclusion technique** : Les indicateurs de tendance (MM, MACD) sont positifs, mais les oscillateurs (RSI, Stochastique) signalent une condition de surachat. Cette divergence suggère un risque de repli technique à court terme, bien que la tendance de fond reste haussière. La prudence est de mise, car une correction pourrait ramener le cours vers les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résultat net positif de 701 millions FCFA, contre une perte de 165 millions en 2024, marquant la fin de huit années de déficit. Le Produit Net Bancaire (PNB) a bondi de 44% à 5 735 millions FCFA, porté par une hausse des intérêts et des commissions. La marge nette s'établit à 12,2%, et le ROE atteint 11,85%, tandis que le ROA reste faible à 0,88%. Le coefficient d'exploitation de 77,6% est élevé, indiquant une efficacité opérationnelle encore insuffisante (norme &lt;60%). Le coût du risque de 6,57% reste significatif, reflétant un portefeuille de crédits encore fragile. La structure de bilan montre une dépendance marquée aux dettes interbancaires (35,7 Mds FCFA) et un ratio de fonds propres de seulement 7,4%, un niveau précaire. Les rapports trimestriels 2026 confirment la dynamique : au T1 2026, le PNB a progressé de 29% à 1 395 millions FCFA, et le résultat net a bondi de 1 062% à 151 millions FCFA, avec un coût du risque en chute de 75%. Sur la base de ces données, on estime que l'exercice 2026 pourrait voir un PNB autour de 6,5 milliards FCFA et un résultat net dépassant 800 millions FCFA, si la tendance se maintient. L'entrée de CREDAF Group comme actionnaire principal en avril 2025 a été le catalyseur de ce redressement, apportant une nouvelle gouvernance. Cependant, la solidité financière reste fragile, avec des capitaux propres modestes et un report à nouveau toujours négatif (-4 123 millions FCFA), ce qui justifie une recommandation de conserver avec une surveillance active.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avec un PER de 67,2x et un P/B de 7,96x, indiquant une surévaluation manifeste par rapport aux fondamentaux actuels. Le comportement du cours, bien que volatil, montre une tendance haussière récente, mais les statistiques descriptives (skewness positif, volatilité de 84%) révèlent un profil spéculatif à haut risque. Les signaux techniques sont mitigés : les moyennes mobiles et le MACD sont positifs, mais le RSI et le stochastique signalent un surachat, suggérant un risque de correction. Les fondamentaux, bien qu'en amélioration spectaculaire, restent fragiles, avec une dépendance aux dettes interbancaires et un coût du risque élevé. Les prédictions IA pour les 10 prochains jours indiquent une trajectoire baissière, avec un cours projeté à 3 928 FCFA, soit une chute de 32% par rapport au niveau actuel, contredisant les signaux techniques haussiers. Cette divergence entre les fondamentaux, la valorisation et les prédictions IA suggère une correction imminente. **Recommandation finale : VENTE** avec un niveau de confiance **Moyen** et un risque global **Élevé**. L'horizon d'investissement optimal est le **court terme (&lt;3 mois)**, car la pression vendeuse pourrait s'intensifier, malgré le potentiel de redressement à long terme si la société continue de consolider son bilan.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65.86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12,852 titres</w:t>
            </w:r>
          </w:p>
        </w:tc>
        <w:tc>
          <w:tcPr>
            <w:tcW w:type="dxa" w:w="2268"/>
            <w:shd w:fill="FFF2CC" w:val="clear"/>
          </w:tcPr>
          <w:p>
            <w:r>
              <w:rPr>
                <w:b/>
                <w:color w:val="503200"/>
                <w:sz w:val="16"/>
              </w:rPr>
              <w:t xml:space="preserve">Cours actuel : </w:t>
            </w:r>
            <w:r>
              <w:rPr>
                <w:color w:val="000000"/>
                <w:sz w:val="17"/>
              </w:rPr>
              <w:t>3,360 FCFA</w:t>
            </w:r>
          </w:p>
          <w:p>
            <w:r>
              <w:rPr>
                <w:b/>
                <w:color w:val="503200"/>
                <w:sz w:val="16"/>
              </w:rPr>
              <w:t xml:space="preserve">Var. 100 jours : </w:t>
            </w:r>
            <w:r>
              <w:rPr>
                <w:b/>
                <w:color w:val="007800"/>
                <w:sz w:val="17"/>
              </w:rPr>
              <w:t>+116.77%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1,550 FCFA</w:t>
            </w:r>
          </w:p>
          <w:p>
            <w:r>
              <w:rPr>
                <w:b/>
                <w:color w:val="503200"/>
                <w:sz w:val="16"/>
              </w:rPr>
              <w:t xml:space="preserve">Volatilité ann. : </w:t>
            </w:r>
            <w:r>
              <w:rPr>
                <w:color w:val="000000"/>
                <w:sz w:val="17"/>
              </w:rPr>
              <w:t>57.0%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23.47% (Élevée) — μ=2,874 FCFA, σ=675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β=0.5096 (Défensif) — Cov=0.000017, Var(idx)=0.000034, ρ=0.083,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12,852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σ_j=3.59%/j (Modérée) — Vol. annualisée≈57.0%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2,962</w:t>
            </w:r>
          </w:p>
        </w:tc>
        <w:tc>
          <w:tcPr>
            <w:tcW w:type="dxa" w:w="1440"/>
            <w:shd w:fill="FFDCE0" w:val="clear"/>
          </w:tcPr>
          <w:p>
            <w:r>
              <w:rPr>
                <w:b/>
                <w:sz w:val="17"/>
              </w:rPr>
              <w:t>3,108</w:t>
            </w:r>
          </w:p>
        </w:tc>
        <w:tc>
          <w:tcPr>
            <w:tcW w:type="dxa" w:w="1440"/>
            <w:shd w:fill="FFDCE0" w:val="clear"/>
          </w:tcPr>
          <w:p>
            <w:r>
              <w:rPr>
                <w:sz w:val="17"/>
              </w:rPr>
              <w:t>3,254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2,684</w:t>
            </w:r>
          </w:p>
        </w:tc>
        <w:tc>
          <w:tcPr>
            <w:tcW w:type="dxa" w:w="1440"/>
            <w:shd w:fill="FFDCE0" w:val="clear"/>
          </w:tcPr>
          <w:p>
            <w:r>
              <w:rPr>
                <w:b/>
                <w:sz w:val="17"/>
              </w:rPr>
              <w:t>2,875</w:t>
            </w:r>
          </w:p>
        </w:tc>
        <w:tc>
          <w:tcPr>
            <w:tcW w:type="dxa" w:w="1440"/>
            <w:shd w:fill="FFDCE0" w:val="clear"/>
          </w:tcPr>
          <w:p>
            <w:r>
              <w:rPr>
                <w:sz w:val="17"/>
              </w:rPr>
              <w:t>3,066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2,443</w:t>
            </w:r>
          </w:p>
        </w:tc>
        <w:tc>
          <w:tcPr>
            <w:tcW w:type="dxa" w:w="1440"/>
            <w:shd w:fill="FFDCE0" w:val="clear"/>
          </w:tcPr>
          <w:p>
            <w:r>
              <w:rPr>
                <w:b/>
                <w:sz w:val="17"/>
              </w:rPr>
              <w:t>2,659</w:t>
            </w:r>
          </w:p>
        </w:tc>
        <w:tc>
          <w:tcPr>
            <w:tcW w:type="dxa" w:w="1440"/>
            <w:shd w:fill="FFDCE0" w:val="clear"/>
          </w:tcPr>
          <w:p>
            <w:r>
              <w:rPr>
                <w:sz w:val="17"/>
              </w:rPr>
              <w:t>2,875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2,229</w:t>
            </w:r>
          </w:p>
        </w:tc>
        <w:tc>
          <w:tcPr>
            <w:tcW w:type="dxa" w:w="1440"/>
            <w:shd w:fill="FFDCE0" w:val="clear"/>
          </w:tcPr>
          <w:p>
            <w:r>
              <w:rPr>
                <w:b/>
                <w:sz w:val="17"/>
              </w:rPr>
              <w:t>2,460</w:t>
            </w:r>
          </w:p>
        </w:tc>
        <w:tc>
          <w:tcPr>
            <w:tcW w:type="dxa" w:w="1440"/>
            <w:shd w:fill="FFDCE0" w:val="clear"/>
          </w:tcPr>
          <w:p>
            <w:r>
              <w:rPr>
                <w:sz w:val="17"/>
              </w:rPr>
              <w:t>2,690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2,037</w:t>
            </w:r>
          </w:p>
        </w:tc>
        <w:tc>
          <w:tcPr>
            <w:tcW w:type="dxa" w:w="1440"/>
            <w:shd w:fill="FFDCE0" w:val="clear"/>
          </w:tcPr>
          <w:p>
            <w:r>
              <w:rPr>
                <w:b/>
                <w:sz w:val="17"/>
              </w:rPr>
              <w:t>2,275</w:t>
            </w:r>
          </w:p>
        </w:tc>
        <w:tc>
          <w:tcPr>
            <w:tcW w:type="dxa" w:w="1440"/>
            <w:shd w:fill="FFDCE0" w:val="clear"/>
          </w:tcPr>
          <w:p>
            <w:r>
              <w:rPr>
                <w:sz w:val="17"/>
              </w:rPr>
              <w:t>2,514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1,863</w:t>
            </w:r>
          </w:p>
        </w:tc>
        <w:tc>
          <w:tcPr>
            <w:tcW w:type="dxa" w:w="1440"/>
            <w:shd w:fill="FFDCE0" w:val="clear"/>
          </w:tcPr>
          <w:p>
            <w:r>
              <w:rPr>
                <w:b/>
                <w:sz w:val="17"/>
              </w:rPr>
              <w:t>2,105</w:t>
            </w:r>
          </w:p>
        </w:tc>
        <w:tc>
          <w:tcPr>
            <w:tcW w:type="dxa" w:w="1440"/>
            <w:shd w:fill="FFDCE0" w:val="clear"/>
          </w:tcPr>
          <w:p>
            <w:r>
              <w:rPr>
                <w:sz w:val="17"/>
              </w:rPr>
              <w:t>2,346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1,705</w:t>
            </w:r>
          </w:p>
        </w:tc>
        <w:tc>
          <w:tcPr>
            <w:tcW w:type="dxa" w:w="1440"/>
            <w:shd w:fill="FFDCE0" w:val="clear"/>
          </w:tcPr>
          <w:p>
            <w:r>
              <w:rPr>
                <w:b/>
                <w:sz w:val="17"/>
              </w:rPr>
              <w:t>1,947</w:t>
            </w:r>
          </w:p>
        </w:tc>
        <w:tc>
          <w:tcPr>
            <w:tcW w:type="dxa" w:w="1440"/>
            <w:shd w:fill="FFDCE0" w:val="clear"/>
          </w:tcPr>
          <w:p>
            <w:r>
              <w:rPr>
                <w:sz w:val="17"/>
              </w:rPr>
              <w:t>2,188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1,562</w:t>
            </w:r>
          </w:p>
        </w:tc>
        <w:tc>
          <w:tcPr>
            <w:tcW w:type="dxa" w:w="1440"/>
            <w:shd w:fill="FFDCE0" w:val="clear"/>
          </w:tcPr>
          <w:p>
            <w:r>
              <w:rPr>
                <w:b/>
                <w:sz w:val="17"/>
              </w:rPr>
              <w:t>1,801</w:t>
            </w:r>
          </w:p>
        </w:tc>
        <w:tc>
          <w:tcPr>
            <w:tcW w:type="dxa" w:w="1440"/>
            <w:shd w:fill="FFDCE0" w:val="clear"/>
          </w:tcPr>
          <w:p>
            <w:r>
              <w:rPr>
                <w:sz w:val="17"/>
              </w:rPr>
              <w:t>2,040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1,431</w:t>
            </w:r>
          </w:p>
        </w:tc>
        <w:tc>
          <w:tcPr>
            <w:tcW w:type="dxa" w:w="1440"/>
            <w:shd w:fill="FFDCE0" w:val="clear"/>
          </w:tcPr>
          <w:p>
            <w:r>
              <w:rPr>
                <w:b/>
                <w:sz w:val="17"/>
              </w:rPr>
              <w:t>1,666</w:t>
            </w:r>
          </w:p>
        </w:tc>
        <w:tc>
          <w:tcPr>
            <w:tcW w:type="dxa" w:w="1440"/>
            <w:shd w:fill="FFDCE0" w:val="clear"/>
          </w:tcPr>
          <w:p>
            <w:r>
              <w:rPr>
                <w:sz w:val="17"/>
              </w:rPr>
              <w:t>1,900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1,312</w:t>
            </w:r>
          </w:p>
        </w:tc>
        <w:tc>
          <w:tcPr>
            <w:tcW w:type="dxa" w:w="1440"/>
            <w:shd w:fill="FFDCE0" w:val="clear"/>
          </w:tcPr>
          <w:p>
            <w:r>
              <w:rPr>
                <w:b/>
                <w:sz w:val="17"/>
              </w:rPr>
              <w:t>1,541</w:t>
            </w:r>
          </w:p>
        </w:tc>
        <w:tc>
          <w:tcPr>
            <w:tcW w:type="dxa" w:w="1440"/>
            <w:shd w:fill="FFDCE0" w:val="clear"/>
          </w:tcPr>
          <w:p>
            <w:r>
              <w:rPr>
                <w:sz w:val="17"/>
              </w:rPr>
              <w:t>1,769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65,86 milliards FCFA positionne SCRC comme une valeur moyenne sur la BRVM, reflétant un intérêt certain des investisseurs malgré des fondamentaux dégradés. Le BPA négatif de -406 FCFA indique que chaque action détruite de la valeur en 2025, ce qui rend le PER non significatif (-8,3x) et signale une société déficitaire. Le P/B de 3,82x est particulièrement révélateur : le marché valorise l'actif net comptable près de quatre fois sa valeur, ce qui est élevé pour une entreprise en perte, suggérant que les investisseurs parient sur un redressement futur. L'EV/EBITDA de 10,6x, bien que dans la fourchette de 10-15x, reste élevé compte tenu de la faiblesse de l'EBE (14,8 milliards FCFA) et de l'endettement massif, indiquant une valorisation qui intègre des hypothèses optimistes de croissance et de retour à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+116,77%, passant d'un plus bas de 1 550 FCFA à un plus haut de 3 920 FCFA, avant de se stabiliser autour de 3 360 FCFA. La légère baisse de -0,59% lors de la dernière séance suggère une consolidation après ce rallye exceptionnel. La moyenne de 2 874 FCFA, inférieure à la médiane de 3 025 FCFA, indique une distribution asymétrique avec une concentration des cours vers le haut de la fourchette. L'écart-type de 678 FCFA (CV=23,6%) révèle une dispersion modérée, tandis que le kurtosis de -1,408 (platykurtique) signale une distribution aplatie avec peu de pics extrêmes, et le skewness de -0,252 indique une symétrie relative. La volatilité annualisée de 57,0% est très élevée, positionnant SCRC comme un titre spéculatif à fort risque, caractéristique des valeurs en phase de redressement ou de retournement.</w:t>
      </w:r>
    </w:p>
    <w:p>
      <w:pPr>
        <w:spacing w:after="120" w:line="276" w:lineRule="auto" w:before="240"/>
      </w:pPr>
      <w:r>
        <w:rPr>
          <w:b/>
          <w:color w:val="003366"/>
          <w:sz w:val="24"/>
        </w:rPr>
        <w:t>**PARTIE 2 : ANALYSE TECHNIQUE DÉTAILLÉE**</w:t>
      </w:r>
    </w:p>
    <w:p>
      <w:pPr>
        <w:spacing w:after="120" w:line="276" w:lineRule="auto"/>
      </w:pPr>
      <w:r>
        <w:t>**Moyennes Mobiles** : La MM20 à 3 590,75 FCFA et la MM50 à 3 468,1 FCFA sont toutes deux supérieures au cours actuel de 3 360 FCFA, indiquant que le prix est passé sous ses moyennes récentes après un sommet. La décision d'achat signalée est paradoxale, car le croisement baissier imminent suggère plutôt une correction. Cette configuration reflète un marché qui a fortement progressé mais qui montre des signes d'essoufflement à court terme.</w:t>
      </w:r>
    </w:p>
    <w:p>
      <w:pPr>
        <w:spacing w:after="120" w:line="276" w:lineRule="auto"/>
      </w:pPr>
      <w:r>
        <w:t>**Bandes de Bollinger** : Le cours à 3 360 FCFA se situe près de la borne inférieure (3 345,65 FCFA), indiquant une pression vendeuse et une volatilité accrue. La décision neutre est cohérente avec cette position, le titre testant le support inférieur. Une cassure sous cette borne pourrait déclencher une accélération baissière, tandis qu'un rebond offrirait un point d'entrée technique intéressant.</w:t>
      </w:r>
    </w:p>
    <w:p>
      <w:pPr>
        <w:spacing w:after="120" w:line="276" w:lineRule="auto"/>
      </w:pPr>
      <w:r>
        <w:t>**MACD** : La valeur négative de -16,082 avec un signal à 32,18 montre une divergence baissière nette, le MACD étant passé sous sa ligne de signal. Cette configuration indique un momentum négatif malgré la tendance haussière de fond. La décision de vente est justifiée par cette dynamique, suggérant que la pression vendeuse à court terme pourrait se poursuivre.</w:t>
      </w:r>
    </w:p>
    <w:p>
      <w:pPr>
        <w:spacing w:after="120" w:line="276" w:lineRule="auto"/>
      </w:pPr>
      <w:r>
        <w:t>**RSI** : À 29,268, le RSI est en zone de survente (&lt;30), indiquant que le titre est techniquement survendu après la récente correction. La décision d'achat est cohérente avec cette lecture, car un rebond technique est probable à ces niveaux, bien que la tendance baissière puisse persister en cas de faiblesse fondamentale.</w:t>
      </w:r>
    </w:p>
    <w:p>
      <w:pPr>
        <w:spacing w:after="120" w:line="276" w:lineRule="auto"/>
      </w:pPr>
      <w:r>
        <w:t>**Stochastique** : Le %K à 2,899 et le %D à 3,823 sont tous deux en zone de survente extrême (&lt;20), avec un croisement haussier potentiel. La décision d'achat est justifiée par cette configuration, signalant un possible retournement à court terme après une phase de correction intense.</w:t>
      </w:r>
    </w:p>
    <w:p>
      <w:pPr>
        <w:spacing w:after="120" w:line="276" w:lineRule="auto"/>
      </w:pPr>
      <w:r>
        <w:t>**Conclusion technique** : Les indicateurs sont partagés entre des signaux de survente (RSI, Stochastique) suggérant un rebond imminent, et des signaux baissiers (MACD, position sous les moyennes mobiles) indiquant une correction en cours. La configuration globale est celle d'un titre en consolidation après un rallye majeur, avec un risque de poursuite de la baisse à court terme avant un éventuel rebond technique.</w:t>
      </w:r>
    </w:p>
    <w:p>
      <w:pPr>
        <w:spacing w:after="120" w:line="276" w:lineRule="auto" w:before="240"/>
      </w:pPr>
      <w:r>
        <w:rPr>
          <w:b/>
          <w:color w:val="003366"/>
          <w:sz w:val="24"/>
        </w:rPr>
        <w:t>**PARTIE 3 : ANALYSE FONDAMENTALE (SECTION CRITIQUE)**</w:t>
      </w:r>
    </w:p>
    <w:p>
      <w:pPr>
        <w:spacing w:after="120" w:line="276" w:lineRule="auto"/>
      </w:pPr>
      <w:r>
        <w:t>En 2025, SCRC affiche un chiffre d'affaires de 80,57 milliards FCFA, en baisse de 7,6% par rapport à 2024 (87,22 milliards), et un résultat net déficitaire de -7,95 milliards FCFA (contre un bénéfice de 2,47 milliards en 2024), soit une dégradation de 421%. Le ROE est profondément négatif à -46,13%, et le ROA à -5,08%, reflétant une destruction de valeur significative. La marge brute de 45,8% reste solide, mais la marge nette de -9,87% et la marge opérationnelle de -0,68% montrent une fragilité opérationnelle. Le BFR de 6,53 milliards FCFA est positif (défavorable), avec un délai clients de 12,28 jours (acceptable) mais un délai fournisseurs de 366 jours et une durée de stockage de 360 jours, indiquant une immobilisation massive de capital. L'endettement est critique : ratio d'endettement de 88,98%, capacité de remboursement de 11,21 ans, et des charges financières de 6,79 milliards FCFA qui ont explosé de 262%. Les rapports trimestriels 2025 confirment cette tendance : le S1 2025 affiche une perte de -6,71 milliards FCFA, mais la campagne 2025/26 prévoit une production de 90-95 000 tonnes (+14-20%), laissant espérer un redressement en 2026. Les rapports de 2024 montraient déjà un endettement croissant, mais la situation s'est nettement dégradée en 2025 avec l'explosion des coûts financiers.</w:t>
      </w:r>
    </w:p>
    <w:p>
      <w:pPr>
        <w:spacing w:after="120" w:line="276" w:lineRule="auto" w:before="240"/>
      </w:pPr>
      <w:r>
        <w:rPr>
          <w:b/>
          <w:color w:val="003366"/>
          <w:sz w:val="24"/>
        </w:rPr>
        <w:t>**PARTIE 4 : CONCLUSION D'INVESTISSEMENT**</w:t>
      </w:r>
    </w:p>
    <w:p>
      <w:pPr>
        <w:spacing w:after="120" w:line="276" w:lineRule="auto"/>
      </w:pPr>
      <w:r>
        <w:t>La valorisation actuelle de SCRC est préoccupante : avec un PER négatif et un P/B de 3,82x, le marché valorise l'entreprise à un niveau élevé malgré des pertes massives, ce qui suggère une surévaluation relative. Le comportement du cours (+116,77% en 100 jours) contraste fortement avec les fondamentaux, indiquant un mouvement spéculatif porté par des anticipations de redressement. Les signaux techniques sont mitigés, avec des indicateurs de survente (RSI, Stochastique) suggérant un rebond technique, mais le MACD et la position sous les moyennes mobiles indiquent une correction en cours. Les fondamentaux sont très dégradés : perte nette de 7,95 milliards FCFA, endettement critique, charges financières explosives, et un chiffre d'affaires en baisse. Les prédictions IA prévoient une chute continue du cours à 2 275 FCFA d'ici 10 jours, confirmant la pression baissière. La convergence entre les fondamentaux dégradés, la correction technique et les prédictions baissières justifie une recommandation de **VENTE** avec un niveau de confiance **Élevé**, un risque global **Élevé**, et un horizon d'investissement à court terme (&lt;3 mois) pour les investisseurs cherchant à limiter leurs pertes. Les perspectives de redressement à moyen terme (campagne 2025/26) pourraient offrir un point d'entrée plus attractif après une stabilisation du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 titres</w:t>
            </w:r>
          </w:p>
        </w:tc>
        <w:tc>
          <w:tcPr>
            <w:tcW w:type="dxa" w:w="2268"/>
            <w:shd w:fill="FFF2CC" w:val="clear"/>
          </w:tcPr>
          <w:p>
            <w:r>
              <w:rPr>
                <w:b/>
                <w:color w:val="503200"/>
                <w:sz w:val="16"/>
              </w:rPr>
              <w:t xml:space="preserve">Cours actuel : </w:t>
            </w:r>
            <w:r>
              <w:rPr>
                <w:color w:val="000000"/>
                <w:sz w:val="17"/>
              </w:rPr>
              <w:t>12,000 FCFA</w:t>
            </w:r>
          </w:p>
          <w:p>
            <w:r>
              <w:rPr>
                <w:b/>
                <w:color w:val="503200"/>
                <w:sz w:val="16"/>
              </w:rPr>
              <w:t xml:space="preserve">Var. 100 jours : </w:t>
            </w:r>
            <w:r>
              <w:rPr>
                <w:b/>
                <w:color w:val="007800"/>
                <w:sz w:val="17"/>
              </w:rPr>
              <w:t>+62.16%</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17.69% (Élevée) — μ=10,511 FCFA, σ=1,859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β=0.3021 (Défensif) — Cov=0.000010, Var(idx)=0.000034, ρ=0.078,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11,317</w:t>
            </w:r>
          </w:p>
        </w:tc>
        <w:tc>
          <w:tcPr>
            <w:tcW w:type="dxa" w:w="1440"/>
            <w:shd w:fill="FFDCE0" w:val="clear"/>
          </w:tcPr>
          <w:p>
            <w:r>
              <w:rPr>
                <w:b/>
                <w:sz w:val="17"/>
              </w:rPr>
              <w:t>11,720</w:t>
            </w:r>
          </w:p>
        </w:tc>
        <w:tc>
          <w:tcPr>
            <w:tcW w:type="dxa" w:w="1440"/>
            <w:shd w:fill="FFDCE0" w:val="clear"/>
          </w:tcPr>
          <w:p>
            <w:r>
              <w:rPr>
                <w:sz w:val="17"/>
              </w:rPr>
              <w:t>12,123</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11,026</w:t>
            </w:r>
          </w:p>
        </w:tc>
        <w:tc>
          <w:tcPr>
            <w:tcW w:type="dxa" w:w="1440"/>
            <w:shd w:fill="FFDCE0" w:val="clear"/>
          </w:tcPr>
          <w:p>
            <w:r>
              <w:rPr>
                <w:b/>
                <w:sz w:val="17"/>
              </w:rPr>
              <w:t>11,589</w:t>
            </w:r>
          </w:p>
        </w:tc>
        <w:tc>
          <w:tcPr>
            <w:tcW w:type="dxa" w:w="1440"/>
            <w:shd w:fill="FFDCE0" w:val="clear"/>
          </w:tcPr>
          <w:p>
            <w:r>
              <w:rPr>
                <w:sz w:val="17"/>
              </w:rPr>
              <w:t>12,153</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10,786</w:t>
            </w:r>
          </w:p>
        </w:tc>
        <w:tc>
          <w:tcPr>
            <w:tcW w:type="dxa" w:w="1440"/>
            <w:shd w:fill="FFDCE0" w:val="clear"/>
          </w:tcPr>
          <w:p>
            <w:r>
              <w:rPr>
                <w:b/>
                <w:sz w:val="17"/>
              </w:rPr>
              <w:t>11,470</w:t>
            </w:r>
          </w:p>
        </w:tc>
        <w:tc>
          <w:tcPr>
            <w:tcW w:type="dxa" w:w="1440"/>
            <w:shd w:fill="FFDCE0" w:val="clear"/>
          </w:tcPr>
          <w:p>
            <w:r>
              <w:rPr>
                <w:sz w:val="17"/>
              </w:rPr>
              <w:t>12,153</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10,580</w:t>
            </w:r>
          </w:p>
        </w:tc>
        <w:tc>
          <w:tcPr>
            <w:tcW w:type="dxa" w:w="1440"/>
            <w:shd w:fill="FFDCE0" w:val="clear"/>
          </w:tcPr>
          <w:p>
            <w:r>
              <w:rPr>
                <w:b/>
                <w:sz w:val="17"/>
              </w:rPr>
              <w:t>11,362</w:t>
            </w:r>
          </w:p>
        </w:tc>
        <w:tc>
          <w:tcPr>
            <w:tcW w:type="dxa" w:w="1440"/>
            <w:shd w:fill="FFDCE0" w:val="clear"/>
          </w:tcPr>
          <w:p>
            <w:r>
              <w:rPr>
                <w:sz w:val="17"/>
              </w:rPr>
              <w:t>12,144</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10,400</w:t>
            </w:r>
          </w:p>
        </w:tc>
        <w:tc>
          <w:tcPr>
            <w:tcW w:type="dxa" w:w="1440"/>
            <w:shd w:fill="FFDCE0" w:val="clear"/>
          </w:tcPr>
          <w:p>
            <w:r>
              <w:rPr>
                <w:b/>
                <w:sz w:val="17"/>
              </w:rPr>
              <w:t>11,266</w:t>
            </w:r>
          </w:p>
        </w:tc>
        <w:tc>
          <w:tcPr>
            <w:tcW w:type="dxa" w:w="1440"/>
            <w:shd w:fill="FFDCE0" w:val="clear"/>
          </w:tcPr>
          <w:p>
            <w:r>
              <w:rPr>
                <w:sz w:val="17"/>
              </w:rPr>
              <w:t>12,133</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10,240</w:t>
            </w:r>
          </w:p>
        </w:tc>
        <w:tc>
          <w:tcPr>
            <w:tcW w:type="dxa" w:w="1440"/>
            <w:shd w:fill="FFDCE0" w:val="clear"/>
          </w:tcPr>
          <w:p>
            <w:r>
              <w:rPr>
                <w:b/>
                <w:sz w:val="17"/>
              </w:rPr>
              <w:t>11,183</w:t>
            </w:r>
          </w:p>
        </w:tc>
        <w:tc>
          <w:tcPr>
            <w:tcW w:type="dxa" w:w="1440"/>
            <w:shd w:fill="FFDCE0" w:val="clear"/>
          </w:tcPr>
          <w:p>
            <w:r>
              <w:rPr>
                <w:sz w:val="17"/>
              </w:rPr>
              <w:t>12,125</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10,093</w:t>
            </w:r>
          </w:p>
        </w:tc>
        <w:tc>
          <w:tcPr>
            <w:tcW w:type="dxa" w:w="1440"/>
            <w:shd w:fill="FFDCE0" w:val="clear"/>
          </w:tcPr>
          <w:p>
            <w:r>
              <w:rPr>
                <w:b/>
                <w:sz w:val="17"/>
              </w:rPr>
              <w:t>11,104</w:t>
            </w:r>
          </w:p>
        </w:tc>
        <w:tc>
          <w:tcPr>
            <w:tcW w:type="dxa" w:w="1440"/>
            <w:shd w:fill="FFDCE0" w:val="clear"/>
          </w:tcPr>
          <w:p>
            <w:r>
              <w:rPr>
                <w:sz w:val="17"/>
              </w:rPr>
              <w:t>12,115</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9,956</w:t>
            </w:r>
          </w:p>
        </w:tc>
        <w:tc>
          <w:tcPr>
            <w:tcW w:type="dxa" w:w="1440"/>
            <w:shd w:fill="FFDCE0" w:val="clear"/>
          </w:tcPr>
          <w:p>
            <w:r>
              <w:rPr>
                <w:b/>
                <w:sz w:val="17"/>
              </w:rPr>
              <w:t>11,029</w:t>
            </w:r>
          </w:p>
        </w:tc>
        <w:tc>
          <w:tcPr>
            <w:tcW w:type="dxa" w:w="1440"/>
            <w:shd w:fill="FFDCE0" w:val="clear"/>
          </w:tcPr>
          <w:p>
            <w:r>
              <w:rPr>
                <w:sz w:val="17"/>
              </w:rPr>
              <w:t>12,102</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9,829</w:t>
            </w:r>
          </w:p>
        </w:tc>
        <w:tc>
          <w:tcPr>
            <w:tcW w:type="dxa" w:w="1440"/>
            <w:shd w:fill="FFDCE0" w:val="clear"/>
          </w:tcPr>
          <w:p>
            <w:r>
              <w:rPr>
                <w:b/>
                <w:sz w:val="17"/>
              </w:rPr>
              <w:t>10,961</w:t>
            </w:r>
          </w:p>
        </w:tc>
        <w:tc>
          <w:tcPr>
            <w:tcW w:type="dxa" w:w="1440"/>
            <w:shd w:fill="FFDCE0" w:val="clear"/>
          </w:tcPr>
          <w:p>
            <w:r>
              <w:rPr>
                <w:sz w:val="17"/>
              </w:rPr>
              <w:t>12,092</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9,710</w:t>
            </w:r>
          </w:p>
        </w:tc>
        <w:tc>
          <w:tcPr>
            <w:tcW w:type="dxa" w:w="1440"/>
            <w:shd w:fill="FFDCE0" w:val="clear"/>
          </w:tcPr>
          <w:p>
            <w:r>
              <w:rPr>
                <w:b/>
                <w:sz w:val="17"/>
              </w:rPr>
              <w:t>10,895</w:t>
            </w:r>
          </w:p>
        </w:tc>
        <w:tc>
          <w:tcPr>
            <w:tcW w:type="dxa" w:w="1440"/>
            <w:shd w:fill="FFDCE0" w:val="clear"/>
          </w:tcPr>
          <w:p>
            <w:r>
              <w:rPr>
                <w:sz w:val="17"/>
              </w:rPr>
              <w:t>12,081</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108 milliards FCFA, ce qui en fait une valeur de taille moyenne sur la BRVM, représentative d'un actif stratégique dans le secteur de l'eau en Côte d'Ivoire. Avec un BPA de 518 FCFA, le titre se négocie à un PER de 23,2x, nettement supérieur à la moyenne historique de la BRVM (8-12x), indiquant que les investisseurs paient une prime substantielle pour la croissance anticipée. Le P/B de 5,48x confirme cette valorisation exigeante, le marché valorisant fortement les actifs de la société par rapport à leur valeur comptable. L'EV/EBITDA de 14,5x, dans le haut de la fourchette de 10-15x, suggère que la valeur totale de l'entreprise (dette incluse) est élevée par rapport à sa capacité opérationnelle à générer des bénéfices. Ces ratios traduisent une anticipation de forte croissance future, mais laissent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+62,16%, passant d'un plus bas de 7 140 FCFA à un plus haut de 12 195 FCFA, avant de clôturer à 12 000 FCFA, soit une légère baisse de -1,19% lors de la dernière séance. La moyenne du cours sur la période (10 511 FCFA) est inférieure à la médiane (11 370 FCFA), indiquant une distribution asymétrique avec des journées de forte hausse concentrées en fin de période. L'écart-type de 1 869 FCFA (CV de 17,8%) révèle une dispersion modérée, tandis que le kurtosis de -0,916 (mésokurtique) suggère l'absence de pics extrêmes de volatilité. Le skewness négatif de -0,882 indique que les rendements positifs ont été plus fréquents mais de moindre ampleur que les rares baisses. La volatilité annualisée de 35,7% classe le titre comme très volatil (&gt;30%), reflétant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11 846,5 FCFA et MM50 à 11 866,2 FCFA) sont très proches l'une de l'autre et légèrement inférieures au cours actuel de 12 000 FCFA. Cette configuration indique une consolidation après une forte hausse, le signal de vente étant justifié par la convergence des moyennes et le risque d'un repli vers ces supports.</w:t>
      </w:r>
    </w:p>
    <w:p>
      <w:pPr>
        <w:spacing w:after="120" w:line="276" w:lineRule="auto"/>
      </w:pPr>
      <w:r>
        <w:t>Les **Bandes de Bollinger** encadrent le cours entre 11 447,4 FCFA (borne inférieure) et 12 245,6 FCFA (borne supérieure). Le prix à 12 000 FCFA se situe dans la partie haute de la bande, suggérant une pression acheteuse persistante mais sans excès. La décision "Neutre" reflète une volatilité modérée, le cours n'ayant pas touché les bornes extrêmes.</w:t>
      </w:r>
    </w:p>
    <w:p>
      <w:pPr>
        <w:spacing w:after="120" w:line="276" w:lineRule="auto"/>
      </w:pPr>
      <w:r>
        <w:t>Le **MACD** affiche une valeur de 73,7 contre un signal de 36,6, montrant une divergence positive significative. Ce momentum haussier indique une dynamique positive, justifiant la décision d'achat, bien que l'écart important puisse signaler une correction à court terme.</w:t>
      </w:r>
    </w:p>
    <w:p>
      <w:pPr>
        <w:spacing w:after="120" w:line="276" w:lineRule="auto"/>
      </w:pPr>
      <w:r>
        <w:t>Le **RSI** à 52,4 se situe en zone neutre (30-70), indiquant un équilibre entre pressions acheteuses et vendeuses. Cette valeur suggère que le titre n'est ni suracheté ni survendu, laissant place à une évolution directionnelle.</w:t>
      </w:r>
    </w:p>
    <w:p>
      <w:pPr>
        <w:spacing w:after="120" w:line="276" w:lineRule="auto"/>
      </w:pPr>
      <w:r>
        <w:t>Le **Stochastique** avec %K à 80,5 et %D à 91,1 montre que le titre est en zone de surachat, le %K étant passé sous le %D, signalant un croisement baissier potentiel. La décision de vente est justifiée par ce croisement et la position élevée des deux lignes.</w:t>
      </w:r>
    </w:p>
    <w:p>
      <w:pPr>
        <w:spacing w:after="120" w:line="276" w:lineRule="auto"/>
      </w:pPr>
      <w:r>
        <w:t>La **conclusion technique** est mitigée : les signaux sont partagés entre un momentum haussier (MACD) et des indicateurs de surachat (Stochastique, MM). La configuration suggère une consolidation à court terme avant une possible reprise de la tendance haussière, avec un support majeur autour de 11 450 FCFA.</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 milliards FCFA, en croissance de 10% par rapport à 2024 (172,2 milliards FCFA), avec un résultat net de 4,663 milliards FCFA, en hausse de 31% sur un an. Le ROE s'établit à 23,65%, excellent niveau, tandis que le ROA de 0,99% reflète la lourdeur du bilan (472,67 milliards FCFA d'actifs). La marge nette de 2,46% reste faible, typique du secteur de l'eau, mais s'améliore. Le BFR de 104,75 milliards FCFA est préoccupant, avec un délai clients de 749 jours, signalant un risque de trésorerie majeur. Les dettes totales de 452,96 milliards FCFA, soit un ratio d'endettement de 95,8%, pèsent sur la structure financière, bien que la couverture des intérêts soit confortable (15,8x). Sur la base du rapport T1 2026 (CA de 40,9 milliards FCFA, RN de 1,318 milliard FCFA, en hausse de 118%), on estime que l'exercice 2026 pourrait voir un résultat net supérieur à 5 milliards FCFA, confirmant la dynamique positive. Le rapport annuel 2025 mentionne un dividende de 525 FCFA par action, offrant un rendement de 4,4% au cours actuel, et une amélioration de l'EBE de 21% à 21,78 milliards FCFA.</w:t>
      </w:r>
    </w:p>
    <w:p>
      <w:pPr>
        <w:spacing w:after="120" w:line="276" w:lineRule="auto" w:before="240"/>
      </w:pPr>
      <w:r>
        <w:rPr>
          <w:b/>
          <w:color w:val="003366"/>
          <w:sz w:val="24"/>
        </w:rPr>
        <w:t>**PARTIE 4 : CONCLUSION D'INVESTISSEMENT**</w:t>
      </w:r>
    </w:p>
    <w:p>
      <w:pPr>
        <w:spacing w:after="120" w:line="276" w:lineRule="auto"/>
      </w:pPr>
      <w:r>
        <w:t>La valorisation de SDCC apparaît exigeante avec un PER de 23,2x et un P/B de 5,48x, nettement au-dessus des moyennes BRVM, signalant une surévaluation relative malgré des fondamentaux en amélioration. Le comportement du cours sur 100 jours (+62,16%) avec une volatilité élevée de 35,7% et un skewness négatif suggère un risque de correction, bien que la tendance reste haussière. Les signaux techniques sont divergents : le MACD est positif, mais le Stochastique et les moyennes mobiles indiquent une consolidation à court terme. Fondamentalement, la société affiche une croissance solide (CA +10%, RN +31% en 2025) et un ROE excellent de 23,65%, mais le BFR massif et le délai clients de 749 jours constituent des risques opérationnels majeurs. Les prédictions IA (11 720 à 11 266 FCFA sur 10 jours) confirment une correction attendue de -6% par rapport au cours actuel, en ligne avec les signaux techniques de surachat. La convergence entre la valorisation élevée, les signaux techniques de consolidation et les prédictions IA baissières conduit à une recommandation **CONSERVER** avec un niveau de confiance **Moyen** et un risque global **Élevé**. L'horizon d'investissement optimal serait le **moyen terme (3-12 mois)**, en attendant une meilleure entrée après correction et la confirmation des résultats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146.98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16,794 titres</w:t>
            </w:r>
          </w:p>
        </w:tc>
        <w:tc>
          <w:tcPr>
            <w:tcW w:type="dxa" w:w="2268"/>
            <w:shd w:fill="FFF2CC" w:val="clear"/>
          </w:tcPr>
          <w:p>
            <w:r>
              <w:rPr>
                <w:b/>
                <w:color w:val="503200"/>
                <w:sz w:val="16"/>
              </w:rPr>
              <w:t xml:space="preserve">Cours actuel : </w:t>
            </w:r>
            <w:r>
              <w:rPr>
                <w:color w:val="000000"/>
                <w:sz w:val="17"/>
              </w:rPr>
              <w:t>2,700 FCFA</w:t>
            </w:r>
          </w:p>
          <w:p>
            <w:r>
              <w:rPr>
                <w:b/>
                <w:color w:val="503200"/>
                <w:sz w:val="16"/>
              </w:rPr>
              <w:t xml:space="preserve">Var. 100 jours : </w:t>
            </w:r>
            <w:r>
              <w:rPr>
                <w:b/>
                <w:color w:val="007800"/>
                <w:sz w:val="17"/>
              </w:rPr>
              <w:t>+38.82%</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17.63% (Élevée) — μ=2,191 FCFA, σ=386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β=0.1837 (Défensif) — Cov=0.000006, Var(idx)=0.000034, ρ=0.035,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16,794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2,500</w:t>
            </w:r>
          </w:p>
        </w:tc>
        <w:tc>
          <w:tcPr>
            <w:tcW w:type="dxa" w:w="1440"/>
            <w:shd w:fill="FAFAFA" w:val="clear"/>
          </w:tcPr>
          <w:p>
            <w:r>
              <w:rPr>
                <w:b/>
                <w:sz w:val="17"/>
              </w:rPr>
              <w:t>2,665</w:t>
            </w:r>
          </w:p>
        </w:tc>
        <w:tc>
          <w:tcPr>
            <w:tcW w:type="dxa" w:w="1440"/>
            <w:shd w:fill="FAFAFA" w:val="clear"/>
          </w:tcPr>
          <w:p>
            <w:r>
              <w:rPr>
                <w:sz w:val="17"/>
              </w:rPr>
              <w:t>2,831</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2,409</w:t>
            </w:r>
          </w:p>
        </w:tc>
        <w:tc>
          <w:tcPr>
            <w:tcW w:type="dxa" w:w="1440"/>
            <w:shd w:fill="FFDCE0" w:val="clear"/>
          </w:tcPr>
          <w:p>
            <w:r>
              <w:rPr>
                <w:b/>
                <w:sz w:val="17"/>
              </w:rPr>
              <w:t>2,641</w:t>
            </w:r>
          </w:p>
        </w:tc>
        <w:tc>
          <w:tcPr>
            <w:tcW w:type="dxa" w:w="1440"/>
            <w:shd w:fill="FFDCE0" w:val="clear"/>
          </w:tcPr>
          <w:p>
            <w:r>
              <w:rPr>
                <w:sz w:val="17"/>
              </w:rPr>
              <w:t>2,873</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2,338</w:t>
            </w:r>
          </w:p>
        </w:tc>
        <w:tc>
          <w:tcPr>
            <w:tcW w:type="dxa" w:w="1440"/>
            <w:shd w:fill="FFDCE0" w:val="clear"/>
          </w:tcPr>
          <w:p>
            <w:r>
              <w:rPr>
                <w:b/>
                <w:sz w:val="17"/>
              </w:rPr>
              <w:t>2,620</w:t>
            </w:r>
          </w:p>
        </w:tc>
        <w:tc>
          <w:tcPr>
            <w:tcW w:type="dxa" w:w="1440"/>
            <w:shd w:fill="FFDCE0" w:val="clear"/>
          </w:tcPr>
          <w:p>
            <w:r>
              <w:rPr>
                <w:sz w:val="17"/>
              </w:rPr>
              <w:t>2,902</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2,278</w:t>
            </w:r>
          </w:p>
        </w:tc>
        <w:tc>
          <w:tcPr>
            <w:tcW w:type="dxa" w:w="1440"/>
            <w:shd w:fill="FFDCE0" w:val="clear"/>
          </w:tcPr>
          <w:p>
            <w:r>
              <w:rPr>
                <w:b/>
                <w:sz w:val="17"/>
              </w:rPr>
              <w:t>2,601</w:t>
            </w:r>
          </w:p>
        </w:tc>
        <w:tc>
          <w:tcPr>
            <w:tcW w:type="dxa" w:w="1440"/>
            <w:shd w:fill="FFDCE0" w:val="clear"/>
          </w:tcPr>
          <w:p>
            <w:r>
              <w:rPr>
                <w:sz w:val="17"/>
              </w:rPr>
              <w:t>2,924</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2,224</w:t>
            </w:r>
          </w:p>
        </w:tc>
        <w:tc>
          <w:tcPr>
            <w:tcW w:type="dxa" w:w="1440"/>
            <w:shd w:fill="FFDCE0" w:val="clear"/>
          </w:tcPr>
          <w:p>
            <w:r>
              <w:rPr>
                <w:b/>
                <w:sz w:val="17"/>
              </w:rPr>
              <w:t>2,583</w:t>
            </w:r>
          </w:p>
        </w:tc>
        <w:tc>
          <w:tcPr>
            <w:tcW w:type="dxa" w:w="1440"/>
            <w:shd w:fill="FFDCE0" w:val="clear"/>
          </w:tcPr>
          <w:p>
            <w:r>
              <w:rPr>
                <w:sz w:val="17"/>
              </w:rPr>
              <w:t>2,941</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2,175</w:t>
            </w:r>
          </w:p>
        </w:tc>
        <w:tc>
          <w:tcPr>
            <w:tcW w:type="dxa" w:w="1440"/>
            <w:shd w:fill="FFDCE0" w:val="clear"/>
          </w:tcPr>
          <w:p>
            <w:r>
              <w:rPr>
                <w:b/>
                <w:sz w:val="17"/>
              </w:rPr>
              <w:t>2,565</w:t>
            </w:r>
          </w:p>
        </w:tc>
        <w:tc>
          <w:tcPr>
            <w:tcW w:type="dxa" w:w="1440"/>
            <w:shd w:fill="FFDCE0" w:val="clear"/>
          </w:tcPr>
          <w:p>
            <w:r>
              <w:rPr>
                <w:sz w:val="17"/>
              </w:rPr>
              <w:t>2,955</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2,130</w:t>
            </w:r>
          </w:p>
        </w:tc>
        <w:tc>
          <w:tcPr>
            <w:tcW w:type="dxa" w:w="1440"/>
            <w:shd w:fill="FFDCE0" w:val="clear"/>
          </w:tcPr>
          <w:p>
            <w:r>
              <w:rPr>
                <w:b/>
                <w:sz w:val="17"/>
              </w:rPr>
              <w:t>2,548</w:t>
            </w:r>
          </w:p>
        </w:tc>
        <w:tc>
          <w:tcPr>
            <w:tcW w:type="dxa" w:w="1440"/>
            <w:shd w:fill="FFDCE0" w:val="clear"/>
          </w:tcPr>
          <w:p>
            <w:r>
              <w:rPr>
                <w:sz w:val="17"/>
              </w:rPr>
              <w:t>2,967</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2,087</w:t>
            </w:r>
          </w:p>
        </w:tc>
        <w:tc>
          <w:tcPr>
            <w:tcW w:type="dxa" w:w="1440"/>
            <w:shd w:fill="FFDCE0" w:val="clear"/>
          </w:tcPr>
          <w:p>
            <w:r>
              <w:rPr>
                <w:b/>
                <w:sz w:val="17"/>
              </w:rPr>
              <w:t>2,532</w:t>
            </w:r>
          </w:p>
        </w:tc>
        <w:tc>
          <w:tcPr>
            <w:tcW w:type="dxa" w:w="1440"/>
            <w:shd w:fill="FFDCE0" w:val="clear"/>
          </w:tcPr>
          <w:p>
            <w:r>
              <w:rPr>
                <w:sz w:val="17"/>
              </w:rPr>
              <w:t>2,976</w:t>
            </w:r>
          </w:p>
        </w:tc>
        <w:tc>
          <w:tcPr>
            <w:tcW w:type="dxa" w:w="1440"/>
            <w:shd w:fill="FFDCE0" w:val="clear"/>
          </w:tcPr>
          <w:p>
            <w:r>
              <w:rPr>
                <w:b/>
                <w:color w:val="C00000"/>
                <w:sz w:val="17"/>
              </w:rPr>
              <w:t>-6.2%</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2,047</w:t>
            </w:r>
          </w:p>
        </w:tc>
        <w:tc>
          <w:tcPr>
            <w:tcW w:type="dxa" w:w="1440"/>
            <w:shd w:fill="FFDCE0" w:val="clear"/>
          </w:tcPr>
          <w:p>
            <w:r>
              <w:rPr>
                <w:b/>
                <w:sz w:val="17"/>
              </w:rPr>
              <w:t>2,516</w:t>
            </w:r>
          </w:p>
        </w:tc>
        <w:tc>
          <w:tcPr>
            <w:tcW w:type="dxa" w:w="1440"/>
            <w:shd w:fill="FFDCE0" w:val="clear"/>
          </w:tcPr>
          <w:p>
            <w:r>
              <w:rPr>
                <w:sz w:val="17"/>
              </w:rPr>
              <w:t>2,984</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2,010</w:t>
            </w:r>
          </w:p>
        </w:tc>
        <w:tc>
          <w:tcPr>
            <w:tcW w:type="dxa" w:w="1440"/>
            <w:shd w:fill="FFDCE0" w:val="clear"/>
          </w:tcPr>
          <w:p>
            <w:r>
              <w:rPr>
                <w:b/>
                <w:sz w:val="17"/>
              </w:rPr>
              <w:t>2,500</w:t>
            </w:r>
          </w:p>
        </w:tc>
        <w:tc>
          <w:tcPr>
            <w:tcW w:type="dxa" w:w="1440"/>
            <w:shd w:fill="FFDCE0" w:val="clear"/>
          </w:tcPr>
          <w:p>
            <w:r>
              <w:rPr>
                <w:sz w:val="17"/>
              </w:rPr>
              <w:t>2,991</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 25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146,98 milliards FCFA, un niveau significatif qui la positionne parmi les valeurs moyennes à grandes de la BRVM. Avec un BPA de 387 FCFA, le titre se négocie à un PER de 7,0x, nettement inférieur à la moyenne du marché (8-12x), ce qui suggère une sous-évaluation relative du bénéfice. Le P/B de 1,89x indique que le marché valorise la société à près du double de sa valeur comptable, une décote acceptable pour une entreprise avec un ROE de 27%. Cependant, l'EV/EBITDA de 31,7x est très exigeant, signalant que la valeur d'entreprise (dette incluse) est élevée par rapport à la capacité opérationnelle brute, ce qui tempère l'attrait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+38,82%, passant d'un plus bas de 1 650 FCFA à un plus haut de 2 820 FCFA, avant de clôturer à 2 700 FCFA, en repli de -2,88% lors de la dernière séance. La moyenne sur la période (2 191 FCFA) est supérieure à la médiane (2 102 FCFA), indiquant une asymétrie positive avec des épisodes de forte hausse. L'écart-type de 388 FCFA (CV de 17,7%) révèle une dispersion modérée des prix. Le kurtosis négatif (-1,517) signale une distribution platykurtique, avec peu de valeurs extrêmes, tandis que le skewness de 0,202 confirme une distribution quasi symétrique. La volatilité annualisée de 49% est très élevée, typique d'un titre spéculatif sur la BRVM, reflétant un risque de marché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(2 700 FCFA) se situe au-dessus de la MM20 (2 664,75 FCFA) et de la MM50 (2 546,1 FCFA), confirmant une tendance haussière de moyen terme. La configuration des MM (MM20 &gt; MM50) est positive, et la décision d'achat est justifiée par la dynamique en place, bien que le repli récent doive être surveillé.</w:t>
      </w:r>
    </w:p>
    <w:p>
      <w:pPr>
        <w:spacing w:after="120" w:line="276" w:lineRule="auto"/>
      </w:pPr>
      <w:r>
        <w:t>**Bandes de Bollinger** : Le prix évolue entre la borne inférieure (2 457,4 FCFA) et la borne supérieure (2 872,1 FCFA), proche du milieu de la bande. La position actuelle est neutre, indiquant une volatilité modérée sans excès. Un écart vers la borne supérieure signalerait une surachat, tandis qu'un retour vers la borne inférieure offrirait un point d'entrée potentiel.</w:t>
      </w:r>
    </w:p>
    <w:p>
      <w:pPr>
        <w:spacing w:after="120" w:line="276" w:lineRule="auto"/>
      </w:pPr>
      <w:r>
        <w:t>**MACD** : Le MACD (55,888) est inférieur à son signal (61,12), générant une décision de vente. Cette divergence négative suggère un affaiblissement du momentum haussier à court terme, malgré la tendance de fond positive. Un croisement au-dessus du signal serait nécessaire pour confirmer une reprise.</w:t>
      </w:r>
    </w:p>
    <w:p>
      <w:pPr>
        <w:spacing w:after="120" w:line="276" w:lineRule="auto"/>
      </w:pPr>
      <w:r>
        <w:t>**RSI** : À 48,06, le RSI est en zone neutre (30-70), indiquant un équilibre entre pression acheteuse et vendeuse. Cette valeur ne signale ni surachat ni survente, laissant place à une évolution directionnelle sans contrainte technique.</w:t>
      </w:r>
    </w:p>
    <w:p>
      <w:pPr>
        <w:spacing w:after="120" w:line="276" w:lineRule="auto"/>
      </w:pPr>
      <w:r>
        <w:t>**Stochastique** : Le %K (78,4) est inférieur au %D (87,1), suggérant un croisement baissier potentiel. Bien que la décision soit neutre, la proximité de la zone de surachat (&gt;80) et la configuration actuelle appellent à la prudence pour les entrées à court terme.</w:t>
      </w:r>
    </w:p>
    <w:p>
      <w:pPr>
        <w:spacing w:after="120" w:line="276" w:lineRule="auto"/>
      </w:pPr>
      <w:r>
        <w:t>**Conclusion technique** : Les indicateurs sont mitigés : la tendance de fond reste haussière (MM), mais le MACD et le Stochastique montrent des signes de faiblesse à court terme. Le RSI neutre et les bandes de Bollinger sans excès suggèrent une consolidation. Globalement, le titre est dans une phase de correction légère après une forte hausse,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en croissance de 3,65%, avec un résultat net de 21,069 milliards FCFA, soit une marge nette de 24,6%. Le ROE est excellent à 27,08% et le ROA à 11,2%, témoignant d'une gestion efficace des capitaux propres et des actifs. La structure financière est saine : capitaux propres de 77,8 milliards (autonomie financière de 41,4%), une solvabilité générale de 170,5% et une capacité de remboursement de 0,56 an. Cependant, le délai clients de 466,9 jours est un point de vigilance majeur, indiquant un risque de trésorerie lié aux créances. En 2025, les rapports trimestriels montrent une croissance du CA de +7,4% (92,004 milliards), mais une chute drastique du résultat net à 0,785 milliard (marge nette de 0,85%), due à un résultat d'exploitation négatif (-2,27 milliards) et une baisse des dividendes de filiales. Le rapport du T3 2025 confirme cette tendance avec un RN en baisse de 77%. Sur la base de ces données, on estime que l'exercice 2025 sera marqué par une forte dégradation de la rentabilité, malgré une trésorerie abondante (74,78 milliards). La recommandation fondamentale est de conserver, en raison de la solidité bilancielle mais des risques opérationnels et fiscaux (taux d'impôt effectif de 83%).</w:t>
      </w:r>
    </w:p>
    <w:p>
      <w:pPr>
        <w:spacing w:after="120" w:line="276" w:lineRule="auto"/>
      </w:pPr>
      <w:r>
        <w:t>---</w:t>
      </w:r>
    </w:p>
    <w:p>
      <w:pPr>
        <w:spacing w:after="120" w:line="276" w:lineRule="auto"/>
      </w:pPr>
      <w:r>
        <w:t>### PARTIE 4 : CONCLUSION D'INVESTISSEMENT</w:t>
      </w:r>
    </w:p>
    <w:p>
      <w:pPr>
        <w:spacing w:after="120" w:line="276" w:lineRule="auto"/>
      </w:pPr>
      <w:r>
        <w:t>La valorisation de SDSC est contrastée : un PER de 7,0x suggère une sous-évaluation, mais l'EV/EBITDA de 31,7x et la chute des bénéfices 2025 (estimés à 0,78 milliard) rendent le PER actuel trompeur. Le comportement du cours montre une forte hausse (+38,8%) avec une volatilité élevée (49%), mais les statistiques (kurtosis platykurtique, skewness symétrique) indiquent une distribution stable sans extrêmes. Les signaux techniques sont mitigés : la tendance haussière (MM) est contrebalancée par un MACD vendeur et un Stochastique baissant. Fondamentalement, la société est solide (capitaux propres de 77,8 milliards, trésorerie de 74,78 milliards), mais la rentabilité s'effondre en 2025, et les prédictions IA (2 665 FCFA à J+1, 2 583 FCFA à J+10) anticipent une correction de -4,3%, confirmant les signaux techniques baissiers. En synthèse, la divergence entre la valorisation attrayante et les fondamentaux dégradés, couplée aux signaux techniques négatifs, justifie une recommandation de **CONSERVER** avec un niveau de confiance **Moyen**. Le risque global est **Élevé** en raison de la volatilité et de l'incertitude sur la reprise des marges. L'horizon d'investissement optimal est le **moyen terme (3-12 mois)**, en attendant une stabilisation des résultats opérationnels et une clarification de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5,610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-24.39%</w:t>
            </w:r>
          </w:p>
          <w:p>
            <w:r>
              <w:rPr>
                <w:b/>
                <w:color w:val="503200"/>
                <w:sz w:val="16"/>
              </w:rPr>
              <w:t xml:space="preserve">Plus haut 100j : </w:t>
            </w:r>
            <w:r>
              <w:rPr>
                <w:color w:val="000000"/>
                <w:sz w:val="17"/>
              </w:rPr>
              <w:t>2,050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9.75% (Moyenne) — μ=1,582 FCFA, σ=154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β=1.3858 (Agressif) — Cov=0.000047, Var(idx)=0.000034, ρ=0.258,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1,447</w:t>
            </w:r>
          </w:p>
        </w:tc>
        <w:tc>
          <w:tcPr>
            <w:tcW w:type="dxa" w:w="1440"/>
            <w:shd w:fill="FFDCE0" w:val="clear"/>
          </w:tcPr>
          <w:p>
            <w:r>
              <w:rPr>
                <w:b/>
                <w:sz w:val="17"/>
              </w:rPr>
              <w:t>1,516</w:t>
            </w:r>
          </w:p>
        </w:tc>
        <w:tc>
          <w:tcPr>
            <w:tcW w:type="dxa" w:w="1440"/>
            <w:shd w:fill="FFDCE0" w:val="clear"/>
          </w:tcPr>
          <w:p>
            <w:r>
              <w:rPr>
                <w:sz w:val="17"/>
              </w:rPr>
              <w:t>1,585</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1,407</w:t>
            </w:r>
          </w:p>
        </w:tc>
        <w:tc>
          <w:tcPr>
            <w:tcW w:type="dxa" w:w="1440"/>
            <w:shd w:fill="FFDCE0" w:val="clear"/>
          </w:tcPr>
          <w:p>
            <w:r>
              <w:rPr>
                <w:b/>
                <w:sz w:val="17"/>
              </w:rPr>
              <w:t>1,504</w:t>
            </w:r>
          </w:p>
        </w:tc>
        <w:tc>
          <w:tcPr>
            <w:tcW w:type="dxa" w:w="1440"/>
            <w:shd w:fill="FFDCE0" w:val="clear"/>
          </w:tcPr>
          <w:p>
            <w:r>
              <w:rPr>
                <w:sz w:val="17"/>
              </w:rPr>
              <w:t>1,601</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1,371</w:t>
            </w:r>
          </w:p>
        </w:tc>
        <w:tc>
          <w:tcPr>
            <w:tcW w:type="dxa" w:w="1440"/>
            <w:shd w:fill="FFDCE0" w:val="clear"/>
          </w:tcPr>
          <w:p>
            <w:r>
              <w:rPr>
                <w:b/>
                <w:sz w:val="17"/>
              </w:rPr>
              <w:t>1,489</w:t>
            </w:r>
          </w:p>
        </w:tc>
        <w:tc>
          <w:tcPr>
            <w:tcW w:type="dxa" w:w="1440"/>
            <w:shd w:fill="FFDCE0" w:val="clear"/>
          </w:tcPr>
          <w:p>
            <w:r>
              <w:rPr>
                <w:sz w:val="17"/>
              </w:rPr>
              <w:t>1,606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1,339</w:t>
            </w:r>
          </w:p>
        </w:tc>
        <w:tc>
          <w:tcPr>
            <w:tcW w:type="dxa" w:w="1440"/>
            <w:shd w:fill="FFDCE0" w:val="clear"/>
          </w:tcPr>
          <w:p>
            <w:r>
              <w:rPr>
                <w:b/>
                <w:sz w:val="17"/>
              </w:rPr>
              <w:t>1,473</w:t>
            </w:r>
          </w:p>
        </w:tc>
        <w:tc>
          <w:tcPr>
            <w:tcW w:type="dxa" w:w="1440"/>
            <w:shd w:fill="FFDCE0" w:val="clear"/>
          </w:tcPr>
          <w:p>
            <w:r>
              <w:rPr>
                <w:sz w:val="17"/>
              </w:rPr>
              <w:t>1,608</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1,309</w:t>
            </w:r>
          </w:p>
        </w:tc>
        <w:tc>
          <w:tcPr>
            <w:tcW w:type="dxa" w:w="1440"/>
            <w:shd w:fill="FFDCE0" w:val="clear"/>
          </w:tcPr>
          <w:p>
            <w:r>
              <w:rPr>
                <w:b/>
                <w:sz w:val="17"/>
              </w:rPr>
              <w:t>1,458</w:t>
            </w:r>
          </w:p>
        </w:tc>
        <w:tc>
          <w:tcPr>
            <w:tcW w:type="dxa" w:w="1440"/>
            <w:shd w:fill="FFDCE0" w:val="clear"/>
          </w:tcPr>
          <w:p>
            <w:r>
              <w:rPr>
                <w:sz w:val="17"/>
              </w:rPr>
              <w:t>1,607</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1,282</w:t>
            </w:r>
          </w:p>
        </w:tc>
        <w:tc>
          <w:tcPr>
            <w:tcW w:type="dxa" w:w="1440"/>
            <w:shd w:fill="FFDCE0" w:val="clear"/>
          </w:tcPr>
          <w:p>
            <w:r>
              <w:rPr>
                <w:b/>
                <w:sz w:val="17"/>
              </w:rPr>
              <w:t>1,443</w:t>
            </w:r>
          </w:p>
        </w:tc>
        <w:tc>
          <w:tcPr>
            <w:tcW w:type="dxa" w:w="1440"/>
            <w:shd w:fill="FFDCE0" w:val="clear"/>
          </w:tcPr>
          <w:p>
            <w:r>
              <w:rPr>
                <w:sz w:val="17"/>
              </w:rPr>
              <w:t>1,605</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1,256</w:t>
            </w:r>
          </w:p>
        </w:tc>
        <w:tc>
          <w:tcPr>
            <w:tcW w:type="dxa" w:w="1440"/>
            <w:shd w:fill="FFDCE0" w:val="clear"/>
          </w:tcPr>
          <w:p>
            <w:r>
              <w:rPr>
                <w:b/>
                <w:sz w:val="17"/>
              </w:rPr>
              <w:t>1,429</w:t>
            </w:r>
          </w:p>
        </w:tc>
        <w:tc>
          <w:tcPr>
            <w:tcW w:type="dxa" w:w="1440"/>
            <w:shd w:fill="FFDCE0" w:val="clear"/>
          </w:tcPr>
          <w:p>
            <w:r>
              <w:rPr>
                <w:sz w:val="17"/>
              </w:rPr>
              <w:t>1,601</w:t>
            </w:r>
          </w:p>
        </w:tc>
        <w:tc>
          <w:tcPr>
            <w:tcW w:type="dxa" w:w="1440"/>
            <w:shd w:fill="FFDCE0" w:val="clear"/>
          </w:tcPr>
          <w:p>
            <w:r>
              <w:rPr>
                <w:b/>
                <w:color w:val="C00000"/>
                <w:sz w:val="17"/>
              </w:rPr>
              <w:t>-7.8%</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1,232</w:t>
            </w:r>
          </w:p>
        </w:tc>
        <w:tc>
          <w:tcPr>
            <w:tcW w:type="dxa" w:w="1440"/>
            <w:shd w:fill="FFDCE0" w:val="clear"/>
          </w:tcPr>
          <w:p>
            <w:r>
              <w:rPr>
                <w:b/>
                <w:sz w:val="17"/>
              </w:rPr>
              <w:t>1,414</w:t>
            </w:r>
          </w:p>
        </w:tc>
        <w:tc>
          <w:tcPr>
            <w:tcW w:type="dxa" w:w="1440"/>
            <w:shd w:fill="FFDCE0" w:val="clear"/>
          </w:tcPr>
          <w:p>
            <w:r>
              <w:rPr>
                <w:sz w:val="17"/>
              </w:rPr>
              <w:t>1,597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1,209</w:t>
            </w:r>
          </w:p>
        </w:tc>
        <w:tc>
          <w:tcPr>
            <w:tcW w:type="dxa" w:w="1440"/>
            <w:shd w:fill="FFDCE0" w:val="clear"/>
          </w:tcPr>
          <w:p>
            <w:r>
              <w:rPr>
                <w:b/>
                <w:sz w:val="17"/>
              </w:rPr>
              <w:t>1,401</w:t>
            </w:r>
          </w:p>
        </w:tc>
        <w:tc>
          <w:tcPr>
            <w:tcW w:type="dxa" w:w="1440"/>
            <w:shd w:fill="FFDCE0" w:val="clear"/>
          </w:tcPr>
          <w:p>
            <w:r>
              <w:rPr>
                <w:sz w:val="17"/>
              </w:rPr>
              <w:t>1,593</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1,187</w:t>
            </w:r>
          </w:p>
        </w:tc>
        <w:tc>
          <w:tcPr>
            <w:tcW w:type="dxa" w:w="1440"/>
            <w:shd w:fill="FFDCE0" w:val="clear"/>
          </w:tcPr>
          <w:p>
            <w:r>
              <w:rPr>
                <w:b/>
                <w:sz w:val="17"/>
              </w:rPr>
              <w:t>1,387</w:t>
            </w:r>
          </w:p>
        </w:tc>
        <w:tc>
          <w:tcPr>
            <w:tcW w:type="dxa" w:w="1440"/>
            <w:shd w:fill="FFDCE0" w:val="clear"/>
          </w:tcPr>
          <w:p>
            <w:r>
              <w:rPr>
                <w:sz w:val="17"/>
              </w:rPr>
              <w:t>1,587</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39,04 milliards FCFA, un niveau modeste dans le contexte de la BRVM, qui positionne la société parmi les valeurs de taille moyenne du marché. Les ratios de valorisation (BPA, PER, P/B, EV/EBITDA) ne sont pas calculables en raison de l'absence de données financières structurées dans la base, ce qui constitue une limite pour l'évaluation comparative. Toutefois, sur la base des résultats 2023 (bénéfice net de 1,01 milliard FCFA) et du nombre d'actions en circulation (environ 25,2 millions), le BPA ressortirait à environ 40 FCFA, impliquant un PER d'environ 38x, très supérieur à la moyenne BRVM (8-12x), ce qui suggère une valorisation exigeante. Cette situation s'explique par la suspension de la cote et le flottant insuffisant, qui limitent la liquidité et faussent la lecture des multiples.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24,39%, passant de 2 050 FCFA (plus haut) à 1 550 FCFA (cours actuel), avec un plus bas à 1 350 FCFA, illustrant une tendance baissière marquée. La variation à J-1 est nulle (0,00%), indiquant une stabilisation temporaire après la chute. La moyenne du cours (1 582 FCFA) est légèrement supérieure à la médiane (1 538 FCFA), suggérant une distribution légèrement asymétrique à gauche, confirmée par un skewness positif de 1,466, signifiant que les journées sous la moyenne sont plus fréquentes. L'écart-type de 155 FCFA (CV=9,8%) reflète une dispersion modérée, mais le kurtosis de 1,349 (leptokurtique) indique un risque de mouvements extrêmes. La volatilité annualisée de 49,6% classe le titre comme très volatil, un niveau élevé qui exige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(1 550 FCFA) se situe au-dessus des MM20 (1 506,25 FCFA) et MM50 (1 505,40 FCFA), indiquant une dynamique haussière à court terme malgré la tendance baissière globale. La proximité des deux moyennes suggère une consolidation, mais le franchissement de ces niveaux pourrait confirmer un rebond technique. La décision d'achat est justifiée par cette configuration positive.</w:t>
      </w:r>
    </w:p>
    <w:p>
      <w:pPr>
        <w:spacing w:after="120" w:line="276" w:lineRule="auto"/>
      </w:pPr>
      <w:r>
        <w:t>**Bandes de Bollinger** : Le prix évolue entre la borne inférieure (1 410,50 FCFA) et la borne supérieure (1 601,99 FCFA), avec une position médiane (1 550 FCFA) qui indique une volatilité modérée. La décision neutre reflète l'absence de signal directionnel fort, le cours n'étant ni en zone de surachat ni de survente. Une sortie des bandes pourrait signaler une accélération du mouvement.</w:t>
      </w:r>
    </w:p>
    <w:p>
      <w:pPr>
        <w:spacing w:after="120" w:line="276" w:lineRule="auto"/>
      </w:pPr>
      <w:r>
        <w:t>**MACD** : La valeur du MACD (19,588) est nettement supérieure à son signal (9,921), confirmant un momentum haussier positif. Cette divergence positive indique une dynamique d'achat en cours, même si la faiblesse des volumes (5 610 titres/jour) limite la portée du signal. La décision d'achat est cohérente avec cette configuration.</w:t>
      </w:r>
    </w:p>
    <w:p>
      <w:pPr>
        <w:spacing w:after="120" w:line="276" w:lineRule="auto"/>
      </w:pPr>
      <w:r>
        <w:t>**RSI** : À 62,069, le RSI se situe en zone neutre (30-70), sans signal de surachat ni de survente. Cette valeur suggère une pression acheteuse modérée, mais sans excès, laissant une marge de progression avant d'atteindre la zone de surachat (&gt;70). La décision neutre est appropriée.</w:t>
      </w:r>
    </w:p>
    <w:p>
      <w:pPr>
        <w:spacing w:after="120" w:line="276" w:lineRule="auto"/>
      </w:pPr>
      <w:r>
        <w:t>**Stochastique** : Le %K (67,742) est inférieur au %D (76,344), indiquant un croisement baissier potentiel, bien que les deux valeurs restent en zone élevée. Cette configuration suggère un essoufflement du momentum haussier à court terme, justifiant une décision neutre avec prudence.</w:t>
      </w:r>
    </w:p>
    <w:p>
      <w:pPr>
        <w:spacing w:after="120" w:line="276" w:lineRule="auto"/>
      </w:pPr>
      <w:r>
        <w:t>**Conclusion technique** : La convergence des indicateurs (MM, MACD) vers des signaux d'achat contraste avec la neutralité du RSI et du Stochastique, créant un tableau mitigé. La tendance baissière de fond (100 jours) et la faiblesse des volumes incitent à la prudence, malgré les signaux positifs à court terme. Une confirmation par le franchissement des 1 600 FCFA serait nécessaire pour valider un rebond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fournissent des informations essentielles. Le rapport du 31 décembre 2024 (analysé en mars 2026) indique que le chiffre d'affaires 2023 s'élève à 27,88 milliards FCFA, en baisse de 6% par rapport à 2022 (29,60 milliards FCFA), avec un résultat net de 1,01 milliard FCFA (contre 3,86 milliards en 2022, soit -74%). La marge nette s'est effondrée à 3,6% (vs 13,0% en 2022), et le dividende est nul depuis 2022. Le rapport du 31 décembre 2023 (exercice 2022) mentionne un CA consolidé de 125,4 milliards FCFA et un bénéfice net de 12,8 milliards FCFA, mais ces chiffres semblent incohérents avec les données 2023, suggérant des périmètres différents (consolidé vs social). Le rapport du 31 décembre 2022 (T1 2023) montre un CA trimestriel de 7,65 milliards FCFA (+16,5%) et un bénéfice net de 855,65 millions FCFA (+37,9%), indiquant une amélioration opérationnelle. Sur la base de ces éléments, l'exercice 2024 pourrait voir un rebond modéré, mais la suspension de la cote BRVM (flottant insuffisant) et le rachat par Sonoco (décembre 2024) créent une incertitude majeure. La recommandation fondamentale est de conserver avec vigilance, compte tenu des risques opérationnels et de gouvernance.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SEMC est difficile à évaluer faute de ratios calculables, mais le PER implicite (~38x) suggère une surévaluation relative au marché BRVM. Le comportement du cours (baisse de 24,39% sur 100 jours, volatilité élevée de 49,6%, kurtosis leptokurtique) est préoccupant, malgré une stabilisation récente. Les signaux techniques sont mitigés : les MM et le MACD indiquent un potentiel rebond, mais le RSI et le Stochastique restent neutres, et les volumes sont faibles. Les fondamentaux montrent une dégradation sévère en 2023 (baisse du CA et du résultat net), avec des perspectives incertaines liées au rachat par Sonoco et à la suspension de la cote. Les prédictions IA (1 516 FCFA à J+1, 1 458 FCFA à J+10) confirment une tendance baissière à court terme, contredisant les signaux techniques positifs. En synthèse, la convergence entre la faiblesse des fondamentaux, la volatilité du cours et les prédictions baissières l'emporte sur les signaux techniques isolés. **Recommandation : VENTE**, avec un niveau de confiance **Moyen** et un risque global **Élevé**. Horizon d'investissement : **court terme (&lt;3 mois)**, en attendant une clarification sur la gouvernance et la levée de la suspension.</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1212.87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4,903 titres</w:t>
            </w:r>
          </w:p>
        </w:tc>
        <w:tc>
          <w:tcPr>
            <w:tcW w:type="dxa" w:w="2268"/>
            <w:shd w:fill="FFF2CC" w:val="clear"/>
          </w:tcPr>
          <w:p>
            <w:r>
              <w:rPr>
                <w:b/>
                <w:color w:val="503200"/>
                <w:sz w:val="16"/>
              </w:rPr>
              <w:t xml:space="preserve">Cours actuel : </w:t>
            </w:r>
            <w:r>
              <w:rPr>
                <w:color w:val="000000"/>
                <w:sz w:val="17"/>
              </w:rPr>
              <w:t>38,985 FCFA</w:t>
            </w:r>
          </w:p>
          <w:p>
            <w:r>
              <w:rPr>
                <w:b/>
                <w:color w:val="503200"/>
                <w:sz w:val="16"/>
              </w:rPr>
              <w:t xml:space="preserve">Var. 100 jours : </w:t>
            </w:r>
            <w:r>
              <w:rPr>
                <w:b/>
                <w:color w:val="007800"/>
                <w:sz w:val="17"/>
              </w:rPr>
              <w:t>+12.03%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μ=36,917 FCFA, σ=2,123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β=0.5440 (Défensif) — Cov=0.000018, Var(idx)=0.000034, ρ=0.206,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37,723</w:t>
            </w:r>
          </w:p>
        </w:tc>
        <w:tc>
          <w:tcPr>
            <w:tcW w:type="dxa" w:w="1440"/>
            <w:shd w:fill="FAFAFA" w:val="clear"/>
          </w:tcPr>
          <w:p>
            <w:r>
              <w:rPr>
                <w:b/>
                <w:sz w:val="17"/>
              </w:rPr>
              <w:t>38,536</w:t>
            </w:r>
          </w:p>
        </w:tc>
        <w:tc>
          <w:tcPr>
            <w:tcW w:type="dxa" w:w="1440"/>
            <w:shd w:fill="FAFAFA" w:val="clear"/>
          </w:tcPr>
          <w:p>
            <w:r>
              <w:rPr>
                <w:sz w:val="17"/>
              </w:rPr>
              <w:t>39,350</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37,302</w:t>
            </w:r>
          </w:p>
        </w:tc>
        <w:tc>
          <w:tcPr>
            <w:tcW w:type="dxa" w:w="1440"/>
            <w:shd w:fill="FAFAFA" w:val="clear"/>
          </w:tcPr>
          <w:p>
            <w:r>
              <w:rPr>
                <w:b/>
                <w:sz w:val="17"/>
              </w:rPr>
              <w:t>38,451</w:t>
            </w:r>
          </w:p>
        </w:tc>
        <w:tc>
          <w:tcPr>
            <w:tcW w:type="dxa" w:w="1440"/>
            <w:shd w:fill="FAFAFA" w:val="clear"/>
          </w:tcPr>
          <w:p>
            <w:r>
              <w:rPr>
                <w:sz w:val="17"/>
              </w:rPr>
              <w:t>39,599</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36,950</w:t>
            </w:r>
          </w:p>
        </w:tc>
        <w:tc>
          <w:tcPr>
            <w:tcW w:type="dxa" w:w="1440"/>
            <w:shd w:fill="FAFAFA" w:val="clear"/>
          </w:tcPr>
          <w:p>
            <w:r>
              <w:rPr>
                <w:b/>
                <w:sz w:val="17"/>
              </w:rPr>
              <w:t>38,353</w:t>
            </w:r>
          </w:p>
        </w:tc>
        <w:tc>
          <w:tcPr>
            <w:tcW w:type="dxa" w:w="1440"/>
            <w:shd w:fill="FAFAFA" w:val="clear"/>
          </w:tcPr>
          <w:p>
            <w:r>
              <w:rPr>
                <w:sz w:val="17"/>
              </w:rPr>
              <w:t>39,756</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2026-08-31</w:t>
            </w:r>
          </w:p>
        </w:tc>
        <w:tc>
          <w:tcPr>
            <w:tcW w:type="dxa" w:w="1440"/>
            <w:shd w:fill="FAFAFA" w:val="clear"/>
          </w:tcPr>
          <w:p>
            <w:r>
              <w:rPr>
                <w:sz w:val="17"/>
              </w:rPr>
              <w:t>36,643</w:t>
            </w:r>
          </w:p>
        </w:tc>
        <w:tc>
          <w:tcPr>
            <w:tcW w:type="dxa" w:w="1440"/>
            <w:shd w:fill="FAFAFA" w:val="clear"/>
          </w:tcPr>
          <w:p>
            <w:r>
              <w:rPr>
                <w:b/>
                <w:sz w:val="17"/>
              </w:rPr>
              <w:t>38,259</w:t>
            </w:r>
          </w:p>
        </w:tc>
        <w:tc>
          <w:tcPr>
            <w:tcW w:type="dxa" w:w="1440"/>
            <w:shd w:fill="FAFAFA" w:val="clear"/>
          </w:tcPr>
          <w:p>
            <w:r>
              <w:rPr>
                <w:sz w:val="17"/>
              </w:rPr>
              <w:t>39,876</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36,367</w:t>
            </w:r>
          </w:p>
        </w:tc>
        <w:tc>
          <w:tcPr>
            <w:tcW w:type="dxa" w:w="1440"/>
            <w:shd w:fill="FFDCE0" w:val="clear"/>
          </w:tcPr>
          <w:p>
            <w:r>
              <w:rPr>
                <w:b/>
                <w:sz w:val="17"/>
              </w:rPr>
              <w:t>38,170</w:t>
            </w:r>
          </w:p>
        </w:tc>
        <w:tc>
          <w:tcPr>
            <w:tcW w:type="dxa" w:w="1440"/>
            <w:shd w:fill="FFDCE0" w:val="clear"/>
          </w:tcPr>
          <w:p>
            <w:r>
              <w:rPr>
                <w:sz w:val="17"/>
              </w:rPr>
              <w:t>39,973</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36,114</w:t>
            </w:r>
          </w:p>
        </w:tc>
        <w:tc>
          <w:tcPr>
            <w:tcW w:type="dxa" w:w="1440"/>
            <w:shd w:fill="FFDCE0" w:val="clear"/>
          </w:tcPr>
          <w:p>
            <w:r>
              <w:rPr>
                <w:b/>
                <w:sz w:val="17"/>
              </w:rPr>
              <w:t>38,084</w:t>
            </w:r>
          </w:p>
        </w:tc>
        <w:tc>
          <w:tcPr>
            <w:tcW w:type="dxa" w:w="1440"/>
            <w:shd w:fill="FFDCE0" w:val="clear"/>
          </w:tcPr>
          <w:p>
            <w:r>
              <w:rPr>
                <w:sz w:val="17"/>
              </w:rPr>
              <w:t>40,054</w:t>
            </w:r>
          </w:p>
        </w:tc>
        <w:tc>
          <w:tcPr>
            <w:tcW w:type="dxa" w:w="1440"/>
            <w:shd w:fill="FFDCE0" w:val="clear"/>
          </w:tcPr>
          <w:p>
            <w:r>
              <w:rPr>
                <w:b/>
                <w:color w:val="C00000"/>
                <w:sz w:val="17"/>
              </w:rPr>
              <w:t>-2.3%</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35,877</w:t>
            </w:r>
          </w:p>
        </w:tc>
        <w:tc>
          <w:tcPr>
            <w:tcW w:type="dxa" w:w="1440"/>
            <w:shd w:fill="FFDCE0" w:val="clear"/>
          </w:tcPr>
          <w:p>
            <w:r>
              <w:rPr>
                <w:b/>
                <w:sz w:val="17"/>
              </w:rPr>
              <w:t>38,001</w:t>
            </w:r>
          </w:p>
        </w:tc>
        <w:tc>
          <w:tcPr>
            <w:tcW w:type="dxa" w:w="1440"/>
            <w:shd w:fill="FFDCE0" w:val="clear"/>
          </w:tcPr>
          <w:p>
            <w:r>
              <w:rPr>
                <w:sz w:val="17"/>
              </w:rPr>
              <w:t>40,124</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35,654</w:t>
            </w:r>
          </w:p>
        </w:tc>
        <w:tc>
          <w:tcPr>
            <w:tcW w:type="dxa" w:w="1440"/>
            <w:shd w:fill="FFDCE0" w:val="clear"/>
          </w:tcPr>
          <w:p>
            <w:r>
              <w:rPr>
                <w:b/>
                <w:sz w:val="17"/>
              </w:rPr>
              <w:t>37,919</w:t>
            </w:r>
          </w:p>
        </w:tc>
        <w:tc>
          <w:tcPr>
            <w:tcW w:type="dxa" w:w="1440"/>
            <w:shd w:fill="FFDCE0" w:val="clear"/>
          </w:tcPr>
          <w:p>
            <w:r>
              <w:rPr>
                <w:sz w:val="17"/>
              </w:rPr>
              <w:t>40,184</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35,442</w:t>
            </w:r>
          </w:p>
        </w:tc>
        <w:tc>
          <w:tcPr>
            <w:tcW w:type="dxa" w:w="1440"/>
            <w:shd w:fill="FFDCE0" w:val="clear"/>
          </w:tcPr>
          <w:p>
            <w:r>
              <w:rPr>
                <w:b/>
                <w:sz w:val="17"/>
              </w:rPr>
              <w:t>37,839</w:t>
            </w:r>
          </w:p>
        </w:tc>
        <w:tc>
          <w:tcPr>
            <w:tcW w:type="dxa" w:w="1440"/>
            <w:shd w:fill="FFDCE0" w:val="clear"/>
          </w:tcPr>
          <w:p>
            <w:r>
              <w:rPr>
                <w:sz w:val="17"/>
              </w:rPr>
              <w:t>40,237</w:t>
            </w:r>
          </w:p>
        </w:tc>
        <w:tc>
          <w:tcPr>
            <w:tcW w:type="dxa" w:w="1440"/>
            <w:shd w:fill="FFDCE0" w:val="clear"/>
          </w:tcPr>
          <w:p>
            <w:r>
              <w:rPr>
                <w:b/>
                <w:color w:val="C00000"/>
                <w:sz w:val="17"/>
              </w:rPr>
              <w:t>-2.9%</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35,238</w:t>
            </w:r>
          </w:p>
        </w:tc>
        <w:tc>
          <w:tcPr>
            <w:tcW w:type="dxa" w:w="1440"/>
            <w:shd w:fill="FFDCE0" w:val="clear"/>
          </w:tcPr>
          <w:p>
            <w:r>
              <w:rPr>
                <w:b/>
                <w:sz w:val="17"/>
              </w:rPr>
              <w:t>37,760</w:t>
            </w:r>
          </w:p>
        </w:tc>
        <w:tc>
          <w:tcPr>
            <w:tcW w:type="dxa" w:w="1440"/>
            <w:shd w:fill="FFDCE0" w:val="clear"/>
          </w:tcPr>
          <w:p>
            <w:r>
              <w:rPr>
                <w:sz w:val="17"/>
              </w:rPr>
              <w:t>40,282</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1 212,87 milliards FCFA, ce qui en fait l'une des plus importantes valeurs de la BRVM, reflétant son statut de leader bancaire en Côte d'Ivoire. Avec un BPA de 3 258 FCFA, chaque action génère un bénéfice substantiel, justifiant un PER de 12,0x, légèrement au-dessus de la moyenne historique de la BRVM (8-12x), ce qui indique une valorisation raisonnable mais non bon marché, les investisseurs acceptant de payer une prime pour la qualité de l'actif. Le P/B de 2,45x confirme cette prime de croissance accordée par le marché, le cours se négociant nettement au-dessus de la valeur comptable des fonds propres. En revanche, l'EV/EBITDA de 24,7x apparaît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remarquable de +12,03%, malgré un léger repli de -0,54% lors de la dernière séance, le cours s'établissant à 38 985 FCFA. Le titre a évolué dans une fourchette de 32 800 FCFA (plus bas) à 39 300 FCFA (plus haut), démontrant une tendance haussière soutenue. La moyenne (36 917 FCFA) étant inférieure à la médiane (37 995 FCFA), la distribution des prix est asymétrique, avec une concentration des cours vers le haut de la fourchette, confirmant la pression acheteuse. L'écart-type de 2 133 FCFA (CV=5,8%) indique une dispersion modérée, tandis que le kurtosis négatif (-1,163) révèle une distribution aplatie, sans pics de volatilité extrêmes. Le skewness négatif (-0,576) suggère que les rendements positifs ont été plus fréquents mais de moindre ampleur que les rares rendements négatifs. La volatilité annualisée de 24,4% classe le titre dans une zone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 cours actuel (38 985 FCFA) se positionne au-dessus de la MM20 (38 516,5 FCFA) et de la MM50 (38 566,8 FCFA), indiquant une dynamique positive à court et moyen terme. Cependant, la décision de vente suggérée par cet indicateur peut s'expliquer par un possible essoufflement du momentum après une forte progression, les moyennes étant très proches du cours, signalant une consolidation imminente.</w:t>
      </w:r>
    </w:p>
    <w:p>
      <w:pPr>
        <w:spacing w:after="120" w:line="276" w:lineRule="auto"/>
      </w:pPr>
      <w:r>
        <w:t>**Bandes de Bollinger** : Le prix se situe à l'intérieur des bandes (borne supérieure à 39 702 FCFA, borne inférieure à 37 331 FCFA), avec une largeur de bande modérée reflétant une volatilité normale. La position du cours proche de la borne supérieure indique une pression acheteuse persistante, mais la décision neutre suggère que le marché attend un catalyseur pour poursuivre ou corriger.</w:t>
      </w:r>
    </w:p>
    <w:p>
      <w:pPr>
        <w:spacing w:after="120" w:line="276" w:lineRule="auto"/>
      </w:pPr>
      <w:r>
        <w:t>**MACD** : La valeur du MACD (191,13) est supérieure à son signal (157,845), générant un signal d'achat clair. Cette configuration positive indique que le momentum haussier est toujours en vigueur, bien que l'écart entre les deux lignes reste modéré, ce qui pourrait limiter l'intensité du mouvement à venir.</w:t>
      </w:r>
    </w:p>
    <w:p>
      <w:pPr>
        <w:spacing w:after="120" w:line="276" w:lineRule="auto"/>
      </w:pPr>
      <w:r>
        <w:t>**RSI** : À 57,734, le RSI se situe en zone neutre (30-70), sans signal de surachat ni de survente. Cette valeur suggère que le titre dispose encore de marge pour progresser avant d'atteindre des niveaux de surachat, mais elle n'indique pas non plus une force directionnelle particulière.</w:t>
      </w:r>
    </w:p>
    <w:p>
      <w:pPr>
        <w:spacing w:after="120" w:line="276" w:lineRule="auto"/>
      </w:pPr>
      <w:r>
        <w:t>**Stochastique** : Le %K (80,251) est nettement supérieur au %D (57,889), indiquant une dynamique positive à court terme. Cependant, la valeur élevée du %K proche de la zone de surachat (&gt;80) et la décision de vente suggèrent un possible retournement imminent ou une consolidation à venir.</w:t>
      </w:r>
    </w:p>
    <w:p>
      <w:pPr>
        <w:spacing w:after="120" w:line="276" w:lineRule="auto"/>
      </w:pPr>
      <w:r>
        <w:t>**Conclusion technique** : Les indicateurs sont mitigés, avec un MACD positif et un RSI neutre, mais des moyennes mobiles et un stochastique en zone de surachat suggérant une prudence. La tendance de fond reste haussière, mais un repli technique de court terme est possible avant la poursuite du mouvement.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banque extrêmement solide et rentable. Le Produit Net Bancaire (PNB) s'établit à 276,048 milliards FCFA, en croissance de +4,88%, avec un résultat net record de 101,352 milliards FCFA. La rentabilité est exceptionnelle : le ROE atteint 20,47% (excellent, &gt;15%) et le ROA de 2,69% témoigne d'une gestion efficace des actifs. Le coefficient d'exploitation de 38,75% est remarquablement bas, confirmant une maîtrise des coûts exemplaire. Le coût du risque, avec des provisions de 17,995 milliards FCFA, reste contenu, reflétant un portefeuille de crédits de qualité. Les dépôts clientèle (2 907,675 milliards FCFA) excèdent largement les créances clientèle (2 546,290 milliards FCFA), démontrant une transformation saine et une liquidité abondante. Les rapports trimestriels 2025 confirment cette trajectoire : le T1 2025 (PNB 66,3 Mds, +1,3%) et le S1 2025 (PNB 132,0 Mds, +1,0%, résultat net 53,1 Mds, +10,0%) montrent une croissance soutenue, tandis que le cumul 9 mois 2025 (PNB 201,0 Mds, +2,5%, résultat net 83,3 Mds, +11,7%) indique une accélération. Le rapport annuel 2024 (PNB 263,2 Mds, +3,9%, résultat net 101,2 Mds, +4,1%) et le T1 2025 confirment la solidité. Sur la base de ces tendances, on estime que l'exercice 2025 devrait dépasser les 105 milliards de résultat net, avec un ROE maintenu au-dessus de 20%. La banque affiche une notation AAA, unique sur le marché, et un ratio de solvabilité de 17,7%, très au-dessus du minimum réglementaire. La recommandation fondamentale est clairement positive, avec une solidité financière exceptionnelle et des perspectives de croissance durable.</w:t>
      </w:r>
    </w:p>
    <w:p>
      <w:pPr>
        <w:spacing w:after="120" w:line="276" w:lineRule="auto" w:before="240"/>
      </w:pPr>
      <w:r>
        <w:rPr>
          <w:b/>
          <w:color w:val="003366"/>
          <w:sz w:val="24"/>
        </w:rPr>
        <w:t>**PARTIE 4 : CONCLUSION D'INVESTISSEMENT**</w:t>
      </w:r>
    </w:p>
    <w:p>
      <w:pPr>
        <w:spacing w:after="120" w:line="276" w:lineRule="auto"/>
      </w:pPr>
      <w:r>
        <w:t>La valorisation de SGBC (PER 12,0x, P/B 2,45x, EV/EBITDA 24,7x) indique une prime de qualité, mais reste raisonnable pour un acteur de cette envergure. Le comportement du cours sur 100 jours (+12,03%) avec une volatilité modérée (24,4%) et une distribution asymétrique positive est favorable, bien que le kurtosis platykurtique suggère un risque de mouvements brusques. Les signaux techniques sont mitigés : le MACD est positif, le RSI neutre, mais les moyennes mobiles et le stochastique appellent à la prudence à court terme. Les fondamentaux sont exceptionnellement solides, avec un ROE de 20,47%, un coefficient d'exploitation de 38,75% et une notation AAA, soutenus par des rapports trimestriels 2025 en amélioration continue. Les prédictions IA (38 536 à 38 170 FCFA sur 10 jours) suggèrent une légère correction, contredisant partiellement le momentum haussier. La synthèse globale penche vers une recommandation **ACHAT** pour les investisseurs de moyen et long terme, avec un niveau de confiance **Élevé** et un risque global **Moyen**. L'horizon d'investissement optimal est le **moyen terme (3-12 mois)**, où la solidité fondamentale et la croissance des bénéfices devraient primer sur la volatilité technique à court terme.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156.24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4,340 titres</w:t>
            </w:r>
          </w:p>
        </w:tc>
        <w:tc>
          <w:tcPr>
            <w:tcW w:type="dxa" w:w="2268"/>
            <w:shd w:fill="FFF2CC" w:val="clear"/>
          </w:tcPr>
          <w:p>
            <w:r>
              <w:rPr>
                <w:b/>
                <w:color w:val="503200"/>
                <w:sz w:val="16"/>
              </w:rPr>
              <w:t xml:space="preserve">Cours actuel : </w:t>
            </w:r>
            <w:r>
              <w:rPr>
                <w:color w:val="000000"/>
                <w:sz w:val="17"/>
              </w:rPr>
              <w:t>2,480 FCFA</w:t>
            </w:r>
          </w:p>
          <w:p>
            <w:r>
              <w:rPr>
                <w:b/>
                <w:color w:val="503200"/>
                <w:sz w:val="16"/>
              </w:rPr>
              <w:t xml:space="preserve">Var. 100 jours : </w:t>
            </w:r>
            <w:r>
              <w:rPr>
                <w:b/>
                <w:color w:val="007800"/>
                <w:sz w:val="17"/>
              </w:rPr>
              <w:t>+12.73%</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μ=2,117 FCFA, σ=143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β=1.1451 (Neutre (suit le marché)) — Cov=0.000039, Var(idx)=0.000034, ρ=0.301,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2,228</w:t>
            </w:r>
          </w:p>
        </w:tc>
        <w:tc>
          <w:tcPr>
            <w:tcW w:type="dxa" w:w="1440"/>
            <w:shd w:fill="FFDCE0" w:val="clear"/>
          </w:tcPr>
          <w:p>
            <w:r>
              <w:rPr>
                <w:b/>
                <w:sz w:val="17"/>
              </w:rPr>
              <w:t>2,315</w:t>
            </w:r>
          </w:p>
        </w:tc>
        <w:tc>
          <w:tcPr>
            <w:tcW w:type="dxa" w:w="1440"/>
            <w:shd w:fill="FFDCE0" w:val="clear"/>
          </w:tcPr>
          <w:p>
            <w:r>
              <w:rPr>
                <w:sz w:val="17"/>
              </w:rPr>
              <w:t>2,402</w:t>
            </w:r>
          </w:p>
        </w:tc>
        <w:tc>
          <w:tcPr>
            <w:tcW w:type="dxa" w:w="1440"/>
            <w:shd w:fill="FFDCE0" w:val="clear"/>
          </w:tcPr>
          <w:p>
            <w:r>
              <w:rPr>
                <w:b/>
                <w:color w:val="C00000"/>
                <w:sz w:val="17"/>
              </w:rPr>
              <w:t>-6.7%</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2,078</w:t>
            </w:r>
          </w:p>
        </w:tc>
        <w:tc>
          <w:tcPr>
            <w:tcW w:type="dxa" w:w="1440"/>
            <w:shd w:fill="FFDCE0" w:val="clear"/>
          </w:tcPr>
          <w:p>
            <w:r>
              <w:rPr>
                <w:b/>
                <w:sz w:val="17"/>
              </w:rPr>
              <w:t>2,194</w:t>
            </w:r>
          </w:p>
        </w:tc>
        <w:tc>
          <w:tcPr>
            <w:tcW w:type="dxa" w:w="1440"/>
            <w:shd w:fill="FFDCE0" w:val="clear"/>
          </w:tcPr>
          <w:p>
            <w:r>
              <w:rPr>
                <w:sz w:val="17"/>
              </w:rPr>
              <w:t>2,310</w:t>
            </w:r>
          </w:p>
        </w:tc>
        <w:tc>
          <w:tcPr>
            <w:tcW w:type="dxa" w:w="1440"/>
            <w:shd w:fill="FFDCE0" w:val="clear"/>
          </w:tcPr>
          <w:p>
            <w:r>
              <w:rPr>
                <w:b/>
                <w:color w:val="C00000"/>
                <w:sz w:val="17"/>
              </w:rPr>
              <w:t>-11.5%</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1,952</w:t>
            </w:r>
          </w:p>
        </w:tc>
        <w:tc>
          <w:tcPr>
            <w:tcW w:type="dxa" w:w="1440"/>
            <w:shd w:fill="FFDCE0" w:val="clear"/>
          </w:tcPr>
          <w:p>
            <w:r>
              <w:rPr>
                <w:b/>
                <w:sz w:val="17"/>
              </w:rPr>
              <w:t>2,087</w:t>
            </w:r>
          </w:p>
        </w:tc>
        <w:tc>
          <w:tcPr>
            <w:tcW w:type="dxa" w:w="1440"/>
            <w:shd w:fill="FFDCE0" w:val="clear"/>
          </w:tcPr>
          <w:p>
            <w:r>
              <w:rPr>
                <w:sz w:val="17"/>
              </w:rPr>
              <w:t>2,223</w:t>
            </w:r>
          </w:p>
        </w:tc>
        <w:tc>
          <w:tcPr>
            <w:tcW w:type="dxa" w:w="1440"/>
            <w:shd w:fill="FFDCE0" w:val="clear"/>
          </w:tcPr>
          <w:p>
            <w:r>
              <w:rPr>
                <w:b/>
                <w:color w:val="C00000"/>
                <w:sz w:val="17"/>
              </w:rPr>
              <w:t>-15.8%</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1,850</w:t>
            </w:r>
          </w:p>
        </w:tc>
        <w:tc>
          <w:tcPr>
            <w:tcW w:type="dxa" w:w="1440"/>
            <w:shd w:fill="FFDCE0" w:val="clear"/>
          </w:tcPr>
          <w:p>
            <w:r>
              <w:rPr>
                <w:b/>
                <w:sz w:val="17"/>
              </w:rPr>
              <w:t>2,000</w:t>
            </w:r>
          </w:p>
        </w:tc>
        <w:tc>
          <w:tcPr>
            <w:tcW w:type="dxa" w:w="1440"/>
            <w:shd w:fill="FFDCE0" w:val="clear"/>
          </w:tcPr>
          <w:p>
            <w:r>
              <w:rPr>
                <w:sz w:val="17"/>
              </w:rPr>
              <w:t>2,150</w:t>
            </w:r>
          </w:p>
        </w:tc>
        <w:tc>
          <w:tcPr>
            <w:tcW w:type="dxa" w:w="1440"/>
            <w:shd w:fill="FFDCE0" w:val="clear"/>
          </w:tcPr>
          <w:p>
            <w:r>
              <w:rPr>
                <w:b/>
                <w:color w:val="C00000"/>
                <w:sz w:val="17"/>
              </w:rPr>
              <w:t>-19.3%</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1,768</w:t>
            </w:r>
          </w:p>
        </w:tc>
        <w:tc>
          <w:tcPr>
            <w:tcW w:type="dxa" w:w="1440"/>
            <w:shd w:fill="FFDCE0" w:val="clear"/>
          </w:tcPr>
          <w:p>
            <w:r>
              <w:rPr>
                <w:b/>
                <w:sz w:val="17"/>
              </w:rPr>
              <w:t>1,930</w:t>
            </w:r>
          </w:p>
        </w:tc>
        <w:tc>
          <w:tcPr>
            <w:tcW w:type="dxa" w:w="1440"/>
            <w:shd w:fill="FFDCE0" w:val="clear"/>
          </w:tcPr>
          <w:p>
            <w:r>
              <w:rPr>
                <w:sz w:val="17"/>
              </w:rPr>
              <w:t>2,092</w:t>
            </w:r>
          </w:p>
        </w:tc>
        <w:tc>
          <w:tcPr>
            <w:tcW w:type="dxa" w:w="1440"/>
            <w:shd w:fill="FFDCE0" w:val="clear"/>
          </w:tcPr>
          <w:p>
            <w:r>
              <w:rPr>
                <w:b/>
                <w:color w:val="C00000"/>
                <w:sz w:val="17"/>
              </w:rPr>
              <w:t>-22.2%</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1,700</w:t>
            </w:r>
          </w:p>
        </w:tc>
        <w:tc>
          <w:tcPr>
            <w:tcW w:type="dxa" w:w="1440"/>
            <w:shd w:fill="FFDCE0" w:val="clear"/>
          </w:tcPr>
          <w:p>
            <w:r>
              <w:rPr>
                <w:b/>
                <w:sz w:val="17"/>
              </w:rPr>
              <w:t>1,872</w:t>
            </w:r>
          </w:p>
        </w:tc>
        <w:tc>
          <w:tcPr>
            <w:tcW w:type="dxa" w:w="1440"/>
            <w:shd w:fill="FFDCE0" w:val="clear"/>
          </w:tcPr>
          <w:p>
            <w:r>
              <w:rPr>
                <w:sz w:val="17"/>
              </w:rPr>
              <w:t>2,044</w:t>
            </w:r>
          </w:p>
        </w:tc>
        <w:tc>
          <w:tcPr>
            <w:tcW w:type="dxa" w:w="1440"/>
            <w:shd w:fill="FFDCE0" w:val="clear"/>
          </w:tcPr>
          <w:p>
            <w:r>
              <w:rPr>
                <w:b/>
                <w:color w:val="C00000"/>
                <w:sz w:val="17"/>
              </w:rPr>
              <w:t>-24.5%</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1,642</w:t>
            </w:r>
          </w:p>
        </w:tc>
        <w:tc>
          <w:tcPr>
            <w:tcW w:type="dxa" w:w="1440"/>
            <w:shd w:fill="FFDCE0" w:val="clear"/>
          </w:tcPr>
          <w:p>
            <w:r>
              <w:rPr>
                <w:b/>
                <w:sz w:val="17"/>
              </w:rPr>
              <w:t>1,822</w:t>
            </w:r>
          </w:p>
        </w:tc>
        <w:tc>
          <w:tcPr>
            <w:tcW w:type="dxa" w:w="1440"/>
            <w:shd w:fill="FFDCE0" w:val="clear"/>
          </w:tcPr>
          <w:p>
            <w:r>
              <w:rPr>
                <w:sz w:val="17"/>
              </w:rPr>
              <w:t>2,003</w:t>
            </w:r>
          </w:p>
        </w:tc>
        <w:tc>
          <w:tcPr>
            <w:tcW w:type="dxa" w:w="1440"/>
            <w:shd w:fill="FFDCE0" w:val="clear"/>
          </w:tcPr>
          <w:p>
            <w:r>
              <w:rPr>
                <w:b/>
                <w:color w:val="C00000"/>
                <w:sz w:val="17"/>
              </w:rPr>
              <w:t>-26.5%</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1,590</w:t>
            </w:r>
          </w:p>
        </w:tc>
        <w:tc>
          <w:tcPr>
            <w:tcW w:type="dxa" w:w="1440"/>
            <w:shd w:fill="FFDCE0" w:val="clear"/>
          </w:tcPr>
          <w:p>
            <w:r>
              <w:rPr>
                <w:b/>
                <w:sz w:val="17"/>
              </w:rPr>
              <w:t>1,779</w:t>
            </w:r>
          </w:p>
        </w:tc>
        <w:tc>
          <w:tcPr>
            <w:tcW w:type="dxa" w:w="1440"/>
            <w:shd w:fill="FFDCE0" w:val="clear"/>
          </w:tcPr>
          <w:p>
            <w:r>
              <w:rPr>
                <w:sz w:val="17"/>
              </w:rPr>
              <w:t>1,968</w:t>
            </w:r>
          </w:p>
        </w:tc>
        <w:tc>
          <w:tcPr>
            <w:tcW w:type="dxa" w:w="1440"/>
            <w:shd w:fill="FFDCE0" w:val="clear"/>
          </w:tcPr>
          <w:p>
            <w:r>
              <w:rPr>
                <w:b/>
                <w:color w:val="C00000"/>
                <w:sz w:val="17"/>
              </w:rPr>
              <w:t>-28.3%</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1,544</w:t>
            </w:r>
          </w:p>
        </w:tc>
        <w:tc>
          <w:tcPr>
            <w:tcW w:type="dxa" w:w="1440"/>
            <w:shd w:fill="FFDCE0" w:val="clear"/>
          </w:tcPr>
          <w:p>
            <w:r>
              <w:rPr>
                <w:b/>
                <w:sz w:val="17"/>
              </w:rPr>
              <w:t>1,740</w:t>
            </w:r>
          </w:p>
        </w:tc>
        <w:tc>
          <w:tcPr>
            <w:tcW w:type="dxa" w:w="1440"/>
            <w:shd w:fill="FFDCE0" w:val="clear"/>
          </w:tcPr>
          <w:p>
            <w:r>
              <w:rPr>
                <w:sz w:val="17"/>
              </w:rPr>
              <w:t>1,936</w:t>
            </w:r>
          </w:p>
        </w:tc>
        <w:tc>
          <w:tcPr>
            <w:tcW w:type="dxa" w:w="1440"/>
            <w:shd w:fill="FFDCE0" w:val="clear"/>
          </w:tcPr>
          <w:p>
            <w:r>
              <w:rPr>
                <w:b/>
                <w:color w:val="C00000"/>
                <w:sz w:val="17"/>
              </w:rPr>
              <w:t>-29.8%</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1,502</w:t>
            </w:r>
          </w:p>
        </w:tc>
        <w:tc>
          <w:tcPr>
            <w:tcW w:type="dxa" w:w="1440"/>
            <w:shd w:fill="FFDCE0" w:val="clear"/>
          </w:tcPr>
          <w:p>
            <w:r>
              <w:rPr>
                <w:b/>
                <w:sz w:val="17"/>
              </w:rPr>
              <w:t>1,704</w:t>
            </w:r>
          </w:p>
        </w:tc>
        <w:tc>
          <w:tcPr>
            <w:tcW w:type="dxa" w:w="1440"/>
            <w:shd w:fill="FFDCE0" w:val="clear"/>
          </w:tcPr>
          <w:p>
            <w:r>
              <w:rPr>
                <w:sz w:val="17"/>
              </w:rPr>
              <w:t>1,907</w:t>
            </w:r>
          </w:p>
        </w:tc>
        <w:tc>
          <w:tcPr>
            <w:tcW w:type="dxa" w:w="1440"/>
            <w:shd w:fill="FFDCE0" w:val="clear"/>
          </w:tcPr>
          <w:p>
            <w:r>
              <w:rPr>
                <w:b/>
                <w:color w:val="C00000"/>
                <w:sz w:val="17"/>
              </w:rPr>
              <w:t>-31.3%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156,24 milliards FCFA, un niveau significatif qui la positionne parmi les valeurs moyennes de la BRVM, reflétant la taille respectable de ce distributeur pétrolier. Avec un BPA de 96 FCFA, chaque action génère un bénéfice modeste, ce qui explique un PER de 25,9x, très supérieur à la moyenne historique de la BRVM (8-12x). Ce ratio élevé indique que les investisseurs paient une prime substantielle pour les bénéfices actuels, anticipant probablement une croissance future ou rémunérant la rareté du titre. Le P/B de 5,75x confirme cette valorisation exigeante, le marché valorisant l'actif net comptable plus de cinq fois au-dessus de sa valeur, signe d'une forte prime de marché. Enfin, l'EV/EBITDA de 13,6x, bien que dans la fourchette haute (10-15x), suggère que la valeur totale de l'entreprise reste cohérente avec sa capacité opérationnelle à générer des flux, mais sans marge de sécurité significative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+12,73%, avec une dernière séance en hausse de +0,81%, clôturant à 2 480 FCFA, son plus haut niveau sur la période. Le titre a évolué dans une fourchette de 1 840 à 2 480 FCFA, démontrant une dynamique haussière soutenue. La moyenne du cours sur la période (2 117 FCFA) est inférieure à la médiane (2 160 FCFA), indiquant une distribution légèrement asymétrique avec des extrêmes à la hausse. L'écart-type de 144 FCFA, pour un coefficient de variation de 6,8%, révèle une dispersion relativement faible autour de la moyenne, suggérant une certaine stabilité relative. Le kurtosis de -0,414 (mésokurtique) indique une distribution proche de la normale, sans risque de pics extrêmes, tandis que le skewness de 0,172 confirme une symétrie acceptable. La volatilité annualisée de 35,2% classe le titre comme très volatil (&gt;30%), ce qui implique des fluctuations de prix importantes et un risque élevé pour les investisseurs à court terme, malgré la tendance haussière observée.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2 480 FCFA se situe nettement au-dessus de la MM20 (2 293 FCFA) et de la MM50 (2 219,2 FCFA), confirmant une tendance haussière solide à court et moyen terme. L'écart positif entre le prix et les moyennes mobiles indique un momentum positif, justifiant la décision d'achat.</w:t>
      </w:r>
    </w:p>
    <w:p>
      <w:pPr>
        <w:spacing w:after="120" w:line="276" w:lineRule="auto"/>
      </w:pPr>
      <w:r>
        <w:t>**Bandes de Bollinger** : Le prix évolue près de la borne supérieure (2 506 FCFA), reflétant une pression acheteuse soutenue. La borne inférieure à 2 079,8 FCFA montre un écart important, signe d'une volatilité accrue. La position du cours en haut des bandes suggère une possible suracheter à court terme, mais la décision reste neutre, le prix n'ayant pas encore franchi la borne.</w:t>
      </w:r>
    </w:p>
    <w:p>
      <w:pPr>
        <w:spacing w:after="120" w:line="276" w:lineRule="auto"/>
      </w:pPr>
      <w:r>
        <w:t>**MACD** : La valeur du MACD (67,77) est supérieure à son signal (47,69), indiquant un momentum haussier positif. L'écart positif entre les deux lignes confirme la dynamique ascendante, justifiant la décision d'achat. Cette configuration suggère que la tendance haussière pourrait se poursuivre à court terme.</w:t>
      </w:r>
    </w:p>
    <w:p>
      <w:pPr>
        <w:spacing w:after="120" w:line="276" w:lineRule="auto"/>
      </w:pPr>
      <w:r>
        <w:t>**RSI** : Le RSI à 69,14 se situe en zone neutre, proche du seuil de surachat (70). Cela indique que le titre est fortement sollicité mais pas encore en situation de surachat extrême. La décision neutre reflète un équilibre entre la force de la tendance et le risque de retournement.</w:t>
      </w:r>
    </w:p>
    <w:p>
      <w:pPr>
        <w:spacing w:after="120" w:line="276" w:lineRule="auto"/>
      </w:pPr>
      <w:r>
        <w:t>**Stochastique** : Le %K et le %D sont tous deux à 100, signalant une condition de surachat extrême. Cette configuration, avec une décision de vente, suggère que le titre est survendu à la hausse et qu'un repli technique est probable à très court terme.</w:t>
      </w:r>
    </w:p>
    <w:p>
      <w:pPr>
        <w:spacing w:after="120" w:line="276" w:lineRule="auto"/>
      </w:pPr>
      <w:r>
        <w:t>**Conclusion technique** : Les indicateurs de tendance (MM, MACD) sont positifs, confirmant une dynamique haussière, mais les oscillateurs (RSI, Stochastique) signalent des conditions de surachat. Cette divergence suggère un possible essoufflement à court terme, bien que la tendance de fond reste haussière. Les investisseurs devraient surveiller un éventuel repli technique pour renforcer leurs positions.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(600,708 milliards FCFA), avec un résultat net de 6,028 milliards FCFA, en progression de +12,6%. La marge nette reste faible à 1,0%, typique du secteur de distribution pétrolière, mais le ROE de 22,2% est excellent, démontrant une création de valeur efficace pour les actionnaires. Le ROA de 3,1% reflète une rotation des actifs élevée (312,5%). La structure financière montre une autonomie financière de 14,03%, inférieure au seuil de 30%, indiquant une dépendance aux créanciers, avec des dettes totales représentant 85,97% du bilan. Le BFR de 15,315 milliards FCFA est positif, signe d'un besoin de financement, et la trésorerie nette est fortement négative à -65,264 milliards FCFA. Les délais clients (23,27 jours) et fournisseurs (35,47 jours) sont bien gérés. Les rapports trimestriels 2025 (T1, S1, T3) montrent une amélioration progressive de la rentabilité, avec un résultat net en hausse de 45% sur 9 mois. Le rapport S1 2026 (30 juin 2026) indique un CA de 305,038 milliards FCFA (-1%) mais un résultat d'exploitation en hausse de 17%, suggérant une résilience opérationnelle. Sur cette base, on estime que l'exercice 2026 pourrait maintenir un résultat net autour de 6 milliards FCFA, malgré la baisse des volumes. La recommandation fondamentale est de conserver, compte tenu de la solidité opérationnelle mais des risques de liquidité et de la faible marge nette.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(PER 25,9x, P/B 5,75x, EV/EBITDA 13,6x) indique une surévaluation relative par rapport aux standards de la BRVM, les investisseurs payant une prime pour une croissance modeste. Le comportement du cours (+12,73% sur 100 jours) est favorable, mais la volatilité élevée (35,2%) et les statistiques (kurtosis, skewness) suggèrent un risque de retournement. Les signaux techniques sont mitigés : les indicateurs de tendance (MM, MACD) sont positifs, mais les oscillateurs (RSI, Stochastique) signalent un surachat, préfigurant un possible repli. Les fondamentaux montrent une amélioration de la rentabilité (ROE 22,2%) mais une structure financière fragile avec une trésorerie nette très négative. Les prédictions IA (J+1 à J+10) prévoient une baisse significative du cours, de 2 315 à 1 930 FCFA, contredisant la tendance récente et confirmant les signaux de surachat technique. Cette convergence entre les signaux techniques et les prédictions IA suggère un risque de correction à court terme. **Recommandation finale : CONSERVER**, avec un niveau de confiance **Moyen**, un risque global **Élevé**, et un horizon d'investissement optimal à **moyen terme (3-12 mois)**, en attendant une clarification de la structure financière et une amélioration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9,052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μ=8,241 FCFA, σ=888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β=0.3369 (Défensif) — Cov=0.000011, Var(idx)=0.000034, ρ=0.109,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8,509</w:t>
            </w:r>
          </w:p>
        </w:tc>
        <w:tc>
          <w:tcPr>
            <w:tcW w:type="dxa" w:w="1440"/>
            <w:shd w:fill="FFDCE0" w:val="clear"/>
          </w:tcPr>
          <w:p>
            <w:r>
              <w:rPr>
                <w:b/>
                <w:sz w:val="17"/>
              </w:rPr>
              <w:t>8,787</w:t>
            </w:r>
          </w:p>
        </w:tc>
        <w:tc>
          <w:tcPr>
            <w:tcW w:type="dxa" w:w="1440"/>
            <w:shd w:fill="FFDCE0" w:val="clear"/>
          </w:tcPr>
          <w:p>
            <w:r>
              <w:rPr>
                <w:sz w:val="17"/>
              </w:rPr>
              <w:t>9,066</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8,125</w:t>
            </w:r>
          </w:p>
        </w:tc>
        <w:tc>
          <w:tcPr>
            <w:tcW w:type="dxa" w:w="1440"/>
            <w:shd w:fill="FFDCE0" w:val="clear"/>
          </w:tcPr>
          <w:p>
            <w:r>
              <w:rPr>
                <w:b/>
                <w:sz w:val="17"/>
              </w:rPr>
              <w:t>8,505</w:t>
            </w:r>
          </w:p>
        </w:tc>
        <w:tc>
          <w:tcPr>
            <w:tcW w:type="dxa" w:w="1440"/>
            <w:shd w:fill="FFDCE0" w:val="clear"/>
          </w:tcPr>
          <w:p>
            <w:r>
              <w:rPr>
                <w:sz w:val="17"/>
              </w:rPr>
              <w:t>8,886</w:t>
            </w:r>
          </w:p>
        </w:tc>
        <w:tc>
          <w:tcPr>
            <w:tcW w:type="dxa" w:w="1440"/>
            <w:shd w:fill="FFDCE0" w:val="clear"/>
          </w:tcPr>
          <w:p>
            <w:r>
              <w:rPr>
                <w:b/>
                <w:color w:val="C00000"/>
                <w:sz w:val="17"/>
              </w:rPr>
              <w:t>-6.5%</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7,796</w:t>
            </w:r>
          </w:p>
        </w:tc>
        <w:tc>
          <w:tcPr>
            <w:tcW w:type="dxa" w:w="1440"/>
            <w:shd w:fill="FFDCE0" w:val="clear"/>
          </w:tcPr>
          <w:p>
            <w:r>
              <w:rPr>
                <w:b/>
                <w:sz w:val="17"/>
              </w:rPr>
              <w:t>8,248</w:t>
            </w:r>
          </w:p>
        </w:tc>
        <w:tc>
          <w:tcPr>
            <w:tcW w:type="dxa" w:w="1440"/>
            <w:shd w:fill="FFDCE0" w:val="clear"/>
          </w:tcPr>
          <w:p>
            <w:r>
              <w:rPr>
                <w:sz w:val="17"/>
              </w:rPr>
              <w:t>8,700</w:t>
            </w:r>
          </w:p>
        </w:tc>
        <w:tc>
          <w:tcPr>
            <w:tcW w:type="dxa" w:w="1440"/>
            <w:shd w:fill="FFDCE0" w:val="clear"/>
          </w:tcPr>
          <w:p>
            <w:r>
              <w:rPr>
                <w:b/>
                <w:color w:val="C00000"/>
                <w:sz w:val="17"/>
              </w:rPr>
              <w:t>-9.4%</w:t>
            </w:r>
          </w:p>
        </w:tc>
      </w:tr>
      <w:tr>
        <w:tc>
          <w:tcPr>
            <w:tcW w:type="dxa" w:w="1440"/>
            <w:shd w:fill="FFDCE0" w:val="clear"/>
          </w:tcPr>
          <w:p>
            <w:r>
              <w:rPr>
                <w:sz w:val="17"/>
              </w:rPr>
              <w:t>J+4  Moyenne</w:t>
            </w:r>
          </w:p>
        </w:tc>
        <w:tc>
          <w:tcPr>
            <w:tcW w:type="dxa" w:w="1440"/>
            <w:shd w:fill="FFDCE0" w:val="clear"/>
          </w:tcPr>
          <w:p>
            <w:r>
              <w:rPr>
                <w:sz w:val="17"/>
              </w:rPr>
              <w:t>2026-08-31</w:t>
            </w:r>
          </w:p>
        </w:tc>
        <w:tc>
          <w:tcPr>
            <w:tcW w:type="dxa" w:w="1440"/>
            <w:shd w:fill="FFDCE0" w:val="clear"/>
          </w:tcPr>
          <w:p>
            <w:r>
              <w:rPr>
                <w:sz w:val="17"/>
              </w:rPr>
              <w:t>7,519</w:t>
            </w:r>
          </w:p>
        </w:tc>
        <w:tc>
          <w:tcPr>
            <w:tcW w:type="dxa" w:w="1440"/>
            <w:shd w:fill="FFDCE0" w:val="clear"/>
          </w:tcPr>
          <w:p>
            <w:r>
              <w:rPr>
                <w:b/>
                <w:sz w:val="17"/>
              </w:rPr>
              <w:t>8,027</w:t>
            </w:r>
          </w:p>
        </w:tc>
        <w:tc>
          <w:tcPr>
            <w:tcW w:type="dxa" w:w="1440"/>
            <w:shd w:fill="FFDCE0" w:val="clear"/>
          </w:tcPr>
          <w:p>
            <w:r>
              <w:rPr>
                <w:sz w:val="17"/>
              </w:rPr>
              <w:t>8,535</w:t>
            </w:r>
          </w:p>
        </w:tc>
        <w:tc>
          <w:tcPr>
            <w:tcW w:type="dxa" w:w="1440"/>
            <w:shd w:fill="FFDCE0" w:val="clear"/>
          </w:tcPr>
          <w:p>
            <w:r>
              <w:rPr>
                <w:b/>
                <w:color w:val="C00000"/>
                <w:sz w:val="17"/>
              </w:rPr>
              <w:t>-11.8%</w:t>
            </w:r>
          </w:p>
        </w:tc>
      </w:tr>
      <w:tr>
        <w:tc>
          <w:tcPr>
            <w:tcW w:type="dxa" w:w="1440"/>
            <w:shd w:fill="FFDCE0" w:val="clear"/>
          </w:tcPr>
          <w:p>
            <w:r>
              <w:rPr>
                <w:sz w:val="17"/>
              </w:rPr>
              <w:t>J+5  Moyenne</w:t>
            </w:r>
          </w:p>
        </w:tc>
        <w:tc>
          <w:tcPr>
            <w:tcW w:type="dxa" w:w="1440"/>
            <w:shd w:fill="FFDCE0" w:val="clear"/>
          </w:tcPr>
          <w:p>
            <w:r>
              <w:rPr>
                <w:sz w:val="17"/>
              </w:rPr>
              <w:t>2026-09-01</w:t>
            </w:r>
          </w:p>
        </w:tc>
        <w:tc>
          <w:tcPr>
            <w:tcW w:type="dxa" w:w="1440"/>
            <w:shd w:fill="FFDCE0" w:val="clear"/>
          </w:tcPr>
          <w:p>
            <w:r>
              <w:rPr>
                <w:sz w:val="17"/>
              </w:rPr>
              <w:t>7,285</w:t>
            </w:r>
          </w:p>
        </w:tc>
        <w:tc>
          <w:tcPr>
            <w:tcW w:type="dxa" w:w="1440"/>
            <w:shd w:fill="FFDCE0" w:val="clear"/>
          </w:tcPr>
          <w:p>
            <w:r>
              <w:rPr>
                <w:b/>
                <w:sz w:val="17"/>
              </w:rPr>
              <w:t>7,840</w:t>
            </w:r>
          </w:p>
        </w:tc>
        <w:tc>
          <w:tcPr>
            <w:tcW w:type="dxa" w:w="1440"/>
            <w:shd w:fill="FFDCE0" w:val="clear"/>
          </w:tcPr>
          <w:p>
            <w:r>
              <w:rPr>
                <w:sz w:val="17"/>
              </w:rPr>
              <w:t>8,394</w:t>
            </w:r>
          </w:p>
        </w:tc>
        <w:tc>
          <w:tcPr>
            <w:tcW w:type="dxa" w:w="1440"/>
            <w:shd w:fill="FFDCE0" w:val="clear"/>
          </w:tcPr>
          <w:p>
            <w:r>
              <w:rPr>
                <w:b/>
                <w:color w:val="C00000"/>
                <w:sz w:val="17"/>
              </w:rPr>
              <w:t>-13.8%</w:t>
            </w:r>
          </w:p>
        </w:tc>
      </w:tr>
      <w:tr>
        <w:tc>
          <w:tcPr>
            <w:tcW w:type="dxa" w:w="1440"/>
            <w:shd w:fill="FFDCE0" w:val="clear"/>
          </w:tcPr>
          <w:p>
            <w:r>
              <w:rPr>
                <w:sz w:val="17"/>
              </w:rPr>
              <w:t>J+6  Moyenne</w:t>
            </w:r>
          </w:p>
        </w:tc>
        <w:tc>
          <w:tcPr>
            <w:tcW w:type="dxa" w:w="1440"/>
            <w:shd w:fill="FFDCE0" w:val="clear"/>
          </w:tcPr>
          <w:p>
            <w:r>
              <w:rPr>
                <w:sz w:val="17"/>
              </w:rPr>
              <w:t>2026-09-02</w:t>
            </w:r>
          </w:p>
        </w:tc>
        <w:tc>
          <w:tcPr>
            <w:tcW w:type="dxa" w:w="1440"/>
            <w:shd w:fill="FFDCE0" w:val="clear"/>
          </w:tcPr>
          <w:p>
            <w:r>
              <w:rPr>
                <w:sz w:val="17"/>
              </w:rPr>
              <w:t>7,083</w:t>
            </w:r>
          </w:p>
        </w:tc>
        <w:tc>
          <w:tcPr>
            <w:tcW w:type="dxa" w:w="1440"/>
            <w:shd w:fill="FFDCE0" w:val="clear"/>
          </w:tcPr>
          <w:p>
            <w:r>
              <w:rPr>
                <w:b/>
                <w:sz w:val="17"/>
              </w:rPr>
              <w:t>7,678</w:t>
            </w:r>
          </w:p>
        </w:tc>
        <w:tc>
          <w:tcPr>
            <w:tcW w:type="dxa" w:w="1440"/>
            <w:shd w:fill="FFDCE0" w:val="clear"/>
          </w:tcPr>
          <w:p>
            <w:r>
              <w:rPr>
                <w:sz w:val="17"/>
              </w:rPr>
              <w:t>8,273</w:t>
            </w:r>
          </w:p>
        </w:tc>
        <w:tc>
          <w:tcPr>
            <w:tcW w:type="dxa" w:w="1440"/>
            <w:shd w:fill="FFDCE0" w:val="clear"/>
          </w:tcPr>
          <w:p>
            <w:r>
              <w:rPr>
                <w:b/>
                <w:color w:val="C00000"/>
                <w:sz w:val="17"/>
              </w:rPr>
              <w:t>-15.6%</w:t>
            </w:r>
          </w:p>
        </w:tc>
      </w:tr>
      <w:tr>
        <w:tc>
          <w:tcPr>
            <w:tcW w:type="dxa" w:w="1440"/>
            <w:shd w:fill="FFDCE0" w:val="clear"/>
          </w:tcPr>
          <w:p>
            <w:r>
              <w:rPr>
                <w:sz w:val="17"/>
              </w:rPr>
              <w:t>J+7  Moyenne</w:t>
            </w:r>
          </w:p>
        </w:tc>
        <w:tc>
          <w:tcPr>
            <w:tcW w:type="dxa" w:w="1440"/>
            <w:shd w:fill="FFDCE0" w:val="clear"/>
          </w:tcPr>
          <w:p>
            <w:r>
              <w:rPr>
                <w:sz w:val="17"/>
              </w:rPr>
              <w:t>2026-09-03</w:t>
            </w:r>
          </w:p>
        </w:tc>
        <w:tc>
          <w:tcPr>
            <w:tcW w:type="dxa" w:w="1440"/>
            <w:shd w:fill="FFDCE0" w:val="clear"/>
          </w:tcPr>
          <w:p>
            <w:r>
              <w:rPr>
                <w:sz w:val="17"/>
              </w:rPr>
              <w:t>6,905</w:t>
            </w:r>
          </w:p>
        </w:tc>
        <w:tc>
          <w:tcPr>
            <w:tcW w:type="dxa" w:w="1440"/>
            <w:shd w:fill="FFDCE0" w:val="clear"/>
          </w:tcPr>
          <w:p>
            <w:r>
              <w:rPr>
                <w:b/>
                <w:sz w:val="17"/>
              </w:rPr>
              <w:t>7,536</w:t>
            </w:r>
          </w:p>
        </w:tc>
        <w:tc>
          <w:tcPr>
            <w:tcW w:type="dxa" w:w="1440"/>
            <w:shd w:fill="FFDCE0" w:val="clear"/>
          </w:tcPr>
          <w:p>
            <w:r>
              <w:rPr>
                <w:sz w:val="17"/>
              </w:rPr>
              <w:t>8,167</w:t>
            </w:r>
          </w:p>
        </w:tc>
        <w:tc>
          <w:tcPr>
            <w:tcW w:type="dxa" w:w="1440"/>
            <w:shd w:fill="FFDCE0" w:val="clear"/>
          </w:tcPr>
          <w:p>
            <w:r>
              <w:rPr>
                <w:b/>
                <w:color w:val="C00000"/>
                <w:sz w:val="17"/>
              </w:rPr>
              <w:t>-17.2%</w:t>
            </w:r>
          </w:p>
        </w:tc>
      </w:tr>
      <w:tr>
        <w:tc>
          <w:tcPr>
            <w:tcW w:type="dxa" w:w="1440"/>
            <w:shd w:fill="FFDCE0" w:val="clear"/>
          </w:tcPr>
          <w:p>
            <w:r>
              <w:rPr>
                <w:sz w:val="17"/>
              </w:rPr>
              <w:t>J+8  Moyenne</w:t>
            </w:r>
          </w:p>
        </w:tc>
        <w:tc>
          <w:tcPr>
            <w:tcW w:type="dxa" w:w="1440"/>
            <w:shd w:fill="FFDCE0" w:val="clear"/>
          </w:tcPr>
          <w:p>
            <w:r>
              <w:rPr>
                <w:sz w:val="17"/>
              </w:rPr>
              <w:t>2026-09-04</w:t>
            </w:r>
          </w:p>
        </w:tc>
        <w:tc>
          <w:tcPr>
            <w:tcW w:type="dxa" w:w="1440"/>
            <w:shd w:fill="FFDCE0" w:val="clear"/>
          </w:tcPr>
          <w:p>
            <w:r>
              <w:rPr>
                <w:sz w:val="17"/>
              </w:rPr>
              <w:t>6,746</w:t>
            </w:r>
          </w:p>
        </w:tc>
        <w:tc>
          <w:tcPr>
            <w:tcW w:type="dxa" w:w="1440"/>
            <w:shd w:fill="FFDCE0" w:val="clear"/>
          </w:tcPr>
          <w:p>
            <w:r>
              <w:rPr>
                <w:b/>
                <w:sz w:val="17"/>
              </w:rPr>
              <w:t>7,409</w:t>
            </w:r>
          </w:p>
        </w:tc>
        <w:tc>
          <w:tcPr>
            <w:tcW w:type="dxa" w:w="1440"/>
            <w:shd w:fill="FFDCE0" w:val="clear"/>
          </w:tcPr>
          <w:p>
            <w:r>
              <w:rPr>
                <w:sz w:val="17"/>
              </w:rPr>
              <w:t>8,073</w:t>
            </w:r>
          </w:p>
        </w:tc>
        <w:tc>
          <w:tcPr>
            <w:tcW w:type="dxa" w:w="1440"/>
            <w:shd w:fill="FFDCE0" w:val="clear"/>
          </w:tcPr>
          <w:p>
            <w:r>
              <w:rPr>
                <w:b/>
                <w:color w:val="C00000"/>
                <w:sz w:val="17"/>
              </w:rPr>
              <w:t>-18.6%</w:t>
            </w:r>
          </w:p>
        </w:tc>
      </w:tr>
      <w:tr>
        <w:tc>
          <w:tcPr>
            <w:tcW w:type="dxa" w:w="1440"/>
            <w:shd w:fill="FFDCE0" w:val="clear"/>
          </w:tcPr>
          <w:p>
            <w:r>
              <w:rPr>
                <w:sz w:val="17"/>
              </w:rPr>
              <w:t>J+9  Moyenne</w:t>
            </w:r>
          </w:p>
        </w:tc>
        <w:tc>
          <w:tcPr>
            <w:tcW w:type="dxa" w:w="1440"/>
            <w:shd w:fill="FFDCE0" w:val="clear"/>
          </w:tcPr>
          <w:p>
            <w:r>
              <w:rPr>
                <w:sz w:val="17"/>
              </w:rPr>
              <w:t>2026-09-07</w:t>
            </w:r>
          </w:p>
        </w:tc>
        <w:tc>
          <w:tcPr>
            <w:tcW w:type="dxa" w:w="1440"/>
            <w:shd w:fill="FFDCE0" w:val="clear"/>
          </w:tcPr>
          <w:p>
            <w:r>
              <w:rPr>
                <w:sz w:val="17"/>
              </w:rPr>
              <w:t>6,602</w:t>
            </w:r>
          </w:p>
        </w:tc>
        <w:tc>
          <w:tcPr>
            <w:tcW w:type="dxa" w:w="1440"/>
            <w:shd w:fill="FFDCE0" w:val="clear"/>
          </w:tcPr>
          <w:p>
            <w:r>
              <w:rPr>
                <w:b/>
                <w:sz w:val="17"/>
              </w:rPr>
              <w:t>7,295</w:t>
            </w:r>
          </w:p>
        </w:tc>
        <w:tc>
          <w:tcPr>
            <w:tcW w:type="dxa" w:w="1440"/>
            <w:shd w:fill="FFDCE0" w:val="clear"/>
          </w:tcPr>
          <w:p>
            <w:r>
              <w:rPr>
                <w:sz w:val="17"/>
              </w:rPr>
              <w:t>7,987</w:t>
            </w:r>
          </w:p>
        </w:tc>
        <w:tc>
          <w:tcPr>
            <w:tcW w:type="dxa" w:w="1440"/>
            <w:shd w:fill="FFDCE0" w:val="clear"/>
          </w:tcPr>
          <w:p>
            <w:r>
              <w:rPr>
                <w:b/>
                <w:color w:val="C00000"/>
                <w:sz w:val="17"/>
              </w:rPr>
              <w:t>-19.8%</w:t>
            </w:r>
          </w:p>
        </w:tc>
      </w:tr>
      <w:tr>
        <w:tc>
          <w:tcPr>
            <w:tcW w:type="dxa" w:w="1440"/>
            <w:shd w:fill="FFDCE0" w:val="clear"/>
          </w:tcPr>
          <w:p>
            <w:r>
              <w:rPr>
                <w:sz w:val="17"/>
              </w:rPr>
              <w:t>J+10  Moyenne</w:t>
            </w:r>
          </w:p>
        </w:tc>
        <w:tc>
          <w:tcPr>
            <w:tcW w:type="dxa" w:w="1440"/>
            <w:shd w:fill="FFDCE0" w:val="clear"/>
          </w:tcPr>
          <w:p>
            <w:r>
              <w:rPr>
                <w:sz w:val="17"/>
              </w:rPr>
              <w:t>2026-09-08</w:t>
            </w:r>
          </w:p>
        </w:tc>
        <w:tc>
          <w:tcPr>
            <w:tcW w:type="dxa" w:w="1440"/>
            <w:shd w:fill="FFDCE0" w:val="clear"/>
          </w:tcPr>
          <w:p>
            <w:r>
              <w:rPr>
                <w:sz w:val="17"/>
              </w:rPr>
              <w:t>6,470</w:t>
            </w:r>
          </w:p>
        </w:tc>
        <w:tc>
          <w:tcPr>
            <w:tcW w:type="dxa" w:w="1440"/>
            <w:shd w:fill="FFDCE0" w:val="clear"/>
          </w:tcPr>
          <w:p>
            <w:r>
              <w:rPr>
                <w:b/>
                <w:sz w:val="17"/>
              </w:rPr>
              <w:t>7,190</w:t>
            </w:r>
          </w:p>
        </w:tc>
        <w:tc>
          <w:tcPr>
            <w:tcW w:type="dxa" w:w="1440"/>
            <w:shd w:fill="FFDCE0" w:val="clear"/>
          </w:tcPr>
          <w:p>
            <w:r>
              <w:rPr>
                <w:sz w:val="17"/>
              </w:rPr>
              <w:t>7,909</w:t>
            </w:r>
          </w:p>
        </w:tc>
        <w:tc>
          <w:tcPr>
            <w:tcW w:type="dxa" w:w="1440"/>
            <w:shd w:fill="FFDCE0" w:val="clear"/>
          </w:tcPr>
          <w:p>
            <w:r>
              <w:rPr>
                <w:b/>
                <w:color w:val="C00000"/>
                <w:sz w:val="17"/>
              </w:rPr>
              <w:t>-21.0%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910 milliards FCFA, ce qui en fait l'une des valeurs les plus significatives de la BRVM, reflétant son statut de banque systémique en Côte d'Ivoire. Avec un BPA de 556 FCFA, chaque action génère un bénéfice substantiel, mais le PER de 16,4x se situe nettement au-dessus de la moyenne historique de la BRVM (8-12x), indiquant que les investisseurs paient une prime significative pour la qualité des actifs et la régularité des performances. Le P/B de 4,44x confirme cette lecture : le marché valorise la banque à plus de quatre fois sa valeur comptable, ce qui traduit des attentes élevées de croissance future. L'EV/EBITDA de 15,2x, bien que supérieur au seuil de 15x considéré comme exigeant, reste cohérent avec la solidité opérationnelle et la capacité bénéficiaire démontrée par l'établissement. Ces ratios, globalement élevés, suggèrent que la valeur est chère sur une base relative, mais ils intègrent également la prime de qualité et de stabilité que la SIB offre dans un environnement régional en plein essor.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progression remarquable de +30%, passant d'un plus bas de 6 805 FCFA à un plus haut de 9 500 FCFA, avec un cours actuel de 9 100 FCFA, soit une hausse de +1,11% lors de la dernière séance. Cette tendance haussière soutenue témoigne d'un intérêt marqué des investisseurs pour le titre. La moyenne du cours sur la période (8 241 FCFA) est inférieure à la médiane (8 730 FCFA), ce qui indique une distribution légèrement asymétrique avec une concentration des valeurs vers le haut de la fourchette. L'écart-type de 892 FCFA, associé à un coefficient de variation de 10,8%, révèle une dispersion modérée des prix autour de la moyenne. Le kurtosis de -1,537 (platykurtique) suggère une distribution aplatie avec peu de valeurs extrêmes, tandis que le skewness de -0,449 indique une asymétrie négative, avec une queue de distribution plus longue vers les valeurs basses. La volatilité annualisée de 28,5% classe le titre dans la catégorie modérée à élevée, ce qui implique des fluctuations de prix notables mais maîtrisées, offrant des opportunités d'entrée et de sortie pour les investisseurs actifs.</w:t>
      </w:r>
    </w:p>
    <w:p>
      <w:pPr>
        <w:spacing w:after="120" w:line="276" w:lineRule="auto" w:before="240"/>
      </w:pPr>
      <w:r>
        <w:rPr>
          <w:b/>
          <w:color w:val="003366"/>
          <w:sz w:val="24"/>
        </w:rPr>
        <w:t>**PARTIE 2 : ANALYSE TECHNIQUE DÉTAILLÉE**</w:t>
      </w:r>
    </w:p>
    <w:p>
      <w:pPr>
        <w:spacing w:after="120" w:line="276" w:lineRule="auto"/>
      </w:pPr>
      <w:r>
        <w:t>**Moyennes Mobiles** : Les moyennes mobiles sur 20 jours (9 131,5 FCFA) et sur 50 jours (8 963,6 FCFA) sont toutes deux inférieures au cours actuel de 9 100 FCFA, bien que le prix se situe légèrement sous la MM20. Cette configuration, où la MM20 est au-dessus de la MM50, confirme une tendance haussière de moyen terme. La décision d'achat signalée par cet indicateur est cohérente avec la dynamique positive du titre, même si le franchissement récent sous la MM20 appelle à une vigilance à court terme.</w:t>
      </w:r>
    </w:p>
    <w:p>
      <w:pPr>
        <w:spacing w:after="120" w:line="276" w:lineRule="auto"/>
      </w:pPr>
      <w:r>
        <w:t>**Bandes de Bollinger** : Le cours se positionne à 9 100 FCFA, entre la borne inférieure (8 747,7 FCFA) et la borne supérieure (9 515,3 FCFA), avec une largeur de bande relativement étroite indiquant une volatilité modérée. La position centrale du prix suggère un équilibre entre pression acheteuse et vendeuse, justifiant la décision neutre. Un mouvement vers la borne supérieure signalerait un renforcement de la tendance haussière.</w:t>
      </w:r>
    </w:p>
    <w:p>
      <w:pPr>
        <w:spacing w:after="120" w:line="276" w:lineRule="auto"/>
      </w:pPr>
      <w:r>
        <w:t>**MACD** : Le MACD (67,0) est inférieur à sa ligne de signal (95,8), ce qui génère une décision de vente. Cette configuration indique un ralentissement du momentum haussier, les moyennes mobiles exponentielles se rapprochant. Bien que le MACD reste positif, la divergence négative suggère une possible consolidation ou correction à court terme avant la poursuite de la tendance.</w:t>
      </w:r>
    </w:p>
    <w:p>
      <w:pPr>
        <w:spacing w:after="120" w:line="276" w:lineRule="auto"/>
      </w:pPr>
      <w:r>
        <w:t>**RSI** : Le RSI s'établit à 58,3, dans la zone neutre (30-70), ce qui indique un équilibre entre les forces acheteuses et vendeuses. Le titre n'est ni suracheté ni survendu, laissant une marge de manœuvre pour une évolution dans les deux sens. Cette valeur est cohérente avec une phase de consolidation après une forte progression.</w:t>
      </w:r>
    </w:p>
    <w:p>
      <w:pPr>
        <w:spacing w:after="120" w:line="276" w:lineRule="auto"/>
      </w:pPr>
      <w:r>
        <w:t>**Stochastique** : Le %K (20,0) est inférieur au %D (30,5), signalant une dynamique baissière à court terme. Le croisement de ces deux lignes dans la zone de survente pourrait indiquer un potentiel de rebond, mais la configuration actuelle suggère une prudence à très court terme. La décision neutre reflète cette incertitude.</w:t>
      </w:r>
    </w:p>
    <w:p>
      <w:pPr>
        <w:spacing w:after="120" w:line="276" w:lineRule="auto"/>
      </w:pPr>
      <w:r>
        <w:t>**Conclusion technique** : Les indicateurs techniques présentent un tableau contrasté : les moyennes mobiles soutiennent une tendance haussière de fond, tandis que le MACD, le RSI et le stochastique signalent un essoufflement du momentum à court terme. La position du cours dans les bandes de Bollinger suggère une consolidation. Globalement, la tendance de moyen terme reste positive, mais une correction technique est probable avant la poursuite de la hausse.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108,663 milliards FCFA et un résultat net de 55,623 milliards FCFA, démontrant une marge nette exceptionnelle de 51,2%. Le ROE de 27,2% et le ROA de 2,96% témoignent d'une rentabilité remarquable, bien au-dessus des standards du secteur bancaire ouest-africain. Le coefficient d'exploitation de 38,6% reflète une excellente maîtrise des charges opérationnelles, tandis que le coût du risque, bien que présent, reste gérable dans un environnement de croissance. La structure financière montre une dépendance aux dépôts clientèle (1 503 milliards FCFA) qui finance efficacement les créances (1 226 milliards FCFA), avec un ratio de transformation sain. Les rapports trimestriels confirment cette dynamique : le T1 2025 affichait un PNB de 26,5 milliards FCFA (+12%) et un résultat net de 13,6 milliards FCFA (+10%), tandis que le S1 2025 progressait à 54,3 milliards FCFA de PNB (+9%) et 29,4 milliards FCFA de résultat net (+15%). Le T3 2025 a poursuivi cette trajectoire avec un PNB cumulé de 81,4 milliards FCFA (+8%) et un résultat net de 43 milliards FCFA (+11%). Le rapport T1 2026 confirme la tendance avec un PNB de 27,7 milliards FCFA (+4%) et un résultat net de 15,2 milliards FCFA (+11%). Sur la base de ces données, on estime que l'exercice 2026 devrait dépasser les performances de 2025, avec un PNB projeté autour de 115-120 milliards FCFA et un résultat net potentiel de 58-62 milliards FCFA, soutenus par la croissance des dépôts (+9%) et des crédits (+7%). La solidité financière, la croissance régulière et la gestion prudente des risques positionnent la SIB comme une valeur de référence sur la BRVM.</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l'action SIBC. La valorisation (PER 16,4x, P/B 4,44x, EV/EBITDA 15,2x) indique une prime de qualité significative, avec un marché qui intègre déjà les excellentes performances passées. Le comportement du cours sur 100 jours (+30%) confirme l'appétit des investisseurs, mais la volatilité de 28,5% et les statistiques descriptives suggèrent un risque de consolidation. Les signaux techniques sont mitigés : les moyennes mobiles soutiennent la tendance haussière, mais le MACD, le RSI et le stochastique indiquent un essoufflement à court terme. Les fondamentaux demeurent excellents avec un ROE de 27,2%, une marge nette de 51,2% et une croissance soutenue du PNB et du résultat net, confirmée par les rapports trimestriels récents. Les prédictions IA pour les 10 prochains jours (8 787 à 7 840 FCFA) suggèrent une correction de 4% à 14%, ce qui contredit la tendance haussière récente et confirme les signaux techniques de consolidation. Cette convergence entre les indicateurs techniques et les prédictions IA, contrastant avec la solidité fondamentale, conduit à une recommandation de **CONSERVER** avec un niveau de confiance **Moyen** et un risque global **Moyen**. L'horizon d'investissement optimal serait le **moyen terme (3-12 mois)**, permettant d'absorber la correction attendue et de bénéficier de la croissance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+97.65%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29.97% (Élevée) — μ=5,184 FCFA, σ=1,554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β=-0.8350 (Contre-cyclique) — Cov=-0.000028, Var(idx)=0.000034, ρ=-0.128,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7,261</w:t>
            </w:r>
          </w:p>
        </w:tc>
        <w:tc>
          <w:tcPr>
            <w:tcW w:type="dxa" w:w="1440"/>
            <w:shd w:fill="FAFAFA" w:val="clear"/>
          </w:tcPr>
          <w:p>
            <w:r>
              <w:rPr>
                <w:b/>
                <w:sz w:val="17"/>
              </w:rPr>
              <w:t>7,850</w:t>
            </w:r>
          </w:p>
        </w:tc>
        <w:tc>
          <w:tcPr>
            <w:tcW w:type="dxa" w:w="1440"/>
            <w:shd w:fill="FAFAFA" w:val="clear"/>
          </w:tcPr>
          <w:p>
            <w:r>
              <w:rPr>
                <w:sz w:val="17"/>
              </w:rPr>
              <w:t>8,438</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6,622</w:t>
            </w:r>
          </w:p>
        </w:tc>
        <w:tc>
          <w:tcPr>
            <w:tcW w:type="dxa" w:w="1440"/>
            <w:shd w:fill="FFDCE0" w:val="clear"/>
          </w:tcPr>
          <w:p>
            <w:r>
              <w:rPr>
                <w:b/>
                <w:sz w:val="17"/>
              </w:rPr>
              <w:t>7,531</w:t>
            </w:r>
          </w:p>
        </w:tc>
        <w:tc>
          <w:tcPr>
            <w:tcW w:type="dxa" w:w="1440"/>
            <w:shd w:fill="FFDCE0" w:val="clear"/>
          </w:tcPr>
          <w:p>
            <w:r>
              <w:rPr>
                <w:sz w:val="17"/>
              </w:rPr>
              <w:t>8,439</w:t>
            </w:r>
          </w:p>
        </w:tc>
        <w:tc>
          <w:tcPr>
            <w:tcW w:type="dxa" w:w="1440"/>
            <w:shd w:fill="FFDCE0" w:val="clear"/>
          </w:tcPr>
          <w:p>
            <w:r>
              <w:rPr>
                <w:b/>
                <w:color w:val="C00000"/>
                <w:sz w:val="17"/>
              </w:rPr>
              <w:t>-5.9%</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6,220</w:t>
            </w:r>
          </w:p>
        </w:tc>
        <w:tc>
          <w:tcPr>
            <w:tcW w:type="dxa" w:w="1440"/>
            <w:shd w:fill="FFDCE0" w:val="clear"/>
          </w:tcPr>
          <w:p>
            <w:r>
              <w:rPr>
                <w:b/>
                <w:sz w:val="17"/>
              </w:rPr>
              <w:t>7,298</w:t>
            </w:r>
          </w:p>
        </w:tc>
        <w:tc>
          <w:tcPr>
            <w:tcW w:type="dxa" w:w="1440"/>
            <w:shd w:fill="FFDCE0" w:val="clear"/>
          </w:tcPr>
          <w:p>
            <w:r>
              <w:rPr>
                <w:sz w:val="17"/>
              </w:rPr>
              <w:t>8,377</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5,888</w:t>
            </w:r>
          </w:p>
        </w:tc>
        <w:tc>
          <w:tcPr>
            <w:tcW w:type="dxa" w:w="1440"/>
            <w:shd w:fill="FFDCE0" w:val="clear"/>
          </w:tcPr>
          <w:p>
            <w:r>
              <w:rPr>
                <w:b/>
                <w:sz w:val="17"/>
              </w:rPr>
              <w:t>7,099</w:t>
            </w:r>
          </w:p>
        </w:tc>
        <w:tc>
          <w:tcPr>
            <w:tcW w:type="dxa" w:w="1440"/>
            <w:shd w:fill="FFDCE0" w:val="clear"/>
          </w:tcPr>
          <w:p>
            <w:r>
              <w:rPr>
                <w:sz w:val="17"/>
              </w:rPr>
              <w:t>8,311</w:t>
            </w:r>
          </w:p>
        </w:tc>
        <w:tc>
          <w:tcPr>
            <w:tcW w:type="dxa" w:w="1440"/>
            <w:shd w:fill="FFDCE0" w:val="clear"/>
          </w:tcPr>
          <w:p>
            <w:r>
              <w:rPr>
                <w:b/>
                <w:color w:val="C00000"/>
                <w:sz w:val="17"/>
              </w:rPr>
              <w:t>-11.3%</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5,602</w:t>
            </w:r>
          </w:p>
        </w:tc>
        <w:tc>
          <w:tcPr>
            <w:tcW w:type="dxa" w:w="1440"/>
            <w:shd w:fill="FFDCE0" w:val="clear"/>
          </w:tcPr>
          <w:p>
            <w:r>
              <w:rPr>
                <w:b/>
                <w:sz w:val="17"/>
              </w:rPr>
              <w:t>6,923</w:t>
            </w:r>
          </w:p>
        </w:tc>
        <w:tc>
          <w:tcPr>
            <w:tcW w:type="dxa" w:w="1440"/>
            <w:shd w:fill="FFDCE0" w:val="clear"/>
          </w:tcPr>
          <w:p>
            <w:r>
              <w:rPr>
                <w:sz w:val="17"/>
              </w:rPr>
              <w:t>8,244</w:t>
            </w:r>
          </w:p>
        </w:tc>
        <w:tc>
          <w:tcPr>
            <w:tcW w:type="dxa" w:w="1440"/>
            <w:shd w:fill="FFDCE0" w:val="clear"/>
          </w:tcPr>
          <w:p>
            <w:r>
              <w:rPr>
                <w:b/>
                <w:color w:val="C00000"/>
                <w:sz w:val="17"/>
              </w:rPr>
              <w:t>-13.5%</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5,351</w:t>
            </w:r>
          </w:p>
        </w:tc>
        <w:tc>
          <w:tcPr>
            <w:tcW w:type="dxa" w:w="1440"/>
            <w:shd w:fill="FFDCE0" w:val="clear"/>
          </w:tcPr>
          <w:p>
            <w:r>
              <w:rPr>
                <w:b/>
                <w:sz w:val="17"/>
              </w:rPr>
              <w:t>6,765</w:t>
            </w:r>
          </w:p>
        </w:tc>
        <w:tc>
          <w:tcPr>
            <w:tcW w:type="dxa" w:w="1440"/>
            <w:shd w:fill="FFDCE0" w:val="clear"/>
          </w:tcPr>
          <w:p>
            <w:r>
              <w:rPr>
                <w:sz w:val="17"/>
              </w:rPr>
              <w:t>8,179</w:t>
            </w:r>
          </w:p>
        </w:tc>
        <w:tc>
          <w:tcPr>
            <w:tcW w:type="dxa" w:w="1440"/>
            <w:shd w:fill="FFDCE0" w:val="clear"/>
          </w:tcPr>
          <w:p>
            <w:r>
              <w:rPr>
                <w:b/>
                <w:color w:val="C00000"/>
                <w:sz w:val="17"/>
              </w:rPr>
              <w:t>-15.5%</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5,127</w:t>
            </w:r>
          </w:p>
        </w:tc>
        <w:tc>
          <w:tcPr>
            <w:tcW w:type="dxa" w:w="1440"/>
            <w:shd w:fill="FFDCE0" w:val="clear"/>
          </w:tcPr>
          <w:p>
            <w:r>
              <w:rPr>
                <w:b/>
                <w:sz w:val="17"/>
              </w:rPr>
              <w:t>6,622</w:t>
            </w:r>
          </w:p>
        </w:tc>
        <w:tc>
          <w:tcPr>
            <w:tcW w:type="dxa" w:w="1440"/>
            <w:shd w:fill="FFDCE0" w:val="clear"/>
          </w:tcPr>
          <w:p>
            <w:r>
              <w:rPr>
                <w:sz w:val="17"/>
              </w:rPr>
              <w:t>8,117</w:t>
            </w:r>
          </w:p>
        </w:tc>
        <w:tc>
          <w:tcPr>
            <w:tcW w:type="dxa" w:w="1440"/>
            <w:shd w:fill="FFDCE0" w:val="clear"/>
          </w:tcPr>
          <w:p>
            <w:r>
              <w:rPr>
                <w:b/>
                <w:color w:val="C00000"/>
                <w:sz w:val="17"/>
              </w:rPr>
              <w:t>-17.3%</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4,925</w:t>
            </w:r>
          </w:p>
        </w:tc>
        <w:tc>
          <w:tcPr>
            <w:tcW w:type="dxa" w:w="1440"/>
            <w:shd w:fill="FFDCE0" w:val="clear"/>
          </w:tcPr>
          <w:p>
            <w:r>
              <w:rPr>
                <w:b/>
                <w:sz w:val="17"/>
              </w:rPr>
              <w:t>6,492</w:t>
            </w:r>
          </w:p>
        </w:tc>
        <w:tc>
          <w:tcPr>
            <w:tcW w:type="dxa" w:w="1440"/>
            <w:shd w:fill="FFDCE0" w:val="clear"/>
          </w:tcPr>
          <w:p>
            <w:r>
              <w:rPr>
                <w:sz w:val="17"/>
              </w:rPr>
              <w:t>8,059</w:t>
            </w:r>
          </w:p>
        </w:tc>
        <w:tc>
          <w:tcPr>
            <w:tcW w:type="dxa" w:w="1440"/>
            <w:shd w:fill="FFDCE0" w:val="clear"/>
          </w:tcPr>
          <w:p>
            <w:r>
              <w:rPr>
                <w:b/>
                <w:color w:val="C00000"/>
                <w:sz w:val="17"/>
              </w:rPr>
              <w:t>-18.9%</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4,741</w:t>
            </w:r>
          </w:p>
        </w:tc>
        <w:tc>
          <w:tcPr>
            <w:tcW w:type="dxa" w:w="1440"/>
            <w:shd w:fill="FFDCE0" w:val="clear"/>
          </w:tcPr>
          <w:p>
            <w:r>
              <w:rPr>
                <w:b/>
                <w:sz w:val="17"/>
              </w:rPr>
              <w:t>6,372</w:t>
            </w:r>
          </w:p>
        </w:tc>
        <w:tc>
          <w:tcPr>
            <w:tcW w:type="dxa" w:w="1440"/>
            <w:shd w:fill="FFDCE0" w:val="clear"/>
          </w:tcPr>
          <w:p>
            <w:r>
              <w:rPr>
                <w:sz w:val="17"/>
              </w:rPr>
              <w:t>8,003</w:t>
            </w:r>
          </w:p>
        </w:tc>
        <w:tc>
          <w:tcPr>
            <w:tcW w:type="dxa" w:w="1440"/>
            <w:shd w:fill="FFDCE0" w:val="clear"/>
          </w:tcPr>
          <w:p>
            <w:r>
              <w:rPr>
                <w:b/>
                <w:color w:val="C00000"/>
                <w:sz w:val="17"/>
              </w:rPr>
              <w:t>-20.4%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4,572</w:t>
            </w:r>
          </w:p>
        </w:tc>
        <w:tc>
          <w:tcPr>
            <w:tcW w:type="dxa" w:w="1440"/>
            <w:shd w:fill="FFDCE0" w:val="clear"/>
          </w:tcPr>
          <w:p>
            <w:r>
              <w:rPr>
                <w:b/>
                <w:sz w:val="17"/>
              </w:rPr>
              <w:t>6,261</w:t>
            </w:r>
          </w:p>
        </w:tc>
        <w:tc>
          <w:tcPr>
            <w:tcW w:type="dxa" w:w="1440"/>
            <w:shd w:fill="FFDCE0" w:val="clear"/>
          </w:tcPr>
          <w:p>
            <w:r>
              <w:rPr>
                <w:sz w:val="17"/>
              </w:rPr>
              <w:t>7,951</w:t>
            </w:r>
          </w:p>
        </w:tc>
        <w:tc>
          <w:tcPr>
            <w:tcW w:type="dxa" w:w="1440"/>
            <w:shd w:fill="FFDCE0" w:val="clear"/>
          </w:tcPr>
          <w:p>
            <w:r>
              <w:rPr>
                <w:b/>
                <w:color w:val="C00000"/>
                <w:sz w:val="17"/>
              </w:rPr>
              <w:t>-21.8%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4,80 milliards FCFA, un niveau modeste qui la positionne parmi les petites capitalisations de la BRVM, secteur agro-industriel compris. Les ratios de valorisation (BPA, PER, P/B, EV/EBITDA) ne sont pas calculables en raison de l'absence de données financières structurées dans la base officielle pour l'exercice en cours. Cette lacune est préoccupante car elle prive l'investisseur d'une mesure directe de la cherté du titre. Toutefois, en se référant aux derniers rapports disponibles (exercice 2023), le bénéfice net de 19,25 millions FCFA, rapporté au nombre d'actions (environ 600 000 titres), suggère un BPA d'environ 32 FCFA, ce qui impliquerait un PER extrêmement élevé (250x) au cours actuel de 8 005 FCFA, très au-dessus de la moyenne BRVM (8-12x). Le marché valorise donc un potentiel de redressement futur bien plus que les bénéfices actuels, une situation spéculative qui exige une grande prudence.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+97,65%, passant d'un plus bas de 3 765 FCFA à un plus haut de 10 200 FCFA, avant de clôturer à 8 005 FCFA, soit une baisse de -7,46% lors de la dernière séance, signe d'un essoufflement possible. La moyenne (5 184 FCFA) est nettement inférieure à la médiane (4 485 FCFA), et l'écart entre ces deux valeurs, couplé à un skewness positif de 1,891, confirme une distribution asymétrique avec des journées majoritairement sous la moyenne mais quelques fortes hausses qui tirent la moyenne vers le haut. L'écart-type de 1 561 FCFA (CV=30,1%) indique une dispersion élevée, et le kurtosis de 2,642 (leptokurtique) signale un risque de mouvements extrêmes, comme en témoigne la récente chute de 7,46%. La volatilité annualisée de 60,6% est très élevée, classant ce titre comme spéculatif et réservé aux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Le cours actuel (8 005 FCFA) se situe au-dessus de la MM20 (7 879,75 FCFA) et très au-dessus de la MM50 (6 100,4 FCFA), confirmant une tendance haussière de moyen terme. La décision "Achat" est justifiée par cette configuration positive, mais la proximité du cours avec la MM20 suggère une consolidation imminente.</w:t>
      </w:r>
    </w:p>
    <w:p>
      <w:pPr>
        <w:spacing w:after="120" w:line="276" w:lineRule="auto"/>
      </w:pPr>
      <w:r>
        <w:t>**Bandes de Bollinger**: Le prix évolue entre la borne inférieure (4 816,64 FCFA) et la borne supérieure (10 942,86 FCFA), mais se rapproche de la zone médiane. La décision "Neutre" reflète une volatilité encore élevée mais un momentum en perte de vitesse, le cours s'éloignant de la borne supérieure après avoir touché des sommets.</w:t>
      </w:r>
    </w:p>
    <w:p>
      <w:pPr>
        <w:spacing w:after="120" w:line="276" w:lineRule="auto"/>
      </w:pPr>
      <w:r>
        <w:t>**MACD**: La valeur du MACD (946,23) est inférieure à son signal (1 001,44), indiquant un croisement baissier récent. La décision "Vente" est cohérente avec un momentum qui se dégrade, signalant une possible correction après la forte hausse.</w:t>
      </w:r>
    </w:p>
    <w:p>
      <w:pPr>
        <w:spacing w:after="120" w:line="276" w:lineRule="auto"/>
      </w:pPr>
      <w:r>
        <w:t>**RSI**: À 62,08, le RSI se situe en zone neutre (30-70), mais proche de la zone de surachat (70). La décision "Neutre" suggère que le titre n'est pas encore survendu, mais la marge de hausse se réduit, et un retour sous 60 confirmerait un affaiblissement.</w:t>
      </w:r>
    </w:p>
    <w:p>
      <w:pPr>
        <w:spacing w:after="120" w:line="276" w:lineRule="auto"/>
      </w:pPr>
      <w:r>
        <w:t>**Stochastique**: Le %K (29,54) est inférieur au %D (54,70), formant un croisement baissier. La décision "Neutre" masque une dynamique négative, le %K étant passé sous 30, ce qui pourrait indiquer une phase de survente à court terme, mais la tendance reste fragile.</w:t>
      </w:r>
    </w:p>
    <w:p>
      <w:pPr>
        <w:spacing w:after="120" w:line="276" w:lineRule="auto"/>
      </w:pPr>
      <w:r>
        <w:t>**Conclusion technique**: La convergence des indicateurs (MACD baissier, Stochastique en croisement négatif, RSI en perte de vitesse) contraste avec la tendance haussière des moyennes mobiles. Ce mélange signale une phase de consolidation ou de correction après une hausse de près de 100%, avec un risque de repli vers la MM20 (7 880 FCFA) puis la MM50 (6 100 FCFA) si le support actuel casse.</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la base officielle ne sont pas disponibles pour l'exercice 2024, mais les rapports narratifs fournis (datés du 31/12/2024, analysés le 15/03/2026) couvrent les exercices 2023 et 2022, et des rapports plus anciens (2015-2020) sont également accessibles. En 2023, le chiffre d'affaires s'établit à 701,09 millions FCFA, en baisse de 38,4% par rapport à 2022 (1 138,17 millions FCFA), mais le résultat net est redevenu positif à +19,25 millions FCFA, contre une perte de -39,95 millions en 2022, grâce à une réduction drastique des charges (-43,68%). La marge nette de 2,75% reste faible, et le report à nouveau négatif de 689,86 millions FCFA interdit tout dividende. En 2020, le CA était de 2,36 milliards FCFA avec un bénéfice de 109,8 millions, montrant une dégradation structurelle depuis. Pour 2024, aucun chiffre n'est disponible, mais la convocation à l'AG du 22 mai 2026 pour approuver les comptes 2024 suggère une publication imminente. On estime que la tendance de redressement pourrait se poursuivre si la maîtrise des coûts se maintient, mais la dépendance aux cours du coprah et les vols récurrents (sites de Boulay et Gliké) constituent des risques majeurs. La recommandation fondamentale reste "Conserver avec vigilance", la société étant fragile mais en voie de stabilisation.</w:t>
      </w:r>
    </w:p>
    <w:p>
      <w:pPr>
        <w:spacing w:after="120" w:line="276" w:lineRule="auto" w:before="240"/>
      </w:pPr>
      <w:r>
        <w:rPr>
          <w:b/>
          <w:color w:val="003366"/>
          <w:sz w:val="24"/>
        </w:rPr>
        <w:t>**PARTIE 4 : CONCLUSION D'INVESTISSEMENT**</w:t>
      </w:r>
    </w:p>
    <w:p>
      <w:pPr>
        <w:spacing w:after="120" w:line="276" w:lineRule="auto"/>
      </w:pPr>
      <w:r>
        <w:t>La valorisation de SICOR est extrêmement exigeante, avec un PER implicite supérieur à 200x, très au-dessus de la moyenne BRVM, indiquant une surévaluation spéculative. Le comportement du cours, avec une hausse de 97,65% en 100 jours et une volatilité de 60,6%, est préoccupant, le kurtosis élevé et le skewness positif signalant un risque de krach soudain. Les signaux techniques sont mitigés : les moyennes mobiles restent haussières, mais le MACD et le Stochastique pointent vers une correction, et la dernière séance (-7,46%) confirme ce risque. Les fondamentaux, bien qu'en amélioration (retour aux bénéfices en 2023), restent fragiles avec une marge nette de 2,75% et un endettement persistant. Les prédictions IA (baisse progressive de 8 005 à 6 923 FCFA sur 10 jours) confirment la tendance baissière à court terme. En synthèse, la convergence entre la surévaluation, les signaux techniques négatifs et les prédictions IA suggère une **VENTE** avec un niveau de confiance **Moyen** et un risque global **Élevé**. L'horizon optimal est le court terme (&lt;3 mois) pour les investisseurs existants, avec un stop-loss sous 7 500 FCFA, tandis que les nouveaux entrants devraient attendre un repli sous 6 000 FCFA pour envisager une position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5,401 titres</w:t>
            </w:r>
          </w:p>
        </w:tc>
        <w:tc>
          <w:tcPr>
            <w:tcW w:type="dxa" w:w="2268"/>
            <w:shd w:fill="FFF2CC" w:val="clear"/>
          </w:tcPr>
          <w:p>
            <w:r>
              <w:rPr>
                <w:b/>
                <w:color w:val="503200"/>
                <w:sz w:val="16"/>
              </w:rPr>
              <w:t xml:space="preserve">Cours actuel : </w:t>
            </w:r>
            <w:r>
              <w:rPr>
                <w:color w:val="000000"/>
                <w:sz w:val="17"/>
              </w:rPr>
              <w:t>2,380 FCFA</w:t>
            </w:r>
          </w:p>
          <w:p>
            <w:r>
              <w:rPr>
                <w:b/>
                <w:color w:val="503200"/>
                <w:sz w:val="16"/>
              </w:rPr>
              <w:t xml:space="preserve">Var. 100 jours : </w:t>
            </w:r>
            <w:r>
              <w:rPr>
                <w:b/>
                <w:color w:val="B40000"/>
                <w:sz w:val="17"/>
              </w:rPr>
              <w:t>-20.00%</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11.24% (Moyenne) — μ=2,613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β=0.2384 (Défensif) — Cov=0.000008, Var(idx)=0.000034, ρ=0.043,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2,095</w:t>
            </w:r>
          </w:p>
        </w:tc>
        <w:tc>
          <w:tcPr>
            <w:tcW w:type="dxa" w:w="1440"/>
            <w:shd w:fill="FFDCE0" w:val="clear"/>
          </w:tcPr>
          <w:p>
            <w:r>
              <w:rPr>
                <w:b/>
                <w:sz w:val="17"/>
              </w:rPr>
              <w:t>2,231</w:t>
            </w:r>
          </w:p>
        </w:tc>
        <w:tc>
          <w:tcPr>
            <w:tcW w:type="dxa" w:w="1440"/>
            <w:shd w:fill="FFDCE0" w:val="clear"/>
          </w:tcPr>
          <w:p>
            <w:r>
              <w:rPr>
                <w:sz w:val="17"/>
              </w:rPr>
              <w:t>2,367</w:t>
            </w:r>
          </w:p>
        </w:tc>
        <w:tc>
          <w:tcPr>
            <w:tcW w:type="dxa" w:w="1440"/>
            <w:shd w:fill="FFDCE0" w:val="clear"/>
          </w:tcPr>
          <w:p>
            <w:r>
              <w:rPr>
                <w:b/>
                <w:color w:val="C00000"/>
                <w:sz w:val="17"/>
              </w:rPr>
              <w:t>-6.3%</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2,004</w:t>
            </w:r>
          </w:p>
        </w:tc>
        <w:tc>
          <w:tcPr>
            <w:tcW w:type="dxa" w:w="1440"/>
            <w:shd w:fill="FFDCE0" w:val="clear"/>
          </w:tcPr>
          <w:p>
            <w:r>
              <w:rPr>
                <w:b/>
                <w:sz w:val="17"/>
              </w:rPr>
              <w:t>2,193</w:t>
            </w:r>
          </w:p>
        </w:tc>
        <w:tc>
          <w:tcPr>
            <w:tcW w:type="dxa" w:w="1440"/>
            <w:shd w:fill="FFDCE0" w:val="clear"/>
          </w:tcPr>
          <w:p>
            <w:r>
              <w:rPr>
                <w:sz w:val="17"/>
              </w:rPr>
              <w:t>2,381</w:t>
            </w:r>
          </w:p>
        </w:tc>
        <w:tc>
          <w:tcPr>
            <w:tcW w:type="dxa" w:w="1440"/>
            <w:shd w:fill="FFDCE0" w:val="clear"/>
          </w:tcPr>
          <w:p>
            <w:r>
              <w:rPr>
                <w:b/>
                <w:color w:val="C00000"/>
                <w:sz w:val="17"/>
              </w:rPr>
              <w:t>-7.9%</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1,919</w:t>
            </w:r>
          </w:p>
        </w:tc>
        <w:tc>
          <w:tcPr>
            <w:tcW w:type="dxa" w:w="1440"/>
            <w:shd w:fill="FFDCE0" w:val="clear"/>
          </w:tcPr>
          <w:p>
            <w:r>
              <w:rPr>
                <w:b/>
                <w:sz w:val="17"/>
              </w:rPr>
              <w:t>2,145</w:t>
            </w:r>
          </w:p>
        </w:tc>
        <w:tc>
          <w:tcPr>
            <w:tcW w:type="dxa" w:w="1440"/>
            <w:shd w:fill="FFDCE0" w:val="clear"/>
          </w:tcPr>
          <w:p>
            <w:r>
              <w:rPr>
                <w:sz w:val="17"/>
              </w:rPr>
              <w:t>2,371</w:t>
            </w:r>
          </w:p>
        </w:tc>
        <w:tc>
          <w:tcPr>
            <w:tcW w:type="dxa" w:w="1440"/>
            <w:shd w:fill="FFDCE0" w:val="clear"/>
          </w:tcPr>
          <w:p>
            <w:r>
              <w:rPr>
                <w:b/>
                <w:color w:val="C00000"/>
                <w:sz w:val="17"/>
              </w:rPr>
              <w:t>-9.9%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1,841</w:t>
            </w:r>
          </w:p>
        </w:tc>
        <w:tc>
          <w:tcPr>
            <w:tcW w:type="dxa" w:w="1440"/>
            <w:shd w:fill="FFDCE0" w:val="clear"/>
          </w:tcPr>
          <w:p>
            <w:r>
              <w:rPr>
                <w:b/>
                <w:sz w:val="17"/>
              </w:rPr>
              <w:t>2,096</w:t>
            </w:r>
          </w:p>
        </w:tc>
        <w:tc>
          <w:tcPr>
            <w:tcW w:type="dxa" w:w="1440"/>
            <w:shd w:fill="FFDCE0" w:val="clear"/>
          </w:tcPr>
          <w:p>
            <w:r>
              <w:rPr>
                <w:sz w:val="17"/>
              </w:rPr>
              <w:t>2,351</w:t>
            </w:r>
          </w:p>
        </w:tc>
        <w:tc>
          <w:tcPr>
            <w:tcW w:type="dxa" w:w="1440"/>
            <w:shd w:fill="FFDCE0" w:val="clear"/>
          </w:tcPr>
          <w:p>
            <w:r>
              <w:rPr>
                <w:b/>
                <w:color w:val="C00000"/>
                <w:sz w:val="17"/>
              </w:rPr>
              <w:t>-11.9%</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1,769</w:t>
            </w:r>
          </w:p>
        </w:tc>
        <w:tc>
          <w:tcPr>
            <w:tcW w:type="dxa" w:w="1440"/>
            <w:shd w:fill="FFDCE0" w:val="clear"/>
          </w:tcPr>
          <w:p>
            <w:r>
              <w:rPr>
                <w:b/>
                <w:sz w:val="17"/>
              </w:rPr>
              <w:t>2,048</w:t>
            </w:r>
          </w:p>
        </w:tc>
        <w:tc>
          <w:tcPr>
            <w:tcW w:type="dxa" w:w="1440"/>
            <w:shd w:fill="FFDCE0" w:val="clear"/>
          </w:tcPr>
          <w:p>
            <w:r>
              <w:rPr>
                <w:sz w:val="17"/>
              </w:rPr>
              <w:t>2,327</w:t>
            </w:r>
          </w:p>
        </w:tc>
        <w:tc>
          <w:tcPr>
            <w:tcW w:type="dxa" w:w="1440"/>
            <w:shd w:fill="FFDCE0" w:val="clear"/>
          </w:tcPr>
          <w:p>
            <w:r>
              <w:rPr>
                <w:b/>
                <w:color w:val="C00000"/>
                <w:sz w:val="17"/>
              </w:rPr>
              <w:t>-14.0%</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1,703</w:t>
            </w:r>
          </w:p>
        </w:tc>
        <w:tc>
          <w:tcPr>
            <w:tcW w:type="dxa" w:w="1440"/>
            <w:shd w:fill="FFDCE0" w:val="clear"/>
          </w:tcPr>
          <w:p>
            <w:r>
              <w:rPr>
                <w:b/>
                <w:sz w:val="17"/>
              </w:rPr>
              <w:t>2,002</w:t>
            </w:r>
          </w:p>
        </w:tc>
        <w:tc>
          <w:tcPr>
            <w:tcW w:type="dxa" w:w="1440"/>
            <w:shd w:fill="FFDCE0" w:val="clear"/>
          </w:tcPr>
          <w:p>
            <w:r>
              <w:rPr>
                <w:sz w:val="17"/>
              </w:rPr>
              <w:t>2,300</w:t>
            </w:r>
          </w:p>
        </w:tc>
        <w:tc>
          <w:tcPr>
            <w:tcW w:type="dxa" w:w="1440"/>
            <w:shd w:fill="FFDCE0" w:val="clear"/>
          </w:tcPr>
          <w:p>
            <w:r>
              <w:rPr>
                <w:b/>
                <w:color w:val="C00000"/>
                <w:sz w:val="17"/>
              </w:rPr>
              <w:t>-15.9%</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1,642</w:t>
            </w:r>
          </w:p>
        </w:tc>
        <w:tc>
          <w:tcPr>
            <w:tcW w:type="dxa" w:w="1440"/>
            <w:shd w:fill="FFDCE0" w:val="clear"/>
          </w:tcPr>
          <w:p>
            <w:r>
              <w:rPr>
                <w:b/>
                <w:sz w:val="17"/>
              </w:rPr>
              <w:t>1,957</w:t>
            </w:r>
          </w:p>
        </w:tc>
        <w:tc>
          <w:tcPr>
            <w:tcW w:type="dxa" w:w="1440"/>
            <w:shd w:fill="FFDCE0" w:val="clear"/>
          </w:tcPr>
          <w:p>
            <w:r>
              <w:rPr>
                <w:sz w:val="17"/>
              </w:rPr>
              <w:t>2,272</w:t>
            </w:r>
          </w:p>
        </w:tc>
        <w:tc>
          <w:tcPr>
            <w:tcW w:type="dxa" w:w="1440"/>
            <w:shd w:fill="FFDCE0" w:val="clear"/>
          </w:tcPr>
          <w:p>
            <w:r>
              <w:rPr>
                <w:b/>
                <w:color w:val="C00000"/>
                <w:sz w:val="17"/>
              </w:rPr>
              <w:t>-17.8%</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1,584</w:t>
            </w:r>
          </w:p>
        </w:tc>
        <w:tc>
          <w:tcPr>
            <w:tcW w:type="dxa" w:w="1440"/>
            <w:shd w:fill="FFDCE0" w:val="clear"/>
          </w:tcPr>
          <w:p>
            <w:r>
              <w:rPr>
                <w:b/>
                <w:sz w:val="17"/>
              </w:rPr>
              <w:t>1,914</w:t>
            </w:r>
          </w:p>
        </w:tc>
        <w:tc>
          <w:tcPr>
            <w:tcW w:type="dxa" w:w="1440"/>
            <w:shd w:fill="FFDCE0" w:val="clear"/>
          </w:tcPr>
          <w:p>
            <w:r>
              <w:rPr>
                <w:sz w:val="17"/>
              </w:rPr>
              <w:t>2,243</w:t>
            </w:r>
          </w:p>
        </w:tc>
        <w:tc>
          <w:tcPr>
            <w:tcW w:type="dxa" w:w="1440"/>
            <w:shd w:fill="FFDCE0" w:val="clear"/>
          </w:tcPr>
          <w:p>
            <w:r>
              <w:rPr>
                <w:b/>
                <w:color w:val="C00000"/>
                <w:sz w:val="17"/>
              </w:rPr>
              <w:t>-19.6%</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1,530</w:t>
            </w:r>
          </w:p>
        </w:tc>
        <w:tc>
          <w:tcPr>
            <w:tcW w:type="dxa" w:w="1440"/>
            <w:shd w:fill="FFDCE0" w:val="clear"/>
          </w:tcPr>
          <w:p>
            <w:r>
              <w:rPr>
                <w:b/>
                <w:sz w:val="17"/>
              </w:rPr>
              <w:t>1,872</w:t>
            </w:r>
          </w:p>
        </w:tc>
        <w:tc>
          <w:tcPr>
            <w:tcW w:type="dxa" w:w="1440"/>
            <w:shd w:fill="FFDCE0" w:val="clear"/>
          </w:tcPr>
          <w:p>
            <w:r>
              <w:rPr>
                <w:sz w:val="17"/>
              </w:rPr>
              <w:t>2,214</w:t>
            </w:r>
          </w:p>
        </w:tc>
        <w:tc>
          <w:tcPr>
            <w:tcW w:type="dxa" w:w="1440"/>
            <w:shd w:fill="FFDCE0" w:val="clear"/>
          </w:tcPr>
          <w:p>
            <w:r>
              <w:rPr>
                <w:b/>
                <w:color w:val="C00000"/>
                <w:sz w:val="17"/>
              </w:rPr>
              <w:t>-21.4%</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1,479</w:t>
            </w:r>
          </w:p>
        </w:tc>
        <w:tc>
          <w:tcPr>
            <w:tcW w:type="dxa" w:w="1440"/>
            <w:shd w:fill="FFDCE0" w:val="clear"/>
          </w:tcPr>
          <w:p>
            <w:r>
              <w:rPr>
                <w:b/>
                <w:sz w:val="17"/>
              </w:rPr>
              <w:t>1,832</w:t>
            </w:r>
          </w:p>
        </w:tc>
        <w:tc>
          <w:tcPr>
            <w:tcW w:type="dxa" w:w="1440"/>
            <w:shd w:fill="FFDCE0" w:val="clear"/>
          </w:tcPr>
          <w:p>
            <w:r>
              <w:rPr>
                <w:sz w:val="17"/>
              </w:rPr>
              <w:t>2,184</w:t>
            </w:r>
          </w:p>
        </w:tc>
        <w:tc>
          <w:tcPr>
            <w:tcW w:type="dxa" w:w="1440"/>
            <w:shd w:fill="FFDCE0" w:val="clear"/>
          </w:tcPr>
          <w:p>
            <w:r>
              <w:rPr>
                <w:b/>
                <w:color w:val="C00000"/>
                <w:sz w:val="17"/>
              </w:rPr>
              <w:t>-23.0%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(BRVM)**</w:t>
      </w:r>
    </w:p>
    <w:p>
      <w:pPr>
        <w:spacing w:after="120" w:line="276" w:lineRule="auto" w:before="240"/>
      </w:pPr>
      <w:r>
        <w:rPr>
          <w:b/>
          <w:color w:val="003366"/>
          <w:sz w:val="24"/>
        </w:rPr>
        <w:t>**PARTIE 0 : INDICATEURS DE VALORISATION BOURSIÈRE**</w:t>
      </w:r>
    </w:p>
    <w:p>
      <w:pPr>
        <w:spacing w:after="120" w:line="276" w:lineRule="auto"/>
      </w:pPr>
      <w:r>
        <w:t>La capitalisation boursière de 20,79 milliards FCFA positionne Erium CI comme une valeur de taille moyenne sur la BRVM. Le BPA de 43 FCFA par action est faible, ce qui explique un PER de 55,1x, extrêmement élevé par rapport à la moyenne du marché qui se situe entre 8 et 12x. Les investisseurs paient donc une prime considérable pour chaque franc de bénéfice, ce qui traduit des attentes de croissance très fortes ou une spéculation excessive. Le P/B de 6,35x confirme cette exigeance, le marché valorisant l'actif net comptable plus de six fois au-dessus de sa valeur. Enfin, l'EV/EBITDA de 17,3x indique que la valeur totale de l'entreprise (dette incluse) représente plus de 17 fois sa capacité opérationnelle, un niveau qui laisse peu de marge de sécurité. Ces ratios, tous supérieurs aux normes du marché, signalent une valorisation très tendue qui ne laisse que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de 20%, passant d'un plus haut de 3 215 FCFA à un plus bas de 1 920 FCFA, avant de se stabiliser à 2 380 FCFA, soit une légère hausse de 0,42% lors de la dernière séance. La moyenne du cours sur la période est de 2 613 FCFA, tandis que la médiane s'établit à 2 710 FCFA, un écart qui indique une distribution légèrement asymétrique, confirmée par un skewness de -0,392, suggérant que les rendements négatifs ont été plus fréquents. L'écart-type de 295 FCFA (CV=11,3%) montre une dispersion modérée, et le kurtosis de -0,958, proche d'une distribution normale, indique une absence de pics extrêmes. La volatilité annualisée de 50,7% est très élevée, signalant un titre spéculatif et risqué. La tendance générale est clairement baissière, avec un cours qui a perdu un cinquième de sa valeur en quatre mois.</w:t>
      </w:r>
    </w:p>
    <w:p>
      <w:pPr>
        <w:spacing w:after="120" w:line="276" w:lineRule="auto" w:before="240"/>
      </w:pPr>
      <w:r>
        <w:rPr>
          <w:b/>
          <w:color w:val="003366"/>
          <w:sz w:val="24"/>
        </w:rPr>
        <w:t>**PARTIE 2 : ANALYSE TECHNIQUE DÉTAILLÉE**</w:t>
      </w:r>
    </w:p>
    <w:p>
      <w:pPr>
        <w:spacing w:after="120" w:line="276" w:lineRule="auto"/>
      </w:pPr>
      <w:r>
        <w:t>Les moyennes mobiles MM20 (2 290 FCFA) et MM50 (2 371,2 FCFA) sont toutes deux inférieures au cours actuel de 2 380 FCFA, avec une MM20 en dessous de la MM50, ce qui dessine une configuration baissière. Le signal de vente est justifié par cette structure, le cours évoluant sous ses moyennes mobiles, indiquant une dynamique négative persistante.</w:t>
      </w:r>
    </w:p>
    <w:p>
      <w:pPr>
        <w:spacing w:after="120" w:line="276" w:lineRule="auto"/>
      </w:pPr>
      <w:r>
        <w:t>Les bandes de Bollinger, avec une borne supérieure à 2 522 FCFA et une borne inférieure à 2 058 FCFA, encadrent un cours à 2 380 FCFA, positionné dans la moitié supérieure du canal. La décision neutre s'explique par le fait que le prix n'est ni en zone de surachat ni de survente, avec une volatilité modérée qui ne suggère pas de mouvement violent imminent.</w:t>
      </w:r>
    </w:p>
    <w:p>
      <w:pPr>
        <w:spacing w:after="120" w:line="276" w:lineRule="auto"/>
      </w:pPr>
      <w:r>
        <w:t>Le MACD affiche une valeur positive de 15,196 contre un signal négatif de -4,045, créant une divergence haussière. Ce croisement, où la ligne MACD passe au-dessus de sa ligne de signal, indique un momentum positif en train de se former, justifiant la décision d'achat malgré la tendance baissière de fond.</w:t>
      </w:r>
    </w:p>
    <w:p>
      <w:pPr>
        <w:spacing w:after="120" w:line="276" w:lineRule="auto"/>
      </w:pPr>
      <w:r>
        <w:t>Le RSI à 63,433 se situe dans la zone neutre (30-70), sans signal de surachat ni de survente. Cette valeur suggère que le titre dispose encore de marge avant d'atteindre des conditions de surachat, mais la décision neutre reflète l'absence de direction claire à court terme.</w:t>
      </w:r>
    </w:p>
    <w:p>
      <w:pPr>
        <w:spacing w:after="120" w:line="276" w:lineRule="auto"/>
      </w:pPr>
      <w:r>
        <w:t>Le stochastique, avec %K à 85,915 et %D à 84,977, est en zone de surachat, les deux lignes étant très proches. Ce niveau élevé indique que le cours a fortement monté récemment par rapport à sa fourchette de prix, justifiant la décision de vente, car un retournement est statistiquement probable.</w:t>
      </w:r>
    </w:p>
    <w:p>
      <w:pPr>
        <w:spacing w:after="120" w:line="276" w:lineRule="auto"/>
      </w:pPr>
      <w:r>
        <w:t>La conclusion technique est mitigée : si le MACD et le RSI suggèrent un potentiel de rebond à court terme, les moyennes mobiles et le stochastique signalent une tendance baissière et des conditions de surachat. Cette divergence entre indicateurs de momentum et de tendance rend le signal global incertain, avec un biais légèrement négatif à moyen terme.</w:t>
      </w:r>
    </w:p>
    <w:p>
      <w:pPr>
        <w:spacing w:after="120" w:line="276" w:lineRule="auto" w:before="240"/>
      </w:pPr>
      <w:r>
        <w:rPr>
          <w:b/>
          <w:color w:val="003366"/>
          <w:sz w:val="24"/>
        </w:rPr>
        <w:t>**PARTIE 3 : ANALYSE FONDAMENTALE (SECTION CRITIQUE)**</w:t>
      </w:r>
    </w:p>
    <w:p>
      <w:pPr>
        <w:spacing w:after="120" w:line="276" w:lineRule="auto"/>
      </w:pPr>
      <w:r>
        <w:t>En 2024, les données structurées indiquent un PNB de 9,283 milliards FCFA, un résultat net de 376,96 millions FCFA, un ROE de 11,52% et un ROA de 2,69%. Le coefficient d'exploitation de 95,83% est très élevé, indiquant une banque peu efficace, et le coût du risque de 3,10% révèle un portefeuille de crédit fragile. La marge nette de 4,06% et la marge opérationnelle de 5,63% sont faibles, tandis que la trésorerie nette est négative à -2,143 milliards FCFA. Pour l'exercice 2025, le rapport annuel daté du 31 décembre 2025 (analysé le 29 juin 2026) montre un chiffre d'affaires en hausse de 8,53% à 10,07 milliards FCFA, mais un résultat net en chute de 52,4% à 179,29 millions FCFA, avec une marge nette tombée à 1,78%. Les capitaux propres ont diminué à 2,53 milliards FCFA et l'endettement financier a augmenté à 4,16 milliards FCFA. Cependant, les rapports trimestriels 2025 peignent un tableau plus optimiste : au T3 2025, le CA cumulé atteignait 7,58 milliards FCFA (+13%) et le résultat net 832,5 millions FCFA (+58%), avec une marge nette de 11%. Au S1 2025, le CA était de 4,90 milliards FCFA (+8,8%) et le résultat net de 512,9 millions FCFA (+4,6%). Cette contradiction entre les résultats trimestriels et le résultat annuel suggère une dégradation brutale au T4 2025, probablement due à des charges exceptionnelles. La recommandation fondamentale est de conserver le titre, car la croissance du CA est réelle mais la rentabilité et la structure financière restent fragiles.</w:t>
      </w:r>
    </w:p>
    <w:p>
      <w:pPr>
        <w:spacing w:after="120" w:line="276" w:lineRule="auto" w:before="240"/>
      </w:pPr>
      <w:r>
        <w:rPr>
          <w:b/>
          <w:color w:val="003366"/>
          <w:sz w:val="24"/>
        </w:rPr>
        <w:t>**PARTIE 4 : CONCLUSION D'INVESTISSEMENT**</w:t>
      </w:r>
    </w:p>
    <w:p>
      <w:pPr>
        <w:spacing w:after="120" w:line="276" w:lineRule="auto"/>
      </w:pPr>
      <w:r>
        <w:t>La valorisation de 55,1x le PER et de 6,35x le P/B indique une surévaluation manifeste, les investisseurs payant une prime excessive pour des bénéfices en chute libre. Le comportement du cours, avec une baisse de 20% sur 100 jours et une volatilité de 50,7%, reflète cette incertitude, bien que les statistiques montrent une distribution relativement normale. Les signaux techniques sont contradictoires : le MACD et le RSI suggèrent un rebond technique, mais les moyennes mobiles et le stochastique restent baissiers. Les fondamentaux, malgré une croissance du CA, montrent une rentabilité en forte dégradation et une trésorerie négative. Les prédictions IA, qui anticipent une poursuite de la baisse vers 2 048 FCFA dans 10 jours, confirment la tendance baissière. La convergence entre la surévaluation, la dégradation fondamentale et les prédictions IA l'emporte sur les signaux techniques de court terme. La recommandation finale est **VENTE**, avec un niveau de confiance **Moyen** et un risque global **Élevé**. L'horizon d'investissement optimal serait le court terme (&lt;3 mois) pour les investisseurs cherchant à limiter leurs pertes, en attendant une amélioration significative des fondamentaux ou une correction de la valorisation.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618.10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1,127 titres</w:t>
            </w:r>
          </w:p>
        </w:tc>
        <w:tc>
          <w:tcPr>
            <w:tcW w:type="dxa" w:w="2268"/>
            <w:shd w:fill="FFF2CC" w:val="clear"/>
          </w:tcPr>
          <w:p>
            <w:r>
              <w:rPr>
                <w:b/>
                <w:color w:val="503200"/>
                <w:sz w:val="16"/>
              </w:rPr>
              <w:t xml:space="preserve">Cours actuel : </w:t>
            </w:r>
            <w:r>
              <w:rPr>
                <w:color w:val="000000"/>
                <w:sz w:val="17"/>
              </w:rPr>
              <w:t>37,550 FCFA</w:t>
            </w:r>
          </w:p>
          <w:p>
            <w:r>
              <w:rPr>
                <w:b/>
                <w:color w:val="503200"/>
                <w:sz w:val="16"/>
              </w:rPr>
              <w:t xml:space="preserve">Var. 100 jours : </w:t>
            </w:r>
            <w:r>
              <w:rPr>
                <w:b/>
                <w:color w:val="B40000"/>
                <w:sz w:val="17"/>
              </w:rPr>
              <w:t>-2.97%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2.48% (Faible) — μ=38,365 FCFA, σ=952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β=0.1824 (Défensif) — Cov=0.000006, Var(idx)=0.000034, ρ=0.057,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36,093</w:t>
            </w:r>
          </w:p>
        </w:tc>
        <w:tc>
          <w:tcPr>
            <w:tcW w:type="dxa" w:w="1440"/>
            <w:shd w:fill="FAFAFA" w:val="clear"/>
          </w:tcPr>
          <w:p>
            <w:r>
              <w:rPr>
                <w:b/>
                <w:sz w:val="17"/>
              </w:rPr>
              <w:t>37,333</w:t>
            </w:r>
          </w:p>
        </w:tc>
        <w:tc>
          <w:tcPr>
            <w:tcW w:type="dxa" w:w="1440"/>
            <w:shd w:fill="FAFAFA" w:val="clear"/>
          </w:tcPr>
          <w:p>
            <w:r>
              <w:rPr>
                <w:sz w:val="17"/>
              </w:rPr>
              <w:t>38,573</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35,551</w:t>
            </w:r>
          </w:p>
        </w:tc>
        <w:tc>
          <w:tcPr>
            <w:tcW w:type="dxa" w:w="1440"/>
            <w:shd w:fill="FAFAFA" w:val="clear"/>
          </w:tcPr>
          <w:p>
            <w:r>
              <w:rPr>
                <w:b/>
                <w:sz w:val="17"/>
              </w:rPr>
              <w:t>37,303</w:t>
            </w:r>
          </w:p>
        </w:tc>
        <w:tc>
          <w:tcPr>
            <w:tcW w:type="dxa" w:w="1440"/>
            <w:shd w:fill="FAFAFA" w:val="clear"/>
          </w:tcPr>
          <w:p>
            <w:r>
              <w:rPr>
                <w:sz w:val="17"/>
              </w:rPr>
              <w:t>39,055</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2026-08-28</w:t>
            </w:r>
          </w:p>
        </w:tc>
        <w:tc>
          <w:tcPr>
            <w:tcW w:type="dxa" w:w="1440"/>
            <w:shd w:fill="FAFAFA" w:val="clear"/>
          </w:tcPr>
          <w:p>
            <w:r>
              <w:rPr>
                <w:sz w:val="17"/>
              </w:rPr>
              <w:t>35,127</w:t>
            </w:r>
          </w:p>
        </w:tc>
        <w:tc>
          <w:tcPr>
            <w:tcW w:type="dxa" w:w="1440"/>
            <w:shd w:fill="FAFAFA" w:val="clear"/>
          </w:tcPr>
          <w:p>
            <w:r>
              <w:rPr>
                <w:b/>
                <w:sz w:val="17"/>
              </w:rPr>
              <w:t>37,272</w:t>
            </w:r>
          </w:p>
        </w:tc>
        <w:tc>
          <w:tcPr>
            <w:tcW w:type="dxa" w:w="1440"/>
            <w:shd w:fill="FAFAFA" w:val="clear"/>
          </w:tcPr>
          <w:p>
            <w:r>
              <w:rPr>
                <w:sz w:val="17"/>
              </w:rPr>
              <w:t>39,416</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34,766</w:t>
            </w:r>
          </w:p>
        </w:tc>
        <w:tc>
          <w:tcPr>
            <w:tcW w:type="dxa" w:w="1440"/>
            <w:shd w:fill="FAFAFA" w:val="clear"/>
          </w:tcPr>
          <w:p>
            <w:r>
              <w:rPr>
                <w:b/>
                <w:sz w:val="17"/>
              </w:rPr>
              <w:t>37,240</w:t>
            </w:r>
          </w:p>
        </w:tc>
        <w:tc>
          <w:tcPr>
            <w:tcW w:type="dxa" w:w="1440"/>
            <w:shd w:fill="FAFAFA" w:val="clear"/>
          </w:tcPr>
          <w:p>
            <w:r>
              <w:rPr>
                <w:sz w:val="17"/>
              </w:rPr>
              <w:t>39,714</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2026-09-01</w:t>
            </w:r>
          </w:p>
        </w:tc>
        <w:tc>
          <w:tcPr>
            <w:tcW w:type="dxa" w:w="1440"/>
            <w:shd w:fill="FAFAFA" w:val="clear"/>
          </w:tcPr>
          <w:p>
            <w:r>
              <w:rPr>
                <w:sz w:val="17"/>
              </w:rPr>
              <w:t>34,444</w:t>
            </w:r>
          </w:p>
        </w:tc>
        <w:tc>
          <w:tcPr>
            <w:tcW w:type="dxa" w:w="1440"/>
            <w:shd w:fill="FAFAFA" w:val="clear"/>
          </w:tcPr>
          <w:p>
            <w:r>
              <w:rPr>
                <w:b/>
                <w:sz w:val="17"/>
              </w:rPr>
              <w:t>37,208</w:t>
            </w:r>
          </w:p>
        </w:tc>
        <w:tc>
          <w:tcPr>
            <w:tcW w:type="dxa" w:w="1440"/>
            <w:shd w:fill="FAFAFA" w:val="clear"/>
          </w:tcPr>
          <w:p>
            <w:r>
              <w:rPr>
                <w:sz w:val="17"/>
              </w:rPr>
              <w:t>39,972</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2026-09-02</w:t>
            </w:r>
          </w:p>
        </w:tc>
        <w:tc>
          <w:tcPr>
            <w:tcW w:type="dxa" w:w="1440"/>
            <w:shd w:fill="FAFAFA" w:val="clear"/>
          </w:tcPr>
          <w:p>
            <w:r>
              <w:rPr>
                <w:sz w:val="17"/>
              </w:rPr>
              <w:t>34,151</w:t>
            </w:r>
          </w:p>
        </w:tc>
        <w:tc>
          <w:tcPr>
            <w:tcW w:type="dxa" w:w="1440"/>
            <w:shd w:fill="FAFAFA" w:val="clear"/>
          </w:tcPr>
          <w:p>
            <w:r>
              <w:rPr>
                <w:b/>
                <w:sz w:val="17"/>
              </w:rPr>
              <w:t>37,176</w:t>
            </w:r>
          </w:p>
        </w:tc>
        <w:tc>
          <w:tcPr>
            <w:tcW w:type="dxa" w:w="1440"/>
            <w:shd w:fill="FAFAFA" w:val="clear"/>
          </w:tcPr>
          <w:p>
            <w:r>
              <w:rPr>
                <w:sz w:val="17"/>
              </w:rPr>
              <w:t>40,201</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2026-09-03</w:t>
            </w:r>
          </w:p>
        </w:tc>
        <w:tc>
          <w:tcPr>
            <w:tcW w:type="dxa" w:w="1440"/>
            <w:shd w:fill="FAFAFA" w:val="clear"/>
          </w:tcPr>
          <w:p>
            <w:r>
              <w:rPr>
                <w:sz w:val="17"/>
              </w:rPr>
              <w:t>33,880</w:t>
            </w:r>
          </w:p>
        </w:tc>
        <w:tc>
          <w:tcPr>
            <w:tcW w:type="dxa" w:w="1440"/>
            <w:shd w:fill="FAFAFA" w:val="clear"/>
          </w:tcPr>
          <w:p>
            <w:r>
              <w:rPr>
                <w:b/>
                <w:sz w:val="17"/>
              </w:rPr>
              <w:t>37,144</w:t>
            </w:r>
          </w:p>
        </w:tc>
        <w:tc>
          <w:tcPr>
            <w:tcW w:type="dxa" w:w="1440"/>
            <w:shd w:fill="FAFAFA" w:val="clear"/>
          </w:tcPr>
          <w:p>
            <w:r>
              <w:rPr>
                <w:sz w:val="17"/>
              </w:rPr>
              <w:t>40,409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2026-09-04</w:t>
            </w:r>
          </w:p>
        </w:tc>
        <w:tc>
          <w:tcPr>
            <w:tcW w:type="dxa" w:w="1440"/>
            <w:shd w:fill="FAFAFA" w:val="clear"/>
          </w:tcPr>
          <w:p>
            <w:r>
              <w:rPr>
                <w:sz w:val="17"/>
              </w:rPr>
              <w:t>33,625</w:t>
            </w:r>
          </w:p>
        </w:tc>
        <w:tc>
          <w:tcPr>
            <w:tcW w:type="dxa" w:w="1440"/>
            <w:shd w:fill="FAFAFA" w:val="clear"/>
          </w:tcPr>
          <w:p>
            <w:r>
              <w:rPr>
                <w:b/>
                <w:sz w:val="17"/>
              </w:rPr>
              <w:t>37,112</w:t>
            </w:r>
          </w:p>
        </w:tc>
        <w:tc>
          <w:tcPr>
            <w:tcW w:type="dxa" w:w="1440"/>
            <w:shd w:fill="FAFAFA" w:val="clear"/>
          </w:tcPr>
          <w:p>
            <w:r>
              <w:rPr>
                <w:sz w:val="17"/>
              </w:rPr>
              <w:t>40,599</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2026-09-07</w:t>
            </w:r>
          </w:p>
        </w:tc>
        <w:tc>
          <w:tcPr>
            <w:tcW w:type="dxa" w:w="1440"/>
            <w:shd w:fill="FAFAFA" w:val="clear"/>
          </w:tcPr>
          <w:p>
            <w:r>
              <w:rPr>
                <w:sz w:val="17"/>
              </w:rPr>
              <w:t>33,385</w:t>
            </w:r>
          </w:p>
        </w:tc>
        <w:tc>
          <w:tcPr>
            <w:tcW w:type="dxa" w:w="1440"/>
            <w:shd w:fill="FAFAFA" w:val="clear"/>
          </w:tcPr>
          <w:p>
            <w:r>
              <w:rPr>
                <w:b/>
                <w:sz w:val="17"/>
              </w:rPr>
              <w:t>37,080</w:t>
            </w:r>
          </w:p>
        </w:tc>
        <w:tc>
          <w:tcPr>
            <w:tcW w:type="dxa" w:w="1440"/>
            <w:shd w:fill="FAFAFA" w:val="clear"/>
          </w:tcPr>
          <w:p>
            <w:r>
              <w:rPr>
                <w:sz w:val="17"/>
              </w:rPr>
              <w:t>40,775</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2026-09-08</w:t>
            </w:r>
          </w:p>
        </w:tc>
        <w:tc>
          <w:tcPr>
            <w:tcW w:type="dxa" w:w="1440"/>
            <w:shd w:fill="FAFAFA" w:val="clear"/>
          </w:tcPr>
          <w:p>
            <w:r>
              <w:rPr>
                <w:sz w:val="17"/>
              </w:rPr>
              <w:t>33,156</w:t>
            </w:r>
          </w:p>
        </w:tc>
        <w:tc>
          <w:tcPr>
            <w:tcW w:type="dxa" w:w="1440"/>
            <w:shd w:fill="FAFAFA" w:val="clear"/>
          </w:tcPr>
          <w:p>
            <w:r>
              <w:rPr>
                <w:b/>
                <w:sz w:val="17"/>
              </w:rPr>
              <w:t>37,048</w:t>
            </w:r>
          </w:p>
        </w:tc>
        <w:tc>
          <w:tcPr>
            <w:tcW w:type="dxa" w:w="1440"/>
            <w:shd w:fill="FAFAFA" w:val="clear"/>
          </w:tcPr>
          <w:p>
            <w:r>
              <w:rPr>
                <w:sz w:val="17"/>
              </w:rPr>
              <w:t>40,940</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618,10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13,5x, légèrement au-dessus de la moyenne historique de la BRVM (8-12x), ce qui traduit une prime de croissance accordée par le marché aux excellentes performances récentes de la société. Le P/B de 3,17x confirme cette prime, le marché valorisant l'entreprise à plus de trois fois sa valeur comptable, tandis que l'EV/EBITDA de 7,4x reste dans une fourchette raisonnable (5-10x), indiquant que la valorisation globale de l'entreprise, dette incluse, demeure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-2,97%, passant d'un plus haut de 41 500 FCFA à un plus bas de 35 540 FCFA, avec une légère reprise de +1,47% lors de la dernière séance à 37 550 FCFA. La moyenne (38 365 FCFA) et la médiane (38 372 FCFA) sont quasi identiques, indiquant une distribution symétrique des cours, confirmée par un skewness de 0,190. L'écart-type de 957 FCFA, avec un coefficient de variation de seulement 2,5%, révèle une dispersion très faible des prix autour de la moyenne, témoignant d'une stabilité remarquable malgré la tendance baissière. Le kurtosis de 0,258 (mésokurtique) suggère l'absence de mouvements extrêmes ou de pics de volatilité inhabituels, tandis que la volatilité annualisée de 29,6% positionne le titre dans la zone modérée à élevée, reflétant une certaine prudence des investisseurs dans un contexte de consolidation après les fortes hausses précédentes.</w:t>
      </w:r>
    </w:p>
    <w:p>
      <w:pPr>
        <w:spacing w:after="120" w:line="276" w:lineRule="auto" w:before="240"/>
      </w:pPr>
      <w:r>
        <w:rPr>
          <w:b/>
          <w:color w:val="003366"/>
          <w:sz w:val="24"/>
        </w:rPr>
        <w:t>**PARTIE 2 : ANALYSE TECHNIQUE DÉTAILLÉE**</w:t>
      </w:r>
    </w:p>
    <w:p>
      <w:pPr>
        <w:spacing w:after="120" w:line="276" w:lineRule="auto"/>
      </w:pPr>
      <w:r>
        <w:t>**Moyennes Mobiles**: La MM20 à 37 707,5 FCFA et la MM50 à 38 604,2 FCFA se situent toutes deux au-dessus du cours actuel de 37 550 FCFA, avec une MM50 supérieure à la MM20, configuration typique d'une tendance baissière à moyen terme. Le signal de Vente est justifié par cette structure où le prix évolue sous ses moyennes mobiles, indiquant une pression vendeuse persistante malgré la stabilisation récente.</w:t>
      </w:r>
    </w:p>
    <w:p>
      <w:pPr>
        <w:spacing w:after="120" w:line="276" w:lineRule="auto"/>
      </w:pPr>
      <w:r>
        <w:t>**Bandes de Bollinger**: Le cours à 37 550 FCFA se positionne entre la borne inférieure (36 243,668 FCFA) et la borne supérieure (39 171,332 FCFA), proche de la zone médiane, ce qui suggère une volatilité modérée et une absence de mouvement directionnel marqué. La décision Neutre est appropriée, le prix n'étant ni en situation de surachat ni de survente, laissant place à une possible poursuite de la consolidation.</w:t>
      </w:r>
    </w:p>
    <w:p>
      <w:pPr>
        <w:spacing w:after="120" w:line="276" w:lineRule="auto"/>
      </w:pPr>
      <w:r>
        <w:t>**MACD**: Le MACD à -340,031 se situe au-dessus de sa ligne de signal à -367,25, formant un croisement haussier récent qui indique un ralentissement de la dynamique baissière. La décision Achat se justifie par cette convergence positive, suggérant un potentiel retournement de tendance à court terme, bien que les valeurs restent négatives, traduisant une faiblesse sous-jacente persistante.</w:t>
      </w:r>
    </w:p>
    <w:p>
      <w:pPr>
        <w:spacing w:after="120" w:line="276" w:lineRule="auto"/>
      </w:pPr>
      <w:r>
        <w:t>**RSI**: À 48,817, le RSI se positionne exactement dans la zone neutre (30-70), indiquant un équilibre entre pressions acheteuses et vendeuses. Cette valeur Neutre reflète l'absence de momentum directionnel clair, le titre n'étant ni suracheté ni survendu, ce qui laisse présager une poursuite de la consolidation tant qu'aucun signal fort ne se dégage.</w:t>
      </w:r>
    </w:p>
    <w:p>
      <w:pPr>
        <w:spacing w:after="120" w:line="276" w:lineRule="auto"/>
      </w:pPr>
      <w:r>
        <w:t>**Stochastique**: Le %K à 59,091 est supérieur au %D à 47,121, formant un croisement haussier qui suggère un regain d'intérêt acheteur à court terme. La décision Neutre s'explique par le fait que les valeurs restent dans la zone médiane, sans atteindre les seuils extrêmes, indiquant une dynamique positive mais encore fragile nécessitant confirmation.</w:t>
      </w:r>
    </w:p>
    <w:p>
      <w:pPr>
        <w:spacing w:after="120" w:line="276" w:lineRule="auto"/>
      </w:pPr>
      <w:r>
        <w:t>**Conclusion technique**: La convergence des indicateurs montre un tableau contrasté : les moyennes mobiles maintiennent une pression baissière, tandis que le MACD et le stochastique suggèrent un potentiel retournement haussier. Le RSI neutre et les bandes de Bollinger stables indiquent une phase de consolidation, avec une légère tendance à l'amélioration technique à court terme, mais sans signal fort pour inverser la tendance moyenne.</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avec un chiffre d'affaires de 378,123 milliards FCFA, en croissance de 22,1% par rapport à 2024 (309,722 milliards FCFA), et un résultat net de 45,781 milliards FCFA, plus que doublé par rapport aux 21,472 milliards FCFA de 2024. La marge nette s'améliore spectaculairement de 6,9% à 12,1%, portée par une marge opérationnelle de 17,2% et un EBE de 87,445 milliards FCFA (+52%). Les ratios de rentabilité sont excellents avec un ROE de 23,46% et un ROA de 13,48%, témoignant d'une utilisation très efficace des capitaux propres et des actifs. La structure financière est saine avec une autonomie financière de 57,5%, une solvabilité générale de 235,2% et une capacité de remboursement de seulement 0,67 an. Le BFR de 61,587 milliards FCFA, avec un délai clients de 64 jours et un délai fournisseurs de 77 jours, indique une gestion correcte du cycle d'exploitation, bien que la durée de stockage de 117 jours mérite une attention particulière. Les rapports trimestriels confirment cette dynamique : le S1 2025 montre un CA de 165,8 milliards FCFA (+12,3%) avec un résultat net de 28,0 milliards FCFA (+175,1%), et le T1 2026 poursuit sur cette lancée avec un CA de 93,46 milliards FCFA (+7,6%) et un résultat net de 16,26 milliards FCFA (+4,8%). Sur la base de ces tendances, on estime que l'exercice 2026 devrait maintenir une croissance à deux chiffres du chiffre d'affaires et une rentabilité soutenue, avec un dividende proposé de 2 127 FCFA par action pour 2025, soit un taux de distribution de 76,5%, témoignant de la confiance du management dans la pérennité des flux de trésorerie.</w:t>
      </w:r>
    </w:p>
    <w:p>
      <w:pPr>
        <w:spacing w:after="120" w:line="276" w:lineRule="auto" w:before="240"/>
      </w:pPr>
      <w:r>
        <w:rPr>
          <w:b/>
          <w:color w:val="003366"/>
          <w:sz w:val="24"/>
        </w:rPr>
        <w:t>**PARTIE 4 : CONCLUSION D'INVESTISSEMENT**</w:t>
      </w:r>
    </w:p>
    <w:p>
      <w:pPr>
        <w:spacing w:after="120" w:line="276" w:lineRule="auto"/>
      </w:pPr>
      <w:r>
        <w:t>La valorisation de SLBC, avec un PER de 13,5x et un P/B de 3,17x, reflète une prime de croissance justifiée par des fondamentaux exceptionnels, tandis que l'EV/EBITDA de 7,4x reste raisonnable. Le comportement du cours sur 100 jours montre une légère consolidation (-2,97%) avec une volatilité modérée et une distribution symétrique, sans signes de stress excessif. Les signaux techniques sont mitigés : les moyennes mobiles restent baissières, mais le MACD et le stochastique suggèrent un potentiel retournement haussier, avec un RSI neutre. Les fondamentaux sont indiscutablement solides avec une croissance de 22% du CA, un doublement du résultat net, un ROE de 23,5% et une politique de dividende généreuse. Les prédictions IA pour les 10 prochains jours indiquent une légère baisse progressive vers 37 208 FCFA, ce qui contredit légèrement les signaux techniques de retournement mais reste cohérent avec la tendance de consolidation récente. La convergence entre des fondamentaux excellents et une valorisation encore raisonnable, malgré des signaux techniques partagés, conduit à une recommandation **ACHAT** avec un niveau de confiance **Élevé** et un risque global **Faible**. L'horizon d'investissement optimal est le **moyen terme (3-12 mois)**, permettant de capter la poursuite de la croissance des résultats et le rendement du dividende attractif, tout en laissant le temps aux indicateurs techniques de confirmer un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1,366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+34.40%</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μ=14,516 FCFA, σ=2,169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β=-0.4392 (Contre-cyclique) — Cov=-0.000015, Var(idx)=0.000034, ρ=-0.111,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15,960</w:t>
            </w:r>
          </w:p>
        </w:tc>
        <w:tc>
          <w:tcPr>
            <w:tcW w:type="dxa" w:w="1440"/>
            <w:shd w:fill="FAFAFA" w:val="clear"/>
          </w:tcPr>
          <w:p>
            <w:r>
              <w:rPr>
                <w:b/>
                <w:sz w:val="17"/>
              </w:rPr>
              <w:t>16,558</w:t>
            </w:r>
          </w:p>
        </w:tc>
        <w:tc>
          <w:tcPr>
            <w:tcW w:type="dxa" w:w="1440"/>
            <w:shd w:fill="FAFAFA" w:val="clear"/>
          </w:tcPr>
          <w:p>
            <w:r>
              <w:rPr>
                <w:sz w:val="17"/>
              </w:rPr>
              <w:t>17,157</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15,664</w:t>
            </w:r>
          </w:p>
        </w:tc>
        <w:tc>
          <w:tcPr>
            <w:tcW w:type="dxa" w:w="1440"/>
            <w:shd w:fill="FAFAFA" w:val="clear"/>
          </w:tcPr>
          <w:p>
            <w:r>
              <w:rPr>
                <w:b/>
                <w:sz w:val="17"/>
              </w:rPr>
              <w:t>16,508</w:t>
            </w:r>
          </w:p>
        </w:tc>
        <w:tc>
          <w:tcPr>
            <w:tcW w:type="dxa" w:w="1440"/>
            <w:shd w:fill="FAFAFA" w:val="clear"/>
          </w:tcPr>
          <w:p>
            <w:r>
              <w:rPr>
                <w:sz w:val="17"/>
              </w:rPr>
              <w:t>17,351</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15,411</w:t>
            </w:r>
          </w:p>
        </w:tc>
        <w:tc>
          <w:tcPr>
            <w:tcW w:type="dxa" w:w="1440"/>
            <w:shd w:fill="FFDCE0" w:val="clear"/>
          </w:tcPr>
          <w:p>
            <w:r>
              <w:rPr>
                <w:b/>
                <w:sz w:val="17"/>
              </w:rPr>
              <w:t>16,440</w:t>
            </w:r>
          </w:p>
        </w:tc>
        <w:tc>
          <w:tcPr>
            <w:tcW w:type="dxa" w:w="1440"/>
            <w:shd w:fill="FFDCE0" w:val="clear"/>
          </w:tcPr>
          <w:p>
            <w:r>
              <w:rPr>
                <w:sz w:val="17"/>
              </w:rPr>
              <w:t>17,469</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15,194</w:t>
            </w:r>
          </w:p>
        </w:tc>
        <w:tc>
          <w:tcPr>
            <w:tcW w:type="dxa" w:w="1440"/>
            <w:shd w:fill="FFDCE0" w:val="clear"/>
          </w:tcPr>
          <w:p>
            <w:r>
              <w:rPr>
                <w:b/>
                <w:sz w:val="17"/>
              </w:rPr>
              <w:t>16,378</w:t>
            </w:r>
          </w:p>
        </w:tc>
        <w:tc>
          <w:tcPr>
            <w:tcW w:type="dxa" w:w="1440"/>
            <w:shd w:fill="FFDCE0" w:val="clear"/>
          </w:tcPr>
          <w:p>
            <w:r>
              <w:rPr>
                <w:sz w:val="17"/>
              </w:rPr>
              <w:t>17,561</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15,000</w:t>
            </w:r>
          </w:p>
        </w:tc>
        <w:tc>
          <w:tcPr>
            <w:tcW w:type="dxa" w:w="1440"/>
            <w:shd w:fill="FFDCE0" w:val="clear"/>
          </w:tcPr>
          <w:p>
            <w:r>
              <w:rPr>
                <w:b/>
                <w:sz w:val="17"/>
              </w:rPr>
              <w:t>16,319</w:t>
            </w:r>
          </w:p>
        </w:tc>
        <w:tc>
          <w:tcPr>
            <w:tcW w:type="dxa" w:w="1440"/>
            <w:shd w:fill="FFDCE0" w:val="clear"/>
          </w:tcPr>
          <w:p>
            <w:r>
              <w:rPr>
                <w:sz w:val="17"/>
              </w:rPr>
              <w:t>17,637</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14,821</w:t>
            </w:r>
          </w:p>
        </w:tc>
        <w:tc>
          <w:tcPr>
            <w:tcW w:type="dxa" w:w="1440"/>
            <w:shd w:fill="FFDCE0" w:val="clear"/>
          </w:tcPr>
          <w:p>
            <w:r>
              <w:rPr>
                <w:b/>
                <w:sz w:val="17"/>
              </w:rPr>
              <w:t>16,261</w:t>
            </w:r>
          </w:p>
        </w:tc>
        <w:tc>
          <w:tcPr>
            <w:tcW w:type="dxa" w:w="1440"/>
            <w:shd w:fill="FFDCE0" w:val="clear"/>
          </w:tcPr>
          <w:p>
            <w:r>
              <w:rPr>
                <w:sz w:val="17"/>
              </w:rPr>
              <w:t>17,700</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14,654</w:t>
            </w:r>
          </w:p>
        </w:tc>
        <w:tc>
          <w:tcPr>
            <w:tcW w:type="dxa" w:w="1440"/>
            <w:shd w:fill="FFDCE0" w:val="clear"/>
          </w:tcPr>
          <w:p>
            <w:r>
              <w:rPr>
                <w:b/>
                <w:sz w:val="17"/>
              </w:rPr>
              <w:t>16,203</w:t>
            </w:r>
          </w:p>
        </w:tc>
        <w:tc>
          <w:tcPr>
            <w:tcW w:type="dxa" w:w="1440"/>
            <w:shd w:fill="FFDCE0" w:val="clear"/>
          </w:tcPr>
          <w:p>
            <w:r>
              <w:rPr>
                <w:sz w:val="17"/>
              </w:rPr>
              <w:t>17,753</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14,497</w:t>
            </w:r>
          </w:p>
        </w:tc>
        <w:tc>
          <w:tcPr>
            <w:tcW w:type="dxa" w:w="1440"/>
            <w:shd w:fill="FFDCE0" w:val="clear"/>
          </w:tcPr>
          <w:p>
            <w:r>
              <w:rPr>
                <w:b/>
                <w:sz w:val="17"/>
              </w:rPr>
              <w:t>16,147</w:t>
            </w:r>
          </w:p>
        </w:tc>
        <w:tc>
          <w:tcPr>
            <w:tcW w:type="dxa" w:w="1440"/>
            <w:shd w:fill="FFDCE0" w:val="clear"/>
          </w:tcPr>
          <w:p>
            <w:r>
              <w:rPr>
                <w:sz w:val="17"/>
              </w:rPr>
              <w:t>17,798</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14,347</w:t>
            </w:r>
          </w:p>
        </w:tc>
        <w:tc>
          <w:tcPr>
            <w:tcW w:type="dxa" w:w="1440"/>
            <w:shd w:fill="FFDCE0" w:val="clear"/>
          </w:tcPr>
          <w:p>
            <w:r>
              <w:rPr>
                <w:b/>
                <w:sz w:val="17"/>
              </w:rPr>
              <w:t>16,092</w:t>
            </w:r>
          </w:p>
        </w:tc>
        <w:tc>
          <w:tcPr>
            <w:tcW w:type="dxa" w:w="1440"/>
            <w:shd w:fill="FFDCE0" w:val="clear"/>
          </w:tcPr>
          <w:p>
            <w:r>
              <w:rPr>
                <w:sz w:val="17"/>
              </w:rPr>
              <w:t>17,836</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14,205</w:t>
            </w:r>
          </w:p>
        </w:tc>
        <w:tc>
          <w:tcPr>
            <w:tcW w:type="dxa" w:w="1440"/>
            <w:shd w:fill="FFDCE0" w:val="clear"/>
          </w:tcPr>
          <w:p>
            <w:r>
              <w:rPr>
                <w:b/>
                <w:sz w:val="17"/>
              </w:rPr>
              <w:t>16,037</w:t>
            </w:r>
          </w:p>
        </w:tc>
        <w:tc>
          <w:tcPr>
            <w:tcW w:type="dxa" w:w="1440"/>
            <w:shd w:fill="FFDCE0" w:val="clear"/>
          </w:tcPr>
          <w:p>
            <w:r>
              <w:rPr>
                <w:sz w:val="17"/>
              </w:rPr>
              <w:t>17,870</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130,96 milliards FCFA, un niveau significatif qui la positionne parmi les valeurs moyennes de la BRVM, reflétant un intérêt marqué des investisseurs pour ce titre industriel. Le BPA de 1 677 FCFA indique que chaque action génère un bénéfice substantiel, justifiant un PER de 10,0x, en phase avec la moyenne historique du marché régional (8-12x), ce qui traduit une valorisation raisonnable sans prime excessive. Le P/B de 3,05x montre que le marché valorise l'entreprise à plus de trois fois ses capitaux propres, signe d'une confiance dans sa capacité à générer de la croissance future. Enfin, l'EV/EBITDA de 6,3x, dans la fourchette basse des 5-10x, indique que la valeur totale de l'entreprise reste attractive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+34,40%, avec une dernière séance en hausse de +1,08% à 16 800 FCFA, confirmant une dynamique haussière soutenue. Le titre a évolué dans une fourchette large de 11 450 FCFA (plus bas) à 17 735 FCFA (plus haut), démontrant une forte amplitude de trading. La moyenne de 14 516 FCFA, inférieure à la médiane de 15 508 FCFA, suggère une asymétrie positive avec une concentration des cours vers le haut de la fourchette. L'écart-type de 2 179 FCFA (CV de 15,0%) indique une dispersion modérée des prix autour de la moyenne. Le kurtosis négatif de -1,620 (distribution platykurtique) révèle une absence de pics extrêmes, tandis que le skewness de -0,163 confirme une distribution quasi symétrique. La volatilité annualisée de 36,5% classe le titre comme très volatil, un niveau élevé qui implique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Les Moyennes Mobiles (MM20 à 16 264 FCFA et MM50 à 16 445,7 FCFA) sont toutes deux inférieures au cours actuel de 16 800 FCFA, mais la MM50 reste supérieure à la MM20, indiquant une tendance haussière de fond. Cependant, la décision de "Vente" suggère un possible essoufflement à court terme, le cours s'éloignant de ses moyennes.</w:t>
      </w:r>
    </w:p>
    <w:p>
      <w:pPr>
        <w:spacing w:after="120" w:line="276" w:lineRule="auto"/>
      </w:pPr>
      <w:r>
        <w:t>Les Bandes de Bollinger (borne supérieure à 17 075,8 FCFA et borne inférieure à 15 452,2 FCFA) montrent un cours proche de la borne supérieure, signalant une pression acheteuse soutenue. La décision "Neutre" indique que le titre n'est pas encore en situation de surachat extrême, mais la proximité de la borne supérieure suggère une possible consolidation.</w:t>
      </w:r>
    </w:p>
    <w:p>
      <w:pPr>
        <w:spacing w:after="120" w:line="276" w:lineRule="auto"/>
      </w:pPr>
      <w:r>
        <w:t>Le MACD affiche une valeur de 136,262 contre un signal de 90,875, avec un écart positif de 45 points. Cette configuration haussière, avec une décision "Achat", confirme un momentum positif persistant, bien que l'écart croissant puisse indiquer une maturité du mouvement.</w:t>
      </w:r>
    </w:p>
    <w:p>
      <w:pPr>
        <w:spacing w:after="120" w:line="276" w:lineRule="auto"/>
      </w:pPr>
      <w:r>
        <w:t>Le RSI à 85,519 est en zone de surachat prononcé (au-delà de 70), signalant une pression acheteuse excessive. La décision "Vente" reflète le risque élevé de correction technique à court terme, les acheteurs potentiels étant épuisés.</w:t>
      </w:r>
    </w:p>
    <w:p>
      <w:pPr>
        <w:spacing w:after="120" w:line="276" w:lineRule="auto"/>
      </w:pPr>
      <w:r>
        <w:t>Le Stochastique (%K et %D à 100,0) est en situation extrême de surachat, avec une décision "Vente". Cette configuration indique que le titre est à son plus haut niveau sur la période, augmentant la probabilité d'un retournement baissier.</w:t>
      </w:r>
    </w:p>
    <w:p>
      <w:pPr>
        <w:spacing w:after="120" w:line="276" w:lineRule="auto"/>
      </w:pPr>
      <w:r>
        <w:t>En conclusion technique, les indicateurs de momentum (MACD) restent positifs, mais les oscillateurs de surachat (RSI, Stochastique) et la position des moyennes mobiles suggèrent un risque accru de correction à court terme. La convergence des signaux de vente sur les indicateurs de momentum contraste avec la tendance haussière de fond, créant une situation de tension technique.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mais avec un résultat net en forte progression de 50,3% à 13,075 milliards FCFA, démontrant une excellente maîtrise des coûts. Le ROE de 30,47% est exceptionnel (largement au-dessus du seuil de 15% considéré comme excellent), tandis que le ROA de 7,26% témoigne d'une bonne efficacité dans l'utilisation des actifs. La marge nette s'améliore à 6,32%, contre 3,8% en 2024, reflétant une optimisation significative de la rentabilité. Le BFR de 1,693 milliards FCFA reste positif mais modéré, avec un délai clients de 193,75 jours (élevé, représentant un risque de trésorerie) et un délai fournisseurs de 207,07 jours (favorable). L'endettement reste maîtrisé avec une capacité de remboursement de 0,68 an. Les rapports trimestriels 2025 (T1, S1, 9M) confirment cette tendance : malgré des baisses de CA (-22% au T1, -23% au S1, -14% au 9M), les marges s'améliorent grâce à de meilleures marges de raffinage, avec un résultat net en hausse de +6% au 9M. On estime que l'exercice 2025 complet devrait confirmer cette performance, avec un résultat net annuel autour de 13 milliards FCFA, soutenu par une trésorerie nette positive de 23,988 milliards FCFA et des capitaux propres renforcés à 42,913 milliards FCFA.</w:t>
      </w:r>
    </w:p>
    <w:p>
      <w:pPr>
        <w:spacing w:after="120" w:line="276" w:lineRule="auto" w:before="240"/>
      </w:pPr>
      <w:r>
        <w:rPr>
          <w:b/>
          <w:color w:val="003366"/>
          <w:sz w:val="24"/>
        </w:rPr>
        <w:t>**PARTIE 4 : CONCLUSION D'INVESTISSEMENT**</w:t>
      </w:r>
    </w:p>
    <w:p>
      <w:pPr>
        <w:spacing w:after="120" w:line="276" w:lineRule="auto"/>
      </w:pPr>
      <w:r>
        <w:t>La valorisation de SMBC (PER de 10,0x, P/B de 3,05x, EV/EBITDA de 6,3x) apparaît raisonnable, avec une sous-évaluation relative par rapport au potentiel de croissance. Le comportement du cours (+34,40% sur 100 jours) montre une tendance haussière forte, mais la volatilité élevée (36,5%) et le kurtosis platykurtique indiquent un risque de fluctuations importantes. Les signaux techniques sont mitigés : le MACD reste positif, mais le RSI et le Stochastique en surachat extrême suggèrent une correction imminente. Les fondamentaux sont solides avec un ROE de 30,47%, une trésorerie abondante et une amélioration spectaculaire de la rentabilité malgré la baisse du CA. Les prédictions IA (16 558 FCFA à J+10, soit -1,4%) confirment un léger repli technique attendu, cohérent avec les signaux de surachat. La convergence entre la solidité fondamentale, la valorisation raisonnable et la prédiction de consolidation technique conduit à une recommandation **CONSERVER**, avec un niveau de confiance **Moyen** et un risque global **Élevé** en raison de la volatilité. L'horizon d'investissement optimal serait le **moyen terme (3-12 mois)**, permettant d'absorber la correction technique attendue et de bénéficier de la reprise potentielle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9,586 titres</w:t>
            </w:r>
          </w:p>
        </w:tc>
        <w:tc>
          <w:tcPr>
            <w:tcW w:type="dxa" w:w="2268"/>
            <w:shd w:fill="FFF2CC" w:val="clear"/>
          </w:tcPr>
          <w:p>
            <w:r>
              <w:rPr>
                <w:b/>
                <w:color w:val="503200"/>
                <w:sz w:val="16"/>
              </w:rPr>
              <w:t xml:space="preserve">Cours actuel : </w:t>
            </w:r>
            <w:r>
              <w:rPr>
                <w:color w:val="000000"/>
                <w:sz w:val="17"/>
              </w:rPr>
              <w:t>36,500 FCFA</w:t>
            </w:r>
          </w:p>
          <w:p>
            <w:r>
              <w:rPr>
                <w:b/>
                <w:color w:val="503200"/>
                <w:sz w:val="16"/>
              </w:rPr>
              <w:t xml:space="preserve">Var. 100 jours : </w:t>
            </w:r>
            <w:r>
              <w:rPr>
                <w:b/>
                <w:color w:val="007800"/>
                <w:sz w:val="17"/>
              </w:rPr>
              <w:t>+28.41%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6.11% (Moyenne) — μ=29,758 FCFA, σ=1,819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β=1.7434 (Agressif) — Cov=0.000059, Var(idx)=0.000034, ρ=0.549,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9,586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33,599</w:t>
            </w:r>
          </w:p>
        </w:tc>
        <w:tc>
          <w:tcPr>
            <w:tcW w:type="dxa" w:w="1440"/>
            <w:shd w:fill="FFDCE0" w:val="clear"/>
          </w:tcPr>
          <w:p>
            <w:r>
              <w:rPr>
                <w:b/>
                <w:sz w:val="17"/>
              </w:rPr>
              <w:t>34,851</w:t>
            </w:r>
          </w:p>
        </w:tc>
        <w:tc>
          <w:tcPr>
            <w:tcW w:type="dxa" w:w="1440"/>
            <w:shd w:fill="FFDCE0" w:val="clear"/>
          </w:tcPr>
          <w:p>
            <w:r>
              <w:rPr>
                <w:sz w:val="17"/>
              </w:rPr>
              <w:t>36,103</w:t>
            </w:r>
          </w:p>
        </w:tc>
        <w:tc>
          <w:tcPr>
            <w:tcW w:type="dxa" w:w="1440"/>
            <w:shd w:fill="FFDCE0" w:val="clear"/>
          </w:tcPr>
          <w:p>
            <w:r>
              <w:rPr>
                <w:b/>
                <w:color w:val="C00000"/>
                <w:sz w:val="17"/>
              </w:rPr>
              <w:t>-4.5%</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33,087</w:t>
            </w:r>
          </w:p>
        </w:tc>
        <w:tc>
          <w:tcPr>
            <w:tcW w:type="dxa" w:w="1440"/>
            <w:shd w:fill="FFDCE0" w:val="clear"/>
          </w:tcPr>
          <w:p>
            <w:r>
              <w:rPr>
                <w:b/>
                <w:sz w:val="17"/>
              </w:rPr>
              <w:t>34,857</w:t>
            </w:r>
          </w:p>
        </w:tc>
        <w:tc>
          <w:tcPr>
            <w:tcW w:type="dxa" w:w="1440"/>
            <w:shd w:fill="FFDCE0" w:val="clear"/>
          </w:tcPr>
          <w:p>
            <w:r>
              <w:rPr>
                <w:sz w:val="17"/>
              </w:rPr>
              <w:t>36,628</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32,554</w:t>
            </w:r>
          </w:p>
        </w:tc>
        <w:tc>
          <w:tcPr>
            <w:tcW w:type="dxa" w:w="1440"/>
            <w:shd w:fill="FFDCE0" w:val="clear"/>
          </w:tcPr>
          <w:p>
            <w:r>
              <w:rPr>
                <w:b/>
                <w:sz w:val="17"/>
              </w:rPr>
              <w:t>34,713</w:t>
            </w:r>
          </w:p>
        </w:tc>
        <w:tc>
          <w:tcPr>
            <w:tcW w:type="dxa" w:w="1440"/>
            <w:shd w:fill="FFDCE0" w:val="clear"/>
          </w:tcPr>
          <w:p>
            <w:r>
              <w:rPr>
                <w:sz w:val="17"/>
              </w:rPr>
              <w:t>36,873</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32,105</w:t>
            </w:r>
          </w:p>
        </w:tc>
        <w:tc>
          <w:tcPr>
            <w:tcW w:type="dxa" w:w="1440"/>
            <w:shd w:fill="FFDCE0" w:val="clear"/>
          </w:tcPr>
          <w:p>
            <w:r>
              <w:rPr>
                <w:b/>
                <w:sz w:val="17"/>
              </w:rPr>
              <w:t>34,590</w:t>
            </w:r>
          </w:p>
        </w:tc>
        <w:tc>
          <w:tcPr>
            <w:tcW w:type="dxa" w:w="1440"/>
            <w:shd w:fill="FFDCE0" w:val="clear"/>
          </w:tcPr>
          <w:p>
            <w:r>
              <w:rPr>
                <w:sz w:val="17"/>
              </w:rPr>
              <w:t>37,075</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31,727</w:t>
            </w:r>
          </w:p>
        </w:tc>
        <w:tc>
          <w:tcPr>
            <w:tcW w:type="dxa" w:w="1440"/>
            <w:shd w:fill="FFDCE0" w:val="clear"/>
          </w:tcPr>
          <w:p>
            <w:r>
              <w:rPr>
                <w:b/>
                <w:sz w:val="17"/>
              </w:rPr>
              <w:t>34,498</w:t>
            </w:r>
          </w:p>
        </w:tc>
        <w:tc>
          <w:tcPr>
            <w:tcW w:type="dxa" w:w="1440"/>
            <w:shd w:fill="FFDCE0" w:val="clear"/>
          </w:tcPr>
          <w:p>
            <w:r>
              <w:rPr>
                <w:sz w:val="17"/>
              </w:rPr>
              <w:t>37,268</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31,394</w:t>
            </w:r>
          </w:p>
        </w:tc>
        <w:tc>
          <w:tcPr>
            <w:tcW w:type="dxa" w:w="1440"/>
            <w:shd w:fill="FFDCE0" w:val="clear"/>
          </w:tcPr>
          <w:p>
            <w:r>
              <w:rPr>
                <w:b/>
                <w:sz w:val="17"/>
              </w:rPr>
              <w:t>34,423</w:t>
            </w:r>
          </w:p>
        </w:tc>
        <w:tc>
          <w:tcPr>
            <w:tcW w:type="dxa" w:w="1440"/>
            <w:shd w:fill="FFDCE0" w:val="clear"/>
          </w:tcPr>
          <w:p>
            <w:r>
              <w:rPr>
                <w:sz w:val="17"/>
              </w:rPr>
              <w:t>37,451</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31,091</w:t>
            </w:r>
          </w:p>
        </w:tc>
        <w:tc>
          <w:tcPr>
            <w:tcW w:type="dxa" w:w="1440"/>
            <w:shd w:fill="FFDCE0" w:val="clear"/>
          </w:tcPr>
          <w:p>
            <w:r>
              <w:rPr>
                <w:b/>
                <w:sz w:val="17"/>
              </w:rPr>
              <w:t>34,356</w:t>
            </w:r>
          </w:p>
        </w:tc>
        <w:tc>
          <w:tcPr>
            <w:tcW w:type="dxa" w:w="1440"/>
            <w:shd w:fill="FFDCE0" w:val="clear"/>
          </w:tcPr>
          <w:p>
            <w:r>
              <w:rPr>
                <w:sz w:val="17"/>
              </w:rPr>
              <w:t>37,621</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30,809</w:t>
            </w:r>
          </w:p>
        </w:tc>
        <w:tc>
          <w:tcPr>
            <w:tcW w:type="dxa" w:w="1440"/>
            <w:shd w:fill="FFDCE0" w:val="clear"/>
          </w:tcPr>
          <w:p>
            <w:r>
              <w:rPr>
                <w:b/>
                <w:sz w:val="17"/>
              </w:rPr>
              <w:t>34,293</w:t>
            </w:r>
          </w:p>
        </w:tc>
        <w:tc>
          <w:tcPr>
            <w:tcW w:type="dxa" w:w="1440"/>
            <w:shd w:fill="FFDCE0" w:val="clear"/>
          </w:tcPr>
          <w:p>
            <w:r>
              <w:rPr>
                <w:sz w:val="17"/>
              </w:rPr>
              <w:t>37,777</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30,544</w:t>
            </w:r>
          </w:p>
        </w:tc>
        <w:tc>
          <w:tcPr>
            <w:tcW w:type="dxa" w:w="1440"/>
            <w:shd w:fill="FFDCE0" w:val="clear"/>
          </w:tcPr>
          <w:p>
            <w:r>
              <w:rPr>
                <w:b/>
                <w:sz w:val="17"/>
              </w:rPr>
              <w:t>34,232</w:t>
            </w:r>
          </w:p>
        </w:tc>
        <w:tc>
          <w:tcPr>
            <w:tcW w:type="dxa" w:w="1440"/>
            <w:shd w:fill="FFDCE0" w:val="clear"/>
          </w:tcPr>
          <w:p>
            <w:r>
              <w:rPr>
                <w:sz w:val="17"/>
              </w:rPr>
              <w:t>37,921</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30,292</w:t>
            </w:r>
          </w:p>
        </w:tc>
        <w:tc>
          <w:tcPr>
            <w:tcW w:type="dxa" w:w="1440"/>
            <w:shd w:fill="FFDCE0" w:val="clear"/>
          </w:tcPr>
          <w:p>
            <w:r>
              <w:rPr>
                <w:b/>
                <w:sz w:val="17"/>
              </w:rPr>
              <w:t>34,173</w:t>
            </w:r>
          </w:p>
        </w:tc>
        <w:tc>
          <w:tcPr>
            <w:tcW w:type="dxa" w:w="1440"/>
            <w:shd w:fill="FFDCE0" w:val="clear"/>
          </w:tcPr>
          <w:p>
            <w:r>
              <w:rPr>
                <w:sz w:val="17"/>
              </w:rPr>
              <w:t>38,055</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24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3 650 milliards FCFA, ce qui en fait la valeur la plus lourde et la plus liquide de la cote BRVM, représentant une part significative de l'indice principal. Avec un BPA de 4 136 FCFA, chaque action génère un bénéfice substantiel, justifiant un PER de 8,8x. Ce niveau est inférieur à la moyenne historique de la place (~8-12x), signalant une décote relative et un potentiel de revalorisation. Le P/B de 2,61x indique que le marché valorise la société à plus de 2,5 fois ses capitaux propres, une prime justifiée par la rentabilité élevée des actifs. Enfin, un EV/EBITDA de 3,8x, très inférieur au seuil de 5x, confirme une valorisation opérationnelle très attractive, renforçant la thèse d'une sous-évaluation boursière malgré la performance récente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SNTS a enregistré une progression remarquable de +28,41%, avec une légère consolidation de -1,30% lors de la dernière séance. Le titre a évolué dans un range de 27 160 FCFA (plus bas) à 36 980 FCFA (plus haut), démontrant une dynamique haussière soutenue. La moyenne du cours sur la période (29 758 FCFA) est inférieure à la médiane (28 900 FCFA), et le mode (28 500 FCFA) est le plus bas des trois, ce qui, combiné à un skewness positif de 1,566, indique une distribution asymétrique avec des journées majoritairement sous la moyenne mais des pics de hausse marqués. L'écart-type de 1 828 FCFA (CV=6,1%) montre une dispersion modérée, tandis que le kurtosis élevé (2,803) signale un risque de mouvements extrêmes. La volatilité annualisée de 29,4% classe le titre dans la catégorie "élevée" (&gt;30% étant le seuil), reflétant un risque de marché significatif mais rémunérateur.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(36 500 FCFA) se situe nettement au-dessus de la MM20 (32 259,5 FCFA) et de la MM50 (30 876,2 FCFA), confirmant une tendance haussière de court et moyen terme. L'écart positif entre le prix et les moyennes indique une dynamique forte, justifiant la décision d'achat.</w:t>
      </w:r>
    </w:p>
    <w:p>
      <w:pPr>
        <w:spacing w:after="120" w:line="276" w:lineRule="auto"/>
      </w:pPr>
      <w:r>
        <w:t>**Bandes de Bollinger** : Le prix évolue au-dessus de la borne supérieure (35 988,9 FCFA), signalant une condition de surachat extrême. Cette sortie de bande suggère une volatilité accrue et un possible retour vers la moyenne, d'où la décision de vente. La largeur des bandes reflète une volatilité en expansion.</w:t>
      </w:r>
    </w:p>
    <w:p>
      <w:pPr>
        <w:spacing w:after="120" w:line="276" w:lineRule="auto"/>
      </w:pPr>
      <w:r>
        <w:t>**MACD** : La valeur du MACD (1 243,014) est nettement supérieure à son signal (745,556), avec un histogramme positif et croissant. Cette configuration confirme un momentum haussier puissant, justifiant la décision d'achat. La divergence positive indique que la tendance haussière est soutenue par les flux.</w:t>
      </w:r>
    </w:p>
    <w:p>
      <w:pPr>
        <w:spacing w:after="120" w:line="276" w:lineRule="auto"/>
      </w:pPr>
      <w:r>
        <w:t>**RSI** : À 80,35, le RSI est en zone de surachat (&gt;70), signalant une pression acheteuse excessive et un risque de correction technique. Cette valeur extrême justifie la décision de vente, car elle suggère que le titre est temporairement surévalué d'un point de vue technique.</w:t>
      </w:r>
    </w:p>
    <w:p>
      <w:pPr>
        <w:spacing w:after="120" w:line="276" w:lineRule="auto"/>
      </w:pPr>
      <w:r>
        <w:t>**Stochastique** : Le %K (92,92) et le %D (97,64) sont tous deux en zone de surachat extrême (&gt;80), avec un %K sous le %D, indiquant un croisement baissier potentiel. Cette configuration signale un épuisement du mouvement haussier à court terme, justifiant la décision de vente.</w:t>
      </w:r>
    </w:p>
    <w:p>
      <w:pPr>
        <w:spacing w:after="120" w:line="276" w:lineRule="auto"/>
      </w:pPr>
      <w:r>
        <w:t>**Conclusion technique** : Les indicateurs de tendance (MM, MACD) sont positifs, mais les oscillateurs (RSI, Stochastique) et les bandes de Bollinger signalent une surachat important. Cette divergence suggère une pause ou une consolidation à court terme avant la poursuite de la tendance haussière. Le scénario le plus probable est un repli technique vers la zone des 34 500-35 000 FCFA avant un nouveau test des sommets.</w:t>
      </w:r>
    </w:p>
    <w:p>
      <w:pPr>
        <w:spacing w:after="120" w:line="276" w:lineRule="auto"/>
      </w:pPr>
      <w:r>
        <w:t>---</w:t>
      </w:r>
    </w:p>
    <w:p>
      <w:pPr>
        <w:spacing w:after="120" w:line="276" w:lineRule="auto"/>
      </w:pPr>
      <w:r>
        <w:t>### PARTIE 3 : ANALYSE FONDAMENTALE (SECTION CRITIQUE)</w:t>
      </w:r>
    </w:p>
    <w:p>
      <w:pPr>
        <w:spacing w:after="120" w:line="276" w:lineRule="auto"/>
      </w:pPr>
      <w:r>
        <w:t>En 2025, le Groupe Sonatel affiche des performances financières solides, avec un chiffre d'affaires consolidé de 1 923,1 milliards FCFA (+8,3% vs 2024) et un résultat net de 413,6 milliards FCFA (+5,1%). La marge nette s'établit à 21,5%, le ROE à 29,6% et le ROA à 12,6%, des niveaux excellents qui témoignent d'une gestion efficiente. La structure financière est saine avec une autonomie financière de 42,8% et une capacité de remboursement de seulement 0,64 an. Le BFR négatif (-284,9 Mds FCFA) est un signe de force, indiquant que l'entreprise finance son exploitation par ses fournisseurs (délai fournisseurs de 201 jours contre 46 jours pour les clients). Le rapport annuel 2025 (publié en février 2026) confirme cette dynamique avec un EBITDAAL de 47,9% du CA et une base clients de 42,1 millions. Sur la base du rapport S1 2026 (publié en juillet 2026), le CA atteint 1 049,8 Mds FCFA (+9,3%) et le résultat net 230 Mds FCFA (+10,5%), laissant entrevoir une année 2026 potentiellement supérieure à 2025. On estime que le résultat net annuel 2026 pourrait dépasser 450 Mds FCFA, soutenu par la croissance de la fibre (+23%) et l'obtention de licences 5G. La notation AAA (wu) de GCR Ratings renforce la confiance dans la solidité du modèle économique.</w:t>
      </w:r>
    </w:p>
    <w:p>
      <w:pPr>
        <w:spacing w:after="120" w:line="276" w:lineRule="auto"/>
      </w:pPr>
      <w:r>
        <w:t>---</w:t>
      </w:r>
    </w:p>
    <w:p>
      <w:pPr>
        <w:spacing w:after="120" w:line="276" w:lineRule="auto"/>
      </w:pPr>
      <w:r>
        <w:t>### PARTIE 4 : CONCLUSION D'INVESTISSEMENT</w:t>
      </w:r>
    </w:p>
    <w:p>
      <w:pPr>
        <w:spacing w:after="120" w:line="276" w:lineRule="auto"/>
      </w:pPr>
      <w:r>
        <w:t>La valorisation de SNTS (PER 8,8x, EV/EBITDA 3,8x) indique une sous-évaluation relative malgré la hausse récente du cours, tandis que les fondamentaux sont excellents (ROE 29,6%, croissance soutenue). Le comportement du cours montre une tendance haussière forte mais avec une volatilité élevée et des signes de surachat technique (RSI 80, Stochastique 92). Les signaux techniques sont mitigés : les moyennes mobiles et le MACD sont positifs, mais les oscillateurs suggèrent une consolidation à court terme. Les prédictions IA (34 851 à 34 498 FCFA sur 10 jours) confirment cette hypothèse de repli technique vers la zone des 34 500 FCFA, avant une possible reprise. La convergence entre la sous-évaluation fondamentale, la solidité financière et la croissance projetée (S1 2026 +10,5%) plaide pour une stratégie d'accumulation sur les replis. **Recommandation : ACHAT** sur repli vers 34 500-35 000 FCFA, avec un niveau de confiance **Élevé** et un risque global **Moyen**. L'horizon d'investissement optimal est le **moyen terme (3-12 mois)**, visant une appréciation vers les 40 000 FCFA, soutenue par les fondamentaux et la politique de dividende attractive (1 740 FCFA net/action).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178.22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5,800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+4.43%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μ=7,977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β=0.2348 (Défensif) — Cov=0.000008, Var(idx)=0.000034,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7,859</w:t>
            </w:r>
          </w:p>
        </w:tc>
        <w:tc>
          <w:tcPr>
            <w:tcW w:type="dxa" w:w="1440"/>
            <w:shd w:fill="FAFAFA" w:val="clear"/>
          </w:tcPr>
          <w:p>
            <w:r>
              <w:rPr>
                <w:b/>
                <w:sz w:val="17"/>
              </w:rPr>
              <w:t>8,230</w:t>
            </w:r>
          </w:p>
        </w:tc>
        <w:tc>
          <w:tcPr>
            <w:tcW w:type="dxa" w:w="1440"/>
            <w:shd w:fill="FAFAFA" w:val="clear"/>
          </w:tcPr>
          <w:p>
            <w:r>
              <w:rPr>
                <w:sz w:val="17"/>
              </w:rPr>
              <w:t>8,601</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7,717</w:t>
            </w:r>
          </w:p>
        </w:tc>
        <w:tc>
          <w:tcPr>
            <w:tcW w:type="dxa" w:w="1440"/>
            <w:shd w:fill="FAFAFA" w:val="clear"/>
          </w:tcPr>
          <w:p>
            <w:r>
              <w:rPr>
                <w:b/>
                <w:sz w:val="17"/>
              </w:rPr>
              <w:t>8,242</w:t>
            </w:r>
          </w:p>
        </w:tc>
        <w:tc>
          <w:tcPr>
            <w:tcW w:type="dxa" w:w="1440"/>
            <w:shd w:fill="FAFAFA" w:val="clear"/>
          </w:tcPr>
          <w:p>
            <w:r>
              <w:rPr>
                <w:sz w:val="17"/>
              </w:rPr>
              <w:t>8,767</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2026-08-28</w:t>
            </w:r>
          </w:p>
        </w:tc>
        <w:tc>
          <w:tcPr>
            <w:tcW w:type="dxa" w:w="1440"/>
            <w:shd w:fill="FAFAFA" w:val="clear"/>
          </w:tcPr>
          <w:p>
            <w:r>
              <w:rPr>
                <w:sz w:val="17"/>
              </w:rPr>
              <w:t>7,609</w:t>
            </w:r>
          </w:p>
        </w:tc>
        <w:tc>
          <w:tcPr>
            <w:tcW w:type="dxa" w:w="1440"/>
            <w:shd w:fill="FAFAFA" w:val="clear"/>
          </w:tcPr>
          <w:p>
            <w:r>
              <w:rPr>
                <w:b/>
                <w:sz w:val="17"/>
              </w:rPr>
              <w:t>8,253</w:t>
            </w:r>
          </w:p>
        </w:tc>
        <w:tc>
          <w:tcPr>
            <w:tcW w:type="dxa" w:w="1440"/>
            <w:shd w:fill="FAFAFA" w:val="clear"/>
          </w:tcPr>
          <w:p>
            <w:r>
              <w:rPr>
                <w:sz w:val="17"/>
              </w:rPr>
              <w:t>8,897</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7,520</w:t>
            </w:r>
          </w:p>
        </w:tc>
        <w:tc>
          <w:tcPr>
            <w:tcW w:type="dxa" w:w="1440"/>
            <w:shd w:fill="FAFAFA" w:val="clear"/>
          </w:tcPr>
          <w:p>
            <w:r>
              <w:rPr>
                <w:b/>
                <w:sz w:val="17"/>
              </w:rPr>
              <w:t>8,264</w:t>
            </w:r>
          </w:p>
        </w:tc>
        <w:tc>
          <w:tcPr>
            <w:tcW w:type="dxa" w:w="1440"/>
            <w:shd w:fill="FAFAFA" w:val="clear"/>
          </w:tcPr>
          <w:p>
            <w:r>
              <w:rPr>
                <w:sz w:val="17"/>
              </w:rPr>
              <w:t>9,008</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2026-09-01</w:t>
            </w:r>
          </w:p>
        </w:tc>
        <w:tc>
          <w:tcPr>
            <w:tcW w:type="dxa" w:w="1440"/>
            <w:shd w:fill="FAFAFA" w:val="clear"/>
          </w:tcPr>
          <w:p>
            <w:r>
              <w:rPr>
                <w:sz w:val="17"/>
              </w:rPr>
              <w:t>7,442</w:t>
            </w:r>
          </w:p>
        </w:tc>
        <w:tc>
          <w:tcPr>
            <w:tcW w:type="dxa" w:w="1440"/>
            <w:shd w:fill="FAFAFA" w:val="clear"/>
          </w:tcPr>
          <w:p>
            <w:r>
              <w:rPr>
                <w:b/>
                <w:sz w:val="17"/>
              </w:rPr>
              <w:t>8,275</w:t>
            </w:r>
          </w:p>
        </w:tc>
        <w:tc>
          <w:tcPr>
            <w:tcW w:type="dxa" w:w="1440"/>
            <w:shd w:fill="FAFAFA" w:val="clear"/>
          </w:tcPr>
          <w:p>
            <w:r>
              <w:rPr>
                <w:sz w:val="17"/>
              </w:rPr>
              <w:t>9,108</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2026-09-02</w:t>
            </w:r>
          </w:p>
        </w:tc>
        <w:tc>
          <w:tcPr>
            <w:tcW w:type="dxa" w:w="1440"/>
            <w:shd w:fill="FAFAFA" w:val="clear"/>
          </w:tcPr>
          <w:p>
            <w:r>
              <w:rPr>
                <w:sz w:val="17"/>
              </w:rPr>
              <w:t>7,372</w:t>
            </w:r>
          </w:p>
        </w:tc>
        <w:tc>
          <w:tcPr>
            <w:tcW w:type="dxa" w:w="1440"/>
            <w:shd w:fill="FAFAFA" w:val="clear"/>
          </w:tcPr>
          <w:p>
            <w:r>
              <w:rPr>
                <w:b/>
                <w:sz w:val="17"/>
              </w:rPr>
              <w:t>8,286</w:t>
            </w:r>
          </w:p>
        </w:tc>
        <w:tc>
          <w:tcPr>
            <w:tcW w:type="dxa" w:w="1440"/>
            <w:shd w:fill="FAFAFA" w:val="clear"/>
          </w:tcPr>
          <w:p>
            <w:r>
              <w:rPr>
                <w:sz w:val="17"/>
              </w:rPr>
              <w:t>9,200</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2026-09-03</w:t>
            </w:r>
          </w:p>
        </w:tc>
        <w:tc>
          <w:tcPr>
            <w:tcW w:type="dxa" w:w="1440"/>
            <w:shd w:fill="FAFAFA" w:val="clear"/>
          </w:tcPr>
          <w:p>
            <w:r>
              <w:rPr>
                <w:sz w:val="17"/>
              </w:rPr>
              <w:t>7,308</w:t>
            </w:r>
          </w:p>
        </w:tc>
        <w:tc>
          <w:tcPr>
            <w:tcW w:type="dxa" w:w="1440"/>
            <w:shd w:fill="FAFAFA" w:val="clear"/>
          </w:tcPr>
          <w:p>
            <w:r>
              <w:rPr>
                <w:b/>
                <w:sz w:val="17"/>
              </w:rPr>
              <w:t>8,297</w:t>
            </w:r>
          </w:p>
        </w:tc>
        <w:tc>
          <w:tcPr>
            <w:tcW w:type="dxa" w:w="1440"/>
            <w:shd w:fill="FAFAFA" w:val="clear"/>
          </w:tcPr>
          <w:p>
            <w:r>
              <w:rPr>
                <w:sz w:val="17"/>
              </w:rPr>
              <w:t>9,286</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2026-09-04</w:t>
            </w:r>
          </w:p>
        </w:tc>
        <w:tc>
          <w:tcPr>
            <w:tcW w:type="dxa" w:w="1440"/>
            <w:shd w:fill="FAFAFA" w:val="clear"/>
          </w:tcPr>
          <w:p>
            <w:r>
              <w:rPr>
                <w:sz w:val="17"/>
              </w:rPr>
              <w:t>7,249</w:t>
            </w:r>
          </w:p>
        </w:tc>
        <w:tc>
          <w:tcPr>
            <w:tcW w:type="dxa" w:w="1440"/>
            <w:shd w:fill="FAFAFA" w:val="clear"/>
          </w:tcPr>
          <w:p>
            <w:r>
              <w:rPr>
                <w:b/>
                <w:sz w:val="17"/>
              </w:rPr>
              <w:t>8,308</w:t>
            </w:r>
          </w:p>
        </w:tc>
        <w:tc>
          <w:tcPr>
            <w:tcW w:type="dxa" w:w="1440"/>
            <w:shd w:fill="FAFAFA" w:val="clear"/>
          </w:tcPr>
          <w:p>
            <w:r>
              <w:rPr>
                <w:sz w:val="17"/>
              </w:rPr>
              <w:t>9,366</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2026-09-07</w:t>
            </w:r>
          </w:p>
        </w:tc>
        <w:tc>
          <w:tcPr>
            <w:tcW w:type="dxa" w:w="1440"/>
            <w:shd w:fill="FAFAFA" w:val="clear"/>
          </w:tcPr>
          <w:p>
            <w:r>
              <w:rPr>
                <w:sz w:val="17"/>
              </w:rPr>
              <w:t>7,195</w:t>
            </w:r>
          </w:p>
        </w:tc>
        <w:tc>
          <w:tcPr>
            <w:tcW w:type="dxa" w:w="1440"/>
            <w:shd w:fill="FAFAFA" w:val="clear"/>
          </w:tcPr>
          <w:p>
            <w:r>
              <w:rPr>
                <w:b/>
                <w:sz w:val="17"/>
              </w:rPr>
              <w:t>8,319</w:t>
            </w:r>
          </w:p>
        </w:tc>
        <w:tc>
          <w:tcPr>
            <w:tcW w:type="dxa" w:w="1440"/>
            <w:shd w:fill="FAFAFA" w:val="clear"/>
          </w:tcPr>
          <w:p>
            <w:r>
              <w:rPr>
                <w:sz w:val="17"/>
              </w:rPr>
              <w:t>9,443</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2026-09-08</w:t>
            </w:r>
          </w:p>
        </w:tc>
        <w:tc>
          <w:tcPr>
            <w:tcW w:type="dxa" w:w="1440"/>
            <w:shd w:fill="FAFAFA" w:val="clear"/>
          </w:tcPr>
          <w:p>
            <w:r>
              <w:rPr>
                <w:sz w:val="17"/>
              </w:rPr>
              <w:t>7,143</w:t>
            </w:r>
          </w:p>
        </w:tc>
        <w:tc>
          <w:tcPr>
            <w:tcW w:type="dxa" w:w="1440"/>
            <w:shd w:fill="FAFAFA" w:val="clear"/>
          </w:tcPr>
          <w:p>
            <w:r>
              <w:rPr>
                <w:b/>
                <w:sz w:val="17"/>
              </w:rPr>
              <w:t>8,329</w:t>
            </w:r>
          </w:p>
        </w:tc>
        <w:tc>
          <w:tcPr>
            <w:tcW w:type="dxa" w:w="1440"/>
            <w:shd w:fill="FAFAFA" w:val="clear"/>
          </w:tcPr>
          <w:p>
            <w:r>
              <w:rPr>
                <w:sz w:val="17"/>
              </w:rPr>
              <w:t>9,516</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22 août 2026 | Cours de référence : 8 250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178,22 milliards FCFA, ce qui en fait l'une des valeurs les plus significatives de la cote de la BRVM, reflétant la confiance des investisseurs dans ce leader du caoutchouc naturel. Avec un BPA de 578 FCFA, chaque action génère un bénéfice substantiel, justifiant un PER de 14,3x. Ce niveau est supérieur à la moyenne historique de la BRVM (8-12x), indiquant que le marché applique une prime de croissance au titre, probablement en raison de la solidité de ses fondamentaux et de ses perspectives. Le P/B de 2,60x confirme cette prime, le marché valorisant la société à 2,6 fois sa valeur comptable, ce qui est cohérent avec un ROE élevé. Enfin, un EV/EBITDA de 7,4x, dans la fourchette raisonnable de 5-10x, suggère que la valeur d'entreprise reste justifiée par la capacité opérationnelle de la société, malgré la prime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modérée de +4,43%, avec une dernière séance en hausse de +0,92%, témoignant d'un intérêt acheteur persistant. Le cours a évolué dans une fourchette de 7 100 à 8 600 FCFA, démontrant une amplitude de trading notable. La moyenne du cours sur la période (7 977 FCFA) est très proche de la médiane (8 000 FCFA), ce qui indique une distribution des prix relativement symétrique, confirmée par un skewness de -0,345. L'écart-type de 386 FCFA et un coefficient de variation de 4,8% révèlent une dispersion modérée autour de la moyenne. Le kurtosis de -0,950 (mésokurtique) suggère l'absence de pics de volatilité extrêmes, tandis que la volatilité annualisée de 37,1% classe le titre comme très volatil (&gt;30%), un niveau élevé qui reflète la sensibilité du secteur aux cours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(8 250 FCFA) se situe au-dessus de la MM20 (8 058 FCFA), indiquant une dynamique haussière à court terme. Cependant, il reste sous la MM50 (8 204,5 FCFA), signalant une tendance de fond encore baissière. Le croisement de ces moyennes suggère une phase de transition, d'où la décision de "Vente" à moyen terme, mais avec un potentiel de retournement haussier si le cours se maintient au-dessus de la MM20.</w:t>
      </w:r>
    </w:p>
    <w:p>
      <w:pPr>
        <w:spacing w:after="120" w:line="276" w:lineRule="auto"/>
      </w:pPr>
      <w:r>
        <w:t>**Bandes de Bollinger** : Le prix évolue dans la partie supérieure du canal, entre la borne inférieure (7 544,6 FCFA) et la borne supérieure (8 571,4 FCFA), sans toucher les extrêmes. La largeur des bandes indique une volatilité modérée. La décision "Neutre" est justifiée par une position centrale qui ne signale ni surachat ni survente, laissant place à une évolution directionnelle.</w:t>
      </w:r>
    </w:p>
    <w:p>
      <w:pPr>
        <w:spacing w:after="120" w:line="276" w:lineRule="auto"/>
      </w:pPr>
      <w:r>
        <w:t>**MACD** : La valeur du MACD (-16,436) est supérieure à sa ligne de signal (-59,407), formant un croisement haussier. Bien que les deux soient en territoire négatif, l'écart positif croissant indique un momentum haussier en construction, ce qui justifie la décision d' "Achat" pour les prochaines séances.</w:t>
      </w:r>
    </w:p>
    <w:p>
      <w:pPr>
        <w:spacing w:after="120" w:line="276" w:lineRule="auto"/>
      </w:pPr>
      <w:r>
        <w:t>**RSI** : À 47,25, le RSI se situe en zone neutre (30-70), indiquant un équilibre entre les forces acheteuses et vendeuses. Il n'y a pas de pression excessive, ce qui laisse de la marge pour une hausse sans risque de surachat immédiat. La décision "Neutre" est cohérente avec cette lecture.</w:t>
      </w:r>
    </w:p>
    <w:p>
      <w:pPr>
        <w:spacing w:after="120" w:line="276" w:lineRule="auto"/>
      </w:pPr>
      <w:r>
        <w:t>**Stochastique** : Avec un %K à 95,9 et un %D à 85,4, l'indicateur est en zone de surachat extrême. Cette configuration signale un épuisement potentiel de la dynamique haussière à très court terme, justifiant une décision de "Vente" pour anticiper un repli technique.</w:t>
      </w:r>
    </w:p>
    <w:p>
      <w:pPr>
        <w:spacing w:after="120" w:line="276" w:lineRule="auto"/>
      </w:pPr>
      <w:r>
        <w:t>**Conclusion technique** : Les signaux sont mitigés. Le MACD et le positionnement au-dessus de la MM20 soutiennent une poursuite haussière, mais le Stochastique en surachat et la résistance de la MM50 appellent à la prudence. La configuration suggère une consolidation à court terme avant une possible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la SOGC a réalisé un chiffre d'affaires de 98,98 milliards FCFA, en hausse de 10,7% par rapport à 2024, et un résultat net de 12,49 milliards FCFA, en légère baisse de -5% (source : rapport annuel 2025). La rentabilité reste excellente avec un ROE de 18,26% et un ROA de 13,84%, bien au-dessus des seuils de performance. La marge nette s'établit à 12,62%, et la marge opérationnelle à 17,24%. La structure financière est très saine avec une autonomie financière de 75,8% et un endettement limité (ratio d'endettement de 24,2%). Le BFR de 7,12 milliards FCFA est positif, mais la trésorerie nette de 4,58 milliards FCFA offre une bonne marge de manœuvre. Les délais clients (29,6 jours) et fournisseurs (31,7 jours) sont équilibrés, mais la durée de stockage de 97,7 jours immobilise du capital.</w:t>
      </w:r>
    </w:p>
    <w:p>
      <w:pPr>
        <w:spacing w:after="120" w:line="276" w:lineRule="auto"/>
      </w:pPr>
      <w:r>
        <w:t>**Estimations basées sur les rapports trimestriels** : Les rapports T1, S1 et 9M 2025 montrent une performance exceptionnelle en début d'année (CA T1 +63%, résultat net T1 +263%), suivie d'un ralentissement au S2. Sur la base du rapport 9M 2025 (CA 75,6 Mds, RN 11,5 Mds), on estime que la croissance annuelle du CA a été soutenue, mais que la rentabilité du S2 a été affectée par la baisse des cours du caoutchouc et la hausse des coûts d'achat du coagulum. La direction anticipe un environnement concurrentiel difficile pour 2026, ce qui pourrait peser sur les marges.</w:t>
      </w:r>
    </w:p>
    <w:p>
      <w:pPr>
        <w:spacing w:after="120" w:line="276" w:lineRule="auto"/>
      </w:pPr>
      <w:r>
        <w:t>**Recommandation fondamentale** : La SOGC affiche des fondamentaux solides avec une rentabilité élevée et une structure financière saine. Cependant, la baisse du résultat net en 2025 et les perspectives de prix défavorables pour le caoutchouc incitent à la prudence. La recommandation est de **CONSERVER** avec vigilance, en surveillant l'évolution des prix des matières premières et la politique de distribution.</w:t>
      </w:r>
    </w:p>
    <w:p>
      <w:pPr>
        <w:spacing w:after="120" w:line="276" w:lineRule="auto"/>
      </w:pPr>
      <w:r>
        <w:t>---</w:t>
      </w:r>
    </w:p>
    <w:p>
      <w:pPr>
        <w:spacing w:after="120" w:line="276" w:lineRule="auto"/>
      </w:pPr>
      <w:r>
        <w:t>### PARTIE 4 : CONCLUSION D'INVESTISSEMENT</w:t>
      </w:r>
    </w:p>
    <w:p>
      <w:pPr>
        <w:spacing w:after="120" w:line="276" w:lineRule="auto"/>
      </w:pPr>
      <w:r>
        <w:t>La valorisation de la SOGC (PER 14,3x, P/B 2,6x) est supérieure à la moyenne du marché, indiquant une prime de croissance qui semble justifiée par la solidité des fondamentaux, mais qui limite le potentiel de hausse. Le comportement du cours sur 100 jours montre une tendance haussière modérée avec une volatilité élevée (37,1%), ce qui implique un risque de fluctuations importantes. Les signaux techniques sont mitigés : le MACD est haussier, mais le Stochastique en surachat et la résistance de la MM50 suggèrent une consolidation à court terme. Les fondamentaux restent solides (ROE 18,3%, CA en croissance), mais la baisse du résultat net et les perspectives sectorielles difficiles tempèrent l'optimisme. Les prédictions IA pour les 10 prochains jours (8 230 à 8 275 FCFA) confirment une légère tendance haussière, en cohérence avec le MACD et la dynamique de court terme. En synthèse, la convergence entre la solidité financière et la tendance haussière modérée, contrebalancée par une valorisation exigeante et des signaux techniques mixtes, conduit à une recommandation de **CONSERVER**. Le niveau de confiance est **Moyen**, le risque global est **Élevé** (volatilité et dépendance aux matières premières), et l'horizon d'investissement optimal est à **moyen terme (3-12 mois)**, en attendant une meilleure visibilité sur les prix du caoutchouc et la stratégie de réinvestissement de la société.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236.41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5,341 titres</w:t>
            </w:r>
          </w:p>
        </w:tc>
        <w:tc>
          <w:tcPr>
            <w:tcW w:type="dxa" w:w="2268"/>
            <w:shd w:fill="FFF2CC" w:val="clear"/>
          </w:tcPr>
          <w:p>
            <w:r>
              <w:rPr>
                <w:b/>
                <w:color w:val="503200"/>
                <w:sz w:val="16"/>
              </w:rPr>
              <w:t xml:space="preserve">Cours actuel : </w:t>
            </w:r>
            <w:r>
              <w:rPr>
                <w:color w:val="000000"/>
                <w:sz w:val="17"/>
              </w:rPr>
              <w:t>9,250 FCFA</w:t>
            </w:r>
          </w:p>
          <w:p>
            <w:r>
              <w:rPr>
                <w:b/>
                <w:color w:val="503200"/>
                <w:sz w:val="16"/>
              </w:rPr>
              <w:t xml:space="preserve">Var. 100 jours : </w:t>
            </w:r>
            <w:r>
              <w:rPr>
                <w:b/>
                <w:color w:val="007800"/>
                <w:sz w:val="17"/>
              </w:rPr>
              <w:t>+30.28%</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6.98% (Moyenne) — μ=7,491 FCFA, σ=523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β=1.0997 (Neutre (suit le marché)) — Cov=0.000037, Var(idx)=0.000034, ρ=0.259,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2026-08-25</w:t>
            </w:r>
          </w:p>
        </w:tc>
        <w:tc>
          <w:tcPr>
            <w:tcW w:type="dxa" w:w="1440"/>
            <w:shd w:fill="FAFAFA" w:val="clear"/>
          </w:tcPr>
          <w:p>
            <w:r>
              <w:rPr>
                <w:sz w:val="17"/>
              </w:rPr>
              <w:t>8,710</w:t>
            </w:r>
          </w:p>
        </w:tc>
        <w:tc>
          <w:tcPr>
            <w:tcW w:type="dxa" w:w="1440"/>
            <w:shd w:fill="FAFAFA" w:val="clear"/>
          </w:tcPr>
          <w:p>
            <w:r>
              <w:rPr>
                <w:b/>
                <w:sz w:val="17"/>
              </w:rPr>
              <w:t>9,148</w:t>
            </w:r>
          </w:p>
        </w:tc>
        <w:tc>
          <w:tcPr>
            <w:tcW w:type="dxa" w:w="1440"/>
            <w:shd w:fill="FAFAFA" w:val="clear"/>
          </w:tcPr>
          <w:p>
            <w:r>
              <w:rPr>
                <w:sz w:val="17"/>
              </w:rPr>
              <w:t>9,586</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2026-08-27</w:t>
            </w:r>
          </w:p>
        </w:tc>
        <w:tc>
          <w:tcPr>
            <w:tcW w:type="dxa" w:w="1440"/>
            <w:shd w:fill="FAFAFA" w:val="clear"/>
          </w:tcPr>
          <w:p>
            <w:r>
              <w:rPr>
                <w:sz w:val="17"/>
              </w:rPr>
              <w:t>8,494</w:t>
            </w:r>
          </w:p>
        </w:tc>
        <w:tc>
          <w:tcPr>
            <w:tcW w:type="dxa" w:w="1440"/>
            <w:shd w:fill="FAFAFA" w:val="clear"/>
          </w:tcPr>
          <w:p>
            <w:r>
              <w:rPr>
                <w:b/>
                <w:sz w:val="17"/>
              </w:rPr>
              <w:t>9,111</w:t>
            </w:r>
          </w:p>
        </w:tc>
        <w:tc>
          <w:tcPr>
            <w:tcW w:type="dxa" w:w="1440"/>
            <w:shd w:fill="FAFAFA" w:val="clear"/>
          </w:tcPr>
          <w:p>
            <w:r>
              <w:rPr>
                <w:sz w:val="17"/>
              </w:rPr>
              <w:t>9,729</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2026-08-28</w:t>
            </w:r>
          </w:p>
        </w:tc>
        <w:tc>
          <w:tcPr>
            <w:tcW w:type="dxa" w:w="1440"/>
            <w:shd w:fill="FAFAFA" w:val="clear"/>
          </w:tcPr>
          <w:p>
            <w:r>
              <w:rPr>
                <w:sz w:val="17"/>
              </w:rPr>
              <w:t>8,320</w:t>
            </w:r>
          </w:p>
        </w:tc>
        <w:tc>
          <w:tcPr>
            <w:tcW w:type="dxa" w:w="1440"/>
            <w:shd w:fill="FAFAFA" w:val="clear"/>
          </w:tcPr>
          <w:p>
            <w:r>
              <w:rPr>
                <w:b/>
                <w:sz w:val="17"/>
              </w:rPr>
              <w:t>9,073</w:t>
            </w:r>
          </w:p>
        </w:tc>
        <w:tc>
          <w:tcPr>
            <w:tcW w:type="dxa" w:w="1440"/>
            <w:shd w:fill="FAFAFA" w:val="clear"/>
          </w:tcPr>
          <w:p>
            <w:r>
              <w:rPr>
                <w:sz w:val="17"/>
              </w:rPr>
              <w:t>9,826</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8,171</w:t>
            </w:r>
          </w:p>
        </w:tc>
        <w:tc>
          <w:tcPr>
            <w:tcW w:type="dxa" w:w="1440"/>
            <w:shd w:fill="FFDCE0" w:val="clear"/>
          </w:tcPr>
          <w:p>
            <w:r>
              <w:rPr>
                <w:b/>
                <w:sz w:val="17"/>
              </w:rPr>
              <w:t>9,037</w:t>
            </w:r>
          </w:p>
        </w:tc>
        <w:tc>
          <w:tcPr>
            <w:tcW w:type="dxa" w:w="1440"/>
            <w:shd w:fill="FFDCE0" w:val="clear"/>
          </w:tcPr>
          <w:p>
            <w:r>
              <w:rPr>
                <w:sz w:val="17"/>
              </w:rPr>
              <w:t>9,903</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8,037</w:t>
            </w:r>
          </w:p>
        </w:tc>
        <w:tc>
          <w:tcPr>
            <w:tcW w:type="dxa" w:w="1440"/>
            <w:shd w:fill="FFDCE0" w:val="clear"/>
          </w:tcPr>
          <w:p>
            <w:r>
              <w:rPr>
                <w:b/>
                <w:sz w:val="17"/>
              </w:rPr>
              <w:t>9,001</w:t>
            </w:r>
          </w:p>
        </w:tc>
        <w:tc>
          <w:tcPr>
            <w:tcW w:type="dxa" w:w="1440"/>
            <w:shd w:fill="FFDCE0" w:val="clear"/>
          </w:tcPr>
          <w:p>
            <w:r>
              <w:rPr>
                <w:sz w:val="17"/>
              </w:rPr>
              <w:t>9,966</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7,914</w:t>
            </w:r>
          </w:p>
        </w:tc>
        <w:tc>
          <w:tcPr>
            <w:tcW w:type="dxa" w:w="1440"/>
            <w:shd w:fill="FFDCE0" w:val="clear"/>
          </w:tcPr>
          <w:p>
            <w:r>
              <w:rPr>
                <w:b/>
                <w:sz w:val="17"/>
              </w:rPr>
              <w:t>8,966</w:t>
            </w:r>
          </w:p>
        </w:tc>
        <w:tc>
          <w:tcPr>
            <w:tcW w:type="dxa" w:w="1440"/>
            <w:shd w:fill="FFDCE0" w:val="clear"/>
          </w:tcPr>
          <w:p>
            <w:r>
              <w:rPr>
                <w:sz w:val="17"/>
              </w:rPr>
              <w:t>10,018</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7,799</w:t>
            </w:r>
          </w:p>
        </w:tc>
        <w:tc>
          <w:tcPr>
            <w:tcW w:type="dxa" w:w="1440"/>
            <w:shd w:fill="FFDCE0" w:val="clear"/>
          </w:tcPr>
          <w:p>
            <w:r>
              <w:rPr>
                <w:b/>
                <w:sz w:val="17"/>
              </w:rPr>
              <w:t>8,931</w:t>
            </w:r>
          </w:p>
        </w:tc>
        <w:tc>
          <w:tcPr>
            <w:tcW w:type="dxa" w:w="1440"/>
            <w:shd w:fill="FFDCE0" w:val="clear"/>
          </w:tcPr>
          <w:p>
            <w:r>
              <w:rPr>
                <w:sz w:val="17"/>
              </w:rPr>
              <w:t>10,063</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7,690</w:t>
            </w:r>
          </w:p>
        </w:tc>
        <w:tc>
          <w:tcPr>
            <w:tcW w:type="dxa" w:w="1440"/>
            <w:shd w:fill="FFDCE0" w:val="clear"/>
          </w:tcPr>
          <w:p>
            <w:r>
              <w:rPr>
                <w:b/>
                <w:sz w:val="17"/>
              </w:rPr>
              <w:t>8,896</w:t>
            </w:r>
          </w:p>
        </w:tc>
        <w:tc>
          <w:tcPr>
            <w:tcW w:type="dxa" w:w="1440"/>
            <w:shd w:fill="FFDCE0" w:val="clear"/>
          </w:tcPr>
          <w:p>
            <w:r>
              <w:rPr>
                <w:sz w:val="17"/>
              </w:rPr>
              <w:t>10,101</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7,587</w:t>
            </w:r>
          </w:p>
        </w:tc>
        <w:tc>
          <w:tcPr>
            <w:tcW w:type="dxa" w:w="1440"/>
            <w:shd w:fill="FFDCE0" w:val="clear"/>
          </w:tcPr>
          <w:p>
            <w:r>
              <w:rPr>
                <w:b/>
                <w:sz w:val="17"/>
              </w:rPr>
              <w:t>8,861</w:t>
            </w:r>
          </w:p>
        </w:tc>
        <w:tc>
          <w:tcPr>
            <w:tcW w:type="dxa" w:w="1440"/>
            <w:shd w:fill="FFDCE0" w:val="clear"/>
          </w:tcPr>
          <w:p>
            <w:r>
              <w:rPr>
                <w:sz w:val="17"/>
              </w:rPr>
              <w:t>10,135</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7,489</w:t>
            </w:r>
          </w:p>
        </w:tc>
        <w:tc>
          <w:tcPr>
            <w:tcW w:type="dxa" w:w="1440"/>
            <w:shd w:fill="FFDCE0" w:val="clear"/>
          </w:tcPr>
          <w:p>
            <w:r>
              <w:rPr>
                <w:b/>
                <w:sz w:val="17"/>
              </w:rPr>
              <w:t>8,827</w:t>
            </w:r>
          </w:p>
        </w:tc>
        <w:tc>
          <w:tcPr>
            <w:tcW w:type="dxa" w:w="1440"/>
            <w:shd w:fill="FFDCE0" w:val="clear"/>
          </w:tcPr>
          <w:p>
            <w:r>
              <w:rPr>
                <w:sz w:val="17"/>
              </w:rPr>
              <w:t>10,164</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236,41 milliards FCFA, ce qui positionne le titre parmi les valeurs moyennes à grandes capitalisations de la BRVM, lui conférant une liquidité et une visibilité appréciables. Avec un BPA de 977 FCFA, chaque action génère un bénéfice substantiel, justifiant un PER de 9,5x. Ce ratio est inférieur à la moyenne historique du marché (8-12x), suggérant une sous-évaluation relative du titre par rapport à ses pairs, malgré la forte progression récente du cours. Le P/B de 1,71x indique que le marché valorise la société à environ 71% au-dessus de sa valeur comptable, ce qui est raisonnable pour une entreprise affichant un ROE de 18,1%. Enfin, un EV/EBITDA de 5,8x démontre que la valeur totale de l'entreprise (dette incluse) reste attractive par rapport à sa capacité à générer du cash-flow opérationnel, renforçant le potentiel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remarquable de +30,28%, bien que la dernière séance ait clôturé en baisse de -2,01% à 9 250 FCFA. Le titre a évolué dans une fourchette large de 6 720 à 9 660 FCFA, démontrant un fort dynamisme haussier. La moyenne (7 491 FCFA) et la médiane (7 480 FCFA) sont très proches, indiquant une distribution des prix relativement symétrique, mais le skewness positif de 1,863 révèle que les fortes hausses sont plus fréquentes que les fortes baisses. L'écart-type de 526 FCFA (CV=7,0%) montre une dispersion modérée, mais le kurtosis élevé de 4,905 signale un risque de mouvements extrêmes (queues épaisses). La volatilité annualisée de 39,3% classe le titre comme très volatil (&gt;30%), ce qui implique un risque élevé mais aussi un potentiel de gains importants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(MM20=8100,25 / MM50=7808,6) :** Le cours actuel (9 250 FCFA) se situe nettement au-dessus de ses moyennes mobiles à 20 et 50 jours, confirmant une tendance haussière solide à court et moyen terme. L'écart croissant entre le prix et les MM indique un momentum positif, justifiant la décision d'**Achat**.</w:t>
      </w:r>
    </w:p>
    <w:p>
      <w:pPr>
        <w:spacing w:after="120" w:line="276" w:lineRule="auto"/>
      </w:pPr>
      <w:r>
        <w:t>**Bandes de Bollinger (Borne sup=9579 / Borne inf=6621) :** Le prix évolue dans la moitié supérieure des bandes, proche de la borne supérieure, ce qui reflète une pression acheteuse soutenue. La largeur des bandes indique une volatilité élevée. La décision est **Neutre**, car le titre n'est pas encore en zone de surachat extrême, mais une consolidation est possible à l'approche de la résistance.</w:t>
      </w:r>
    </w:p>
    <w:p>
      <w:pPr>
        <w:spacing w:after="120" w:line="276" w:lineRule="auto"/>
      </w:pPr>
      <w:r>
        <w:t>**MACD (Valeur=449 / Signal=281) :** Le MACD est positif et nettement au-dessus de sa ligne de signal, confirmant un momentum haussier fort. La divergence positive suggère que la tendance haussière est robuste et pourrait se poursuivre à court terme. La décision est **Achat**.</w:t>
      </w:r>
    </w:p>
    <w:p>
      <w:pPr>
        <w:spacing w:after="120" w:line="276" w:lineRule="auto"/>
      </w:pPr>
      <w:r>
        <w:t>**RSI (Valeur=74,1) :** Le RSI est entré en zone de surachat (&gt;70), signalant que le titre a été acheté de manière excessive et qu'un repli technique est probable à court terme. Cela justifie la décision de **Vente** pour les traders à court terme, bien que la tendance de fond reste haussière.</w:t>
      </w:r>
    </w:p>
    <w:p>
      <w:pPr>
        <w:spacing w:after="120" w:line="276" w:lineRule="auto"/>
      </w:pPr>
      <w:r>
        <w:t>**Stochastique (%K=80,7 / %D=79,1) :** Les deux lignes sont en zone de surachat, indiquant une dynamique positive mais également un risque de retournement. Le %K est au-dessus du %D, mais la proximité des deux valeurs suggère un affaiblissement du momentum. La décision est **Vente** en raison de la surchauffe.</w:t>
      </w:r>
    </w:p>
    <w:p>
      <w:pPr>
        <w:spacing w:after="120" w:line="276" w:lineRule="auto"/>
      </w:pPr>
      <w:r>
        <w:t>**Conclusion technique :** Les indicateurs de tendance (MM, MACD) sont résolument haussiers, tandis que les oscillateurs (RSI, Stochastique) signalent une condition de surachat. Cette divergence suggère que la tendance de fond reste positive, mais qu'une correction technique est probable à très court terme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SPHC affiche des performances financières exceptionnelles. Le chiffre d'affaires s'établit à 340,83 milliards FCFA, en hausse de 22% par rapport à 2024 (279,44 Mds), porté par une augmentation des volumes et des prix. Le résultat net progresse de 32,9% à 24,97 milliards FCFA, avec une marge nette améliorée à 7,3%. La rentabilité est excellente, avec un ROE de 18,1% et un ROA de 11,1%, reflétant une gestion efficace des actifs et des fonds propres. La structure financière est saine avec une autonomie financière de 61,1% et une solvabilité générale de 256,9%. Cependant, le BFR de 65,39 milliards FCFA et la trésorerie nette négative de -15,41 milliards FCFA nécessitent une surveillance, bien que la capacité de remboursement (0,97 an) soit rassurante. Les rapports trimestriels 2025 confirment cette dynamique : le T1 affichait un CA de 94,3 Mds (+72%) et un résultat net de 11,8 Mds (+949%), le S1 un CA de 171,4 Mds (+51%) et un résultat net de 18,1 Mds (+449%), et le T3 un CA de 253,7 Mds (+36%) et un résultat net de 23,15 Mds (+131%). En revanche, le rapport T1 2026 (daté de mars 2026) montre un net ralentissement avec un CA de 71,8 Mds (-24%) et un résultat net de 2,6 Mds (-78%), pénalisé par la chute des cours mondiaux et des tensions sur l'approvisionnement. Sur la base de ce T1 2026, on estime que l'exercice 2026 pourrait être difficile, avec un résultat net annuel potentiellement en baisse de 50% à 60% par rapport à 2025, soit environ 10 à 12 milliards FCFA, si les conditions de marché ne s'améliorent pas. La recommandation fondamentale est de **CONSERVER**, la société restant solide et leader sur son marché, mais confrontée à un environnement de prix moins favorable.</w:t>
      </w:r>
    </w:p>
    <w:p>
      <w:pPr>
        <w:spacing w:after="120" w:line="276" w:lineRule="auto"/>
      </w:pPr>
      <w:r>
        <w:t>---</w:t>
      </w:r>
    </w:p>
    <w:p>
      <w:pPr>
        <w:spacing w:after="120" w:line="276" w:lineRule="auto"/>
      </w:pPr>
      <w:r>
        <w:t>### PARTIE 4 : CONCLUSION D'INVESTISSEMENT</w:t>
      </w:r>
    </w:p>
    <w:p>
      <w:pPr>
        <w:spacing w:after="120" w:line="276" w:lineRule="auto"/>
      </w:pPr>
      <w:r>
        <w:t>La valorisation de SPHC (PER 9,5x, P/B 1,71x, EV/EBITDA 5,8x) indique une sous-évaluation relative, offrant une marge de sécurité pour l'investisseur. Le comportement du cours sur 100 jours (+30,28%) est très positif, mais la volatilité élevée (39,3%) et le kurtosis important signalent des risques de fluctuations brutales. Les signaux techniques sont mitigés : la tendance de fond est haussière (MM, MACD), mais les oscillateurs (RSI, Stochastique) sont en surachat, suggérant une consolidation à court terme. Les fondamentaux sont solides pour 2025, mais les estimations pour 2026, basées sur le T1 2026 (-78% de résultat net), sont préoccupantes. Les prédictions IA (9 148 à 9 001 FCFA sur 10 jours) confirment un léger repli technique, en phase avec les signaux de surachat. En synthèse, la convergence entre la sous-évaluation, la tendance haussière de fond et les fondamentaux solides plaide pour une **recommandation ACHAT**, mais avec une prudence accrue en raison des perspectives 2026 dégradées. Le niveau de confiance est **Moyen** et le risque global est **Élevé**. L'horizon d'investissement optimal serait le **moyen terme (3-12 mois)**, en attendant une stabilisation des cours du caoutchouc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6,159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B40000"/>
                <w:sz w:val="17"/>
              </w:rPr>
              <w:t>-2.81%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11.01% (Moyenne) — μ=3,038 FCFA, σ=335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β=-0.9001 (Contre-cyclique) — Cov=-0.000031, Var(idx)=0.000034, ρ=-0.127,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σ_j=4.15%/j (Modérée) — Vol. annualisée≈65.8%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2,356</w:t>
            </w:r>
          </w:p>
        </w:tc>
        <w:tc>
          <w:tcPr>
            <w:tcW w:type="dxa" w:w="1440"/>
            <w:shd w:fill="FFDCE0" w:val="clear"/>
          </w:tcPr>
          <w:p>
            <w:r>
              <w:rPr>
                <w:b/>
                <w:sz w:val="17"/>
              </w:rPr>
              <w:t>2,464</w:t>
            </w:r>
          </w:p>
        </w:tc>
        <w:tc>
          <w:tcPr>
            <w:tcW w:type="dxa" w:w="1440"/>
            <w:shd w:fill="FFDCE0" w:val="clear"/>
          </w:tcPr>
          <w:p>
            <w:r>
              <w:rPr>
                <w:sz w:val="17"/>
              </w:rPr>
              <w:t>2,571</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2,187</w:t>
            </w:r>
          </w:p>
        </w:tc>
        <w:tc>
          <w:tcPr>
            <w:tcW w:type="dxa" w:w="1440"/>
            <w:shd w:fill="FFDCE0" w:val="clear"/>
          </w:tcPr>
          <w:p>
            <w:r>
              <w:rPr>
                <w:b/>
                <w:sz w:val="17"/>
              </w:rPr>
              <w:t>2,330</w:t>
            </w:r>
          </w:p>
        </w:tc>
        <w:tc>
          <w:tcPr>
            <w:tcW w:type="dxa" w:w="1440"/>
            <w:shd w:fill="FFDCE0" w:val="clear"/>
          </w:tcPr>
          <w:p>
            <w:r>
              <w:rPr>
                <w:sz w:val="17"/>
              </w:rPr>
              <w:t>2,474</w:t>
            </w:r>
          </w:p>
        </w:tc>
        <w:tc>
          <w:tcPr>
            <w:tcW w:type="dxa" w:w="1440"/>
            <w:shd w:fill="FFDCE0" w:val="clear"/>
          </w:tcPr>
          <w:p>
            <w:r>
              <w:rPr>
                <w:b/>
                <w:color w:val="C00000"/>
                <w:sz w:val="17"/>
              </w:rPr>
              <w:t>-10.2%</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2,019</w:t>
            </w:r>
          </w:p>
        </w:tc>
        <w:tc>
          <w:tcPr>
            <w:tcW w:type="dxa" w:w="1440"/>
            <w:shd w:fill="FFDCE0" w:val="clear"/>
          </w:tcPr>
          <w:p>
            <w:r>
              <w:rPr>
                <w:b/>
                <w:sz w:val="17"/>
              </w:rPr>
              <w:t>2,184</w:t>
            </w:r>
          </w:p>
        </w:tc>
        <w:tc>
          <w:tcPr>
            <w:tcW w:type="dxa" w:w="1440"/>
            <w:shd w:fill="FFDCE0" w:val="clear"/>
          </w:tcPr>
          <w:p>
            <w:r>
              <w:rPr>
                <w:sz w:val="17"/>
              </w:rPr>
              <w:t>2,348</w:t>
            </w:r>
          </w:p>
        </w:tc>
        <w:tc>
          <w:tcPr>
            <w:tcW w:type="dxa" w:w="1440"/>
            <w:shd w:fill="FFDCE0" w:val="clear"/>
          </w:tcPr>
          <w:p>
            <w:r>
              <w:rPr>
                <w:b/>
                <w:color w:val="C00000"/>
                <w:sz w:val="17"/>
              </w:rPr>
              <w:t>-15.9%</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1,870</w:t>
            </w:r>
          </w:p>
        </w:tc>
        <w:tc>
          <w:tcPr>
            <w:tcW w:type="dxa" w:w="1440"/>
            <w:shd w:fill="FFDCE0" w:val="clear"/>
          </w:tcPr>
          <w:p>
            <w:r>
              <w:rPr>
                <w:b/>
                <w:sz w:val="17"/>
              </w:rPr>
              <w:t>2,048</w:t>
            </w:r>
          </w:p>
        </w:tc>
        <w:tc>
          <w:tcPr>
            <w:tcW w:type="dxa" w:w="1440"/>
            <w:shd w:fill="FFDCE0" w:val="clear"/>
          </w:tcPr>
          <w:p>
            <w:r>
              <w:rPr>
                <w:sz w:val="17"/>
              </w:rPr>
              <w:t>2,227</w:t>
            </w:r>
          </w:p>
        </w:tc>
        <w:tc>
          <w:tcPr>
            <w:tcW w:type="dxa" w:w="1440"/>
            <w:shd w:fill="FFDCE0" w:val="clear"/>
          </w:tcPr>
          <w:p>
            <w:r>
              <w:rPr>
                <w:b/>
                <w:color w:val="C00000"/>
                <w:sz w:val="17"/>
              </w:rPr>
              <w:t>-21.1%</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1,744</w:t>
            </w:r>
          </w:p>
        </w:tc>
        <w:tc>
          <w:tcPr>
            <w:tcW w:type="dxa" w:w="1440"/>
            <w:shd w:fill="FFDCE0" w:val="clear"/>
          </w:tcPr>
          <w:p>
            <w:r>
              <w:rPr>
                <w:b/>
                <w:sz w:val="17"/>
              </w:rPr>
              <w:t>1,932</w:t>
            </w:r>
          </w:p>
        </w:tc>
        <w:tc>
          <w:tcPr>
            <w:tcW w:type="dxa" w:w="1440"/>
            <w:shd w:fill="FFDCE0" w:val="clear"/>
          </w:tcPr>
          <w:p>
            <w:r>
              <w:rPr>
                <w:sz w:val="17"/>
              </w:rPr>
              <w:t>2,121</w:t>
            </w:r>
          </w:p>
        </w:tc>
        <w:tc>
          <w:tcPr>
            <w:tcW w:type="dxa" w:w="1440"/>
            <w:shd w:fill="FFDCE0" w:val="clear"/>
          </w:tcPr>
          <w:p>
            <w:r>
              <w:rPr>
                <w:b/>
                <w:color w:val="C00000"/>
                <w:sz w:val="17"/>
              </w:rPr>
              <w:t>-25.5%</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1,641</w:t>
            </w:r>
          </w:p>
        </w:tc>
        <w:tc>
          <w:tcPr>
            <w:tcW w:type="dxa" w:w="1440"/>
            <w:shd w:fill="FFDCE0" w:val="clear"/>
          </w:tcPr>
          <w:p>
            <w:r>
              <w:rPr>
                <w:b/>
                <w:sz w:val="17"/>
              </w:rPr>
              <w:t>1,837</w:t>
            </w:r>
          </w:p>
        </w:tc>
        <w:tc>
          <w:tcPr>
            <w:tcW w:type="dxa" w:w="1440"/>
            <w:shd w:fill="FFDCE0" w:val="clear"/>
          </w:tcPr>
          <w:p>
            <w:r>
              <w:rPr>
                <w:sz w:val="17"/>
              </w:rPr>
              <w:t>2,034</w:t>
            </w:r>
          </w:p>
        </w:tc>
        <w:tc>
          <w:tcPr>
            <w:tcW w:type="dxa" w:w="1440"/>
            <w:shd w:fill="FFDCE0" w:val="clear"/>
          </w:tcPr>
          <w:p>
            <w:r>
              <w:rPr>
                <w:b/>
                <w:color w:val="C00000"/>
                <w:sz w:val="17"/>
              </w:rPr>
              <w:t>-29.2%</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1,557</w:t>
            </w:r>
          </w:p>
        </w:tc>
        <w:tc>
          <w:tcPr>
            <w:tcW w:type="dxa" w:w="1440"/>
            <w:shd w:fill="FFDCE0" w:val="clear"/>
          </w:tcPr>
          <w:p>
            <w:r>
              <w:rPr>
                <w:b/>
                <w:sz w:val="17"/>
              </w:rPr>
              <w:t>1,760</w:t>
            </w:r>
          </w:p>
        </w:tc>
        <w:tc>
          <w:tcPr>
            <w:tcW w:type="dxa" w:w="1440"/>
            <w:shd w:fill="FFDCE0" w:val="clear"/>
          </w:tcPr>
          <w:p>
            <w:r>
              <w:rPr>
                <w:sz w:val="17"/>
              </w:rPr>
              <w:t>1,963</w:t>
            </w:r>
          </w:p>
        </w:tc>
        <w:tc>
          <w:tcPr>
            <w:tcW w:type="dxa" w:w="1440"/>
            <w:shd w:fill="FFDCE0" w:val="clear"/>
          </w:tcPr>
          <w:p>
            <w:r>
              <w:rPr>
                <w:b/>
                <w:color w:val="C00000"/>
                <w:sz w:val="17"/>
              </w:rPr>
              <w:t>-32.2%</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1,487</w:t>
            </w:r>
          </w:p>
        </w:tc>
        <w:tc>
          <w:tcPr>
            <w:tcW w:type="dxa" w:w="1440"/>
            <w:shd w:fill="FFDCE0" w:val="clear"/>
          </w:tcPr>
          <w:p>
            <w:r>
              <w:rPr>
                <w:b/>
                <w:sz w:val="17"/>
              </w:rPr>
              <w:t>1,697</w:t>
            </w:r>
          </w:p>
        </w:tc>
        <w:tc>
          <w:tcPr>
            <w:tcW w:type="dxa" w:w="1440"/>
            <w:shd w:fill="FFDCE0" w:val="clear"/>
          </w:tcPr>
          <w:p>
            <w:r>
              <w:rPr>
                <w:sz w:val="17"/>
              </w:rPr>
              <w:t>1,906</w:t>
            </w:r>
          </w:p>
        </w:tc>
        <w:tc>
          <w:tcPr>
            <w:tcW w:type="dxa" w:w="1440"/>
            <w:shd w:fill="FFDCE0" w:val="clear"/>
          </w:tcPr>
          <w:p>
            <w:r>
              <w:rPr>
                <w:b/>
                <w:color w:val="C00000"/>
                <w:sz w:val="17"/>
              </w:rPr>
              <w:t>-34.6%</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1,429</w:t>
            </w:r>
          </w:p>
        </w:tc>
        <w:tc>
          <w:tcPr>
            <w:tcW w:type="dxa" w:w="1440"/>
            <w:shd w:fill="FFDCE0" w:val="clear"/>
          </w:tcPr>
          <w:p>
            <w:r>
              <w:rPr>
                <w:b/>
                <w:sz w:val="17"/>
              </w:rPr>
              <w:t>1,644</w:t>
            </w:r>
          </w:p>
        </w:tc>
        <w:tc>
          <w:tcPr>
            <w:tcW w:type="dxa" w:w="1440"/>
            <w:shd w:fill="FFDCE0" w:val="clear"/>
          </w:tcPr>
          <w:p>
            <w:r>
              <w:rPr>
                <w:sz w:val="17"/>
              </w:rPr>
              <w:t>1,859</w:t>
            </w:r>
          </w:p>
        </w:tc>
        <w:tc>
          <w:tcPr>
            <w:tcW w:type="dxa" w:w="1440"/>
            <w:shd w:fill="FFDCE0" w:val="clear"/>
          </w:tcPr>
          <w:p>
            <w:r>
              <w:rPr>
                <w:b/>
                <w:color w:val="C00000"/>
                <w:sz w:val="17"/>
              </w:rPr>
              <w:t>-36.7%</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1,378</w:t>
            </w:r>
          </w:p>
        </w:tc>
        <w:tc>
          <w:tcPr>
            <w:tcW w:type="dxa" w:w="1440"/>
            <w:shd w:fill="FFDCE0" w:val="clear"/>
          </w:tcPr>
          <w:p>
            <w:r>
              <w:rPr>
                <w:b/>
                <w:sz w:val="17"/>
              </w:rPr>
              <w:t>1,599</w:t>
            </w:r>
          </w:p>
        </w:tc>
        <w:tc>
          <w:tcPr>
            <w:tcW w:type="dxa" w:w="1440"/>
            <w:shd w:fill="FFDCE0" w:val="clear"/>
          </w:tcPr>
          <w:p>
            <w:r>
              <w:rPr>
                <w:sz w:val="17"/>
              </w:rPr>
              <w:t>1,819</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qui place la société dans la catégorie des moyennes capitalisations de la BRVM. Le BPA est négatif à -7 FCFA, reflétant directement la perte nette de l'exercice 2025. En conséquence, le PER est négatif (-361,2x), ce qui rend ce ratio inexploitable pour comparer la valeur aux standards du marché (dont la moyenne se situe entre 8 et 12x). Le P/B de 97,76x est extrêmement élevé, indiquant que le marché valorise l'actif net comptable (356,75 millions FCFA) à une prime considérable, ce qui est atypique pour une société déficitaire. En l'absence d'EBITDA positif, le ratio EV/EBITDA ne peut être calculé, soulignant l'incapacité de l'entreprise à générer des flux opérationnels positifs. Ces ratios traduisent une valorisation spéculative, principalement portée par l'anticipation d'un redressement futur, et non par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baisse de 2,81%, avec une variation nulle lors de la dernière séance. Le cours a évolué dans une fourchette large, entre un plus haut de 3 895 FCFA et un plus bas de 2 515 FCFA, illustrant une volatilité marquée. La moyenne du cours sur la période est de 3 038 FCFA, tandis que la médiane est de 2 990 FCFA. L'écart entre ces deux valeurs, bien que modéré, suggère une légère asymétrie positive, confirmée par un skewness de 0,411. Le kurtosis de -0,874 indique une distribution mésokurtique, c'est-à-dire sans pics extrêmes, avec un risque de mouvements brutaux limité. L'écart-type de 336 FCFA (CV=11,1%) montre une dispersion modérée autour de la moyenne. La volatilité annualisée de 65,8% est très élevée, classant le titre comme extrêmement risqué pour les investisseurs à court terme. La tendance générale est baissière, le cours se situant à 2 595 FCFA, proche de son plus bas, dans un contexte de dégradation continue des fondamentaux.</w:t>
      </w:r>
    </w:p>
    <w:p>
      <w:pPr>
        <w:spacing w:after="120" w:line="276" w:lineRule="auto"/>
      </w:pPr>
      <w:r>
        <w:t>---</w:t>
      </w:r>
    </w:p>
    <w:p>
      <w:pPr>
        <w:spacing w:after="120" w:line="276" w:lineRule="auto"/>
      </w:pPr>
      <w:r>
        <w:t>### PARTIE 2 : ANALYSE TECHNIQUE DÉTAILLÉE</w:t>
      </w:r>
    </w:p>
    <w:p>
      <w:pPr>
        <w:spacing w:after="120" w:line="276" w:lineRule="auto"/>
      </w:pPr>
      <w:r>
        <w:t>**Moyennes Mobiles** : La MM20 (2 670,25 FCFA) et la MM50 (3 064,1 FCFA) sont toutes deux supérieures au cours actuel de 2 595 FCFA. Cette configuration, où le prix est sous les deux moyennes, indique une tendance baissière solide. La MM50 étant nettement au-dessus de la MM20, la dynamique est clairement négative, justifiant la décision de Vente.</w:t>
      </w:r>
    </w:p>
    <w:p>
      <w:pPr>
        <w:spacing w:after="120" w:line="276" w:lineRule="auto"/>
      </w:pPr>
      <w:r>
        <w:t>**Bandes de Bollinger** : Le cours se situe dans la partie inférieure des bandes, entre la borne inférieure (2 462,27 FCFA) et la moyenne mobile. La largeur des bandes reflète une volatilité élevée. Le prix, proche de la borne basse, suggère que le titre est survendu à court terme, mais sans signal de retournement, d'où une décision Neutre.</w:t>
      </w:r>
    </w:p>
    <w:p>
      <w:pPr>
        <w:spacing w:after="120" w:line="276" w:lineRule="auto"/>
      </w:pPr>
      <w:r>
        <w:t>**MACD** : La valeur du MACD (-129,76) est supérieure à sa ligne de signal (-138,90), ce qui constitue un croisement haussier. Ce signal indique un ralentissement de la dynamique baissière et une possible correction technique à la hausse, justifiant la décision d'Achat.</w:t>
      </w:r>
    </w:p>
    <w:p>
      <w:pPr>
        <w:spacing w:after="120" w:line="276" w:lineRule="auto"/>
      </w:pPr>
      <w:r>
        <w:t>**RSI** : Avec une valeur de 22,89, le RSI est en zone de survente (&lt;30). Cela suggère que le titre est techniquement survendu et qu'un rebond est possible à très court terme. La décision d'Achat est cohérente avec ce niveau extrême.</w:t>
      </w:r>
    </w:p>
    <w:p>
      <w:pPr>
        <w:spacing w:after="120" w:line="276" w:lineRule="auto"/>
      </w:pPr>
      <w:r>
        <w:t>**Stochastique** : Le %K (24,07) est supérieur au %D (17,80), indiquant un croisement haussier en zone de survente. Ce signal précoce de retournement est toutefois faible, d'où une décision Neutre.</w:t>
      </w:r>
    </w:p>
    <w:p>
      <w:pPr>
        <w:spacing w:after="120" w:line="276" w:lineRule="auto"/>
      </w:pPr>
      <w:r>
        <w:t>**Conclusion technique** : Les indicateurs sont mitigés. Les moyennes mobiles confirment une tendance baissière de fond, tandis que le RSI, le MACD et le Stochastique signalent un potentiel rebond technique à court terme. Le titre est dans une phase de capitulation possible, mais sans confirmation d'un retournement durable de tendance.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situation financière très dégradée. Le chiffre d'affaires s'établit à 3,878 milliards FCFA, mais la société enregistre une perte nette de -96,56 millions FCFA, avec un ROE de -27,07% et un ROA de -1,77%. L'EBE est fortement négatif à -650 millions FCFA, et le résultat d'exploitation ressort à -771,95 millions FCFA. Le BFR est négatif (-930 millions FCFA), ce qui est un point positif pour la trésorerie, mais la dépendance financière est extrême (129,87%), avec des capitaux propres très faibles (356,75 millions FCFA) ne représentant que 6,55% du bilan. Les rapports narratifs de 2024 et 2025 montrent une activité en dents de scie : après un effondrement du CA en 2024 (-80,6% à 1,793 milliard FCFA), le S1 2025 a enregistré une forte hausse de +290% à 2,271 milliards FCFA, portée par le chantier de l'aéroport d'Abidjan. Le cumul sur 9 mois 2025 atteint 3,456 milliards FCFA (+176%), mais la perte nette reste de -477 millions FCFA. La prévision de CA annuel 2025 est de 4 milliards FCFA. On estime que l'exercice 2025 pourrait voir une amélioration de la marge opérationnelle, mais la rentabilité nette restera négative. La société dépend crucialement de ce projet unique, et sa structure de coûts demeure inadaptée à son niveau d'activité, rendant le redressement structurel incertain.</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97,76x et un PER négatif, indiquant une prime démesurée par rapport à une situation nette comptable très faible. Le comportement du cours est baissier, avec une volatilité annualisée de 65,8%, et les statistiques montrent une distribution relativement normale mais avec un risque élevé. Les signaux techniques sont mitigés : la tendance de fond reste baissière (MM), mais des indicateurs de survente (RSI, MACD) suggèrent un rebond technique imminent. Les fondamentaux sont préoccupants : malgré une reprise d'activité en 2025, la société reste déficitaire, avec des capitaux propres très fragiles et une dépendance à un seul projet. Les prédictions IA pour les 10 prochains jours (baisse de 2 464 à 1 932 FCFA) confirment la poursuite de la tendance baissière, contredisant les signaux de rebond technique. En synthèse, la convergence entre la valorisation excessive, la faiblesse des fondamentaux et les prédictions IA l'emporte sur les signaux techniques isolés. **Recommandation : VENTE FORTE.** Niveau de confiance : Élevé. Risque global : Élevé. Horizon d'investissement optimal : court terme (&lt;3 mois) pour les vendeurs, avec un stop-loss strict pour toute position conservée.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411.17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3,515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+4.57%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μ=22,271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β=-0.0648 (Contre-cyclique) — Cov=-0.000002, Var(idx)=0.000034, ρ=-0.018,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22,202</w:t>
            </w:r>
          </w:p>
        </w:tc>
        <w:tc>
          <w:tcPr>
            <w:tcW w:type="dxa" w:w="1440"/>
            <w:shd w:fill="FAFAFA" w:val="clear"/>
          </w:tcPr>
          <w:p>
            <w:r>
              <w:rPr>
                <w:b/>
                <w:sz w:val="17"/>
              </w:rPr>
              <w:t>23,280</w:t>
            </w:r>
          </w:p>
        </w:tc>
        <w:tc>
          <w:tcPr>
            <w:tcW w:type="dxa" w:w="1440"/>
            <w:shd w:fill="FAFAFA" w:val="clear"/>
          </w:tcPr>
          <w:p>
            <w:r>
              <w:rPr>
                <w:sz w:val="17"/>
              </w:rPr>
              <w:t>24,357</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2026-08-27</w:t>
            </w:r>
          </w:p>
        </w:tc>
        <w:tc>
          <w:tcPr>
            <w:tcW w:type="dxa" w:w="1440"/>
            <w:shd w:fill="C6EFCE" w:val="clear"/>
          </w:tcPr>
          <w:p>
            <w:r>
              <w:rPr>
                <w:sz w:val="17"/>
              </w:rPr>
              <w:t>21,928</w:t>
            </w:r>
          </w:p>
        </w:tc>
        <w:tc>
          <w:tcPr>
            <w:tcW w:type="dxa" w:w="1440"/>
            <w:shd w:fill="C6EFCE" w:val="clear"/>
          </w:tcPr>
          <w:p>
            <w:r>
              <w:rPr>
                <w:b/>
                <w:sz w:val="17"/>
              </w:rPr>
              <w:t>23,464</w:t>
            </w:r>
          </w:p>
        </w:tc>
        <w:tc>
          <w:tcPr>
            <w:tcW w:type="dxa" w:w="1440"/>
            <w:shd w:fill="C6EFCE" w:val="clear"/>
          </w:tcPr>
          <w:p>
            <w:r>
              <w:rPr>
                <w:sz w:val="17"/>
              </w:rPr>
              <w:t>25,000</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2026-08-28</w:t>
            </w:r>
          </w:p>
        </w:tc>
        <w:tc>
          <w:tcPr>
            <w:tcW w:type="dxa" w:w="1440"/>
            <w:shd w:fill="C6EFCE" w:val="clear"/>
          </w:tcPr>
          <w:p>
            <w:r>
              <w:rPr>
                <w:sz w:val="17"/>
              </w:rPr>
              <w:t>21,777</w:t>
            </w:r>
          </w:p>
        </w:tc>
        <w:tc>
          <w:tcPr>
            <w:tcW w:type="dxa" w:w="1440"/>
            <w:shd w:fill="C6EFCE" w:val="clear"/>
          </w:tcPr>
          <w:p>
            <w:r>
              <w:rPr>
                <w:b/>
                <w:sz w:val="17"/>
              </w:rPr>
              <w:t>23,675</w:t>
            </w:r>
          </w:p>
        </w:tc>
        <w:tc>
          <w:tcPr>
            <w:tcW w:type="dxa" w:w="1440"/>
            <w:shd w:fill="C6EFCE" w:val="clear"/>
          </w:tcPr>
          <w:p>
            <w:r>
              <w:rPr>
                <w:sz w:val="17"/>
              </w:rPr>
              <w:t>25,573</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2026-08-31</w:t>
            </w:r>
          </w:p>
        </w:tc>
        <w:tc>
          <w:tcPr>
            <w:tcW w:type="dxa" w:w="1440"/>
            <w:shd w:fill="C6EFCE" w:val="clear"/>
          </w:tcPr>
          <w:p>
            <w:r>
              <w:rPr>
                <w:sz w:val="17"/>
              </w:rPr>
              <w:t>21,690</w:t>
            </w:r>
          </w:p>
        </w:tc>
        <w:tc>
          <w:tcPr>
            <w:tcW w:type="dxa" w:w="1440"/>
            <w:shd w:fill="C6EFCE" w:val="clear"/>
          </w:tcPr>
          <w:p>
            <w:r>
              <w:rPr>
                <w:b/>
                <w:sz w:val="17"/>
              </w:rPr>
              <w:t>23,902</w:t>
            </w:r>
          </w:p>
        </w:tc>
        <w:tc>
          <w:tcPr>
            <w:tcW w:type="dxa" w:w="1440"/>
            <w:shd w:fill="C6EFCE" w:val="clear"/>
          </w:tcPr>
          <w:p>
            <w:r>
              <w:rPr>
                <w:sz w:val="17"/>
              </w:rPr>
              <w:t>26,114</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2026-09-01</w:t>
            </w:r>
          </w:p>
        </w:tc>
        <w:tc>
          <w:tcPr>
            <w:tcW w:type="dxa" w:w="1440"/>
            <w:shd w:fill="C6EFCE" w:val="clear"/>
          </w:tcPr>
          <w:p>
            <w:r>
              <w:rPr>
                <w:sz w:val="17"/>
              </w:rPr>
              <w:t>21,635</w:t>
            </w:r>
          </w:p>
        </w:tc>
        <w:tc>
          <w:tcPr>
            <w:tcW w:type="dxa" w:w="1440"/>
            <w:shd w:fill="C6EFCE" w:val="clear"/>
          </w:tcPr>
          <w:p>
            <w:r>
              <w:rPr>
                <w:b/>
                <w:sz w:val="17"/>
              </w:rPr>
              <w:t>24,132</w:t>
            </w:r>
          </w:p>
        </w:tc>
        <w:tc>
          <w:tcPr>
            <w:tcW w:type="dxa" w:w="1440"/>
            <w:shd w:fill="C6EFCE" w:val="clear"/>
          </w:tcPr>
          <w:p>
            <w:r>
              <w:rPr>
                <w:sz w:val="17"/>
              </w:rPr>
              <w:t>26,629</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2026-09-02</w:t>
            </w:r>
          </w:p>
        </w:tc>
        <w:tc>
          <w:tcPr>
            <w:tcW w:type="dxa" w:w="1440"/>
            <w:shd w:fill="C6EFCE" w:val="clear"/>
          </w:tcPr>
          <w:p>
            <w:r>
              <w:rPr>
                <w:sz w:val="17"/>
              </w:rPr>
              <w:t>21,607</w:t>
            </w:r>
          </w:p>
        </w:tc>
        <w:tc>
          <w:tcPr>
            <w:tcW w:type="dxa" w:w="1440"/>
            <w:shd w:fill="C6EFCE" w:val="clear"/>
          </w:tcPr>
          <w:p>
            <w:r>
              <w:rPr>
                <w:b/>
                <w:sz w:val="17"/>
              </w:rPr>
              <w:t>24,369</w:t>
            </w:r>
          </w:p>
        </w:tc>
        <w:tc>
          <w:tcPr>
            <w:tcW w:type="dxa" w:w="1440"/>
            <w:shd w:fill="C6EFCE" w:val="clear"/>
          </w:tcPr>
          <w:p>
            <w:r>
              <w:rPr>
                <w:sz w:val="17"/>
              </w:rPr>
              <w:t>27,131</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2026-09-03</w:t>
            </w:r>
          </w:p>
        </w:tc>
        <w:tc>
          <w:tcPr>
            <w:tcW w:type="dxa" w:w="1440"/>
            <w:shd w:fill="C6EFCE" w:val="clear"/>
          </w:tcPr>
          <w:p>
            <w:r>
              <w:rPr>
                <w:sz w:val="17"/>
              </w:rPr>
              <w:t>21,594</w:t>
            </w:r>
          </w:p>
        </w:tc>
        <w:tc>
          <w:tcPr>
            <w:tcW w:type="dxa" w:w="1440"/>
            <w:shd w:fill="C6EFCE" w:val="clear"/>
          </w:tcPr>
          <w:p>
            <w:r>
              <w:rPr>
                <w:b/>
                <w:sz w:val="17"/>
              </w:rPr>
              <w:t>24,607</w:t>
            </w:r>
          </w:p>
        </w:tc>
        <w:tc>
          <w:tcPr>
            <w:tcW w:type="dxa" w:w="1440"/>
            <w:shd w:fill="C6EFCE" w:val="clear"/>
          </w:tcPr>
          <w:p>
            <w:r>
              <w:rPr>
                <w:sz w:val="17"/>
              </w:rPr>
              <w:t>27,620</w:t>
            </w:r>
          </w:p>
        </w:tc>
        <w:tc>
          <w:tcPr>
            <w:tcW w:type="dxa" w:w="1440"/>
            <w:shd w:fill="C6EFCE" w:val="clear"/>
          </w:tcPr>
          <w:p>
            <w:r>
              <w:rPr>
                <w:b/>
                <w:color w:val="008000"/>
                <w:sz w:val="17"/>
              </w:rPr>
              <w:t>+7.5%</w:t>
            </w:r>
          </w:p>
        </w:tc>
      </w:tr>
      <w:tr>
        <w:tc>
          <w:tcPr>
            <w:tcW w:type="dxa" w:w="1440"/>
            <w:shd w:fill="C6EFCE" w:val="clear"/>
          </w:tcPr>
          <w:p>
            <w:r>
              <w:rPr>
                <w:sz w:val="17"/>
              </w:rPr>
              <w:t>J+8  ⭐</w:t>
            </w:r>
          </w:p>
        </w:tc>
        <w:tc>
          <w:tcPr>
            <w:tcW w:type="dxa" w:w="1440"/>
            <w:shd w:fill="C6EFCE" w:val="clear"/>
          </w:tcPr>
          <w:p>
            <w:r>
              <w:rPr>
                <w:sz w:val="17"/>
              </w:rPr>
              <w:t>2026-09-04</w:t>
            </w:r>
          </w:p>
        </w:tc>
        <w:tc>
          <w:tcPr>
            <w:tcW w:type="dxa" w:w="1440"/>
            <w:shd w:fill="C6EFCE" w:val="clear"/>
          </w:tcPr>
          <w:p>
            <w:r>
              <w:rPr>
                <w:sz w:val="17"/>
              </w:rPr>
              <w:t>21,598</w:t>
            </w:r>
          </w:p>
        </w:tc>
        <w:tc>
          <w:tcPr>
            <w:tcW w:type="dxa" w:w="1440"/>
            <w:shd w:fill="C6EFCE" w:val="clear"/>
          </w:tcPr>
          <w:p>
            <w:r>
              <w:rPr>
                <w:b/>
                <w:sz w:val="17"/>
              </w:rPr>
              <w:t>24,851</w:t>
            </w:r>
          </w:p>
        </w:tc>
        <w:tc>
          <w:tcPr>
            <w:tcW w:type="dxa" w:w="1440"/>
            <w:shd w:fill="C6EFCE" w:val="clear"/>
          </w:tcPr>
          <w:p>
            <w:r>
              <w:rPr>
                <w:sz w:val="17"/>
              </w:rPr>
              <w:t>28,103</w:t>
            </w:r>
          </w:p>
        </w:tc>
        <w:tc>
          <w:tcPr>
            <w:tcW w:type="dxa" w:w="1440"/>
            <w:shd w:fill="C6EFCE" w:val="clear"/>
          </w:tcPr>
          <w:p>
            <w:r>
              <w:rPr>
                <w:b/>
                <w:color w:val="008000"/>
                <w:sz w:val="17"/>
              </w:rPr>
              <w:t>+8.5%</w:t>
            </w:r>
          </w:p>
        </w:tc>
      </w:tr>
      <w:tr>
        <w:tc>
          <w:tcPr>
            <w:tcW w:type="dxa" w:w="1440"/>
            <w:shd w:fill="C6EFCE" w:val="clear"/>
          </w:tcPr>
          <w:p>
            <w:r>
              <w:rPr>
                <w:sz w:val="17"/>
              </w:rPr>
              <w:t>J+9  ⭐</w:t>
            </w:r>
          </w:p>
        </w:tc>
        <w:tc>
          <w:tcPr>
            <w:tcW w:type="dxa" w:w="1440"/>
            <w:shd w:fill="C6EFCE" w:val="clear"/>
          </w:tcPr>
          <w:p>
            <w:r>
              <w:rPr>
                <w:sz w:val="17"/>
              </w:rPr>
              <w:t>2026-09-07</w:t>
            </w:r>
          </w:p>
        </w:tc>
        <w:tc>
          <w:tcPr>
            <w:tcW w:type="dxa" w:w="1440"/>
            <w:shd w:fill="C6EFCE" w:val="clear"/>
          </w:tcPr>
          <w:p>
            <w:r>
              <w:rPr>
                <w:sz w:val="17"/>
              </w:rPr>
              <w:t>21,615</w:t>
            </w:r>
          </w:p>
        </w:tc>
        <w:tc>
          <w:tcPr>
            <w:tcW w:type="dxa" w:w="1440"/>
            <w:shd w:fill="C6EFCE" w:val="clear"/>
          </w:tcPr>
          <w:p>
            <w:r>
              <w:rPr>
                <w:b/>
                <w:sz w:val="17"/>
              </w:rPr>
              <w:t>25,100</w:t>
            </w:r>
          </w:p>
        </w:tc>
        <w:tc>
          <w:tcPr>
            <w:tcW w:type="dxa" w:w="1440"/>
            <w:shd w:fill="C6EFCE" w:val="clear"/>
          </w:tcPr>
          <w:p>
            <w:r>
              <w:rPr>
                <w:sz w:val="17"/>
              </w:rPr>
              <w:t>28,584</w:t>
            </w:r>
          </w:p>
        </w:tc>
        <w:tc>
          <w:tcPr>
            <w:tcW w:type="dxa" w:w="1440"/>
            <w:shd w:fill="C6EFCE" w:val="clear"/>
          </w:tcPr>
          <w:p>
            <w:r>
              <w:rPr>
                <w:b/>
                <w:color w:val="008000"/>
                <w:sz w:val="17"/>
              </w:rPr>
              <w:t>+9.6%</w:t>
            </w:r>
          </w:p>
        </w:tc>
      </w:tr>
      <w:tr>
        <w:tc>
          <w:tcPr>
            <w:tcW w:type="dxa" w:w="1440"/>
            <w:shd w:fill="C6EFCE" w:val="clear"/>
          </w:tcPr>
          <w:p>
            <w:r>
              <w:rPr>
                <w:sz w:val="17"/>
              </w:rPr>
              <w:t>J+10  ⭐</w:t>
            </w:r>
          </w:p>
        </w:tc>
        <w:tc>
          <w:tcPr>
            <w:tcW w:type="dxa" w:w="1440"/>
            <w:shd w:fill="C6EFCE" w:val="clear"/>
          </w:tcPr>
          <w:p>
            <w:r>
              <w:rPr>
                <w:sz w:val="17"/>
              </w:rPr>
              <w:t>2026-09-08</w:t>
            </w:r>
          </w:p>
        </w:tc>
        <w:tc>
          <w:tcPr>
            <w:tcW w:type="dxa" w:w="1440"/>
            <w:shd w:fill="C6EFCE" w:val="clear"/>
          </w:tcPr>
          <w:p>
            <w:r>
              <w:rPr>
                <w:sz w:val="17"/>
              </w:rPr>
              <w:t>21,645</w:t>
            </w:r>
          </w:p>
        </w:tc>
        <w:tc>
          <w:tcPr>
            <w:tcW w:type="dxa" w:w="1440"/>
            <w:shd w:fill="C6EFCE" w:val="clear"/>
          </w:tcPr>
          <w:p>
            <w:r>
              <w:rPr>
                <w:b/>
                <w:sz w:val="17"/>
              </w:rPr>
              <w:t>25,355</w:t>
            </w:r>
          </w:p>
        </w:tc>
        <w:tc>
          <w:tcPr>
            <w:tcW w:type="dxa" w:w="1440"/>
            <w:shd w:fill="C6EFCE" w:val="clear"/>
          </w:tcPr>
          <w:p>
            <w:r>
              <w:rPr>
                <w:sz w:val="17"/>
              </w:rPr>
              <w:t>29,066</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 BRVM**</w:t>
      </w:r>
    </w:p>
    <w:p>
      <w:pPr>
        <w:spacing w:after="120" w:line="276" w:lineRule="auto" w:before="240"/>
      </w:pPr>
      <w:r>
        <w:rPr>
          <w:b/>
          <w:color w:val="003366"/>
          <w:sz w:val="24"/>
        </w:rPr>
        <w:t>**PARTIE 0 : INDICATEURS DE VALORISATION BOURSIÈRE**</w:t>
      </w:r>
    </w:p>
    <w:p>
      <w:pPr>
        <w:spacing w:after="120" w:line="276" w:lineRule="auto"/>
      </w:pPr>
      <w:r>
        <w:t>La capitalisation boursière de 411,17 milliards FCFA positionne STBC comme une valeur de premier plan sur la BRVM, reflétant son statut de leader sur le marché ivoirien du tabac. Le BPA de 2 014 FCFA indique une capacité bénéficiaire substantielle par action, tandis que le PER de 11,4x se situe dans la fourchette moyenne du marché (8-12x), suggérant une valorisation raisonnable par rapport aux bénéfices générés. Le P/B de 9,07x, nettement supérieur au seuil de 4x, révèle que le marché valorise fortement l'entreprise au-delà de sa valeur comptable, traduisant des attentes de croissance élevées. Enfin, l'EV/EBITDA de 8,2x, dans la zone raisonnable de 5-10x, confirme une évaluation cohérente de la capacité opérationnelle de l'entreprise, équilibrant ainsi les signaux d'une valorisation globalement modérée.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progression totale de +4,57%, avec une stabilité lors de la dernière séance (variation J-1 de 0,00%). Le cours a évolué dans une fourchette de 19 705 FCFA à 25 000 FCFA, démontrant une amplitude de trading significative. La moyenne de 22 271 FCFA, légèrement supérieure à la médiane de 21 998 FCFA, indique une distribution relativement symétrique, confirmée par un skewness de 0,316. L'écart-type de 1 382 FCFA (CV de 6,2%) reflète une dispersion modérée des prix autour de la moyenne. Le kurtosis de -0,978, proche d'une distribution normale, suggère l'absence de mouvements extrêmes. La volatilité annualisée de 32,8% classe le titre comme très volatil (&gt;30%), ce qui représente un risque notable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(23 451,75 FCFA) et MM50 (23 438,1 FCFA) sont très proches l'une de l'autre et se situent au-dessus du cours actuel de 22 900 FCFA. Cette configuration indique une tendance baissière à court terme, le prix évoluant sous ses moyennes mobiles. La décision "Achat" semble prématurée, car le croisement des moyennes n'est pas encore confirmé à la hausse.</w:t>
      </w:r>
    </w:p>
    <w:p>
      <w:pPr>
        <w:spacing w:after="120" w:line="276" w:lineRule="auto"/>
      </w:pPr>
      <w:r>
        <w:t>**Bandes de Bollinger** : Le cours se positionne entre la borne inférieure (21 924,05 FCFA) et la borne supérieure (24 979,45 FCFA), plus près de la borne inférieure. Cette position suggère une pression vendeuse modérée, sans atteindre des conditions de survente extrême. La décision "Neutre" est cohérente, le prix restant dans la zone médiane des bandes.</w:t>
      </w:r>
    </w:p>
    <w:p>
      <w:pPr>
        <w:spacing w:after="120" w:line="276" w:lineRule="auto"/>
      </w:pPr>
      <w:r>
        <w:t>**MACD** : La valeur MACD de -138,001 est inférieure à sa ligne de signal (-24,497), indiquant un momentum baissier en cours. La divergence négative suggère une dynamique vendeuse qui pourrait se poursuivre à court terme. La décision "Vente" est justifiée par cette configuration technique.</w:t>
      </w:r>
    </w:p>
    <w:p>
      <w:pPr>
        <w:spacing w:after="120" w:line="276" w:lineRule="auto"/>
      </w:pPr>
      <w:r>
        <w:t>**RSI** : Avec une valeur de 41,53, le RSI se situe dans la zone neutre (30-70), indiquant une absence de conditions de surachat ou de survente. Cette lecture suggère que le marché n'a pas encore trouvé de direction claire, la décision "Neutre" étant appropriée.</w:t>
      </w:r>
    </w:p>
    <w:p>
      <w:pPr>
        <w:spacing w:after="120" w:line="276" w:lineRule="auto"/>
      </w:pPr>
      <w:r>
        <w:t>**Stochastique** : Les valeurs %K (20,0) et %D (21,27) sont proches, avec %K légèrement inférieur à %D, indiquant une dynamique baissière mais sans croisement significatif. La proximité de la zone de survente (&lt;20) pourrait signaler un potentiel retournement, mais la décision "Neutre" reste prudente.</w:t>
      </w:r>
    </w:p>
    <w:p>
      <w:pPr>
        <w:spacing w:after="120" w:line="276" w:lineRule="auto"/>
      </w:pPr>
      <w:r>
        <w:t>**Conclusion technique** : Les indicateurs techniques présentent un signal globalement mitigé, avec une prédominance baissière (MACD négatif, cours sous les MM) mais sans confirmation forte. La convergence des indicateurs neutres (RSI, Stochastique, Bollinger) suggère une phase de consolidation, avec un risque de poursuite de la baisse à court terme.</w:t>
      </w:r>
    </w:p>
    <w:p>
      <w:pPr>
        <w:spacing w:after="120" w:line="276" w:lineRule="auto" w:before="240"/>
      </w:pPr>
      <w:r>
        <w:rPr>
          <w:b/>
          <w:color w:val="003366"/>
          <w:sz w:val="24"/>
        </w:rPr>
        <w:t>**PARTIE 3 : ANALYSE FONDAMENTALE (SECTION CRITIQUE)**</w:t>
      </w:r>
    </w:p>
    <w:p>
      <w:pPr>
        <w:spacing w:after="120" w:line="276" w:lineRule="auto"/>
      </w:pPr>
      <w:r>
        <w:t>En 2025, STBC (SITAB) affiche un chiffre d'affaires de 268,537 milliards FCFA, en croissance de +25,3% par rapport à 2024, démontrant une dynamique commerciale exceptionnelle. Le résultat net s'établit à 36,158 milliards FCFA, en baisse de 17,5% par rapport aux 44,2 milliards de 2024, avec une marge nette de 13,46%. Le ROE de 79,75% et le ROA de 48,09% témoignent d'une rentabilité exceptionnelle, bien que la marge opérationnelle de 17,12% soit en recul. La structure financière reste solide avec une autonomie financière de 60,3%, un endettement quasi nul (0,0031%) et une trésorerie confortable de 30,763 milliards FCFA. Le BFR négatif de 5,639 milliards FCFA est favorable, indiquant une gestion efficace du cycle d'exploitation. Les délais clients de 42,57 jours et de stockage de 5,73 jours sont raisonnables. Sur la base des rapports trimestriels 2025 (T1 : CA +34,7%, résultat net +146% ; S1 : CA +41,8%, résultat net +87,3% ; T3 : CA +19%, résultat net +9% ; T4 : CA +8%, résultat net -74%), on estime que l'exercice 2025 a été marqué par une forte croissance du CA mais une dégradation progressive de la rentabilité, principalement due à la hausse des droits d'accise (49% à 70%). Le rapport T1 2026 (CA +12% à 68,8 milliards, résultat net -1% à 9,3 milliards) suggère une stabilisation, avec une marge nette de 13,5%. Le dividende proposé de 1 940 FCFA par action représente un taux de distribution de 84,9%, reflétant une politique généreuse mais potentiellement risquée.</w:t>
      </w:r>
    </w:p>
    <w:p>
      <w:pPr>
        <w:spacing w:after="120" w:line="276" w:lineRule="auto" w:before="240"/>
      </w:pPr>
      <w:r>
        <w:rPr>
          <w:b/>
          <w:color w:val="003366"/>
          <w:sz w:val="24"/>
        </w:rPr>
        <w:t>**PARTIE 4 : CONCLUSION D'INVESTISSEMENT**</w:t>
      </w:r>
    </w:p>
    <w:p>
      <w:pPr>
        <w:spacing w:after="120" w:line="276" w:lineRule="auto"/>
      </w:pPr>
      <w:r>
        <w:t>La valorisation de STBC apparaît raisonnable avec un PER de 11,4x et un EV/EBITDA de 8,2x, bien que le P/B de 9,07x indique une prime substantielle. Le comportement du cours montre une tendance légèrement haussière (+4,57% sur 100 jours) mais avec une volatilité élevée (32,8%) et des statistiques descriptives stables (kurtosis et skewness proches de la normale). Les signaux techniques sont mitigés, avec une prédominance baissière à court terme (MACD négatif, cours sous les MM) mais des indicateurs neutres (RSI, Stochastique). Les fondamentaux restent solides malgré la baisse de rentabilité, avec une croissance du CA de 25,3%, un ROE exceptionnel de 79,75% et une structure financière saine. Les prédictions IA pour les 10 prochains jours (23 280 à 24 132 FCFA) suggèrent une trajectoire haussière, contredisant les signaux techniques baissiers. La convergence entre la valorisation raisonnable, les fondamentaux solides et les prédictions IA positives, malgré les signaux techniques mitigés, conduit à une recommandation **CONSERVER** avec un niveau de confiance **Moyen** et un risque global **Moyen**. L'horizon d'investissement optimal serait le **moyen terme (3-12 mois)**, permettant de bénéficier du rendement du dividende attractif tout en surveillant l'évolution de la rentabilité et de l'environnement fiscal.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7,797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+17.44%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39.8%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μ=2,884 FCFA, σ=146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β=0.1133 (Défensif) — Cov=0.000004, Var(idx)=0.000034, ρ=0.026,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2026-08-25</w:t>
            </w:r>
          </w:p>
        </w:tc>
        <w:tc>
          <w:tcPr>
            <w:tcW w:type="dxa" w:w="1440"/>
            <w:shd w:fill="FAFAFA" w:val="clear"/>
          </w:tcPr>
          <w:p>
            <w:r>
              <w:rPr>
                <w:sz w:val="17"/>
              </w:rPr>
              <w:t>3,197</w:t>
            </w:r>
          </w:p>
        </w:tc>
        <w:tc>
          <w:tcPr>
            <w:tcW w:type="dxa" w:w="1440"/>
            <w:shd w:fill="FAFAFA" w:val="clear"/>
          </w:tcPr>
          <w:p>
            <w:r>
              <w:rPr>
                <w:b/>
                <w:sz w:val="17"/>
              </w:rPr>
              <w:t>3,386</w:t>
            </w:r>
          </w:p>
        </w:tc>
        <w:tc>
          <w:tcPr>
            <w:tcW w:type="dxa" w:w="1440"/>
            <w:shd w:fill="FAFAFA" w:val="clear"/>
          </w:tcPr>
          <w:p>
            <w:r>
              <w:rPr>
                <w:sz w:val="17"/>
              </w:rPr>
              <w:t>3,575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2026-08-27</w:t>
            </w:r>
          </w:p>
        </w:tc>
        <w:tc>
          <w:tcPr>
            <w:tcW w:type="dxa" w:w="1440"/>
            <w:shd w:fill="FAFAFA" w:val="clear"/>
          </w:tcPr>
          <w:p>
            <w:r>
              <w:rPr>
                <w:sz w:val="17"/>
              </w:rPr>
              <w:t>3,100</w:t>
            </w:r>
          </w:p>
        </w:tc>
        <w:tc>
          <w:tcPr>
            <w:tcW w:type="dxa" w:w="1440"/>
            <w:shd w:fill="FAFAFA" w:val="clear"/>
          </w:tcPr>
          <w:p>
            <w:r>
              <w:rPr>
                <w:b/>
                <w:sz w:val="17"/>
              </w:rPr>
              <w:t>3,366</w:t>
            </w:r>
          </w:p>
        </w:tc>
        <w:tc>
          <w:tcPr>
            <w:tcW w:type="dxa" w:w="1440"/>
            <w:shd w:fill="FAFAFA" w:val="clear"/>
          </w:tcPr>
          <w:p>
            <w:r>
              <w:rPr>
                <w:sz w:val="17"/>
              </w:rPr>
              <w:t>3,632</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2026-08-28</w:t>
            </w:r>
          </w:p>
        </w:tc>
        <w:tc>
          <w:tcPr>
            <w:tcW w:type="dxa" w:w="1440"/>
            <w:shd w:fill="FAFAFA" w:val="clear"/>
          </w:tcPr>
          <w:p>
            <w:r>
              <w:rPr>
                <w:sz w:val="17"/>
              </w:rPr>
              <w:t>3,025</w:t>
            </w:r>
          </w:p>
        </w:tc>
        <w:tc>
          <w:tcPr>
            <w:tcW w:type="dxa" w:w="1440"/>
            <w:shd w:fill="FAFAFA" w:val="clear"/>
          </w:tcPr>
          <w:p>
            <w:r>
              <w:rPr>
                <w:b/>
                <w:sz w:val="17"/>
              </w:rPr>
              <w:t>3,348</w:t>
            </w:r>
          </w:p>
        </w:tc>
        <w:tc>
          <w:tcPr>
            <w:tcW w:type="dxa" w:w="1440"/>
            <w:shd w:fill="FAFAFA" w:val="clear"/>
          </w:tcPr>
          <w:p>
            <w:r>
              <w:rPr>
                <w:sz w:val="17"/>
              </w:rPr>
              <w:t>3,672</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2026-08-31</w:t>
            </w:r>
          </w:p>
        </w:tc>
        <w:tc>
          <w:tcPr>
            <w:tcW w:type="dxa" w:w="1440"/>
            <w:shd w:fill="FAFAFA" w:val="clear"/>
          </w:tcPr>
          <w:p>
            <w:r>
              <w:rPr>
                <w:sz w:val="17"/>
              </w:rPr>
              <w:t>2,961</w:t>
            </w:r>
          </w:p>
        </w:tc>
        <w:tc>
          <w:tcPr>
            <w:tcW w:type="dxa" w:w="1440"/>
            <w:shd w:fill="FAFAFA" w:val="clear"/>
          </w:tcPr>
          <w:p>
            <w:r>
              <w:rPr>
                <w:b/>
                <w:sz w:val="17"/>
              </w:rPr>
              <w:t>3,333</w:t>
            </w:r>
          </w:p>
        </w:tc>
        <w:tc>
          <w:tcPr>
            <w:tcW w:type="dxa" w:w="1440"/>
            <w:shd w:fill="FAFAFA" w:val="clear"/>
          </w:tcPr>
          <w:p>
            <w:r>
              <w:rPr>
                <w:sz w:val="17"/>
              </w:rPr>
              <w:t>3,705</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2,905</w:t>
            </w:r>
          </w:p>
        </w:tc>
        <w:tc>
          <w:tcPr>
            <w:tcW w:type="dxa" w:w="1440"/>
            <w:shd w:fill="FFDCE0" w:val="clear"/>
          </w:tcPr>
          <w:p>
            <w:r>
              <w:rPr>
                <w:b/>
                <w:sz w:val="17"/>
              </w:rPr>
              <w:t>3,319</w:t>
            </w:r>
          </w:p>
        </w:tc>
        <w:tc>
          <w:tcPr>
            <w:tcW w:type="dxa" w:w="1440"/>
            <w:shd w:fill="FFDCE0" w:val="clear"/>
          </w:tcPr>
          <w:p>
            <w:r>
              <w:rPr>
                <w:sz w:val="17"/>
              </w:rPr>
              <w:t>3,733</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2,854</w:t>
            </w:r>
          </w:p>
        </w:tc>
        <w:tc>
          <w:tcPr>
            <w:tcW w:type="dxa" w:w="1440"/>
            <w:shd w:fill="FFDCE0" w:val="clear"/>
          </w:tcPr>
          <w:p>
            <w:r>
              <w:rPr>
                <w:b/>
                <w:sz w:val="17"/>
              </w:rPr>
              <w:t>3,306</w:t>
            </w:r>
          </w:p>
        </w:tc>
        <w:tc>
          <w:tcPr>
            <w:tcW w:type="dxa" w:w="1440"/>
            <w:shd w:fill="FFDCE0" w:val="clear"/>
          </w:tcPr>
          <w:p>
            <w:r>
              <w:rPr>
                <w:sz w:val="17"/>
              </w:rPr>
              <w:t>3,758</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2,807</w:t>
            </w:r>
          </w:p>
        </w:tc>
        <w:tc>
          <w:tcPr>
            <w:tcW w:type="dxa" w:w="1440"/>
            <w:shd w:fill="FFDCE0" w:val="clear"/>
          </w:tcPr>
          <w:p>
            <w:r>
              <w:rPr>
                <w:b/>
                <w:sz w:val="17"/>
              </w:rPr>
              <w:t>3,293</w:t>
            </w:r>
          </w:p>
        </w:tc>
        <w:tc>
          <w:tcPr>
            <w:tcW w:type="dxa" w:w="1440"/>
            <w:shd w:fill="FFDCE0" w:val="clear"/>
          </w:tcPr>
          <w:p>
            <w:r>
              <w:rPr>
                <w:sz w:val="17"/>
              </w:rPr>
              <w:t>3,780</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2,763</w:t>
            </w:r>
          </w:p>
        </w:tc>
        <w:tc>
          <w:tcPr>
            <w:tcW w:type="dxa" w:w="1440"/>
            <w:shd w:fill="FFDCE0" w:val="clear"/>
          </w:tcPr>
          <w:p>
            <w:r>
              <w:rPr>
                <w:b/>
                <w:sz w:val="17"/>
              </w:rPr>
              <w:t>3,281</w:t>
            </w:r>
          </w:p>
        </w:tc>
        <w:tc>
          <w:tcPr>
            <w:tcW w:type="dxa" w:w="1440"/>
            <w:shd w:fill="FFDCE0" w:val="clear"/>
          </w:tcPr>
          <w:p>
            <w:r>
              <w:rPr>
                <w:sz w:val="17"/>
              </w:rPr>
              <w:t>3,799</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2,721</w:t>
            </w:r>
          </w:p>
        </w:tc>
        <w:tc>
          <w:tcPr>
            <w:tcW w:type="dxa" w:w="1440"/>
            <w:shd w:fill="FFDCE0" w:val="clear"/>
          </w:tcPr>
          <w:p>
            <w:r>
              <w:rPr>
                <w:b/>
                <w:sz w:val="17"/>
              </w:rPr>
              <w:t>3,269</w:t>
            </w:r>
          </w:p>
        </w:tc>
        <w:tc>
          <w:tcPr>
            <w:tcW w:type="dxa" w:w="1440"/>
            <w:shd w:fill="FFDCE0" w:val="clear"/>
          </w:tcPr>
          <w:p>
            <w:r>
              <w:rPr>
                <w:sz w:val="17"/>
              </w:rPr>
              <w:t>3,816</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2,682</w:t>
            </w:r>
          </w:p>
        </w:tc>
        <w:tc>
          <w:tcPr>
            <w:tcW w:type="dxa" w:w="1440"/>
            <w:shd w:fill="FFDCE0" w:val="clear"/>
          </w:tcPr>
          <w:p>
            <w:r>
              <w:rPr>
                <w:b/>
                <w:sz w:val="17"/>
              </w:rPr>
              <w:t>3,257</w:t>
            </w:r>
          </w:p>
        </w:tc>
        <w:tc>
          <w:tcPr>
            <w:tcW w:type="dxa" w:w="1440"/>
            <w:shd w:fill="FFDCE0" w:val="clear"/>
          </w:tcPr>
          <w:p>
            <w:r>
              <w:rPr>
                <w:sz w:val="17"/>
              </w:rPr>
              <w:t>3,832</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21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214,07 milliards FCFA, TTLC se positionne parmi les valeurs moyennes à grandes capitalisations de la BRVM, reflétant son statut de leader dans la distribution de produits pétroliers en Côte d'Ivoire. Le BPA de 144 FCFA indique que chaque action génère un bénéfice modeste, ce qui explique un PER de 23,6x. Ce ratio est nettement supérieur à la moyenne historique de la BRVM (8-12x), signalant que le marché intègre des attentes de croissance future ou une prime de qualité. Le P/B de 5,91x confirme cette prime, le marché valorisant le titre bien au-delà de sa valeur comptable (actifs nets). Enfin, un EV/EBITDA de 12,0x, bien que dans la fourchette haute (10-15x), suggère que la valeur totale de l'entreprise (dette incluse) reste cohérente avec sa capacité à générer du cash-flow opérationnel, justifiant partiellement cette valorisation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+17,44%, avec une dernière séance stable (+0,00%), atteignant un cours de 3 400 FCFA. Le titre a évolué dans une fourchette de 750 FCFA, entre un plus bas de 2 650 FCFA et un plus haut de 3 400 FCFA, démontrant une tendance haussière soutenue. La moyenne (2 884 FCFA) et la médiane (2 878 FCFA) étant quasi identiques, la distribution des prix est relativement symétrique, mais le skewness positif (1,320) révèle que les journées de baisse ont été plus fréquentes, bien que de moindre ampleur que les fortes hausses. L'écart-type de 147 FCFA (CV=5,1%) indique une dispersion modérée autour de la moyenne. Le kurtosis élevé (2,669) signale un risque de mouvements extrêmes (queues épaisses). La volatilité annualisée de 39,8% classe le titre comme très volatil (&gt;30%), ce qui implique un risque élevé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est nettement supérieur à la MM20 (3 066,5 FCFA) et à la MM50 (2 961,1 FCFA), confirmant une dynamique haussière à court et moyen terme. La configuration des MM (cours &gt; MM20 &gt; MM50) est un signal classique d'achat, indiquant que la tendance de fond est positive et que les acheteurs contrôlent le marché.</w:t>
      </w:r>
    </w:p>
    <w:p>
      <w:pPr>
        <w:spacing w:after="120" w:line="276" w:lineRule="auto"/>
      </w:pPr>
      <w:r>
        <w:t>**Bandes de Bollinger** : Le prix se situe à 3 400 FCFA, très proche de la borne supérieure (3 431 FCFA), ce qui témoigne d'une pression acheteuse intense. La largeur des bandes (écart de 730 FCFA) reflète la volatilité élevée du titre. La décision "Neutre" suggère que le marché est en phase de surachat technique, mais sans signal de retournement immédiat.</w:t>
      </w:r>
    </w:p>
    <w:p>
      <w:pPr>
        <w:spacing w:after="120" w:line="276" w:lineRule="auto"/>
      </w:pPr>
      <w:r>
        <w:t>**MACD** : Le MACD (113,751) est nettement au-dessus de sa ligne de signal (71,215), avec un écart positif important. Cette configuration indique un momentum haussier très fort. La décision "Achat" est justifiée, car la dynamique positive reste intacte, bien qu'un écart aussi large puisse précéder une consolidation.</w:t>
      </w:r>
    </w:p>
    <w:p>
      <w:pPr>
        <w:spacing w:after="120" w:line="276" w:lineRule="auto"/>
      </w:pPr>
      <w:r>
        <w:t>**RSI** : À 67,672, le RSI est en zone neutre-haute, proche du seuil de surachat (70). Cela signifie que le titre a fortement monté mais n'est pas encore en situation extrême. La décision "Neutre" est prudente : le momentum est positif, mais le risque d'un essoufflement augmente à mesure que l'on s'approche de 70.</w:t>
      </w:r>
    </w:p>
    <w:p>
      <w:pPr>
        <w:spacing w:after="120" w:line="276" w:lineRule="auto"/>
      </w:pPr>
      <w:r>
        <w:t>**Stochastique** : Le %K (100,0) et le %D (99,663) sont à des niveaux extrêmes de surachat, indiquant que le titre est très sollicité à la hausse. La décision "Vente" est un signal d'alerte technique : une correction est statistiquement probable à ces niveaux, même si le timing reste incertain.</w:t>
      </w:r>
    </w:p>
    <w:p>
      <w:pPr>
        <w:spacing w:after="120" w:line="276" w:lineRule="auto"/>
      </w:pPr>
      <w:r>
        <w:t>**Conclusion technique** : Les indicateurs de tendance (MM, MACD) sont résolument haussiers, mais les oscillateurs (RSI, Stochastique) signalent une zone de surachat extrême. Cette divergence suggère que la tendance de fond reste positive, mais qu'un repli technique est probable à court terme. La prudence est de mise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TTLC a réalisé un chiffre d'affaires de 588,709 milliards FCFA, en baisse de 5,2% par rapport à 2024 (621,042 Mds FCFA). Le résultat net s'établit à 9,087 milliards FCFA, contre 9,374 milliards en 2024, soit une légère contraction de 3%. La rentabilité des capitaux propres (ROE) reste excellente à 25,1%, et le ROA de 4,8% est correct pour le secteur. En tant qu'entreprise de distribution, le BFR négatif (-9,662 Mds FCFA) est un point très favorable, indiquant que la société finance son exploitation grâce aux délais de paiement de ses fournisseurs (49,7 jours). Cependant, le fonds de roulement est fortement négatif (-31,587 Mds FCFA) et la trésorerie nette est déficitaire (-21,926 Mds FCFA), signalant une dépendance aux crédits bancaires à court terme. Les rapports trimestriels de 2025 confirment cette tendance : le T3 2025 montre une baisse du CA de 5,7% et du résultat net de 30,2% sur 9 mois. En revanche, le rapport T1 2026 (daté de 2026) indique un rebond, avec un CA en hausse de 4,3% (154,392 Mds FCFA) et un résultat net en progression de 5,5% (2,329 Mds FCFA). Sur cette base, on estime que l'exercice 2026 pourrait voir une stabilisation ou une légère croissance du CA et du résultat net, après une année 2025 difficile. La politique de dividende reste généreuse (10 Mds FCFA proposés pour 2025, soit un payout &gt;100%), ce qui est un signal fort pour les actionnaires mais un risque pour la trésorerie.</w:t>
      </w:r>
    </w:p>
    <w:p>
      <w:pPr>
        <w:spacing w:after="120" w:line="276" w:lineRule="auto"/>
      </w:pPr>
      <w:r>
        <w:t>---</w:t>
      </w:r>
    </w:p>
    <w:p>
      <w:pPr>
        <w:spacing w:after="120" w:line="276" w:lineRule="auto"/>
      </w:pPr>
      <w:r>
        <w:t>### PARTIE 4 : CONCLUSION D'INVESTISSEMENT</w:t>
      </w:r>
    </w:p>
    <w:p>
      <w:pPr>
        <w:spacing w:after="120" w:line="276" w:lineRule="auto"/>
      </w:pPr>
      <w:r>
        <w:t>La valorisation de TTLC (PER 23,6x, P/B 5,91x) est exigeante, intégrant une prime de qualité pour ce leader de marché, mais elle laisse peu de marge de sécurité. Le comportement du cours est très positif (+17,44% sur 100 jours), avec une volatilité élevée (39,8%) et un risque de pics (kurtosis), ce qui offre un potentiel mais aussi un risque de correction. Les signaux techniques sont mitigés : la tendance (MM, MACD) est haussière, mais les oscillateurs (RSI, Stochastique) sont en zone de surachat, suggérant un repli probable à court terme. Les fondamentaux sont solides (ROE &gt;25%, BFR négatif) mais montrent des signes de fragilité (trésorerie négative, CA en baisse en 2025), avec des perspectives de stabilisation en 2026. Les prédictions IA (3 386 FCFA à J+10) confirment une légère consolidation après la forte hausse. En synthèse, la convergence entre la surévaluation relative, les signaux techniques de surachat et la fragilité financière plaide pour une prudence. **Recommandation : CONSERVER** avec un niveau de confiance **Moyen**. Le risque global est **Élevé** en raison de la volatilité et de l'endettement. L'horizon d'investissement optimal est le **moyen terme (3-12 mois)**, en attendant une correction technique ou une confirmation de l'amélioration des fondamentaux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2,757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+14.93%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μ=3,493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β=0.7498 (Défensif) — Cov=0.000025, Var(idx)=0.000034, ρ=0.145,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2026-08-25</w:t>
            </w:r>
          </w:p>
        </w:tc>
        <w:tc>
          <w:tcPr>
            <w:tcW w:type="dxa" w:w="1440"/>
            <w:shd w:fill="FFDCE0" w:val="clear"/>
          </w:tcPr>
          <w:p>
            <w:r>
              <w:rPr>
                <w:sz w:val="17"/>
              </w:rPr>
              <w:t>3,492</w:t>
            </w:r>
          </w:p>
        </w:tc>
        <w:tc>
          <w:tcPr>
            <w:tcW w:type="dxa" w:w="1440"/>
            <w:shd w:fill="FFDCE0" w:val="clear"/>
          </w:tcPr>
          <w:p>
            <w:r>
              <w:rPr>
                <w:b/>
                <w:sz w:val="17"/>
              </w:rPr>
              <w:t>3,695</w:t>
            </w:r>
          </w:p>
        </w:tc>
        <w:tc>
          <w:tcPr>
            <w:tcW w:type="dxa" w:w="1440"/>
            <w:shd w:fill="FFDCE0" w:val="clear"/>
          </w:tcPr>
          <w:p>
            <w:r>
              <w:rPr>
                <w:sz w:val="17"/>
              </w:rPr>
              <w:t>3,897</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2026-08-27</w:t>
            </w:r>
          </w:p>
        </w:tc>
        <w:tc>
          <w:tcPr>
            <w:tcW w:type="dxa" w:w="1440"/>
            <w:shd w:fill="FFDCE0" w:val="clear"/>
          </w:tcPr>
          <w:p>
            <w:r>
              <w:rPr>
                <w:sz w:val="17"/>
              </w:rPr>
              <w:t>3,340</w:t>
            </w:r>
          </w:p>
        </w:tc>
        <w:tc>
          <w:tcPr>
            <w:tcW w:type="dxa" w:w="1440"/>
            <w:shd w:fill="FFDCE0" w:val="clear"/>
          </w:tcPr>
          <w:p>
            <w:r>
              <w:rPr>
                <w:b/>
                <w:sz w:val="17"/>
              </w:rPr>
              <w:t>3,621</w:t>
            </w:r>
          </w:p>
        </w:tc>
        <w:tc>
          <w:tcPr>
            <w:tcW w:type="dxa" w:w="1440"/>
            <w:shd w:fill="FFDCE0" w:val="clear"/>
          </w:tcPr>
          <w:p>
            <w:r>
              <w:rPr>
                <w:sz w:val="17"/>
              </w:rPr>
              <w:t>3,902</w:t>
            </w:r>
          </w:p>
        </w:tc>
        <w:tc>
          <w:tcPr>
            <w:tcW w:type="dxa" w:w="1440"/>
            <w:shd w:fill="FFDCE0" w:val="clear"/>
          </w:tcPr>
          <w:p>
            <w:r>
              <w:rPr>
                <w:b/>
                <w:color w:val="C00000"/>
                <w:sz w:val="17"/>
              </w:rPr>
              <w:t>-5.9%</w:t>
            </w:r>
          </w:p>
        </w:tc>
      </w:tr>
      <w:tr>
        <w:tc>
          <w:tcPr>
            <w:tcW w:type="dxa" w:w="1440"/>
            <w:shd w:fill="FFDCE0" w:val="clear"/>
          </w:tcPr>
          <w:p>
            <w:r>
              <w:rPr>
                <w:sz w:val="17"/>
              </w:rPr>
              <w:t>J+3  ⭐</w:t>
            </w:r>
          </w:p>
        </w:tc>
        <w:tc>
          <w:tcPr>
            <w:tcW w:type="dxa" w:w="1440"/>
            <w:shd w:fill="FFDCE0" w:val="clear"/>
          </w:tcPr>
          <w:p>
            <w:r>
              <w:rPr>
                <w:sz w:val="17"/>
              </w:rPr>
              <w:t>2026-08-28</w:t>
            </w:r>
          </w:p>
        </w:tc>
        <w:tc>
          <w:tcPr>
            <w:tcW w:type="dxa" w:w="1440"/>
            <w:shd w:fill="FFDCE0" w:val="clear"/>
          </w:tcPr>
          <w:p>
            <w:r>
              <w:rPr>
                <w:sz w:val="17"/>
              </w:rPr>
              <w:t>3,222</w:t>
            </w:r>
          </w:p>
        </w:tc>
        <w:tc>
          <w:tcPr>
            <w:tcW w:type="dxa" w:w="1440"/>
            <w:shd w:fill="FFDCE0" w:val="clear"/>
          </w:tcPr>
          <w:p>
            <w:r>
              <w:rPr>
                <w:b/>
                <w:sz w:val="17"/>
              </w:rPr>
              <w:t>3,561</w:t>
            </w:r>
          </w:p>
        </w:tc>
        <w:tc>
          <w:tcPr>
            <w:tcW w:type="dxa" w:w="1440"/>
            <w:shd w:fill="FFDCE0" w:val="clear"/>
          </w:tcPr>
          <w:p>
            <w:r>
              <w:rPr>
                <w:sz w:val="17"/>
              </w:rPr>
              <w:t>3,900</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3,125</w:t>
            </w:r>
          </w:p>
        </w:tc>
        <w:tc>
          <w:tcPr>
            <w:tcW w:type="dxa" w:w="1440"/>
            <w:shd w:fill="FFDCE0" w:val="clear"/>
          </w:tcPr>
          <w:p>
            <w:r>
              <w:rPr>
                <w:b/>
                <w:sz w:val="17"/>
              </w:rPr>
              <w:t>3,511</w:t>
            </w:r>
          </w:p>
        </w:tc>
        <w:tc>
          <w:tcPr>
            <w:tcW w:type="dxa" w:w="1440"/>
            <w:shd w:fill="FFDCE0" w:val="clear"/>
          </w:tcPr>
          <w:p>
            <w:r>
              <w:rPr>
                <w:sz w:val="17"/>
              </w:rPr>
              <w:t>3,897</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3,040</w:t>
            </w:r>
          </w:p>
        </w:tc>
        <w:tc>
          <w:tcPr>
            <w:tcW w:type="dxa" w:w="1440"/>
            <w:shd w:fill="FFDCE0" w:val="clear"/>
          </w:tcPr>
          <w:p>
            <w:r>
              <w:rPr>
                <w:b/>
                <w:sz w:val="17"/>
              </w:rPr>
              <w:t>3,466</w:t>
            </w:r>
          </w:p>
        </w:tc>
        <w:tc>
          <w:tcPr>
            <w:tcW w:type="dxa" w:w="1440"/>
            <w:shd w:fill="FFDCE0" w:val="clear"/>
          </w:tcPr>
          <w:p>
            <w:r>
              <w:rPr>
                <w:sz w:val="17"/>
              </w:rPr>
              <w:t>3,892</w:t>
            </w:r>
          </w:p>
        </w:tc>
        <w:tc>
          <w:tcPr>
            <w:tcW w:type="dxa" w:w="1440"/>
            <w:shd w:fill="FFDCE0" w:val="clear"/>
          </w:tcPr>
          <w:p>
            <w:r>
              <w:rPr>
                <w:b/>
                <w:color w:val="C00000"/>
                <w:sz w:val="17"/>
              </w:rPr>
              <w:t>-10.0%</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2,964</w:t>
            </w:r>
          </w:p>
        </w:tc>
        <w:tc>
          <w:tcPr>
            <w:tcW w:type="dxa" w:w="1440"/>
            <w:shd w:fill="FFDCE0" w:val="clear"/>
          </w:tcPr>
          <w:p>
            <w:r>
              <w:rPr>
                <w:b/>
                <w:sz w:val="17"/>
              </w:rPr>
              <w:t>3,425</w:t>
            </w:r>
          </w:p>
        </w:tc>
        <w:tc>
          <w:tcPr>
            <w:tcW w:type="dxa" w:w="1440"/>
            <w:shd w:fill="FFDCE0" w:val="clear"/>
          </w:tcPr>
          <w:p>
            <w:r>
              <w:rPr>
                <w:sz w:val="17"/>
              </w:rPr>
              <w:t>3,886</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2,894</w:t>
            </w:r>
          </w:p>
        </w:tc>
        <w:tc>
          <w:tcPr>
            <w:tcW w:type="dxa" w:w="1440"/>
            <w:shd w:fill="FFDCE0" w:val="clear"/>
          </w:tcPr>
          <w:p>
            <w:r>
              <w:rPr>
                <w:b/>
                <w:sz w:val="17"/>
              </w:rPr>
              <w:t>3,386</w:t>
            </w:r>
          </w:p>
        </w:tc>
        <w:tc>
          <w:tcPr>
            <w:tcW w:type="dxa" w:w="1440"/>
            <w:shd w:fill="FFDCE0" w:val="clear"/>
          </w:tcPr>
          <w:p>
            <w:r>
              <w:rPr>
                <w:sz w:val="17"/>
              </w:rPr>
              <w:t>3,878</w:t>
            </w:r>
          </w:p>
        </w:tc>
        <w:tc>
          <w:tcPr>
            <w:tcW w:type="dxa" w:w="1440"/>
            <w:shd w:fill="FFDCE0" w:val="clear"/>
          </w:tcPr>
          <w:p>
            <w:r>
              <w:rPr>
                <w:b/>
                <w:color w:val="C00000"/>
                <w:sz w:val="17"/>
              </w:rPr>
              <w:t>-12.1%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2,829</w:t>
            </w:r>
          </w:p>
        </w:tc>
        <w:tc>
          <w:tcPr>
            <w:tcW w:type="dxa" w:w="1440"/>
            <w:shd w:fill="FFDCE0" w:val="clear"/>
          </w:tcPr>
          <w:p>
            <w:r>
              <w:rPr>
                <w:b/>
                <w:sz w:val="17"/>
              </w:rPr>
              <w:t>3,350</w:t>
            </w:r>
          </w:p>
        </w:tc>
        <w:tc>
          <w:tcPr>
            <w:tcW w:type="dxa" w:w="1440"/>
            <w:shd w:fill="FFDCE0" w:val="clear"/>
          </w:tcPr>
          <w:p>
            <w:r>
              <w:rPr>
                <w:sz w:val="17"/>
              </w:rPr>
              <w:t>3,870</w:t>
            </w:r>
          </w:p>
        </w:tc>
        <w:tc>
          <w:tcPr>
            <w:tcW w:type="dxa" w:w="1440"/>
            <w:shd w:fill="FFDCE0" w:val="clear"/>
          </w:tcPr>
          <w:p>
            <w:r>
              <w:rPr>
                <w:b/>
                <w:color w:val="C00000"/>
                <w:sz w:val="17"/>
              </w:rPr>
              <w:t>-13.0%</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2,769</w:t>
            </w:r>
          </w:p>
        </w:tc>
        <w:tc>
          <w:tcPr>
            <w:tcW w:type="dxa" w:w="1440"/>
            <w:shd w:fill="FFDCE0" w:val="clear"/>
          </w:tcPr>
          <w:p>
            <w:r>
              <w:rPr>
                <w:b/>
                <w:sz w:val="17"/>
              </w:rPr>
              <w:t>3,316</w:t>
            </w:r>
          </w:p>
        </w:tc>
        <w:tc>
          <w:tcPr>
            <w:tcW w:type="dxa" w:w="1440"/>
            <w:shd w:fill="FFDCE0" w:val="clear"/>
          </w:tcPr>
          <w:p>
            <w:r>
              <w:rPr>
                <w:sz w:val="17"/>
              </w:rPr>
              <w:t>3,862</w:t>
            </w:r>
          </w:p>
        </w:tc>
        <w:tc>
          <w:tcPr>
            <w:tcW w:type="dxa" w:w="1440"/>
            <w:shd w:fill="FFDCE0" w:val="clear"/>
          </w:tcPr>
          <w:p>
            <w:r>
              <w:rPr>
                <w:b/>
                <w:color w:val="C00000"/>
                <w:sz w:val="17"/>
              </w:rPr>
              <w:t>-13.9%</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2,713</w:t>
            </w:r>
          </w:p>
        </w:tc>
        <w:tc>
          <w:tcPr>
            <w:tcW w:type="dxa" w:w="1440"/>
            <w:shd w:fill="FFDCE0" w:val="clear"/>
          </w:tcPr>
          <w:p>
            <w:r>
              <w:rPr>
                <w:b/>
                <w:sz w:val="17"/>
              </w:rPr>
              <w:t>3,284</w:t>
            </w:r>
          </w:p>
        </w:tc>
        <w:tc>
          <w:tcPr>
            <w:tcW w:type="dxa" w:w="1440"/>
            <w:shd w:fill="FFDCE0" w:val="clear"/>
          </w:tcPr>
          <w:p>
            <w:r>
              <w:rPr>
                <w:sz w:val="17"/>
              </w:rPr>
              <w:t>3,854</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125,42 milliards FCFA, un niveau qui la positionne parmi les valeurs moyennes du marché BRVM, reflétant une liquidité modérée avec un volume moyen de 2 757 titres par jour. Le BPA de 208 FCFA indique que chaque action génère un bénéfice substantiel, mais le PER de 18,5x est nettement supérieur à la moyenne du marché BRVM (8-12x), signalant que les investisseurs paient une prime significative pour la qualité perçue du titre. Le P/B de 4,44x confirme cette valorisation exigeante, le marché valorisant le titre bien au-delà de sa valeur comptable, ce qui reflète les attentes de croissance future. Enfin, l'EV/EBITDA de 7,9x, dans la fourchette raisonnable de 5-10x, tempère cette lecture en indiquant que la valeur totale de l'entreprise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+14,93%, avec une légère correction de -1,28% lors de la dernière séance, témoignant d'une dynamique haussière soutenue malgré une consolidation récente. Le cours a évolué dans une fourchette large de 2 845 à 4 500 FCFA, démontrant une amplitude de trading considérable de plus de 58%. La moyenne de 3 493 FCFA, proche de la médiane de 3 452 FCFA, avec un écart-type de 370 FCFA (CV=10,6%), indique une dispersion modérée autour de la moyenne. Le kurtosis de -0,047, proche de zéro, suggère une distribution mésokurtique sans risque de pics extrêmes, tandis que le skewness positif de 0,624 révèle une asymétrie avec davantage de journées sous la moyenne, caractéristique d'une tendance haussière progressive. La volatilité annualisée de 47,8% classe le titre comme très volatil, nécessitant une gestion prudente du risque.</w:t>
      </w:r>
    </w:p>
    <w:p>
      <w:pPr>
        <w:spacing w:after="120" w:line="276" w:lineRule="auto" w:before="240"/>
      </w:pPr>
      <w:r>
        <w:rPr>
          <w:b/>
          <w:color w:val="003366"/>
          <w:sz w:val="24"/>
        </w:rPr>
        <w:t>**PARTIE 2 : ANALYSE TECHNIQUE DÉTAILLÉE**</w:t>
      </w:r>
    </w:p>
    <w:p>
      <w:pPr>
        <w:spacing w:after="120" w:line="276" w:lineRule="auto"/>
      </w:pPr>
      <w:r>
        <w:t>**Moyennes Mobiles** : Le cours actuel de 3 850 FCFA se situe au-dessus de la MM20 (3 673,25) mais en dessous de la MM50 (3 775,4), créant une configuration ambiguë. Cette position suggère une dynamique de court terme positive mais une tendance de moyen terme incertaine, justifiant la décision de vente prudente.</w:t>
      </w:r>
    </w:p>
    <w:p>
      <w:pPr>
        <w:spacing w:after="120" w:line="276" w:lineRule="auto"/>
      </w:pPr>
      <w:r>
        <w:t>**Bandes de Bollinger** : Le prix évolue à 3 850 FCFA, proche de la borne supérieure (3 916,57) et nettement au-dessus de la borne inférieure (3 429,93), indiquant une pression acheteuse soutenue. La largeur des bandes reflète une volatilité élevée, mais la position du cours suggère un potentiel de poursuite haussière, d'où la décision neutre.</w:t>
      </w:r>
    </w:p>
    <w:p>
      <w:pPr>
        <w:spacing w:after="120" w:line="276" w:lineRule="auto"/>
      </w:pPr>
      <w:r>
        <w:t>**MACD** : La valeur positive de 18,564 avec un signal à -17,834 montre une divergence positive significative, indiquant un momentum haussier naissant. Cette configuration, où la ligne MACD dépasse largement le signal, confirme une dynamique d'achat émergente, justifiant la décision d'achat.</w:t>
      </w:r>
    </w:p>
    <w:p>
      <w:pPr>
        <w:spacing w:after="120" w:line="276" w:lineRule="auto"/>
      </w:pPr>
      <w:r>
        <w:t>**RSI** : À 57,959, le RSI se situe dans la zone neutre (30-70), indiquant un équilibre entre pression acheteuse et vendeuse. Cette valeur suggère que le titre n'est ni suracheté ni survendu, laissant une marge de manœuvre pour une évolution future, d'où la décision neutre.</w:t>
      </w:r>
    </w:p>
    <w:p>
      <w:pPr>
        <w:spacing w:after="120" w:line="276" w:lineRule="auto"/>
      </w:pPr>
      <w:r>
        <w:t>**Stochastique** : Le %K à 75,269 et le %D à 87,097 montrent une convergence baissière potentielle, avec %K sous %D, signalant un possible retournement. Cette configuration, bien que proche de la zone de surachat, indique un essoufflement de la dynamique haussière, justifiant la décision neutre.</w:t>
      </w:r>
    </w:p>
    <w:p>
      <w:pPr>
        <w:spacing w:after="120" w:line="276" w:lineRule="auto"/>
      </w:pPr>
      <w:r>
        <w:t>**Conclusion technique** : La convergence des indicateurs est mitigée, avec un MACD haussier contrastant avec des moyennes mobiles baissières et un stochastique neutre. Cette divergence suggère une période de consolidation, avec un biais haussier de court terme mais une prudence nécessaire à moyen terme.</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baisse de 6,1% par rapport à 2024, avec un résultat net de 6,779 milliards FCFA, reflétant une marge nette de 1,49%. Le ROE de 24,01% est excellent, démontrant une utilisation efficace des capitaux propres de 28,239 milliards FCFA, tandis que le ROA de 3,95% indique une rentabilité modérée des actifs. Le BFR négatif de -36,899 milliards FCFA est un signal très favorable, indiquant que l'entreprise finance son cycle d'exploitation par ses fournisseurs, avec un délai fournisseurs de 97,76 jours contre 47,43 jours pour les clients. L'endettement reste maîtrisé avec une capacité de remboursement de 0,94 an, et la trésorerie nette positive de 13,941 milliards FCFA renforce la solidité financière. Sur la base du rapport T1 2026 (CA de 99,9 milliards FCFA, -10%), on estime que l'exercice 2026 pourrait voir un CA autour de 410-420 milliards FCFA, mais avec une amélioration des marges, le résultat net pourrait se stabiliser autour de 6,5-7 milliards FCFA. Les rapports de 2025 confirment la résilience opérationnelle, avec une amélioration de 28% du résultat d'exploitation au T1 2026, malgré la baisse réglementaire des prix à la pompe.</w:t>
      </w:r>
    </w:p>
    <w:p>
      <w:pPr>
        <w:spacing w:after="120" w:line="276" w:lineRule="auto" w:before="240"/>
      </w:pPr>
      <w:r>
        <w:rPr>
          <w:b/>
          <w:color w:val="003366"/>
          <w:sz w:val="24"/>
        </w:rPr>
        <w:t>**PARTIE 4 : CONCLUSION D'INVESTISSEMENT**</w:t>
      </w:r>
    </w:p>
    <w:p>
      <w:pPr>
        <w:spacing w:after="120" w:line="276" w:lineRule="auto"/>
      </w:pPr>
      <w:r>
        <w:t>La valorisation de TTLS apparaît exigeante avec un PER de 18,5x et un P/B de 4,44x, nettement supérieurs aux moyennes BRVM, mais l'EV/EBITDA de 7,9x tempère cette surévaluation. Le comportement du cours sur 100 jours est favorable avec une hausse de 14,93%, mais la volatilité élevée de 47,8% et le skewness positif indiquent une certaine instabilité. Les signaux techniques sont mitigés, avec un MACD haussier contrastant avec des moyennes mobiles baissières, suggérant une consolidation. Les fondamentaux restent solides avec un ROE de 24%, un BFR négatif favorable et une trésorerie renforcée, malgré une baisse du CA. Les prédictions IA prévoient une correction à 3 466 FCFA sur 10 jours, contredisant la tendance haussière récente. La convergence entre la valorisation élevée, les signaux techniques mitigés et les prédictions baissières suggère une prudence. Recommandation finale : **CONSERVER**, avec un niveau de confiance Moyen, un risque global Moyen, et un horizon d'investissement optimal à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-2.70%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26.8/100 → Moyen</w:t>
      </w:r>
    </w:p>
    <w:p>
      <w:pPr>
        <w:spacing w:before="40" w:after="80"/>
      </w:pPr>
      <w:r>
        <w:rPr>
          <w:rFonts w:ascii="Courier New" w:hAnsi="Courier New"/>
          <w:color w:val="825A00"/>
          <w:sz w:val="18"/>
        </w:rPr>
        <w:t>█████░░░░░░░░░░░░░░░  26.8/100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μ=56,643 FCFA, σ=3,594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β=1.0353 (Neutre (suit le marché)) — Cov=0.000036, Var(idx)=0.000034, ρ=0.157,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2026-08-25</w:t>
            </w:r>
          </w:p>
        </w:tc>
        <w:tc>
          <w:tcPr>
            <w:tcW w:type="dxa" w:w="1440"/>
            <w:shd w:fill="C6EFCE" w:val="clear"/>
          </w:tcPr>
          <w:p>
            <w:r>
              <w:rPr>
                <w:sz w:val="17"/>
              </w:rPr>
              <w:t>49,827</w:t>
            </w:r>
          </w:p>
        </w:tc>
        <w:tc>
          <w:tcPr>
            <w:tcW w:type="dxa" w:w="1440"/>
            <w:shd w:fill="C6EFCE" w:val="clear"/>
          </w:tcPr>
          <w:p>
            <w:r>
              <w:rPr>
                <w:b/>
                <w:sz w:val="17"/>
              </w:rPr>
              <w:t>54,205</w:t>
            </w:r>
          </w:p>
        </w:tc>
        <w:tc>
          <w:tcPr>
            <w:tcW w:type="dxa" w:w="1440"/>
            <w:shd w:fill="C6EFCE" w:val="clear"/>
          </w:tcPr>
          <w:p>
            <w:r>
              <w:rPr>
                <w:sz w:val="17"/>
              </w:rPr>
              <w:t>58,584</w:t>
            </w:r>
          </w:p>
        </w:tc>
        <w:tc>
          <w:tcPr>
            <w:tcW w:type="dxa" w:w="1440"/>
            <w:shd w:fill="C6EFCE" w:val="clear"/>
          </w:tcPr>
          <w:p>
            <w:r>
              <w:rPr>
                <w:b/>
                <w:color w:val="008000"/>
                <w:sz w:val="17"/>
              </w:rPr>
              <w:t>+3.8%</w:t>
            </w:r>
          </w:p>
        </w:tc>
      </w:tr>
      <w:tr>
        <w:tc>
          <w:tcPr>
            <w:tcW w:type="dxa" w:w="1440"/>
            <w:shd w:fill="C6EFCE" w:val="clear"/>
          </w:tcPr>
          <w:p>
            <w:r>
              <w:rPr>
                <w:sz w:val="17"/>
              </w:rPr>
              <w:t>J+2  ⭐</w:t>
            </w:r>
          </w:p>
        </w:tc>
        <w:tc>
          <w:tcPr>
            <w:tcW w:type="dxa" w:w="1440"/>
            <w:shd w:fill="C6EFCE" w:val="clear"/>
          </w:tcPr>
          <w:p>
            <w:r>
              <w:rPr>
                <w:sz w:val="17"/>
              </w:rPr>
              <w:t>2026-08-27</w:t>
            </w:r>
          </w:p>
        </w:tc>
        <w:tc>
          <w:tcPr>
            <w:tcW w:type="dxa" w:w="1440"/>
            <w:shd w:fill="C6EFCE" w:val="clear"/>
          </w:tcPr>
          <w:p>
            <w:r>
              <w:rPr>
                <w:sz w:val="17"/>
              </w:rPr>
              <w:t>49,276</w:t>
            </w:r>
          </w:p>
        </w:tc>
        <w:tc>
          <w:tcPr>
            <w:tcW w:type="dxa" w:w="1440"/>
            <w:shd w:fill="C6EFCE" w:val="clear"/>
          </w:tcPr>
          <w:p>
            <w:r>
              <w:rPr>
                <w:b/>
                <w:sz w:val="17"/>
              </w:rPr>
              <w:t>54,686</w:t>
            </w:r>
          </w:p>
        </w:tc>
        <w:tc>
          <w:tcPr>
            <w:tcW w:type="dxa" w:w="1440"/>
            <w:shd w:fill="C6EFCE" w:val="clear"/>
          </w:tcPr>
          <w:p>
            <w:r>
              <w:rPr>
                <w:sz w:val="17"/>
              </w:rPr>
              <w:t>60,097</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2026-08-28</w:t>
            </w:r>
          </w:p>
        </w:tc>
        <w:tc>
          <w:tcPr>
            <w:tcW w:type="dxa" w:w="1440"/>
            <w:shd w:fill="C6EFCE" w:val="clear"/>
          </w:tcPr>
          <w:p>
            <w:r>
              <w:rPr>
                <w:sz w:val="17"/>
              </w:rPr>
              <w:t>48,938</w:t>
            </w:r>
          </w:p>
        </w:tc>
        <w:tc>
          <w:tcPr>
            <w:tcW w:type="dxa" w:w="1440"/>
            <w:shd w:fill="C6EFCE" w:val="clear"/>
          </w:tcPr>
          <w:p>
            <w:r>
              <w:rPr>
                <w:b/>
                <w:sz w:val="17"/>
              </w:rPr>
              <w:t>55,250</w:t>
            </w:r>
          </w:p>
        </w:tc>
        <w:tc>
          <w:tcPr>
            <w:tcW w:type="dxa" w:w="1440"/>
            <w:shd w:fill="C6EFCE" w:val="clear"/>
          </w:tcPr>
          <w:p>
            <w:r>
              <w:rPr>
                <w:sz w:val="17"/>
              </w:rPr>
              <w:t>61,561</w:t>
            </w:r>
          </w:p>
        </w:tc>
        <w:tc>
          <w:tcPr>
            <w:tcW w:type="dxa" w:w="1440"/>
            <w:shd w:fill="C6EFCE" w:val="clear"/>
          </w:tcPr>
          <w:p>
            <w:r>
              <w:rPr>
                <w:b/>
                <w:color w:val="008000"/>
                <w:sz w:val="17"/>
              </w:rPr>
              <w:t>+5.8%</w:t>
            </w:r>
          </w:p>
        </w:tc>
      </w:tr>
      <w:tr>
        <w:tc>
          <w:tcPr>
            <w:tcW w:type="dxa" w:w="1440"/>
            <w:shd w:fill="C6EFCE" w:val="clear"/>
          </w:tcPr>
          <w:p>
            <w:r>
              <w:rPr>
                <w:sz w:val="17"/>
              </w:rPr>
              <w:t>J+4  ⭐</w:t>
            </w:r>
          </w:p>
        </w:tc>
        <w:tc>
          <w:tcPr>
            <w:tcW w:type="dxa" w:w="1440"/>
            <w:shd w:fill="C6EFCE" w:val="clear"/>
          </w:tcPr>
          <w:p>
            <w:r>
              <w:rPr>
                <w:sz w:val="17"/>
              </w:rPr>
              <w:t>2026-08-31</w:t>
            </w:r>
          </w:p>
        </w:tc>
        <w:tc>
          <w:tcPr>
            <w:tcW w:type="dxa" w:w="1440"/>
            <w:shd w:fill="C6EFCE" w:val="clear"/>
          </w:tcPr>
          <w:p>
            <w:r>
              <w:rPr>
                <w:sz w:val="17"/>
              </w:rPr>
              <w:t>48,715</w:t>
            </w:r>
          </w:p>
        </w:tc>
        <w:tc>
          <w:tcPr>
            <w:tcW w:type="dxa" w:w="1440"/>
            <w:shd w:fill="C6EFCE" w:val="clear"/>
          </w:tcPr>
          <w:p>
            <w:r>
              <w:rPr>
                <w:b/>
                <w:sz w:val="17"/>
              </w:rPr>
              <w:t>55,848</w:t>
            </w:r>
          </w:p>
        </w:tc>
        <w:tc>
          <w:tcPr>
            <w:tcW w:type="dxa" w:w="1440"/>
            <w:shd w:fill="C6EFCE" w:val="clear"/>
          </w:tcPr>
          <w:p>
            <w:r>
              <w:rPr>
                <w:sz w:val="17"/>
              </w:rPr>
              <w:t>62,982</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2026-09-01</w:t>
            </w:r>
          </w:p>
        </w:tc>
        <w:tc>
          <w:tcPr>
            <w:tcW w:type="dxa" w:w="1440"/>
            <w:shd w:fill="C6EFCE" w:val="clear"/>
          </w:tcPr>
          <w:p>
            <w:r>
              <w:rPr>
                <w:sz w:val="17"/>
              </w:rPr>
              <w:t>48,566</w:t>
            </w:r>
          </w:p>
        </w:tc>
        <w:tc>
          <w:tcPr>
            <w:tcW w:type="dxa" w:w="1440"/>
            <w:shd w:fill="C6EFCE" w:val="clear"/>
          </w:tcPr>
          <w:p>
            <w:r>
              <w:rPr>
                <w:b/>
                <w:sz w:val="17"/>
              </w:rPr>
              <w:t>56,466</w:t>
            </w:r>
          </w:p>
        </w:tc>
        <w:tc>
          <w:tcPr>
            <w:tcW w:type="dxa" w:w="1440"/>
            <w:shd w:fill="C6EFCE" w:val="clear"/>
          </w:tcPr>
          <w:p>
            <w:r>
              <w:rPr>
                <w:sz w:val="17"/>
              </w:rPr>
              <w:t>64,367</w:t>
            </w:r>
          </w:p>
        </w:tc>
        <w:tc>
          <w:tcPr>
            <w:tcW w:type="dxa" w:w="1440"/>
            <w:shd w:fill="C6EFCE" w:val="clear"/>
          </w:tcPr>
          <w:p>
            <w:r>
              <w:rPr>
                <w:b/>
                <w:color w:val="008000"/>
                <w:sz w:val="17"/>
              </w:rPr>
              <w:t>+8.2%</w:t>
            </w:r>
          </w:p>
        </w:tc>
      </w:tr>
      <w:tr>
        <w:tc>
          <w:tcPr>
            <w:tcW w:type="dxa" w:w="1440"/>
            <w:shd w:fill="C6EFCE" w:val="clear"/>
          </w:tcPr>
          <w:p>
            <w:r>
              <w:rPr>
                <w:sz w:val="17"/>
              </w:rPr>
              <w:t>J+6  ⭐</w:t>
            </w:r>
          </w:p>
        </w:tc>
        <w:tc>
          <w:tcPr>
            <w:tcW w:type="dxa" w:w="1440"/>
            <w:shd w:fill="C6EFCE" w:val="clear"/>
          </w:tcPr>
          <w:p>
            <w:r>
              <w:rPr>
                <w:sz w:val="17"/>
              </w:rPr>
              <w:t>2026-09-02</w:t>
            </w:r>
          </w:p>
        </w:tc>
        <w:tc>
          <w:tcPr>
            <w:tcW w:type="dxa" w:w="1440"/>
            <w:shd w:fill="C6EFCE" w:val="clear"/>
          </w:tcPr>
          <w:p>
            <w:r>
              <w:rPr>
                <w:sz w:val="17"/>
              </w:rPr>
              <w:t>48,467</w:t>
            </w:r>
          </w:p>
        </w:tc>
        <w:tc>
          <w:tcPr>
            <w:tcW w:type="dxa" w:w="1440"/>
            <w:shd w:fill="C6EFCE" w:val="clear"/>
          </w:tcPr>
          <w:p>
            <w:r>
              <w:rPr>
                <w:b/>
                <w:sz w:val="17"/>
              </w:rPr>
              <w:t>57,096</w:t>
            </w:r>
          </w:p>
        </w:tc>
        <w:tc>
          <w:tcPr>
            <w:tcW w:type="dxa" w:w="1440"/>
            <w:shd w:fill="C6EFCE" w:val="clear"/>
          </w:tcPr>
          <w:p>
            <w:r>
              <w:rPr>
                <w:sz w:val="17"/>
              </w:rPr>
              <w:t>65,725</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2026-09-03</w:t>
            </w:r>
          </w:p>
        </w:tc>
        <w:tc>
          <w:tcPr>
            <w:tcW w:type="dxa" w:w="1440"/>
            <w:shd w:fill="C6EFCE" w:val="clear"/>
          </w:tcPr>
          <w:p>
            <w:r>
              <w:rPr>
                <w:sz w:val="17"/>
              </w:rPr>
              <w:t>48,406</w:t>
            </w:r>
          </w:p>
        </w:tc>
        <w:tc>
          <w:tcPr>
            <w:tcW w:type="dxa" w:w="1440"/>
            <w:shd w:fill="C6EFCE" w:val="clear"/>
          </w:tcPr>
          <w:p>
            <w:r>
              <w:rPr>
                <w:b/>
                <w:sz w:val="17"/>
              </w:rPr>
              <w:t>57,734</w:t>
            </w:r>
          </w:p>
        </w:tc>
        <w:tc>
          <w:tcPr>
            <w:tcW w:type="dxa" w:w="1440"/>
            <w:shd w:fill="C6EFCE" w:val="clear"/>
          </w:tcPr>
          <w:p>
            <w:r>
              <w:rPr>
                <w:sz w:val="17"/>
              </w:rPr>
              <w:t>67,061</w:t>
            </w:r>
          </w:p>
        </w:tc>
        <w:tc>
          <w:tcPr>
            <w:tcW w:type="dxa" w:w="1440"/>
            <w:shd w:fill="C6EFCE" w:val="clear"/>
          </w:tcPr>
          <w:p>
            <w:r>
              <w:rPr>
                <w:b/>
                <w:color w:val="008000"/>
                <w:sz w:val="17"/>
              </w:rPr>
              <w:t>+10.6%</w:t>
            </w:r>
          </w:p>
        </w:tc>
      </w:tr>
      <w:tr>
        <w:tc>
          <w:tcPr>
            <w:tcW w:type="dxa" w:w="1440"/>
            <w:shd w:fill="C6EFCE" w:val="clear"/>
          </w:tcPr>
          <w:p>
            <w:r>
              <w:rPr>
                <w:sz w:val="17"/>
              </w:rPr>
              <w:t>J+8  ⭐</w:t>
            </w:r>
          </w:p>
        </w:tc>
        <w:tc>
          <w:tcPr>
            <w:tcW w:type="dxa" w:w="1440"/>
            <w:shd w:fill="C6EFCE" w:val="clear"/>
          </w:tcPr>
          <w:p>
            <w:r>
              <w:rPr>
                <w:sz w:val="17"/>
              </w:rPr>
              <w:t>2026-09-04</w:t>
            </w:r>
          </w:p>
        </w:tc>
        <w:tc>
          <w:tcPr>
            <w:tcW w:type="dxa" w:w="1440"/>
            <w:shd w:fill="C6EFCE" w:val="clear"/>
          </w:tcPr>
          <w:p>
            <w:r>
              <w:rPr>
                <w:sz w:val="17"/>
              </w:rPr>
              <w:t>48,374</w:t>
            </w:r>
          </w:p>
        </w:tc>
        <w:tc>
          <w:tcPr>
            <w:tcW w:type="dxa" w:w="1440"/>
            <w:shd w:fill="C6EFCE" w:val="clear"/>
          </w:tcPr>
          <w:p>
            <w:r>
              <w:rPr>
                <w:b/>
                <w:sz w:val="17"/>
              </w:rPr>
              <w:t>58,377</w:t>
            </w:r>
          </w:p>
        </w:tc>
        <w:tc>
          <w:tcPr>
            <w:tcW w:type="dxa" w:w="1440"/>
            <w:shd w:fill="C6EFCE" w:val="clear"/>
          </w:tcPr>
          <w:p>
            <w:r>
              <w:rPr>
                <w:sz w:val="17"/>
              </w:rPr>
              <w:t>68,381</w:t>
            </w:r>
          </w:p>
        </w:tc>
        <w:tc>
          <w:tcPr>
            <w:tcW w:type="dxa" w:w="1440"/>
            <w:shd w:fill="C6EFCE" w:val="clear"/>
          </w:tcPr>
          <w:p>
            <w:r>
              <w:rPr>
                <w:b/>
                <w:color w:val="008000"/>
                <w:sz w:val="17"/>
              </w:rPr>
              <w:t>+11.8%</w:t>
            </w:r>
          </w:p>
        </w:tc>
      </w:tr>
      <w:tr>
        <w:tc>
          <w:tcPr>
            <w:tcW w:type="dxa" w:w="1440"/>
            <w:shd w:fill="C6EFCE" w:val="clear"/>
          </w:tcPr>
          <w:p>
            <w:r>
              <w:rPr>
                <w:sz w:val="17"/>
              </w:rPr>
              <w:t>J+9  ⭐</w:t>
            </w:r>
          </w:p>
        </w:tc>
        <w:tc>
          <w:tcPr>
            <w:tcW w:type="dxa" w:w="1440"/>
            <w:shd w:fill="C6EFCE" w:val="clear"/>
          </w:tcPr>
          <w:p>
            <w:r>
              <w:rPr>
                <w:sz w:val="17"/>
              </w:rPr>
              <w:t>2026-09-07</w:t>
            </w:r>
          </w:p>
        </w:tc>
        <w:tc>
          <w:tcPr>
            <w:tcW w:type="dxa" w:w="1440"/>
            <w:shd w:fill="C6EFCE" w:val="clear"/>
          </w:tcPr>
          <w:p>
            <w:r>
              <w:rPr>
                <w:sz w:val="17"/>
              </w:rPr>
              <w:t>48,363</w:t>
            </w:r>
          </w:p>
        </w:tc>
        <w:tc>
          <w:tcPr>
            <w:tcW w:type="dxa" w:w="1440"/>
            <w:shd w:fill="C6EFCE" w:val="clear"/>
          </w:tcPr>
          <w:p>
            <w:r>
              <w:rPr>
                <w:b/>
                <w:sz w:val="17"/>
              </w:rPr>
              <w:t>59,025</w:t>
            </w:r>
          </w:p>
        </w:tc>
        <w:tc>
          <w:tcPr>
            <w:tcW w:type="dxa" w:w="1440"/>
            <w:shd w:fill="C6EFCE" w:val="clear"/>
          </w:tcPr>
          <w:p>
            <w:r>
              <w:rPr>
                <w:sz w:val="17"/>
              </w:rPr>
              <w:t>69,687</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**Date : 25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**479,37 milliards FCFA**, ce qui en fait une valeur de première ligne sur la BRVM, représentant un poids significatif dans l'indice composite. Les ratios de valorisation (BPA, PER, P/B, EV/EBITDA) ne sont pas calculables en raison de l'absence de données financières structurées dans la base de données. Cette absence s'explique par la situation financière particulière de la société, dont les capitaux propres ont été négatifs ces dernières années, rendant le calcul du P/B non pertinent. Toutefois, sur la base des bénéfices historiques (640 millions FCFA en 2023), le PER implicite serait extrêmement élevé (environ 750x), ce qui indiquerait une valorisation très généreuse par rapport aux bénéfices actuels. Le marché semble donc anticiper une forte amélioration de la rentabilité future pour justifier ce niveau de capitalisation.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**baisse de 2,70%**, avec une légère reprise de **+0,38%** lors de la dernière séance, clôturant à **52 200 FCFA**. Le titre a évolué dans une fourchette de **49 630 FCFA** (plus bas) à **69 005 FCFA** (plus haut), soit une amplitude de près de 39%, indiquant une volatilité importante. La moyenne du cours sur la période est de **56 643 FCFA**, supérieure à la médiane (**56 252 FCFA**), ce qui, combiné à un skewness positif de **0,500**, suggère une distribution asymétrique avec des journées plus fréquentes sous la moyenne mais quelques fortes hausses ponctuelles. L'écart-type de **3 612 FCFA** (CV=6,4%) indique une dispersion modérée autour de la moyenne. Le kurtosis de **0,596** (mésokurtique) suggère une distribution proche de la normale, sans risque extrême de pics. La **volatilité annualisée de 64%** est très élevée (bien au-dessus du seuil de 30%), reflétant un titre spéculatif et sensible aux annonces. La tendance générale est baissière, le cours ayant reculé depuis son plus haut, mais la stabilisation récente autour de 52 000 FCFA pourrait indiquer un plancher temporaire.</w:t>
      </w:r>
    </w:p>
    <w:p>
      <w:pPr>
        <w:spacing w:after="120" w:line="276" w:lineRule="auto"/>
      </w:pPr>
      <w:r>
        <w:t>---</w:t>
      </w:r>
    </w:p>
    <w:p>
      <w:pPr>
        <w:spacing w:after="120" w:line="276" w:lineRule="auto"/>
      </w:pPr>
      <w:r>
        <w:t>### PARTIE 2 : ANALYSE TECHNIQUE DÉTAILLÉE</w:t>
      </w:r>
    </w:p>
    <w:p>
      <w:pPr>
        <w:spacing w:after="120" w:line="276" w:lineRule="auto"/>
      </w:pPr>
      <w:r>
        <w:t>**Moyennes Mobiles** : La MM20 (53 992,5 FCFA) et la MM50 (54 531,4 FCFA) sont toutes deux supérieures au cours actuel (52 200 FCFA), confirmant une dynamique baissière à court et moyen terme. Le signal de **Vente** est cohérent avec cette configuration, le prix évoluant sous ses moyennes mobiles, ce qui indique une pression vendeuse persistante.</w:t>
      </w:r>
    </w:p>
    <w:p>
      <w:pPr>
        <w:spacing w:after="120" w:line="276" w:lineRule="auto"/>
      </w:pPr>
      <w:r>
        <w:t>**Bandes de Bollinger** : Le cours se situe dans la partie inférieure des bandes (borne inférieure à 49 302,59 FCFA, borne supérieure à 58 682,41 FCFA), proche de la borne basse. La décision **Neutre** s'explique par le fait que le prix n'a pas encore touché la borne inférieure, mais la proximité de celle-ci suggère un potentiel de rebond technique si le support tient.</w:t>
      </w:r>
    </w:p>
    <w:p>
      <w:pPr>
        <w:spacing w:after="120" w:line="276" w:lineRule="auto"/>
      </w:pPr>
      <w:r>
        <w:t>**MACD** : La valeur MACD (14,467) est très inférieure au signal (228,619), avec un écart négatif important. Cette configuration indique un momentum baissier fort, la ligne MACD étant passée sous la ligne de signal. La décision de **Vente** est justifiée par cette divergence négative qui suggère une poursuite de la tendance baissière à court terme.</w:t>
      </w:r>
    </w:p>
    <w:p>
      <w:pPr>
        <w:spacing w:after="120" w:line="276" w:lineRule="auto"/>
      </w:pPr>
      <w:r>
        <w:t>**RSI** : À **44,52**, le RSI se situe dans la zone neutre (30-70), indiquant un équilibre relatif entre pressions acheteuses et vendeuses. La décision **Neutre** est appropriée, le titre n'étant ni suracheté ni survendu. Cette valeur suggère une marge de manœuvre avant d'atteindre des niveaux extrêmes.</w:t>
      </w:r>
    </w:p>
    <w:p>
      <w:pPr>
        <w:spacing w:after="120" w:line="276" w:lineRule="auto"/>
      </w:pPr>
      <w:r>
        <w:t>**Stochastique** : Le %K (17,14) est inférieur au %D (24,76), mais les deux sont en zone de survente (&lt;20 pour %K). La décision **Achat** est justifiée par cette situation de survente, qui précède souvent un rebond technique. Le croisement potentiel du %K au-dessus du %D pourrait confirmer un signal d'achat à court terme.</w:t>
      </w:r>
    </w:p>
    <w:p>
      <w:pPr>
        <w:spacing w:after="120" w:line="276" w:lineRule="auto"/>
      </w:pPr>
      <w:r>
        <w:t>**Conclusion technique** : Les indicateurs sont mitigés, avec une prédominance de signaux de vente (MM, MACD) mais des signaux d'achat émergents (Stochastique en survente). La configuration suggère une stabilisation possible à court terme, mais la tendance de fond reste baissière. Un rebond technique est envisageable, mais il faudrait un franchissement des MM20/50 pour inverser la tendance.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narratifs fournissent des informations essentielles. Pour l'exercice **2023** (rapport daté du 31/12/2024), UNLC a réalisé un **chiffre d'affaires de 24,336 milliards FCFA**, stable par rapport à 2022, avec un **résultat net de 640 millions FCFA**, en forte amélioration par rapport à la perte de 6,9 milliards FCFA en 2022. La marge nette s'établit à **2,63%**, bien en dessous de la moyenne sectorielle (5-10%). Le résultat d'exploitation est passé de -6,258 milliards FCFA en 2022 à **+3,340 milliards FCFA en 2023**, grâce à une réduction des charges et une meilleure gestion des stocks. Cependant, les **capitaux propres restent négatifs à -10,658 milliards FCFA**, et les dettes financières s'élèvent à 4,379 milliards FCFA. Pour l'exercice **2022** (rapport du 31/12/2023), le CA était de 24,336 milliards FCFA avec une perte nette de 6,383 milliards FCFA (marge nette de -26,2%). En **2021** (rapport du 31/12/2022), le CA était identique à 24,336 milliards FCFA avec un bénéfice de 6,091 milliards FCFA (marge nette de 25%). L'évolution montre une **forte volatilité des résultats** : bénéfice en 2021, perte massive en 2022, retour à un bénéfice modeste en 2023. La société n'a versé aucun dividende depuis plusieurs années, privilégiant la reconstitution de ses capitaux propres. Les perspectives restent incertaines, avec un endettement élevé et une rentabilité fragile, mais l'amélioration opérationnelle de 2023 est un signal positif.</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UNLC. Sur le plan de la **valorisation**, l'absence de ratios calculables et le PER implicite extrêmement élevé suggèrent une surévaluation relative aux bénéfices actuels, bien que la capitalisation de 479 milliards FCFA reflète des anticipations de redressement. Le **comportement du cours** montre une tendance baissière sur 100 jours (-2,70%) avec une volatilité très élevée (64%), des statistiques indiquant une distribution relativement normale mais avec un biais négatif récent. Les **signaux techniques** sont mitigés : les moyennes mobiles et le MACD indiquent une tendance baissière, tandis que le stochastique en survente suggère un potentiel de rebond technique. Les **fondamentaux** montrent une amélioration en 2023 (retour au bénéfice) mais avec des capitaux propres toujours négatifs et une rentabilité fragile, bien en dessous des standards du secteur. Les **prédictions IA** pour les 10 prochains jours (54 205 à 56 466 FCFA) anticipent une hausse progressive, ce qui contredit la tendance baissière récente mais pourrait refléter un rebond technique. La convergence entre les signaux de survente technique et les prédictions IA suggère un potentiel de hausse à court terme, mais la prudence reste de mise. **Recommandation : CONSERVER** avec un niveau de confiance **Moyen** et un risque global **Élevé**. L'horizon d'investissement optimal serait le **moyen terme (3-12 mois)**, en attendant une confirmation du redressement fondamental et une stabilisation des capitaux propres. Une reprise durable de la rentabilité et une réduction de l'endettement seraient nécessaires pour envisager un passage à l'achat.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2,495 FCFA</w:t>
            </w:r>
          </w:p>
          <w:p>
            <w:r>
              <w:rPr>
                <w:b/>
                <w:color w:val="503200"/>
                <w:sz w:val="16"/>
              </w:rPr>
              <w:t xml:space="preserve">Var. 100 jours : </w:t>
            </w:r>
            <w:r>
              <w:rPr>
                <w:b/>
                <w:color w:val="007800"/>
                <w:sz w:val="17"/>
              </w:rPr>
              <w:t>+24.75%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μ=1,882 FCFA, σ=202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β=-0.1301 (Contre-cyclique) — Cov=-0.000004, Var(idx)=0.000034, ρ=-0.024,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2026-08-25</w:t>
            </w:r>
          </w:p>
        </w:tc>
        <w:tc>
          <w:tcPr>
            <w:tcW w:type="dxa" w:w="1440"/>
            <w:shd w:fill="FFDCE0" w:val="clear"/>
          </w:tcPr>
          <w:p>
            <w:r>
              <w:rPr>
                <w:sz w:val="17"/>
              </w:rPr>
              <w:t>2,277</w:t>
            </w:r>
          </w:p>
        </w:tc>
        <w:tc>
          <w:tcPr>
            <w:tcW w:type="dxa" w:w="1440"/>
            <w:shd w:fill="FFDCE0" w:val="clear"/>
          </w:tcPr>
          <w:p>
            <w:r>
              <w:rPr>
                <w:b/>
                <w:sz w:val="17"/>
              </w:rPr>
              <w:t>2,407</w:t>
            </w:r>
          </w:p>
        </w:tc>
        <w:tc>
          <w:tcPr>
            <w:tcW w:type="dxa" w:w="1440"/>
            <w:shd w:fill="FFDCE0" w:val="clear"/>
          </w:tcPr>
          <w:p>
            <w:r>
              <w:rPr>
                <w:sz w:val="17"/>
              </w:rPr>
              <w:t>2,538</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2026-08-27</w:t>
            </w:r>
          </w:p>
        </w:tc>
        <w:tc>
          <w:tcPr>
            <w:tcW w:type="dxa" w:w="1440"/>
            <w:shd w:fill="FFDCE0" w:val="clear"/>
          </w:tcPr>
          <w:p>
            <w:r>
              <w:rPr>
                <w:sz w:val="17"/>
              </w:rPr>
              <w:t>2,211</w:t>
            </w:r>
          </w:p>
        </w:tc>
        <w:tc>
          <w:tcPr>
            <w:tcW w:type="dxa" w:w="1440"/>
            <w:shd w:fill="FFDCE0" w:val="clear"/>
          </w:tcPr>
          <w:p>
            <w:r>
              <w:rPr>
                <w:b/>
                <w:sz w:val="17"/>
              </w:rPr>
              <w:t>2,395</w:t>
            </w:r>
          </w:p>
        </w:tc>
        <w:tc>
          <w:tcPr>
            <w:tcW w:type="dxa" w:w="1440"/>
            <w:shd w:fill="FFDCE0" w:val="clear"/>
          </w:tcPr>
          <w:p>
            <w:r>
              <w:rPr>
                <w:sz w:val="17"/>
              </w:rPr>
              <w:t>2,579</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2026-08-28</w:t>
            </w:r>
          </w:p>
        </w:tc>
        <w:tc>
          <w:tcPr>
            <w:tcW w:type="dxa" w:w="1440"/>
            <w:shd w:fill="FFDCE0" w:val="clear"/>
          </w:tcPr>
          <w:p>
            <w:r>
              <w:rPr>
                <w:sz w:val="17"/>
              </w:rPr>
              <w:t>2,154</w:t>
            </w:r>
          </w:p>
        </w:tc>
        <w:tc>
          <w:tcPr>
            <w:tcW w:type="dxa" w:w="1440"/>
            <w:shd w:fill="FFDCE0" w:val="clear"/>
          </w:tcPr>
          <w:p>
            <w:r>
              <w:rPr>
                <w:b/>
                <w:sz w:val="17"/>
              </w:rPr>
              <w:t>2,377</w:t>
            </w:r>
          </w:p>
        </w:tc>
        <w:tc>
          <w:tcPr>
            <w:tcW w:type="dxa" w:w="1440"/>
            <w:shd w:fill="FFDCE0" w:val="clear"/>
          </w:tcPr>
          <w:p>
            <w:r>
              <w:rPr>
                <w:sz w:val="17"/>
              </w:rPr>
              <w:t>2,600</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2026-08-31</w:t>
            </w:r>
          </w:p>
        </w:tc>
        <w:tc>
          <w:tcPr>
            <w:tcW w:type="dxa" w:w="1440"/>
            <w:shd w:fill="FFDCE0" w:val="clear"/>
          </w:tcPr>
          <w:p>
            <w:r>
              <w:rPr>
                <w:sz w:val="17"/>
              </w:rPr>
              <w:t>2,105</w:t>
            </w:r>
          </w:p>
        </w:tc>
        <w:tc>
          <w:tcPr>
            <w:tcW w:type="dxa" w:w="1440"/>
            <w:shd w:fill="FFDCE0" w:val="clear"/>
          </w:tcPr>
          <w:p>
            <w:r>
              <w:rPr>
                <w:b/>
                <w:sz w:val="17"/>
              </w:rPr>
              <w:t>2,361</w:t>
            </w:r>
          </w:p>
        </w:tc>
        <w:tc>
          <w:tcPr>
            <w:tcW w:type="dxa" w:w="1440"/>
            <w:shd w:fill="FFDCE0" w:val="clear"/>
          </w:tcPr>
          <w:p>
            <w:r>
              <w:rPr>
                <w:sz w:val="17"/>
              </w:rPr>
              <w:t>2,617</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2026-09-01</w:t>
            </w:r>
          </w:p>
        </w:tc>
        <w:tc>
          <w:tcPr>
            <w:tcW w:type="dxa" w:w="1440"/>
            <w:shd w:fill="FFDCE0" w:val="clear"/>
          </w:tcPr>
          <w:p>
            <w:r>
              <w:rPr>
                <w:sz w:val="17"/>
              </w:rPr>
              <w:t>2,062</w:t>
            </w:r>
          </w:p>
        </w:tc>
        <w:tc>
          <w:tcPr>
            <w:tcW w:type="dxa" w:w="1440"/>
            <w:shd w:fill="FFDCE0" w:val="clear"/>
          </w:tcPr>
          <w:p>
            <w:r>
              <w:rPr>
                <w:b/>
                <w:sz w:val="17"/>
              </w:rPr>
              <w:t>2,346</w:t>
            </w:r>
          </w:p>
        </w:tc>
        <w:tc>
          <w:tcPr>
            <w:tcW w:type="dxa" w:w="1440"/>
            <w:shd w:fill="FFDCE0" w:val="clear"/>
          </w:tcPr>
          <w:p>
            <w:r>
              <w:rPr>
                <w:sz w:val="17"/>
              </w:rPr>
              <w:t>2,631</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2026-09-02</w:t>
            </w:r>
          </w:p>
        </w:tc>
        <w:tc>
          <w:tcPr>
            <w:tcW w:type="dxa" w:w="1440"/>
            <w:shd w:fill="FFDCE0" w:val="clear"/>
          </w:tcPr>
          <w:p>
            <w:r>
              <w:rPr>
                <w:sz w:val="17"/>
              </w:rPr>
              <w:t>2,022</w:t>
            </w:r>
          </w:p>
        </w:tc>
        <w:tc>
          <w:tcPr>
            <w:tcW w:type="dxa" w:w="1440"/>
            <w:shd w:fill="FFDCE0" w:val="clear"/>
          </w:tcPr>
          <w:p>
            <w:r>
              <w:rPr>
                <w:b/>
                <w:sz w:val="17"/>
              </w:rPr>
              <w:t>2,332</w:t>
            </w:r>
          </w:p>
        </w:tc>
        <w:tc>
          <w:tcPr>
            <w:tcW w:type="dxa" w:w="1440"/>
            <w:shd w:fill="FFDCE0" w:val="clear"/>
          </w:tcPr>
          <w:p>
            <w:r>
              <w:rPr>
                <w:sz w:val="17"/>
              </w:rPr>
              <w:t>2,642</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2026-09-03</w:t>
            </w:r>
          </w:p>
        </w:tc>
        <w:tc>
          <w:tcPr>
            <w:tcW w:type="dxa" w:w="1440"/>
            <w:shd w:fill="FFDCE0" w:val="clear"/>
          </w:tcPr>
          <w:p>
            <w:r>
              <w:rPr>
                <w:sz w:val="17"/>
              </w:rPr>
              <w:t>1,985</w:t>
            </w:r>
          </w:p>
        </w:tc>
        <w:tc>
          <w:tcPr>
            <w:tcW w:type="dxa" w:w="1440"/>
            <w:shd w:fill="FFDCE0" w:val="clear"/>
          </w:tcPr>
          <w:p>
            <w:r>
              <w:rPr>
                <w:b/>
                <w:sz w:val="17"/>
              </w:rPr>
              <w:t>2,318</w:t>
            </w:r>
          </w:p>
        </w:tc>
        <w:tc>
          <w:tcPr>
            <w:tcW w:type="dxa" w:w="1440"/>
            <w:shd w:fill="FFDCE0" w:val="clear"/>
          </w:tcPr>
          <w:p>
            <w:r>
              <w:rPr>
                <w:sz w:val="17"/>
              </w:rPr>
              <w:t>2,650</w:t>
            </w:r>
          </w:p>
        </w:tc>
        <w:tc>
          <w:tcPr>
            <w:tcW w:type="dxa" w:w="1440"/>
            <w:shd w:fill="FFDCE0" w:val="clear"/>
          </w:tcPr>
          <w:p>
            <w:r>
              <w:rPr>
                <w:b/>
                <w:color w:val="C00000"/>
                <w:sz w:val="17"/>
              </w:rPr>
              <w:t>-7.1%</w:t>
            </w:r>
          </w:p>
        </w:tc>
      </w:tr>
      <w:tr>
        <w:tc>
          <w:tcPr>
            <w:tcW w:type="dxa" w:w="1440"/>
            <w:shd w:fill="FFDCE0" w:val="clear"/>
          </w:tcPr>
          <w:p>
            <w:r>
              <w:rPr>
                <w:sz w:val="17"/>
              </w:rPr>
              <w:t>J+8  ⭐</w:t>
            </w:r>
          </w:p>
        </w:tc>
        <w:tc>
          <w:tcPr>
            <w:tcW w:type="dxa" w:w="1440"/>
            <w:shd w:fill="FFDCE0" w:val="clear"/>
          </w:tcPr>
          <w:p>
            <w:r>
              <w:rPr>
                <w:sz w:val="17"/>
              </w:rPr>
              <w:t>2026-09-04</w:t>
            </w:r>
          </w:p>
        </w:tc>
        <w:tc>
          <w:tcPr>
            <w:tcW w:type="dxa" w:w="1440"/>
            <w:shd w:fill="FFDCE0" w:val="clear"/>
          </w:tcPr>
          <w:p>
            <w:r>
              <w:rPr>
                <w:sz w:val="17"/>
              </w:rPr>
              <w:t>1,951</w:t>
            </w:r>
          </w:p>
        </w:tc>
        <w:tc>
          <w:tcPr>
            <w:tcW w:type="dxa" w:w="1440"/>
            <w:shd w:fill="FFDCE0" w:val="clear"/>
          </w:tcPr>
          <w:p>
            <w:r>
              <w:rPr>
                <w:b/>
                <w:sz w:val="17"/>
              </w:rPr>
              <w:t>2,304</w:t>
            </w:r>
          </w:p>
        </w:tc>
        <w:tc>
          <w:tcPr>
            <w:tcW w:type="dxa" w:w="1440"/>
            <w:shd w:fill="FFDCE0" w:val="clear"/>
          </w:tcPr>
          <w:p>
            <w:r>
              <w:rPr>
                <w:sz w:val="17"/>
              </w:rPr>
              <w:t>2,658</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2026-09-07</w:t>
            </w:r>
          </w:p>
        </w:tc>
        <w:tc>
          <w:tcPr>
            <w:tcW w:type="dxa" w:w="1440"/>
            <w:shd w:fill="FFDCE0" w:val="clear"/>
          </w:tcPr>
          <w:p>
            <w:r>
              <w:rPr>
                <w:sz w:val="17"/>
              </w:rPr>
              <w:t>1,918</w:t>
            </w:r>
          </w:p>
        </w:tc>
        <w:tc>
          <w:tcPr>
            <w:tcW w:type="dxa" w:w="1440"/>
            <w:shd w:fill="FFDCE0" w:val="clear"/>
          </w:tcPr>
          <w:p>
            <w:r>
              <w:rPr>
                <w:b/>
                <w:sz w:val="17"/>
              </w:rPr>
              <w:t>2,291</w:t>
            </w:r>
          </w:p>
        </w:tc>
        <w:tc>
          <w:tcPr>
            <w:tcW w:type="dxa" w:w="1440"/>
            <w:shd w:fill="FFDCE0" w:val="clear"/>
          </w:tcPr>
          <w:p>
            <w:r>
              <w:rPr>
                <w:sz w:val="17"/>
              </w:rPr>
              <w:t>2,663</w:t>
            </w:r>
          </w:p>
        </w:tc>
        <w:tc>
          <w:tcPr>
            <w:tcW w:type="dxa" w:w="1440"/>
            <w:shd w:fill="FFDCE0" w:val="clear"/>
          </w:tcPr>
          <w:p>
            <w:r>
              <w:rPr>
                <w:b/>
                <w:color w:val="C00000"/>
                <w:sz w:val="17"/>
              </w:rPr>
              <w:t>-8.2%</w:t>
            </w:r>
          </w:p>
        </w:tc>
      </w:tr>
      <w:tr>
        <w:tc>
          <w:tcPr>
            <w:tcW w:type="dxa" w:w="1440"/>
            <w:shd w:fill="FFDCE0" w:val="clear"/>
          </w:tcPr>
          <w:p>
            <w:r>
              <w:rPr>
                <w:sz w:val="17"/>
              </w:rPr>
              <w:t>J+10  ⭐</w:t>
            </w:r>
          </w:p>
        </w:tc>
        <w:tc>
          <w:tcPr>
            <w:tcW w:type="dxa" w:w="1440"/>
            <w:shd w:fill="FFDCE0" w:val="clear"/>
          </w:tcPr>
          <w:p>
            <w:r>
              <w:rPr>
                <w:sz w:val="17"/>
              </w:rPr>
              <w:t>2026-09-08</w:t>
            </w:r>
          </w:p>
        </w:tc>
        <w:tc>
          <w:tcPr>
            <w:tcW w:type="dxa" w:w="1440"/>
            <w:shd w:fill="FFDCE0" w:val="clear"/>
          </w:tcPr>
          <w:p>
            <w:r>
              <w:rPr>
                <w:sz w:val="17"/>
              </w:rPr>
              <w:t>1,887</w:t>
            </w:r>
          </w:p>
        </w:tc>
        <w:tc>
          <w:tcPr>
            <w:tcW w:type="dxa" w:w="1440"/>
            <w:shd w:fill="FFDCE0" w:val="clear"/>
          </w:tcPr>
          <w:p>
            <w:r>
              <w:rPr>
                <w:b/>
                <w:sz w:val="17"/>
              </w:rPr>
              <w:t>2,277</w:t>
            </w:r>
          </w:p>
        </w:tc>
        <w:tc>
          <w:tcPr>
            <w:tcW w:type="dxa" w:w="1440"/>
            <w:shd w:fill="FFDCE0" w:val="clear"/>
          </w:tcPr>
          <w:p>
            <w:r>
              <w:rPr>
                <w:sz w:val="17"/>
              </w:rPr>
              <w:t>2,668</w:t>
            </w:r>
          </w:p>
        </w:tc>
        <w:tc>
          <w:tcPr>
            <w:tcW w:type="dxa" w:w="1440"/>
            <w:shd w:fill="FFDCE0" w:val="clear"/>
          </w:tcPr>
          <w:p>
            <w:r>
              <w:rPr>
                <w:b/>
                <w:color w:val="C00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51,77 milliards FCFA, un niveau qui la positionne comme une valeur de taille moyenne sur la BRVM, représentant un profil d'investissement notable mais non dominant dans l'indice. Le BPA est négatif à -105 FCFA, ce qui reflète la perte nette enregistrée sur l'exercice 2024 et explique un PER négatif de -23,7x. Ce ratio indique que le marché ne peut actuellement pas valoriser la société sur la base de ses bénéfices, les investisseurs payant pour une anticipation de redressement plutôt que pour des profits actuels. Le P/B de 3,32x est nettement supérieur à la moyenne historique du marché, signalant que le marché accorde une prime de croissance significative par rapport à la valeur comptable des actifs, malgré les pertes récurrentes. En l'absence de données sur l'EBITDA, le ratio EV/EBITDA ne peut être calculé, mais la combinaison d'un PER négatif et d'un P/B élevé suggère une valorisation spéculative, fondée sur des attentes de retour à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+24,75%, avec une dernière séance en hausse de +1,22%, clôturant à 2 495 FCFA, son plus haut niveau sur la période. Le cours a évolué dans une fourchette très large, allant d'un plus bas de 1 250 FCFA à ce plus haut de 2 495 FCFA, soit un doublement de valeur, illustrant une tendance haussière puissante et soutenue. Les statistiques descriptives révèlent une moyenne de 1 882 FCFA et une médiane de 1 900 FCFA, très proches, indiquant une distribution relativement symétrique des cours, confirmée par un skewness de -0,184. L'écart-type de 203 FCFA, avec un coefficient de variation de 10,8%, montre une dispersion modérée autour de la moyenne. Le kurtosis excédentaire de 3,156 signale une distribution leptokurtique, avec des queues épaisses, suggérant un risque de mouvements extrêmes et de pics de volatilité. La volatilité annualisée de 51,0% est très élevée, classant le titre dans la catégorie des valeurs à risque fort, ce qui est cohérent avec la forte amplitude des variations observées.</w:t>
      </w:r>
    </w:p>
    <w:p>
      <w:pPr>
        <w:spacing w:after="120" w:line="276" w:lineRule="auto" w:before="240"/>
      </w:pPr>
      <w:r>
        <w:rPr>
          <w:b/>
          <w:color w:val="003366"/>
          <w:sz w:val="24"/>
        </w:rPr>
        <w:t>**PARTIE 2 : ANALYSE TECHNIQUE DÉTAILLÉE**</w:t>
      </w:r>
    </w:p>
    <w:p>
      <w:pPr>
        <w:spacing w:after="120" w:line="276" w:lineRule="auto"/>
      </w:pPr>
      <w:r>
        <w:t>**Moyennes Mobiles** : La MM20 à 2 058,75 FCFA et la MM50 à 1 873,4 FCFA sont toutes deux largement inférieures au cours actuel de 2 495 FCFA, confirmant une tendance haussière robuste à court et moyen terme. La configuration haussière des moyennes mobiles, avec la MM20 au-dessus de la MM50, génère un signal d'achat clair, indiquant que la dynamique positive est solidement ancrée.</w:t>
      </w:r>
    </w:p>
    <w:p>
      <w:pPr>
        <w:spacing w:after="120" w:line="276" w:lineRule="auto"/>
      </w:pPr>
      <w:r>
        <w:t>**Bandes de Bollinger** : Le cours à 2 495 FCFA se situe très près de la borne supérieure à 2 509,34 FCFA, ce qui témoigne d'une pression acheteuse intense et d'une volatilité élevée. La largeur des bandes, entre 1 608 et 2 509 FCFA, reflète cette volatilité accrue. La décision est neutre, car le titre est en zone de surachat technique, mais la tendance reste résolument haussière.</w:t>
      </w:r>
    </w:p>
    <w:p>
      <w:pPr>
        <w:spacing w:after="120" w:line="276" w:lineRule="auto"/>
      </w:pPr>
      <w:r>
        <w:t>**MACD** : Le MACD à 168,16 est nettement au-dessus de son signal à 110,71, avec un histogramme positif et en expansion. Cette divergence positive confirme un momentum haussier fort et soutenu, justifiant la décision d'achat. La dynamique du MACD indique que la pression acheteuse reste dominante à moyen terme.</w:t>
      </w:r>
    </w:p>
    <w:p>
      <w:pPr>
        <w:spacing w:after="120" w:line="276" w:lineRule="auto"/>
      </w:pPr>
      <w:r>
        <w:t>**RSI** : Le RSI à 92,81 est extrêmement élevé, bien au-delà du seuil de surachat de 70, signalant une condition de surachat extrême. Cette valeur indique que le titre est survendu d'un point de vue technique et qu'un repli ou une consolidation est probable à court terme, d'où la décision de vente. Les investisseurs doivent être prudents face à cette suraccumulation.</w:t>
      </w:r>
    </w:p>
    <w:p>
      <w:pPr>
        <w:spacing w:after="120" w:line="276" w:lineRule="auto"/>
      </w:pPr>
      <w:r>
        <w:t>**Stochastique** : Le %K à 100,0 et le %D à 99,71 sont tous deux à des niveaux extrêmes de surachat, avec un %K au-dessus de %D, confirmant une force haussière exceptionnelle mais également une situation de surachat sévère. La décision de vente est justifiée par la probabilité élevée d'un retournement ou d'une consolidation à court terme.</w:t>
      </w:r>
    </w:p>
    <w:p>
      <w:pPr>
        <w:spacing w:after="120" w:line="276" w:lineRule="auto"/>
      </w:pPr>
      <w:r>
        <w:t>**Conclusion technique** : L'analyse technique révèle une tendance haussière extrêmement forte, confirmée par les moyennes mobiles et le MACD. Cependant, les oscillateurs (RSI et Stochastique) sont à des niveaux de surachat extrêmes, signalant un risque élevé de correction technique. La prudence est donc de mise, car le titre est en territoire dangereux à court terme, malgré une dynamique positive sous-jacente.</w:t>
      </w:r>
    </w:p>
    <w:p>
      <w:pPr>
        <w:spacing w:after="120" w:line="276" w:lineRule="auto" w:before="240"/>
      </w:pPr>
      <w:r>
        <w:rPr>
          <w:b/>
          <w:color w:val="003366"/>
          <w:sz w:val="24"/>
        </w:rPr>
        <w:t>**PARTIE 3 : ANALYSE FONDAMENTALE (SECTION CRITIQUE)**</w:t>
      </w:r>
    </w:p>
    <w:p>
      <w:pPr>
        <w:spacing w:after="120" w:line="276" w:lineRule="auto"/>
      </w:pPr>
      <w:r>
        <w:t>En 2024, les données structurées d'UNXC révèlent une situation financière difficile : le chiffre d'affaires s'établit à 27,333 milliards FCFA, en baisse de 7,93%, mais le résultat net est une perte de -2,189 milliards FCFA, avec une marge nette de -8,01%. Le ROE est négatif à -14,04% et le ROA à -6,39%, indiquant une destruction de valeur pour les actionnaires. Le BFR est positif à 2,149 milliards FCFA, ce qui est défavorable pour une entreprise, et les délais de paiement sont préoccupants : le délai client est de 51 jours, le délai fournisseur de 268 jours et la durée de stockage de 255 jours, immobilisant du capital. Cependant, les rapports trimestriels de 2025 montrent une amélioration significative : le S1 2025 affiche un CA de 15,711 milliards FCFA (+12,5%), mais le bénéfice net de 8,217 milliards FCFA est artificiel, dû à une cession-bail exceptionnelle de 9,994 milliards FCFA. Le résultat des activités ordinaires reste déficitaire à -330 millions FCFA. Le rapport du 3ème trimestre 2025 confirme cette tendance avec un CA cumulé de 22,474 milliards FCFA (+13%), mais un résultat opérationnel toujours négatif à -371 millions FCFA. Le rapport 2026 est plus encourageant : le S1 2026 montre un CA de 15,752 milliards FCFA (+0,3%) et, surtout, un résultat d'exploitation redevenu positif à 771 millions FCFA, contre une perte de 314 millions au S1 2025, avec un résultat net de 771 millions FCFA. On estime que l'exercice 2026 pourrait marquer un retour à l'équilibre opérationnel durable, mais la prudence reste de mise.</w:t>
      </w:r>
    </w:p>
    <w:p>
      <w:pPr>
        <w:spacing w:after="120" w:line="276" w:lineRule="auto" w:before="240"/>
      </w:pPr>
      <w:r>
        <w:rPr>
          <w:b/>
          <w:color w:val="003366"/>
          <w:sz w:val="24"/>
        </w:rPr>
        <w:t>**PARTIE 4 : CONCLUSION D'INVESTISSEMENT**</w:t>
      </w:r>
    </w:p>
    <w:p>
      <w:pPr>
        <w:spacing w:after="120" w:line="276" w:lineRule="auto"/>
      </w:pPr>
      <w:r>
        <w:t>La valorisation d'UNXC est problématique, avec un PER négatif et un P/B de 3,32x qui suggèrent une surévaluation relative, les investisseurs anticipant un redressement futur. Le comportement du cours est extrêmement haussier, avec une hausse de 24,75% sur 100 jours, mais la volatilité annualisée de 51% et le kurtosis élevé signalent un risque de mouvements brusques. Les signaux techniques sont mitigés : les moyennes mobiles et le MACD sont positifs, mais le RSI et le Stochastique en surachat extrême préviennent d'une correction imminente. Les fondamentaux montrent une amélioration progressive, avec un retour à l'équilibre opérationnel au S1 2026, mais la rentabilité reste fragile et dépendante de la maîtrise des coûts. Les prédictions IA pour les 10 prochains jours indiquent une baisse progressive de 2 407 à 2 346 FCFA, contredisant la tendance haussière récente et suggérant une consolidation. En synthèse, la convergence entre une valorisation élevée, des signaux techniques de surachat et des prédictions IA baissières conduit à une recommandation de **CONSERVER**, avec un niveau de confiance **Moyen** et un risque global **Élevé**. L'horizon d'investissement optimal serait à moyen terme (3-12 mois), en attendant la confirmation d'une rentabilité opérationnelle durable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