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09/09/2026 à 09:04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PALC  (score 78/100)</w:t>
      </w:r>
    </w:p>
    <w:p>
      <w:pPr>
        <w:spacing w:before="20" w:after="20"/>
        <w:ind w:left="360" w:right="360"/>
        <w:shd w:val="clear" w:color="auto" w:fill="EBF5FB"/>
      </w:pPr>
      <w:r>
        <w:rPr>
          <w:b/>
          <w:sz w:val="19"/>
        </w:rPr>
        <w:t xml:space="preserve">Secteur surperformant :  </w:t>
      </w:r>
      <w:r>
        <w:rPr>
          <w:color w:val="008000"/>
          <w:sz w:val="19"/>
        </w:rPr>
        <w:t>SERVICES PUBLICS  (+112.2%)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8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550.08 points </w:t>
      </w:r>
      <w:r>
        <w:rPr>
          <w:color w:val="C00000"/>
        </w:rPr>
        <w:t>(-0.53%)</w:t>
      </w:r>
      <w:r>
        <w:t xml:space="preserve"> sur la séance. </w:t>
      </w:r>
      <w:r>
        <w:t>La capitalisation globale du marché atteint 21 211,750 milliards FCFA.</w:t>
      </w:r>
    </w:p>
    <w:p/>
    <w:p>
      <w:pPr>
        <w:pStyle w:val="Heading3"/>
      </w:pPr>
      <w:r>
        <w:t>📊 Évolution de l'indice BRVM Composite (100 derniers jours)</w:t>
      </w:r>
    </w:p>
    <w:p>
      <w:r>
        <w:rPr>
          <w:b/>
        </w:rPr>
        <w:t xml:space="preserve">BRVM Composite — </w:t>
      </w:r>
      <w:r>
        <w:t xml:space="preserve">Sur les 100 derniers jours de cotation (2026-04-14 au 2026-09-08), l'indice BRVM Composite a évolué de </w:t>
      </w:r>
      <w:r>
        <w:rPr>
          <w:b/>
          <w:color w:val="008000"/>
        </w:rPr>
        <w:t>+36.77%</w:t>
      </w:r>
      <w:r>
        <w:t>, passant de 402.18 pts à 550.08 pts. Le plus haut atteint est 553.02 pts et le plus bas 397.33 pts. Sur l'ensemble de la période, la moyenne de l'indice s'établit à 457.16 pts, la médiane à 449.93 pts et le mode à 397.33 pts</w:t>
      </w:r>
      <w:r>
        <w:t xml:space="preserve"> (asymétrie positive — plus de jours sous la moyenne). </w:t>
      </w:r>
      <w:r>
        <w:t xml:space="preserve">L'écart-type de 43.93 pts (CV=9.6%) traduit une modérée dispersion des cotations. Le kurtosis de -0.82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+36.79%</w:t>
      </w:r>
      <w:r>
        <w:t xml:space="preserve"> sur la période, passant de 15 506,344 Mds FCFA à 21 211,750 Mds FCFA. Le pic de capitalisation observé est de 21 325,303 Mds FCFA et le plancher de 15 319,235 Mds FCFA. La moyenne de la capitalisation sur la période s'établit à 17 619,512 Mds FCFA, la médiane à 17 332,823 Mds FCFA et le mode à 15 319,235 Mds FCFA</w:t>
      </w:r>
      <w:r>
        <w:t xml:space="preserve"> (asymétrie positive). </w:t>
      </w:r>
      <w:r>
        <w:t>L'écart-type de 1 694,110 Mds FCFA (CV=9.6%) reflète une modérée variabilité de la valorisation du marché. Le kurtosis de -0.80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SOGC - SOGC - Société des caoutchoucs de Grand-Béréby</w:t>
      </w:r>
      <w:r>
        <w:t xml:space="preserve"> | Prix: 7700 FCFA | </w:t>
      </w:r>
      <w:r>
        <w:rPr>
          <w:b/>
          <w:color w:val="008000"/>
        </w:rPr>
        <w:t>ACHAT FORT</w:t>
      </w:r>
      <w:r>
        <w:t xml:space="preserve"> | Confiance: Faible | Risque: Faible</w:t>
      </w:r>
    </w:p>
    <w:p>
      <w:pPr>
        <w:pStyle w:val="ListNumber"/>
      </w:pPr>
      <w:r>
        <w:rPr>
          <w:b/>
        </w:rPr>
        <w:t>ABJC - ABJC - SERVAIR ABIDJAN CI</w:t>
      </w:r>
      <w:r>
        <w:t xml:space="preserve"> | Prix: 3995 FCFA | </w:t>
      </w:r>
      <w:r>
        <w:rPr>
          <w:b/>
          <w:color w:val="008000"/>
        </w:rPr>
        <w:t>ACHAT</w:t>
      </w:r>
      <w:r>
        <w:t xml:space="preserve"> | Confiance: Moyen | Risque: Moyen</w:t>
      </w:r>
    </w:p>
    <w:p>
      <w:pPr>
        <w:pStyle w:val="ListNumber"/>
      </w:pPr>
      <w:r>
        <w:rPr>
          <w:b/>
        </w:rPr>
        <w:t>BICB - BIIC BN - Banque internationale pour le commerce du benin</w:t>
      </w:r>
      <w:r>
        <w:t xml:space="preserve"> | Prix: 10450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33815 FCFA | </w:t>
      </w:r>
      <w:r>
        <w:rPr>
          <w:b/>
          <w:color w:val="008000"/>
        </w:rPr>
        <w:t>ACHAT</w:t>
      </w:r>
      <w:r>
        <w:t xml:space="preserve"> | Confiance: Faible | Risque: Moyen</w:t>
      </w:r>
    </w:p>
    <w:p>
      <w:pPr>
        <w:pStyle w:val="ListNumber"/>
      </w:pPr>
      <w:r>
        <w:rPr>
          <w:b/>
        </w:rPr>
        <w:t>BNBC - BNBC - BERNABE CI</w:t>
      </w:r>
      <w:r>
        <w:t xml:space="preserve"> | Prix: 2045 FCFA | </w:t>
      </w:r>
      <w:r>
        <w:rPr>
          <w:b/>
          <w:color w:val="008000"/>
        </w:rPr>
        <w:t>ACHAT</w:t>
      </w:r>
      <w:r>
        <w:t xml:space="preserve"> | Confiance: Élevée | Risque: Moyen</w:t>
      </w:r>
    </w:p>
    <w:p>
      <w:pPr>
        <w:pStyle w:val="ListNumber"/>
      </w:pPr>
      <w:r>
        <w:rPr>
          <w:b/>
        </w:rPr>
        <w:t>BOAB - BANK OF AFRICA BENIN</w:t>
      </w:r>
      <w:r>
        <w:t xml:space="preserve"> | Prix: 10280 FCFA | </w:t>
      </w:r>
      <w:r>
        <w:rPr>
          <w:b/>
          <w:color w:val="008000"/>
        </w:rPr>
        <w:t>ACHAT</w:t>
      </w:r>
      <w:r>
        <w:t xml:space="preserve"> | Confiance: Élevée | Risque: Moyen</w:t>
      </w:r>
    </w:p>
    <w:p>
      <w:pPr>
        <w:pStyle w:val="ListNumber"/>
      </w:pPr>
      <w:r>
        <w:rPr>
          <w:b/>
        </w:rPr>
        <w:t>BOABF - BANK OF AFRICA BURKINA FASO</w:t>
      </w:r>
      <w:r>
        <w:t xml:space="preserve"> | Prix: 8950 FCFA | </w:t>
      </w:r>
      <w:r>
        <w:rPr>
          <w:b/>
          <w:color w:val="008000"/>
        </w:rPr>
        <w:t>ACHAT</w:t>
      </w:r>
      <w:r>
        <w:t xml:space="preserve"> | Confiance: Moyen | Risque: Moyen</w:t>
      </w:r>
    </w:p>
    <w:p>
      <w:pPr>
        <w:pStyle w:val="ListNumber"/>
      </w:pPr>
      <w:r>
        <w:rPr>
          <w:b/>
        </w:rPr>
        <w:t>BOAC - BANK OF AFRICA COTE D'IVOIRE</w:t>
      </w:r>
      <w:r>
        <w:t xml:space="preserve"> | Prix: 12500 FCFA | </w:t>
      </w:r>
      <w:r>
        <w:rPr>
          <w:b/>
          <w:color w:val="008000"/>
        </w:rPr>
        <w:t>ACHAT</w:t>
      </w:r>
      <w:r>
        <w:t xml:space="preserve"> | Confiance: Élevée | Risque: Moyen</w:t>
      </w:r>
    </w:p>
    <w:p>
      <w:pPr>
        <w:pStyle w:val="ListNumber"/>
      </w:pPr>
      <w:r>
        <w:rPr>
          <w:b/>
        </w:rPr>
        <w:t>BOAM - BANK OF AFRICA MALI</w:t>
      </w:r>
      <w:r>
        <w:t xml:space="preserve"> | Prix: 6870 FCFA | </w:t>
      </w:r>
      <w:r>
        <w:rPr>
          <w:b/>
          <w:color w:val="008000"/>
        </w:rPr>
        <w:t>ACHAT</w:t>
      </w:r>
      <w:r>
        <w:t xml:space="preserve"> | Confiance: Moyen | Risque: Faible</w:t>
      </w:r>
    </w:p>
    <w:p>
      <w:pPr>
        <w:pStyle w:val="ListNumber"/>
      </w:pPr>
      <w:r>
        <w:rPr>
          <w:b/>
        </w:rPr>
        <w:t>BOAN - BANK OF AFRICA NIGER</w:t>
      </w:r>
      <w:r>
        <w:t xml:space="preserve"> | Prix: 5490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21905 FCFA | </w:t>
      </w:r>
      <w:r>
        <w:rPr>
          <w:b/>
          <w:color w:val="C00000"/>
        </w:rPr>
        <w:t>CONSERVER</w:t>
      </w:r>
      <w:r>
        <w:t xml:space="preserve"> | Confiance: Moyen | Risque: Faible</w:t>
      </w:r>
    </w:p>
    <w:p>
      <w:pPr>
        <w:pStyle w:val="ListNumber"/>
      </w:pPr>
      <w:r>
        <w:rPr>
          <w:b/>
        </w:rPr>
        <w:t>LNBB - LNBB - LOTERIE NATIONALE DU BENIN</w:t>
      </w:r>
      <w:r>
        <w:t xml:space="preserve"> | Prix: 4100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112.15%</w:t>
      </w:r>
      <w:r>
        <w:t xml:space="preserve">  |  </w:t>
      </w:r>
      <w:r>
        <w:rPr>
          <w:b/>
        </w:rPr>
        <w:t xml:space="preserve">vs BRVM Composite: </w:t>
      </w:r>
      <w:r>
        <w:rPr>
          <w:b/>
          <w:color w:val="008000"/>
        </w:rPr>
        <w:t>+75.38%  🟢 Surperformance</w:t>
      </w:r>
      <w:r>
        <w:br/>
      </w:r>
      <w:r>
        <w:rPr>
          <w:b/>
        </w:rPr>
        <w:t xml:space="preserve">Sentiment général: </w:t>
      </w:r>
      <w:r>
        <w:t xml:space="preserve">ACHAT  |  </w:t>
      </w:r>
      <w:r>
        <w:rPr>
          <w:b/>
        </w:rPr>
        <w:t xml:space="preserve">Risque moyen: </w:t>
      </w:r>
      <w:r>
        <w:t xml:space="preserve">Moyen  |  </w:t>
      </w:r>
      <w:r>
        <w:rPr>
          <w:b/>
        </w:rPr>
        <w:t xml:space="preserve">Prix moyen: </w:t>
      </w:r>
      <w:r>
        <w:t>10498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50.54%</w:t>
      </w:r>
      <w:r>
        <w:t xml:space="preserve">  |  </w:t>
      </w:r>
      <w:r>
        <w:rPr>
          <w:b/>
        </w:rPr>
        <w:t xml:space="preserve">vs BRVM Composite: </w:t>
      </w:r>
      <w:r>
        <w:rPr>
          <w:b/>
          <w:color w:val="008000"/>
        </w:rPr>
        <w:t>+13.76%  🟢 Surperformance</w:t>
      </w:r>
      <w:r>
        <w:br/>
      </w:r>
      <w:r>
        <w:rPr>
          <w:b/>
        </w:rPr>
        <w:t xml:space="preserve">Sentiment général: </w:t>
      </w:r>
      <w:r>
        <w:t xml:space="preserve">ACHAT  |  </w:t>
      </w:r>
      <w:r>
        <w:rPr>
          <w:b/>
        </w:rPr>
        <w:t xml:space="preserve">Risque moyen: </w:t>
      </w:r>
      <w:r>
        <w:t xml:space="preserve">Moyen  |  </w:t>
      </w:r>
      <w:r>
        <w:rPr>
          <w:b/>
        </w:rPr>
        <w:t xml:space="preserve">Prix moyen: </w:t>
      </w:r>
      <w:r>
        <w:t>14293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27.60%</w:t>
      </w:r>
      <w:r>
        <w:t xml:space="preserve">  |  </w:t>
      </w:r>
      <w:r>
        <w:rPr>
          <w:b/>
        </w:rPr>
        <w:t xml:space="preserve">vs BRVM Composite: </w:t>
      </w:r>
      <w:r>
        <w:rPr>
          <w:b/>
          <w:color w:val="C00000"/>
        </w:rPr>
        <w:t>-9.18%  🔴 Sous-performance</w:t>
      </w:r>
      <w:r>
        <w:br/>
      </w:r>
      <w:r>
        <w:rPr>
          <w:b/>
        </w:rPr>
        <w:t xml:space="preserve">Sentiment général: </w:t>
      </w:r>
      <w:r>
        <w:t xml:space="preserve">ACHAT  |  </w:t>
      </w:r>
      <w:r>
        <w:rPr>
          <w:b/>
        </w:rPr>
        <w:t xml:space="preserve">Risque moyen: </w:t>
      </w:r>
      <w:r>
        <w:t xml:space="preserve">Moyen  |  </w:t>
      </w:r>
      <w:r>
        <w:rPr>
          <w:b/>
        </w:rPr>
        <w:t xml:space="preserve">Prix moyen: </w:t>
      </w:r>
      <w:r>
        <w:t>6785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26.37%</w:t>
      </w:r>
      <w:r>
        <w:t xml:space="preserve">  |  </w:t>
      </w:r>
      <w:r>
        <w:rPr>
          <w:b/>
        </w:rPr>
        <w:t xml:space="preserve">vs BRVM Composite: </w:t>
      </w:r>
      <w:r>
        <w:rPr>
          <w:b/>
          <w:color w:val="C00000"/>
        </w:rPr>
        <w:t>-10.40%  🔴 Sous-performance</w:t>
      </w:r>
      <w:r>
        <w:br/>
      </w:r>
      <w:r>
        <w:rPr>
          <w:b/>
        </w:rPr>
        <w:t xml:space="preserve">Sentiment général: </w:t>
      </w:r>
      <w:r>
        <w:t xml:space="preserve">ACHAT  |  </w:t>
      </w:r>
      <w:r>
        <w:rPr>
          <w:b/>
        </w:rPr>
        <w:t xml:space="preserve">Risque moyen: </w:t>
      </w:r>
      <w:r>
        <w:t xml:space="preserve">Moyen  |  </w:t>
      </w:r>
      <w:r>
        <w:rPr>
          <w:b/>
        </w:rPr>
        <w:t xml:space="preserve">Prix moyen: </w:t>
      </w:r>
      <w:r>
        <w:t>21110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24.87%</w:t>
      </w:r>
      <w:r>
        <w:t xml:space="preserve">  |  </w:t>
      </w:r>
      <w:r>
        <w:rPr>
          <w:b/>
        </w:rPr>
        <w:t xml:space="preserve">vs BRVM Composite: </w:t>
      </w:r>
      <w:r>
        <w:rPr>
          <w:b/>
          <w:color w:val="C00000"/>
        </w:rPr>
        <w:t>-11.90%  🔴 Sous-performance</w:t>
      </w:r>
      <w:r>
        <w:br/>
      </w:r>
      <w:r>
        <w:rPr>
          <w:b/>
        </w:rPr>
        <w:t xml:space="preserve">Sentiment général: </w:t>
      </w:r>
      <w:r>
        <w:t xml:space="preserve">ACHAT  |  </w:t>
      </w:r>
      <w:r>
        <w:rPr>
          <w:b/>
        </w:rPr>
        <w:t xml:space="preserve">Risque moyen: </w:t>
      </w:r>
      <w:r>
        <w:t xml:space="preserve">Faible  |  </w:t>
      </w:r>
      <w:r>
        <w:rPr>
          <w:b/>
        </w:rPr>
        <w:t xml:space="preserve">Prix moyen: </w:t>
      </w:r>
      <w:r>
        <w:t>18264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24.82%</w:t>
      </w:r>
      <w:r>
        <w:t xml:space="preserve">  |  </w:t>
      </w:r>
      <w:r>
        <w:rPr>
          <w:b/>
        </w:rPr>
        <w:t xml:space="preserve">vs BRVM Composite: </w:t>
      </w:r>
      <w:r>
        <w:rPr>
          <w:b/>
          <w:color w:val="C00000"/>
        </w:rPr>
        <w:t>-11.95%  🔴 Sous-performance</w:t>
      </w:r>
      <w:r>
        <w:br/>
      </w:r>
      <w:r>
        <w:rPr>
          <w:b/>
        </w:rPr>
        <w:t xml:space="preserve">Sentiment général: </w:t>
      </w:r>
      <w:r>
        <w:t xml:space="preserve">ACHAT  |  </w:t>
      </w:r>
      <w:r>
        <w:rPr>
          <w:b/>
        </w:rPr>
        <w:t xml:space="preserve">Risque moyen: </w:t>
      </w:r>
      <w:r>
        <w:t xml:space="preserve">Moyen  |  </w:t>
      </w:r>
      <w:r>
        <w:rPr>
          <w:b/>
        </w:rPr>
        <w:t xml:space="preserve">Prix moyen: </w:t>
      </w:r>
      <w:r>
        <w:t>3077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-4.13%</w:t>
      </w:r>
      <w:r>
        <w:t xml:space="preserve">  |  </w:t>
      </w:r>
      <w:r>
        <w:rPr>
          <w:b/>
        </w:rPr>
        <w:t xml:space="preserve">vs BRVM Composite: </w:t>
      </w:r>
      <w:r>
        <w:rPr>
          <w:b/>
          <w:color w:val="C00000"/>
        </w:rPr>
        <w:t>-40.90%  🔴 Sous-performance</w:t>
      </w:r>
      <w:r>
        <w:br/>
      </w:r>
      <w:r>
        <w:rPr>
          <w:b/>
        </w:rPr>
        <w:t xml:space="preserve">Sentiment général: </w:t>
      </w:r>
      <w:r>
        <w:t xml:space="preserve">ACHAT  |  </w:t>
      </w:r>
      <w:r>
        <w:rPr>
          <w:b/>
        </w:rPr>
        <w:t xml:space="preserve">Risque moyen: </w:t>
      </w:r>
      <w:r>
        <w:t xml:space="preserve">Moyen  |  </w:t>
      </w:r>
      <w:r>
        <w:rPr>
          <w:b/>
        </w:rPr>
        <w:t xml:space="preserve">Prix moyen: </w:t>
      </w:r>
      <w:r>
        <w:t>2502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BOAB, BOAC, CABC, CFAC, CIEC, ECOC, ETIT, FTSC, NTLC, PALC, SAFC, SGBC, SICC, SPHC, STAC, TTLC, UNLC,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BOABF, BOAM, BOAN, CBIBF, NEIC, NSBC, ONTBF, ORAC, SCRC, SDCC, SDSC, SEMC, SIBC, SIVC, SLBC, SMBC, SNTS, TTLS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BICC, BOAS, ORGT, PRSC, SHEC, SOGC</w:t>
            </w:r>
          </w:p>
        </w:tc>
        <w:tc>
          <w:tcPr>
            <w:tcW w:type="dxa" w:w="2160"/>
            <w:shd w:fill="FFC7CE" w:val="clear"/>
          </w:tcPr>
          <w:p>
            <w:pPr>
              <w:spacing w:before="40" w:after="40"/>
            </w:pPr>
            <w:r/>
            <w:r>
              <w:rPr>
                <w:b w:val="0"/>
                <w:sz w:val="16"/>
              </w:rPr>
              <w:t>LNBB, 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1457758</w:t>
            </w:r>
          </w:p>
        </w:tc>
        <w:tc>
          <w:tcPr>
            <w:tcW w:type="dxa" w:w="1728"/>
          </w:tcPr>
          <w:p>
            <w:r>
              <w:t>97212690 FCFA</w:t>
            </w:r>
          </w:p>
        </w:tc>
        <w:tc>
          <w:tcPr>
            <w:tcW w:type="dxa" w:w="1728"/>
          </w:tcPr>
          <w:p>
            <w:r>
              <w:t>118.75%</w:t>
            </w:r>
          </w:p>
        </w:tc>
        <w:tc>
          <w:tcPr>
            <w:tcW w:type="dxa" w:w="1728"/>
          </w:tcPr>
          <w:p>
            <w:r>
              <w:t>ACHAT</w:t>
            </w:r>
          </w:p>
        </w:tc>
      </w:tr>
      <w:tr>
        <w:tc>
          <w:tcPr>
            <w:tcW w:type="dxa" w:w="1728"/>
          </w:tcPr>
          <w:p>
            <w:r>
              <w:t>BICB (BIIC BN - Banque internationale pour le commerce du benin)</w:t>
            </w:r>
          </w:p>
        </w:tc>
        <w:tc>
          <w:tcPr>
            <w:tcW w:type="dxa" w:w="1728"/>
          </w:tcPr>
          <w:p>
            <w:r>
              <w:t>19732</w:t>
            </w:r>
          </w:p>
        </w:tc>
        <w:tc>
          <w:tcPr>
            <w:tcW w:type="dxa" w:w="1728"/>
          </w:tcPr>
          <w:p>
            <w:r>
              <w:t>166285712 FCFA</w:t>
            </w:r>
          </w:p>
        </w:tc>
        <w:tc>
          <w:tcPr>
            <w:tcW w:type="dxa" w:w="1728"/>
          </w:tcPr>
          <w:p>
            <w:r>
              <w:t>103.51%</w:t>
            </w:r>
          </w:p>
        </w:tc>
        <w:tc>
          <w:tcPr>
            <w:tcW w:type="dxa" w:w="1728"/>
          </w:tcPr>
          <w:p>
            <w:r>
              <w:t>ACHAT</w:t>
            </w:r>
          </w:p>
        </w:tc>
      </w:tr>
      <w:tr>
        <w:tc>
          <w:tcPr>
            <w:tcW w:type="dxa" w:w="1728"/>
          </w:tcPr>
          <w:p>
            <w:r>
              <w:t>SDSC (SDSC - AFRICA GLOBAL LOGISTICS CI)</w:t>
            </w:r>
          </w:p>
        </w:tc>
        <w:tc>
          <w:tcPr>
            <w:tcW w:type="dxa" w:w="1728"/>
          </w:tcPr>
          <w:p>
            <w:r>
              <w:t>18527</w:t>
            </w:r>
          </w:p>
        </w:tc>
        <w:tc>
          <w:tcPr>
            <w:tcW w:type="dxa" w:w="1728"/>
          </w:tcPr>
          <w:p>
            <w:r>
              <w:t>51191660 FCFA</w:t>
            </w:r>
          </w:p>
        </w:tc>
        <w:tc>
          <w:tcPr>
            <w:tcW w:type="dxa" w:w="1728"/>
          </w:tcPr>
          <w:p>
            <w:r>
              <w:t>63.49%</w:t>
            </w:r>
          </w:p>
        </w:tc>
        <w:tc>
          <w:tcPr>
            <w:tcW w:type="dxa" w:w="1728"/>
          </w:tcPr>
          <w:p>
            <w:r>
              <w:t>ACHAT</w:t>
            </w:r>
          </w:p>
        </w:tc>
      </w:tr>
      <w:tr>
        <w:tc>
          <w:tcPr>
            <w:tcW w:type="dxa" w:w="1728"/>
          </w:tcPr>
          <w:p>
            <w:r>
              <w:t>SIBC (SIBC - SOCIETE IVOIRIENNE DE BANQUE)</w:t>
            </w:r>
          </w:p>
        </w:tc>
        <w:tc>
          <w:tcPr>
            <w:tcW w:type="dxa" w:w="1728"/>
          </w:tcPr>
          <w:p>
            <w:r>
              <w:t>15453</w:t>
            </w:r>
          </w:p>
        </w:tc>
        <w:tc>
          <w:tcPr>
            <w:tcW w:type="dxa" w:w="1728"/>
          </w:tcPr>
          <w:p>
            <w:r>
              <w:t>141228006 FCFA</w:t>
            </w:r>
          </w:p>
        </w:tc>
        <w:tc>
          <w:tcPr>
            <w:tcW w:type="dxa" w:w="1728"/>
          </w:tcPr>
          <w:p>
            <w:r>
              <w:t>31.43%</w:t>
            </w:r>
          </w:p>
        </w:tc>
        <w:tc>
          <w:tcPr>
            <w:tcW w:type="dxa" w:w="1728"/>
          </w:tcPr>
          <w:p>
            <w:r>
              <w:t>ACHAT</w:t>
            </w:r>
          </w:p>
        </w:tc>
      </w:tr>
      <w:tr>
        <w:tc>
          <w:tcPr>
            <w:tcW w:type="dxa" w:w="1728"/>
          </w:tcPr>
          <w:p>
            <w:r>
              <w:t>UNXC (UNXC - UNIWAX COTE D'IVOIRE)</w:t>
            </w:r>
          </w:p>
        </w:tc>
        <w:tc>
          <w:tcPr>
            <w:tcW w:type="dxa" w:w="1728"/>
          </w:tcPr>
          <w:p>
            <w:r>
              <w:t>15430</w:t>
            </w:r>
          </w:p>
        </w:tc>
        <w:tc>
          <w:tcPr>
            <w:tcW w:type="dxa" w:w="1728"/>
          </w:tcPr>
          <w:p>
            <w:r>
              <w:t>35548760 FCFA</w:t>
            </w:r>
          </w:p>
        </w:tc>
        <w:tc>
          <w:tcPr>
            <w:tcW w:type="dxa" w:w="1728"/>
          </w:tcPr>
          <w:p>
            <w:r>
              <w:t>19.69%</w:t>
            </w:r>
          </w:p>
        </w:tc>
        <w:tc>
          <w:tcPr>
            <w:tcW w:type="dxa" w:w="1728"/>
          </w:tcPr>
          <w:p>
            <w:r>
              <w:t>ACHAT</w:t>
            </w:r>
          </w:p>
        </w:tc>
      </w:tr>
      <w:tr>
        <w:tc>
          <w:tcPr>
            <w:tcW w:type="dxa" w:w="1728"/>
          </w:tcPr>
          <w:p>
            <w:r>
              <w:t>BOAS (BANK OF AFRICA SENEGAL)</w:t>
            </w:r>
          </w:p>
        </w:tc>
        <w:tc>
          <w:tcPr>
            <w:tcW w:type="dxa" w:w="1728"/>
          </w:tcPr>
          <w:p>
            <w:r>
              <w:t>14898</w:t>
            </w:r>
          </w:p>
        </w:tc>
        <w:tc>
          <w:tcPr>
            <w:tcW w:type="dxa" w:w="1728"/>
          </w:tcPr>
          <w:p>
            <w:r>
              <w:t>119252612 FCFA</w:t>
            </w:r>
          </w:p>
        </w:tc>
        <w:tc>
          <w:tcPr>
            <w:tcW w:type="dxa" w:w="1728"/>
          </w:tcPr>
          <w:p>
            <w:r>
              <w:t>22.59%</w:t>
            </w:r>
          </w:p>
        </w:tc>
        <w:tc>
          <w:tcPr>
            <w:tcW w:type="dxa" w:w="1728"/>
          </w:tcPr>
          <w:p>
            <w:r>
              <w:t>ACHAT</w:t>
            </w:r>
          </w:p>
        </w:tc>
      </w:tr>
      <w:tr>
        <w:tc>
          <w:tcPr>
            <w:tcW w:type="dxa" w:w="1728"/>
          </w:tcPr>
          <w:p>
            <w:r>
              <w:t>SOGC (SOGC - Société des caoutchoucs de Grand-Béréby)</w:t>
            </w:r>
          </w:p>
        </w:tc>
        <w:tc>
          <w:tcPr>
            <w:tcW w:type="dxa" w:w="1728"/>
          </w:tcPr>
          <w:p>
            <w:r>
              <w:t>11496</w:t>
            </w:r>
          </w:p>
        </w:tc>
        <w:tc>
          <w:tcPr>
            <w:tcW w:type="dxa" w:w="1728"/>
          </w:tcPr>
          <w:p>
            <w:r>
              <w:t>87614035 FCFA</w:t>
            </w:r>
          </w:p>
        </w:tc>
        <w:tc>
          <w:tcPr>
            <w:tcW w:type="dxa" w:w="1728"/>
          </w:tcPr>
          <w:p>
            <w:r>
              <w:t>-1.91%</w:t>
            </w:r>
          </w:p>
        </w:tc>
        <w:tc>
          <w:tcPr>
            <w:tcW w:type="dxa" w:w="1728"/>
          </w:tcPr>
          <w:p>
            <w:r>
              <w:t>ACHAT FORT</w:t>
            </w:r>
          </w:p>
        </w:tc>
      </w:tr>
      <w:tr>
        <w:tc>
          <w:tcPr>
            <w:tcW w:type="dxa" w:w="1728"/>
          </w:tcPr>
          <w:p>
            <w:r>
              <w:t>SNTS (SNTS - SONATEL SN)</w:t>
            </w:r>
          </w:p>
        </w:tc>
        <w:tc>
          <w:tcPr>
            <w:tcW w:type="dxa" w:w="1728"/>
          </w:tcPr>
          <w:p>
            <w:r>
              <w:t>11461</w:t>
            </w:r>
          </w:p>
        </w:tc>
        <w:tc>
          <w:tcPr>
            <w:tcW w:type="dxa" w:w="1728"/>
          </w:tcPr>
          <w:p>
            <w:r>
              <w:t>403115926 FCFA</w:t>
            </w:r>
          </w:p>
        </w:tc>
        <w:tc>
          <w:tcPr>
            <w:tcW w:type="dxa" w:w="1728"/>
          </w:tcPr>
          <w:p>
            <w:r>
              <w:t>40.00%</w:t>
            </w:r>
          </w:p>
        </w:tc>
        <w:tc>
          <w:tcPr>
            <w:tcW w:type="dxa" w:w="1728"/>
          </w:tcPr>
          <w:p>
            <w:r>
              <w:t>ACHAT</w:t>
            </w:r>
          </w:p>
        </w:tc>
      </w:tr>
      <w:tr>
        <w:tc>
          <w:tcPr>
            <w:tcW w:type="dxa" w:w="1728"/>
          </w:tcPr>
          <w:p>
            <w:r>
              <w:t>BOAC (BANK OF AFRICA COTE D'IVOIRE)</w:t>
            </w:r>
          </w:p>
        </w:tc>
        <w:tc>
          <w:tcPr>
            <w:tcW w:type="dxa" w:w="1728"/>
          </w:tcPr>
          <w:p>
            <w:r>
              <w:t>10817</w:t>
            </w:r>
          </w:p>
        </w:tc>
        <w:tc>
          <w:tcPr>
            <w:tcW w:type="dxa" w:w="1728"/>
          </w:tcPr>
          <w:p>
            <w:r>
              <w:t>136808644 FCFA</w:t>
            </w:r>
          </w:p>
        </w:tc>
        <w:tc>
          <w:tcPr>
            <w:tcW w:type="dxa" w:w="1728"/>
          </w:tcPr>
          <w:p>
            <w:r>
              <w:t>47.06%</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3965</w:t>
            </w:r>
          </w:p>
        </w:tc>
        <w:tc>
          <w:tcPr>
            <w:tcW w:type="dxa" w:w="1728"/>
          </w:tcPr>
          <w:p>
            <w:r>
              <w:t>12611848 FCFA</w:t>
            </w:r>
          </w:p>
        </w:tc>
        <w:tc>
          <w:tcPr>
            <w:tcW w:type="dxa" w:w="1728"/>
          </w:tcPr>
          <w:p>
            <w:r>
              <w:t>-1.16%</w:t>
            </w:r>
          </w:p>
        </w:tc>
        <w:tc>
          <w:tcPr>
            <w:tcW w:type="dxa" w:w="1728"/>
          </w:tcPr>
          <w:p>
            <w:r>
              <w:t>ACHAT</w:t>
            </w:r>
          </w:p>
        </w:tc>
      </w:tr>
      <w:tr>
        <w:tc>
          <w:tcPr>
            <w:tcW w:type="dxa" w:w="1728"/>
          </w:tcPr>
          <w:p>
            <w:r>
              <w:t>ABJC (ABJC - SERVAIR ABIDJAN CI)</w:t>
            </w:r>
          </w:p>
        </w:tc>
        <w:tc>
          <w:tcPr>
            <w:tcW w:type="dxa" w:w="1728"/>
          </w:tcPr>
          <w:p>
            <w:r>
              <w:t>3849</w:t>
            </w:r>
          </w:p>
        </w:tc>
        <w:tc>
          <w:tcPr>
            <w:tcW w:type="dxa" w:w="1728"/>
          </w:tcPr>
          <w:p>
            <w:r>
              <w:t>13809217 FCFA</w:t>
            </w:r>
          </w:p>
        </w:tc>
        <w:tc>
          <w:tcPr>
            <w:tcW w:type="dxa" w:w="1728"/>
          </w:tcPr>
          <w:p>
            <w:r>
              <w:t>16.47%</w:t>
            </w:r>
          </w:p>
        </w:tc>
        <w:tc>
          <w:tcPr>
            <w:tcW w:type="dxa" w:w="1728"/>
          </w:tcPr>
          <w:p>
            <w:r>
              <w:t>ACHAT</w:t>
            </w:r>
          </w:p>
        </w:tc>
      </w:tr>
      <w:tr>
        <w:tc>
          <w:tcPr>
            <w:tcW w:type="dxa" w:w="1728"/>
          </w:tcPr>
          <w:p>
            <w:r>
              <w:t>STBC (STBC - SITAB COTE D'IVOIRE)</w:t>
            </w:r>
          </w:p>
        </w:tc>
        <w:tc>
          <w:tcPr>
            <w:tcW w:type="dxa" w:w="1728"/>
          </w:tcPr>
          <w:p>
            <w:r>
              <w:t>3824</w:t>
            </w:r>
          </w:p>
        </w:tc>
        <w:tc>
          <w:tcPr>
            <w:tcW w:type="dxa" w:w="1728"/>
          </w:tcPr>
          <w:p>
            <w:r>
              <w:t>87311107 FCFA</w:t>
            </w:r>
          </w:p>
        </w:tc>
        <w:tc>
          <w:tcPr>
            <w:tcW w:type="dxa" w:w="1728"/>
          </w:tcPr>
          <w:p>
            <w:r>
              <w:t>4.06%</w:t>
            </w:r>
          </w:p>
        </w:tc>
        <w:tc>
          <w:tcPr>
            <w:tcW w:type="dxa" w:w="1728"/>
          </w:tcPr>
          <w:p>
            <w:r>
              <w:t>CONSERVER</w:t>
            </w:r>
          </w:p>
        </w:tc>
      </w:tr>
      <w:tr>
        <w:tc>
          <w:tcPr>
            <w:tcW w:type="dxa" w:w="1728"/>
          </w:tcPr>
          <w:p>
            <w:r>
              <w:t>CFAC (CFAC - CFAO MOTORS CI)</w:t>
            </w:r>
          </w:p>
        </w:tc>
        <w:tc>
          <w:tcPr>
            <w:tcW w:type="dxa" w:w="1728"/>
          </w:tcPr>
          <w:p>
            <w:r>
              <w:t>3598</w:t>
            </w:r>
          </w:p>
        </w:tc>
        <w:tc>
          <w:tcPr>
            <w:tcW w:type="dxa" w:w="1728"/>
          </w:tcPr>
          <w:p>
            <w:r>
              <w:t>6122333 FCFA</w:t>
            </w:r>
          </w:p>
        </w:tc>
        <w:tc>
          <w:tcPr>
            <w:tcW w:type="dxa" w:w="1728"/>
          </w:tcPr>
          <w:p>
            <w:r>
              <w:t>7.81%</w:t>
            </w:r>
          </w:p>
        </w:tc>
        <w:tc>
          <w:tcPr>
            <w:tcW w:type="dxa" w:w="1728"/>
          </w:tcPr>
          <w:p>
            <w:r>
              <w:t>ACHAT</w:t>
            </w:r>
          </w:p>
        </w:tc>
      </w:tr>
      <w:tr>
        <w:tc>
          <w:tcPr>
            <w:tcW w:type="dxa" w:w="1728"/>
          </w:tcPr>
          <w:p>
            <w:r>
              <w:t>FTSC (FTSC - FILTISAC COTE D'IVOIRE)</w:t>
            </w:r>
          </w:p>
        </w:tc>
        <w:tc>
          <w:tcPr>
            <w:tcW w:type="dxa" w:w="1728"/>
          </w:tcPr>
          <w:p>
            <w:r>
              <w:t>3426</w:t>
            </w:r>
          </w:p>
        </w:tc>
        <w:tc>
          <w:tcPr>
            <w:tcW w:type="dxa" w:w="1728"/>
          </w:tcPr>
          <w:p>
            <w:r>
              <w:t>7381503 FCFA</w:t>
            </w:r>
          </w:p>
        </w:tc>
        <w:tc>
          <w:tcPr>
            <w:tcW w:type="dxa" w:w="1728"/>
          </w:tcPr>
          <w:p>
            <w:r>
              <w:t>-5.41%</w:t>
            </w:r>
          </w:p>
        </w:tc>
        <w:tc>
          <w:tcPr>
            <w:tcW w:type="dxa" w:w="1728"/>
          </w:tcPr>
          <w:p>
            <w:r>
              <w:t>ACHAT</w:t>
            </w:r>
          </w:p>
        </w:tc>
      </w:tr>
      <w:tr>
        <w:tc>
          <w:tcPr>
            <w:tcW w:type="dxa" w:w="1728"/>
          </w:tcPr>
          <w:p>
            <w:r>
              <w:t>PALC (PALC - PALM COTE D'IVOIRE)</w:t>
            </w:r>
          </w:p>
        </w:tc>
        <w:tc>
          <w:tcPr>
            <w:tcW w:type="dxa" w:w="1728"/>
          </w:tcPr>
          <w:p>
            <w:r>
              <w:t>3069</w:t>
            </w:r>
          </w:p>
        </w:tc>
        <w:tc>
          <w:tcPr>
            <w:tcW w:type="dxa" w:w="1728"/>
          </w:tcPr>
          <w:p>
            <w:r>
              <w:t>27952810 FCFA</w:t>
            </w:r>
          </w:p>
        </w:tc>
        <w:tc>
          <w:tcPr>
            <w:tcW w:type="dxa" w:w="1728"/>
          </w:tcPr>
          <w:p>
            <w:r>
              <w:t>2.41%</w:t>
            </w:r>
          </w:p>
        </w:tc>
        <w:tc>
          <w:tcPr>
            <w:tcW w:type="dxa" w:w="1728"/>
          </w:tcPr>
          <w:p>
            <w:r>
              <w:t>ACHAT</w:t>
            </w:r>
          </w:p>
        </w:tc>
      </w:tr>
      <w:tr>
        <w:tc>
          <w:tcPr>
            <w:tcW w:type="dxa" w:w="1728"/>
          </w:tcPr>
          <w:p>
            <w:r>
              <w:t>ORAC (ORAC - ORANGE COTE D'IVOIRE)</w:t>
            </w:r>
          </w:p>
        </w:tc>
        <w:tc>
          <w:tcPr>
            <w:tcW w:type="dxa" w:w="1728"/>
          </w:tcPr>
          <w:p>
            <w:r>
              <w:t>2902</w:t>
            </w:r>
          </w:p>
        </w:tc>
        <w:tc>
          <w:tcPr>
            <w:tcW w:type="dxa" w:w="1728"/>
          </w:tcPr>
          <w:p>
            <w:r>
              <w:t>58944199 FCFA</w:t>
            </w:r>
          </w:p>
        </w:tc>
        <w:tc>
          <w:tcPr>
            <w:tcW w:type="dxa" w:w="1728"/>
          </w:tcPr>
          <w:p>
            <w:r>
              <w:t>40.15%</w:t>
            </w:r>
          </w:p>
        </w:tc>
        <w:tc>
          <w:tcPr>
            <w:tcW w:type="dxa" w:w="1728"/>
          </w:tcPr>
          <w:p>
            <w:r>
              <w:t>ACHAT</w:t>
            </w:r>
          </w:p>
        </w:tc>
      </w:tr>
      <w:tr>
        <w:tc>
          <w:tcPr>
            <w:tcW w:type="dxa" w:w="1728"/>
          </w:tcPr>
          <w:p>
            <w:r>
              <w:t>CABC (CABC - SICABLE COTE D'IVOIRE)</w:t>
            </w:r>
          </w:p>
        </w:tc>
        <w:tc>
          <w:tcPr>
            <w:tcW w:type="dxa" w:w="1728"/>
          </w:tcPr>
          <w:p>
            <w:r>
              <w:t>2485</w:t>
            </w:r>
          </w:p>
        </w:tc>
        <w:tc>
          <w:tcPr>
            <w:tcW w:type="dxa" w:w="1728"/>
          </w:tcPr>
          <w:p>
            <w:r>
              <w:t>8749540 FCFA</w:t>
            </w:r>
          </w:p>
        </w:tc>
        <w:tc>
          <w:tcPr>
            <w:tcW w:type="dxa" w:w="1728"/>
          </w:tcPr>
          <w:p>
            <w:r>
              <w:t>-12.64%</w:t>
            </w:r>
          </w:p>
        </w:tc>
        <w:tc>
          <w:tcPr>
            <w:tcW w:type="dxa" w:w="1728"/>
          </w:tcPr>
          <w:p>
            <w:r>
              <w:t>ACHAT</w:t>
            </w:r>
          </w:p>
        </w:tc>
      </w:tr>
      <w:tr>
        <w:tc>
          <w:tcPr>
            <w:tcW w:type="dxa" w:w="1728"/>
          </w:tcPr>
          <w:p>
            <w:r>
              <w:t>TTLS (TTLS - TOTAL ENERGIES MARKETING SENEGAL)</w:t>
            </w:r>
          </w:p>
        </w:tc>
        <w:tc>
          <w:tcPr>
            <w:tcW w:type="dxa" w:w="1728"/>
          </w:tcPr>
          <w:p>
            <w:r>
              <w:t>2473</w:t>
            </w:r>
          </w:p>
        </w:tc>
        <w:tc>
          <w:tcPr>
            <w:tcW w:type="dxa" w:w="1728"/>
          </w:tcPr>
          <w:p>
            <w:r>
              <w:t>9299850 FCFA</w:t>
            </w:r>
          </w:p>
        </w:tc>
        <w:tc>
          <w:tcPr>
            <w:tcW w:type="dxa" w:w="1728"/>
          </w:tcPr>
          <w:p>
            <w:r>
              <w:t>26.54%</w:t>
            </w:r>
          </w:p>
        </w:tc>
        <w:tc>
          <w:tcPr>
            <w:tcW w:type="dxa" w:w="1728"/>
          </w:tcPr>
          <w:p>
            <w:r>
              <w:t>ACHAT</w:t>
            </w:r>
          </w:p>
        </w:tc>
      </w:tr>
      <w:tr>
        <w:tc>
          <w:tcPr>
            <w:tcW w:type="dxa" w:w="1728"/>
          </w:tcPr>
          <w:p>
            <w:r>
              <w:t>NEIC (NEIC - NEI-CEDA CI)</w:t>
            </w:r>
          </w:p>
        </w:tc>
        <w:tc>
          <w:tcPr>
            <w:tcW w:type="dxa" w:w="1728"/>
          </w:tcPr>
          <w:p>
            <w:r>
              <w:t>2390</w:t>
            </w:r>
          </w:p>
        </w:tc>
        <w:tc>
          <w:tcPr>
            <w:tcW w:type="dxa" w:w="1728"/>
          </w:tcPr>
          <w:p>
            <w:r>
              <w:t>6484513 FCFA</w:t>
            </w:r>
          </w:p>
        </w:tc>
        <w:tc>
          <w:tcPr>
            <w:tcW w:type="dxa" w:w="1728"/>
          </w:tcPr>
          <w:p>
            <w:r>
              <w:t>102.86%</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2. BICC - BICI CI - Banque internationale pour le commerce et l'industrie de la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BOAS - BANK OF AFRICA SENEGAL</w:t>
      </w:r>
    </w:p>
    <w:p>
      <w:r>
        <w:rPr>
          <w:b/>
        </w:rPr>
        <w:t xml:space="preserve">Score de divergence: </w:t>
      </w:r>
      <w:r>
        <w:t>4/8</w:t>
        <w:br/>
      </w:r>
      <w:r>
        <w:rPr>
          <w:b/>
        </w:rPr>
        <w:t xml:space="preserve">Description: </w:t>
      </w:r>
      <w:r>
        <w:t>Signaux d'achat: MM | Signaux de vente: MACD, RSI | Recommandation finale: ACHAT</w:t>
        <w:br/>
      </w:r>
    </w:p>
    <w:p/>
    <w:p>
      <w:pPr>
        <w:pStyle w:val="Heading3"/>
      </w:pPr>
      <w:r>
        <w:t>4. ORGT - ORGT - ORAGROUP TOGO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SHEC - SHEC - VIVO ENERGY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6. SOGC - SOGC - Société des caoutchoucs de Grand-Béréby</w:t>
      </w:r>
    </w:p>
    <w:p>
      <w:r>
        <w:rPr>
          <w:b/>
        </w:rPr>
        <w:t xml:space="preserve">Score de divergence: </w:t>
      </w:r>
      <w:r>
        <w:t>4/8</w:t>
        <w:br/>
      </w:r>
      <w:r>
        <w:rPr>
          <w:b/>
        </w:rPr>
        <w:t xml:space="preserve">Description: </w:t>
      </w:r>
      <w:r>
        <w:t>Signaux d'achat: Stochastique | Signaux de vente: MM, MACD | Recommandation finale: ACHAT FORT</w:t>
        <w:br/>
      </w:r>
    </w:p>
    <w:p/>
    <w:p>
      <w:pPr>
        <w:pStyle w:val="Heading3"/>
      </w:pPr>
      <w:r>
        <w:t>7. CFAC - CFAC - CFAO MOTORS CI</w:t>
      </w:r>
    </w:p>
    <w:p>
      <w:r>
        <w:rPr>
          <w:b/>
        </w:rPr>
        <w:t xml:space="preserve">Score de divergence: </w:t>
      </w:r>
      <w:r>
        <w:t>2/8</w:t>
        <w:br/>
      </w:r>
      <w:r>
        <w:rPr>
          <w:b/>
        </w:rPr>
        <w:t xml:space="preserve">Description: </w:t>
      </w:r>
      <w:r>
        <w:t>Signaux d'achat: MM, MACD | Recommandation finale: ACHAT</w:t>
        <w:br/>
      </w:r>
    </w:p>
    <w:p/>
    <w:p>
      <w:pPr>
        <w:pStyle w:val="Heading3"/>
      </w:pPr>
      <w:r>
        <w:t>8. LNBB - LNBB - LOTERIE NATIONALE DU BENIN</w:t>
      </w:r>
    </w:p>
    <w:p>
      <w:r>
        <w:rPr>
          <w:b/>
        </w:rPr>
        <w:t xml:space="preserve">Score de divergence: </w:t>
      </w:r>
      <w:r>
        <w:t>2/8</w:t>
        <w:br/>
      </w:r>
      <w:r>
        <w:rPr>
          <w:b/>
        </w:rPr>
        <w:t xml:space="preserve">Description: </w:t>
      </w:r>
      <w:r>
        <w:t>Signaux de vente: MM, MACD | Recommandation finale: CONSERVER</w:t>
        <w:br/>
      </w:r>
    </w:p>
    <w:p/>
    <w:p>
      <w:pPr>
        <w:pStyle w:val="Heading3"/>
      </w:pPr>
      <w:r>
        <w:t>9. NTLC - NTLC - NESTLE COTE D'IVOIRE</w:t>
      </w:r>
    </w:p>
    <w:p>
      <w:r>
        <w:rPr>
          <w:b/>
        </w:rPr>
        <w:t xml:space="preserve">Score de divergence: </w:t>
      </w:r>
      <w:r>
        <w:t>2/8</w:t>
        <w:br/>
      </w:r>
      <w:r>
        <w:rPr>
          <w:b/>
        </w:rPr>
        <w:t xml:space="preserve">Description: </w:t>
      </w:r>
      <w:r>
        <w:t>Signaux d'achat: MM, MACD | Recommandation finale: ACHAT</w:t>
        <w:br/>
      </w:r>
    </w:p>
    <w:p/>
    <w:p>
      <w:pPr>
        <w:pStyle w:val="Heading3"/>
      </w:pPr>
      <w:r>
        <w:t>10. PALC - PALC - PALM COTE D'IVOIRE</w:t>
      </w:r>
    </w:p>
    <w:p>
      <w:r>
        <w:rPr>
          <w:b/>
        </w:rPr>
        <w:t xml:space="preserve">Score de divergence: </w:t>
      </w:r>
      <w:r>
        <w:t>2/8</w:t>
        <w:br/>
      </w:r>
      <w:r>
        <w:rPr>
          <w:b/>
        </w:rPr>
        <w:t xml:space="preserve">Description: </w:t>
      </w:r>
      <w:r>
        <w:t>Signaux d'achat: MM, Bollinger,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20</w:t>
            </w:r>
          </w:p>
        </w:tc>
        <w:tc>
          <w:tcPr>
            <w:tcW w:type="dxa" w:w="2160"/>
          </w:tcPr>
          <w:p>
            <w:r>
              <w:t>0</w:t>
            </w:r>
          </w:p>
        </w:tc>
      </w:tr>
      <w:tr>
        <w:tc>
          <w:tcPr>
            <w:tcW w:type="dxa" w:w="2160"/>
          </w:tcPr>
          <w:p>
            <w:r>
              <w:t>Risque Moyen</w:t>
            </w:r>
          </w:p>
        </w:tc>
        <w:tc>
          <w:tcPr>
            <w:tcW w:type="dxa" w:w="2160"/>
          </w:tcPr>
          <w:p>
            <w:r>
              <w:t>0</w:t>
            </w:r>
          </w:p>
        </w:tc>
        <w:tc>
          <w:tcPr>
            <w:tcW w:type="dxa" w:w="2160"/>
          </w:tcPr>
          <w:p>
            <w:r>
              <w:t>27</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hausse des prix du pétrole, qui a franchi la barre des 100 dollars le baril, et celle du gaz en Europe freinent les marchés financiers mondiaux. Wall Street a ouvert en ordre dispersé, les investisseurs craignant que la cherté de l'énergie n'alimente l'inflation. Les marchés américains étaient fermés pour le Labor Day, avec l'attention portée sur la réunion de la BCE et les chiffres de l'inflation américaine.</w:t>
      </w:r>
    </w:p>
    <w:p>
      <w:pPr>
        <w:pStyle w:val="Heading3"/>
      </w:pPr>
      <w:r>
        <w:rPr>
          <w:color w:val="500050"/>
        </w:rPr>
        <w:t>⚡ Impact estimé sur la BRVM</w:t>
      </w:r>
    </w:p>
    <w:p>
      <w:pPr>
        <w:spacing w:before="20" w:after="40"/>
        <w:ind w:left="280"/>
      </w:pPr>
      <w:r>
        <w:rPr>
          <w:i/>
          <w:sz w:val="18"/>
        </w:rPr>
        <w:t>La hausse des prix du pétrole et du gaz pèse sur les coûts d'exploitation des entreprises énergivores comme les industriels FTSC et CABC. Elle pourrait également alimenter l'inflation importée dans la zone UEMOA, affectant le pouvoir d'achat et les secteurs de consommation de base comme PALC.</w:t>
      </w:r>
    </w:p>
    <w:p>
      <w:pPr>
        <w:pStyle w:val="Heading2"/>
      </w:pPr>
      <w:r>
        <w:rPr>
          <w:color w:val="006E32"/>
        </w:rPr>
        <w:t>🌍 Plan Africain</w:t>
      </w:r>
    </w:p>
    <w:p>
      <w:pPr>
        <w:spacing w:before="20" w:after="40"/>
        <w:ind w:left="0"/>
      </w:pPr>
      <w:r>
        <w:rPr>
          <w:sz w:val="18"/>
        </w:rPr>
        <w:t>Le Sénégal et le FMI sont parvenus à un accord sur un programme d'aide financière d'environ 1,9 milliard d'euros, visant à soutenir l'économie sénégalaise. Par ailleurs, Goldman Sachs prévoit que l'Afrique du Sud retrouve sa notation "Investment grade" dès 2028, reflétant une amélioration attendue de ses fondamentaux économiques.</w:t>
      </w:r>
    </w:p>
    <w:p>
      <w:pPr>
        <w:pStyle w:val="Heading3"/>
      </w:pPr>
      <w:r>
        <w:rPr>
          <w:color w:val="500050"/>
        </w:rPr>
        <w:t>⚡ Impact estimé sur la BRVM</w:t>
      </w:r>
    </w:p>
    <w:p>
      <w:pPr>
        <w:spacing w:before="20" w:after="40"/>
        <w:ind w:left="280"/>
      </w:pPr>
      <w:r>
        <w:rPr>
          <w:i/>
          <w:sz w:val="18"/>
        </w:rPr>
        <w:t>L'accord entre le Sénégal et le FMI renforce la confiance des investisseurs dans la région UEMOA, bénéficiant indirectement aux banques cotées comme ECOC et BOAB qui opèrent dans ce pays. Les perspectives positives pour l'Afrique du Sud pourraient attirer des capitaux vers le continent, mais détourner une partie des flux vers ce marché plus liquide.</w:t>
      </w:r>
    </w:p>
    <w:p>
      <w:pPr>
        <w:pStyle w:val="Heading2"/>
      </w:pPr>
      <w:r>
        <w:rPr>
          <w:color w:val="145A28"/>
        </w:rPr>
        <w:t>🌍 Plan Afrique de l'Ouest</w:t>
      </w:r>
    </w:p>
    <w:p>
      <w:pPr>
        <w:spacing w:before="20" w:after="40"/>
        <w:ind w:left="0"/>
      </w:pPr>
      <w:r>
        <w:rPr>
          <w:sz w:val="18"/>
        </w:rPr>
        <w:t>La CEDEAO, sous la direction du Général Birame Diop, affiche une nouvelle vision pragmatique axée sur le renouveau de la solidarité régionale. Le retour de l'ancien président sierra-léonais Ernest Bai Koroma marque un apaisement politique dans la sous-région.</w:t>
      </w:r>
    </w:p>
    <w:p>
      <w:pPr>
        <w:pStyle w:val="Heading3"/>
      </w:pPr>
      <w:r>
        <w:rPr>
          <w:color w:val="500050"/>
        </w:rPr>
        <w:t>⚡ Impact estimé sur la BRVM</w:t>
      </w:r>
    </w:p>
    <w:p>
      <w:pPr>
        <w:spacing w:before="20" w:after="40"/>
        <w:ind w:left="280"/>
      </w:pPr>
      <w:r>
        <w:rPr>
          <w:i/>
          <w:sz w:val="18"/>
        </w:rPr>
        <w:t>La stabilité politique renforcée en Afrique de l'Ouest est positive pour les entreprises cotées opérant dans la région, notamment les banques comme BOAM et BICB. Elle favorise un environnement propice aux affaires et à l'investissement.</w:t>
      </w:r>
    </w:p>
    <w:p>
      <w:pPr>
        <w:pStyle w:val="Heading2"/>
      </w:pPr>
      <w:r>
        <w:rPr>
          <w:color w:val="8C4600"/>
        </w:rPr>
        <w:t>🏦 Plan UEMOA / Zone Franc</w:t>
      </w:r>
    </w:p>
    <w:p>
      <w:pPr>
        <w:spacing w:before="20" w:after="40"/>
        <w:ind w:left="0"/>
      </w:pPr>
      <w:r>
        <w:rPr>
          <w:sz w:val="18"/>
        </w:rPr>
        <w:t>Le Premier ministre sénégalais Ahmadou Al Aminou Lô est attendu sur les questions de la dette publique et de la vie chère. Il a exclu tout "ajustement sauvage" après l'accord avec le FMI, tandis que l'opposant Guy Marius Sagna critique l'influence du FMI sur la politique économique du gouvernement.</w:t>
      </w:r>
    </w:p>
    <w:p>
      <w:pPr>
        <w:pStyle w:val="Heading3"/>
      </w:pPr>
      <w:r>
        <w:rPr>
          <w:color w:val="500050"/>
        </w:rPr>
        <w:t>⚡ Impact estimé sur la BRVM</w:t>
      </w:r>
    </w:p>
    <w:p>
      <w:pPr>
        <w:spacing w:before="20" w:after="40"/>
        <w:ind w:left="280"/>
      </w:pPr>
      <w:r>
        <w:rPr>
          <w:i/>
          <w:sz w:val="18"/>
        </w:rPr>
        <w:t>Les discussions sur la dette et la vie chère au Sénégal, principal marché de la zone, pourraient influencer la confiance des investisseurs. Les banques ayant une exposition significative au Sénégal, comme ECOC et BOAB, surveilleront de près l'évolution de la politique budgétaire.</w:t>
      </w:r>
    </w:p>
    <w:p>
      <w:pPr>
        <w:pStyle w:val="Heading2"/>
      </w:pPr>
      <w:r>
        <w:rPr>
          <w:color w:val="003366"/>
        </w:rPr>
        <w:t>📈 Plan BRVM</w:t>
      </w:r>
    </w:p>
    <w:p>
      <w:pPr>
        <w:spacing w:before="20" w:after="40"/>
        <w:ind w:left="0"/>
      </w:pPr>
      <w:r>
        <w:rPr>
          <w:sz w:val="18"/>
        </w:rPr>
        <w:t>Les résultats encourageants des sociétés cotées ivoiriennes à la BRVM ont été mis en avant par La Tribune. L'indice BRVM Composite se situe à 550.08 points, dans un contexte de marché régional stable.</w:t>
      </w:r>
    </w:p>
    <w:p>
      <w:pPr>
        <w:pStyle w:val="Heading3"/>
      </w:pPr>
      <w:r>
        <w:rPr>
          <w:color w:val="500050"/>
        </w:rPr>
        <w:t>⚡ Impact estimé sur la BRVM</w:t>
      </w:r>
    </w:p>
    <w:p>
      <w:pPr>
        <w:spacing w:before="20" w:after="40"/>
        <w:ind w:left="280"/>
      </w:pPr>
      <w:r>
        <w:rPr>
          <w:i/>
          <w:sz w:val="18"/>
        </w:rPr>
        <w:t>Les bons résultats des sociétés ivoiriennes soutiennent l'indice BRVM Composite. Les investisseurs devraient surveiller les valeurs comme SGBC, BICB et PALC qui pourraient bénéficier de cette dynamique positive.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La guerre au Moyen-Orient a provoqué une flambée des prix du diesel aux États-Unis, atteignant un niveau record. Cette situation géopolitique tendue alimente l'inquiétude sur les marchés financiers mondiaux et maintient une pression haussière sur les prix de l'énergie.</w:t>
      </w:r>
    </w:p>
    <w:p>
      <w:pPr>
        <w:pStyle w:val="Heading3"/>
      </w:pPr>
      <w:r>
        <w:rPr>
          <w:color w:val="500050"/>
        </w:rPr>
        <w:t>⚡ Impact estimé sur la BRVM</w:t>
      </w:r>
    </w:p>
    <w:p>
      <w:pPr>
        <w:spacing w:before="20" w:after="40"/>
        <w:ind w:left="280"/>
      </w:pPr>
      <w:r>
        <w:rPr>
          <w:i/>
          <w:sz w:val="18"/>
        </w:rPr>
        <w:t>L'instabilité géopolitique mondiale pousse les investisseurs vers des valeurs refuges, ce qui pourrait réduire temporairement l'appétit pour les marchés émergents comme la BRVM. Les secteurs dépendants de l'énergie importée pourraient voir leurs marges se comprimer.</w:t>
      </w:r>
    </w:p>
    <w:p>
      <w:pPr>
        <w:pStyle w:val="Heading2"/>
      </w:pPr>
      <w:r>
        <w:rPr>
          <w:color w:val="006E32"/>
        </w:rPr>
        <w:t>🌍 Plan Africain</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Le Général Birame Diop appelle à un renouveau de la solidarité régionale au sein de la CEDEAO, prônant une vision pragmatique pour la Commission. Le retour de l'ex-président Koroma en Sierra Leone s'inscrit dans un contexte de stabilisation politique.</w:t>
      </w:r>
    </w:p>
    <w:p>
      <w:pPr>
        <w:pStyle w:val="Heading3"/>
      </w:pPr>
      <w:r>
        <w:rPr>
          <w:color w:val="500050"/>
        </w:rPr>
        <w:t>⚡ Impact estimé sur la BRVM</w:t>
      </w:r>
    </w:p>
    <w:p>
      <w:pPr>
        <w:spacing w:before="20" w:after="40"/>
        <w:ind w:left="280"/>
      </w:pPr>
      <w:r>
        <w:rPr>
          <w:i/>
          <w:sz w:val="18"/>
        </w:rPr>
        <w:t>La stabilité politique en Afrique de l'Ouest est un facteur clé pour la confiance des investisseurs. Les entreprises cotées comme ETIT et BOAB, présentes dans plusieurs pays de la région, bénéficient d'un environnement politique apaisé.</w:t>
      </w:r>
    </w:p>
    <w:p>
      <w:pPr>
        <w:pStyle w:val="Heading2"/>
      </w:pPr>
      <w:r>
        <w:rPr>
          <w:color w:val="8C4600"/>
        </w:rPr>
        <w:t>🏦 Plan UEMOA / Zone Franc</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a ouvert en ordre dispersé, les investisseurs étant préoccupés par la hausse des prix du pétrole qui pourrait alimenter l'inflation. Les marchés européens sont également freinés par la hausse des prix du gaz. Le pétrole cher continue de peser sur les marchés financiers mondiaux.</w:t>
      </w:r>
    </w:p>
    <w:p>
      <w:pPr>
        <w:pStyle w:val="Heading3"/>
      </w:pPr>
      <w:r>
        <w:rPr>
          <w:color w:val="500050"/>
        </w:rPr>
        <w:t>⚡ Impact estimé sur la BRVM</w:t>
      </w:r>
    </w:p>
    <w:p>
      <w:pPr>
        <w:spacing w:before="20" w:after="40"/>
        <w:ind w:left="280"/>
      </w:pPr>
      <w:r>
        <w:rPr>
          <w:i/>
          <w:sz w:val="18"/>
        </w:rPr>
        <w:t>La nervosité des marchés mondiaux peut inciter les investisseurs internationaux à adopter une position attentiste vis-à-vis des marchés émergents. Cependant, la BRVM, étant moins corrélée aux marchés développés, pourrait attirer des capitaux en quête de rendement dans un contexte de volatilité.</w:t>
      </w:r>
    </w:p>
    <w:p>
      <w:pPr>
        <w:pStyle w:val="Heading2"/>
      </w:pPr>
      <w:r>
        <w:rPr>
          <w:color w:val="006E32"/>
        </w:rPr>
        <w:t>🌍 Plan Africain</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se maintient à 550.08 points, soutenu par les résultats encourageants des sociétés cotées ivoiriennes. Le marché régional semble résister à la volatilité mondiale.</w:t>
      </w:r>
    </w:p>
    <w:p>
      <w:pPr>
        <w:pStyle w:val="Heading3"/>
      </w:pPr>
      <w:r>
        <w:rPr>
          <w:color w:val="500050"/>
        </w:rPr>
        <w:t>⚡ Impact estimé sur la BRVM</w:t>
      </w:r>
    </w:p>
    <w:p>
      <w:pPr>
        <w:spacing w:before="20" w:after="40"/>
        <w:ind w:left="280"/>
      </w:pPr>
      <w:r>
        <w:rPr>
          <w:i/>
          <w:sz w:val="18"/>
        </w:rPr>
        <w:t>La BRVM offre des opportunités d'investissement intéressantes, notamment sur les valeurs comme PALC, BICB et BOAC qui présentent des fondamentaux solides. Les investisseurs pourraient considérer ces titres comme des valeurs de rendement dans un environnement mondial incertain.</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mondial est marqué par une hausse des prix du pétrole et du gaz, alimentant les craintes inflationnistes et la volatilité sur les marchés financiers. Cependant, la BRVM bénéficie d'un environnement régional stable et de résultats encourageants des sociétés cotées, notamment en Côte d'Ivoire. L'accord entre le Sénégal et le FMI renforce la confiance dans la zone UEMOA. Il est recommandé de maintenir une position prudente, en privilégiant les valeurs solides du secteur bancaire et de la consommation de base, tout en surveillant l'évolution des prix de l'énergie et leurs effets sur l'inflation régionale.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Le pétrole cher continue de freiner les marchés financiers - investir.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Guerre au Moyen-Orient : le prix du diesel atteint un niveau record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2026-09-06</w:t>
            </w:r>
          </w:p>
        </w:tc>
        <w:tc>
          <w:tcPr>
            <w:tcW w:type="dxa" w:w="1728"/>
          </w:tcPr>
          <w:p>
            <w:r>
              <w:rPr>
                <w:sz w:val="14"/>
              </w:rPr>
              <w:t>Sierra Leone : l'ex-président Koroma de retour dans son pays - tv5mond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CEDEAO : l’ECO reste visé pour 2027, le Conseil de convergence accélèr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2026-09-07</w:t>
            </w:r>
          </w:p>
        </w:tc>
        <w:tc>
          <w:tcPr>
            <w:tcW w:type="dxa" w:w="1728"/>
          </w:tcPr>
          <w:p>
            <w:r>
              <w:rPr>
                <w:sz w:val="14"/>
              </w:rPr>
              <w:t>Unlock West Africa's Wealth: Investing through BRVM - Dabafinance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2026-09-03</w:t>
            </w:r>
          </w:p>
        </w:tc>
        <w:tc>
          <w:tcPr>
            <w:tcW w:type="dxa" w:w="1728"/>
          </w:tcPr>
          <w:p>
            <w:r>
              <w:rPr>
                <w:sz w:val="14"/>
              </w:rPr>
              <w:t>Wari Afrique de l'Ouest : investiture du nouveau Président de la CEDEA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Sénégal : le Premier ministre Ahmadou Al Aminou Lô attendu sur la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2026-09-08</w:t>
            </w:r>
          </w:p>
        </w:tc>
        <w:tc>
          <w:tcPr>
            <w:tcW w:type="dxa" w:w="1728"/>
          </w:tcPr>
          <w:p>
            <w:r>
              <w:rPr>
                <w:sz w:val="14"/>
              </w:rPr>
              <w:t>Sénégal: le Premier ministre exclut tout «ajustement sauvage» après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2026-09-08</w:t>
            </w:r>
          </w:p>
        </w:tc>
        <w:tc>
          <w:tcPr>
            <w:tcW w:type="dxa" w:w="1728"/>
          </w:tcPr>
          <w:p>
            <w:r>
              <w:rPr>
                <w:sz w:val="14"/>
              </w:rPr>
              <w:t>Sénégal : Guy Marius Sagna critique la politique du gouvernement et dé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 xml:space="preserve">Sénégal : un contentieux de 55 millions de dollars révélé sur Yaakaar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2026-09-08</w:t>
            </w:r>
          </w:p>
        </w:tc>
        <w:tc>
          <w:tcPr>
            <w:tcW w:type="dxa" w:w="1728"/>
          </w:tcPr>
          <w:p>
            <w:r>
              <w:rPr>
                <w:sz w:val="14"/>
              </w:rPr>
              <w:t>Le rendez-vous Afrique - Sénégal : "Il n'y aura pas d'ajustement sauva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2026-09-08</w:t>
            </w:r>
          </w:p>
        </w:tc>
        <w:tc>
          <w:tcPr>
            <w:tcW w:type="dxa" w:w="1728"/>
          </w:tcPr>
          <w:p>
            <w:r>
              <w:rPr>
                <w:sz w:val="14"/>
              </w:rPr>
              <w:t xml:space="preserve">Sénégal: le Premier ministre dénonce une "dette cachée" et dévoile sa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Le pétrole cher continue de freiner les marchés financiers - investir.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Guerre au Moyen-Orient : le prix du diesel atteint un niveau record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2026-09-06</w:t>
            </w:r>
          </w:p>
        </w:tc>
        <w:tc>
          <w:tcPr>
            <w:tcW w:type="dxa" w:w="1728"/>
          </w:tcPr>
          <w:p>
            <w:r>
              <w:rPr>
                <w:sz w:val="14"/>
              </w:rPr>
              <w:t>Sierra Leone : l'ex-président Koroma de retour dans son pays - tv5mond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Guerre au Moyen-Orient : le prix du diesel atteint un niveau record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2026-09-06</w:t>
            </w:r>
          </w:p>
        </w:tc>
        <w:tc>
          <w:tcPr>
            <w:tcW w:type="dxa" w:w="1728"/>
          </w:tcPr>
          <w:p>
            <w:r>
              <w:rPr>
                <w:sz w:val="14"/>
              </w:rPr>
              <w:t>Sierra Leone : l'ex-président Koroma de retour dans son pays - tv5mond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Guerre au Moyen-Orient : le prix du diesel atteint un niveau record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2026-09-06</w:t>
            </w:r>
          </w:p>
        </w:tc>
        <w:tc>
          <w:tcPr>
            <w:tcW w:type="dxa" w:w="1728"/>
          </w:tcPr>
          <w:p>
            <w:r>
              <w:rPr>
                <w:sz w:val="14"/>
              </w:rPr>
              <w:t>Sierra Leone : l'ex-président Koroma de retour dans son pays - tv5mond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Guerre au Moyen-Orient : le prix du diesel atteint un niveau record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2026-09-09</w:t>
            </w:r>
          </w:p>
        </w:tc>
        <w:tc>
          <w:tcPr>
            <w:tcW w:type="dxa" w:w="1728"/>
          </w:tcPr>
          <w:p>
            <w:r>
              <w:rPr>
                <w:sz w:val="14"/>
              </w:rPr>
              <w:t>Le prix du pétrole franchit la barre des 100 dollars le baril - Les Ec</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Le pétrole cher continue de freiner les marchés financiers - investir.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2026-09-09</w:t>
            </w:r>
          </w:p>
        </w:tc>
        <w:tc>
          <w:tcPr>
            <w:tcW w:type="dxa" w:w="1728"/>
          </w:tcPr>
          <w:p>
            <w:r>
              <w:rPr>
                <w:sz w:val="14"/>
              </w:rPr>
              <w:t>Le prix du pétrole franchit la barre des 100 dollars le baril - Les Ec</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2026-09-09</w:t>
            </w:r>
          </w:p>
        </w:tc>
        <w:tc>
          <w:tcPr>
            <w:tcW w:type="dxa" w:w="1728"/>
          </w:tcPr>
          <w:p>
            <w:r>
              <w:rPr>
                <w:sz w:val="14"/>
              </w:rPr>
              <w:t>Le prix du pétrole franchit la barre des 100 dollars le baril - Les Ec</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2026-09-09</w:t>
            </w:r>
          </w:p>
        </w:tc>
        <w:tc>
          <w:tcPr>
            <w:tcW w:type="dxa" w:w="1728"/>
          </w:tcPr>
          <w:p>
            <w:r>
              <w:rPr>
                <w:sz w:val="14"/>
              </w:rPr>
              <w:t>Le prix du pétrole franchit la barre des 100 dollars le baril - Les Ec</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2026-09-04</w:t>
            </w:r>
          </w:p>
        </w:tc>
        <w:tc>
          <w:tcPr>
            <w:tcW w:type="dxa" w:w="1728"/>
          </w:tcPr>
          <w:p>
            <w:r>
              <w:rPr>
                <w:sz w:val="14"/>
              </w:rPr>
              <w:t>La Bourse de Paris stable dans les premiers échanges, la hausse des pr</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2026-09-04</w:t>
            </w:r>
          </w:p>
        </w:tc>
        <w:tc>
          <w:tcPr>
            <w:tcW w:type="dxa" w:w="1728"/>
          </w:tcPr>
          <w:p>
            <w:r>
              <w:rPr>
                <w:sz w:val="14"/>
              </w:rPr>
              <w:t xml:space="preserve">Wall Street fermé pour Labor Day, la BCE et l'inflation américaine en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2026-09-08</w:t>
            </w:r>
          </w:p>
        </w:tc>
        <w:tc>
          <w:tcPr>
            <w:tcW w:type="dxa" w:w="1728"/>
          </w:tcPr>
          <w:p>
            <w:r>
              <w:rPr>
                <w:sz w:val="14"/>
              </w:rPr>
              <w:t>Wall Street ouvre dans le désordre, le pétrole inquiète - investir.les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2026-09-07</w:t>
            </w:r>
          </w:p>
        </w:tc>
        <w:tc>
          <w:tcPr>
            <w:tcW w:type="dxa" w:w="1728"/>
          </w:tcPr>
          <w:p>
            <w:r>
              <w:rPr>
                <w:sz w:val="14"/>
              </w:rPr>
              <w:t xml:space="preserve">Les prix du pétrole brut ont augmenté de près de 10 % et l'indice MXV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2026-09-09</w:t>
            </w:r>
          </w:p>
        </w:tc>
        <w:tc>
          <w:tcPr>
            <w:tcW w:type="dxa" w:w="1728"/>
          </w:tcPr>
          <w:p>
            <w:r>
              <w:rPr>
                <w:sz w:val="14"/>
              </w:rPr>
              <w:t>Le prix du pétrole franchit la barre des 100 dollars le baril - Les Ec</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(7 alerte(s))</w:t>
      </w:r>
    </w:p>
    <w:p>
      <w:pPr>
        <w:spacing w:before="40" w:after="40"/>
        <w:ind w:left="360"/>
      </w:pPr>
      <w:r>
        <w:rPr>
          <w:color w:val="646464"/>
          <w:sz w:val="17"/>
        </w:rPr>
        <w:t xml:space="preserve">[09/09/2026] 🔴  </w:t>
      </w:r>
      <w:r>
        <w:rPr>
          <w:b/>
          <w:color w:val="C00000"/>
          <w:sz w:val="18"/>
        </w:rPr>
        <w:t>Sénégal : un contentieux de 55 millions de dollars révélé sur Yaakaar Teranga - Africtelegraph</w:t>
      </w:r>
      <w:r>
        <w:rPr>
          <w:color w:val="787878"/>
          <w:sz w:val="15"/>
        </w:rPr>
        <w:t xml:space="preserve">  [politique]</w:t>
      </w:r>
      <w:r>
        <w:rPr>
          <w:color w:val="B47800"/>
          <w:sz w:val="16"/>
        </w:rPr>
        <w:t xml:space="preserve">  ★ 50/10</w:t>
      </w:r>
    </w:p>
    <w:p>
      <w:pPr>
        <w:spacing w:before="0" w:after="20"/>
        <w:ind w:left="600"/>
      </w:pPr>
      <w:r>
        <w:rPr>
          <w:color w:val="323232"/>
          <w:sz w:val="17"/>
        </w:rPr>
        <w:t>Un contentieux de 55 millions de dollars a été révélé concernant le projet Yaakaar Teranga au Sénégal, selon Africtelegraph. Ce litige pourrait affecter la confiance des investisseurs dans les projets d'infrastructure de la zone UEMOA. Les détails précis du différend ne sont pas encore divulgués, mais son ampleur suggère des implications financière</w:t>
      </w:r>
    </w:p>
    <w:p>
      <w:pPr>
        <w:spacing w:before="0" w:after="40"/>
        <w:ind w:left="600"/>
      </w:pPr>
      <w:r>
        <w:rPr>
          <w:color w:val="00643C"/>
          <w:sz w:val="16"/>
        </w:rPr>
        <w:t>Points clés : Révélation d'un contentieux de 55 millions USD sur le projet Yaakaar Teranga.  •  Impact potentiel sur la perception des risques des projets énergétiques en UEMOA.</w:t>
      </w:r>
    </w:p>
    <w:p>
      <w:pPr>
        <w:spacing w:before="0" w:after="60"/>
        <w:ind w:left="600"/>
      </w:pPr>
      <w:r>
        <w:rPr>
          <w:color w:val="0064B4"/>
          <w:sz w:val="15"/>
        </w:rPr>
        <w:t>Source : https://news.google.com/rss/articles/CBMirAFBVV95cUxPU2xiUFhxRHZWSFkxT2E3M2RPY3N</w:t>
      </w:r>
    </w:p>
    <w:p>
      <w:pPr>
        <w:spacing w:before="40" w:after="40"/>
        <w:ind w:left="360"/>
      </w:pPr>
      <w:r>
        <w:rPr>
          <w:color w:val="646464"/>
          <w:sz w:val="17"/>
        </w:rPr>
        <w:t xml:space="preserve">[09/09/2026] 🔴  </w:t>
      </w:r>
      <w:r>
        <w:rPr>
          <w:b/>
          <w:color w:val="C00000"/>
          <w:sz w:val="18"/>
        </w:rPr>
        <w:t>Sénégal : le FMI au cœur d'un bras de fer politique à l'Assemblée - Africanews</w:t>
      </w:r>
      <w:r>
        <w:rPr>
          <w:color w:val="787878"/>
          <w:sz w:val="15"/>
        </w:rPr>
        <w:t xml:space="preserve">  [politique]</w:t>
      </w:r>
      <w:r>
        <w:rPr>
          <w:color w:val="B47800"/>
          <w:sz w:val="16"/>
        </w:rPr>
        <w:t xml:space="preserve">  ★ 50/10</w:t>
      </w:r>
    </w:p>
    <w:p>
      <w:pPr>
        <w:spacing w:before="0" w:after="20"/>
        <w:ind w:left="600"/>
      </w:pPr>
      <w:r>
        <w:rPr>
          <w:color w:val="323232"/>
          <w:sz w:val="17"/>
        </w:rPr>
        <w:t xml:space="preserve">Le Fonds monétaire international (FMI) est au centre d'un bras de fer politique à l'Assemblée nationale du Sénégal, où l'opposition conteste la gestion des accords de financement conclus avec l'institution. Cette situation crée des tensions entre le gouvernement et les députés, et pourrait affecter la crédibilité des réformes économiques en cours. </w:t>
      </w:r>
    </w:p>
    <w:p>
      <w:pPr>
        <w:spacing w:before="0" w:after="40"/>
        <w:ind w:left="600"/>
      </w:pPr>
      <w:r>
        <w:rPr>
          <w:color w:val="00643C"/>
          <w:sz w:val="16"/>
        </w:rPr>
        <w:t>Points clés : Le FMI est impliqué dans un conflit politique au Sénégal, avec des débats à l'Assemblée sur les conditions et la transparence des accords.  •  Cette confrontation pourrait retarder ou modifier les programmes d'ajustement économique soutenus par le FMI.  •  La stabilité politique du Sénégal est cruciale pour la confiance des investisseurs dans la zone UEMOA.</w:t>
      </w:r>
    </w:p>
    <w:p>
      <w:pPr>
        <w:spacing w:before="0" w:after="60"/>
        <w:ind w:left="600"/>
      </w:pPr>
      <w:r>
        <w:rPr>
          <w:color w:val="0064B4"/>
          <w:sz w:val="15"/>
        </w:rPr>
        <w:t>Source : https://news.google.com/rss/articles/CBMipwFBVV95cUxPN0x5dzNGSndqYk5BOEVRSjFldnp</w:t>
      </w:r>
    </w:p>
    <w:p>
      <w:pPr>
        <w:spacing w:before="40" w:after="40"/>
        <w:ind w:left="360"/>
      </w:pPr>
      <w:r>
        <w:rPr>
          <w:color w:val="646464"/>
          <w:sz w:val="17"/>
        </w:rPr>
        <w:t xml:space="preserve">[08/09/2026] 🔴  </w:t>
      </w:r>
      <w:r>
        <w:rPr>
          <w:b/>
          <w:color w:val="C00000"/>
          <w:sz w:val="18"/>
        </w:rPr>
        <w:t>Sénégal : Guy Marius Sagna critique la politique du gouvernement et dénonce l’influence du FMI - malijet.com</w:t>
      </w:r>
      <w:r>
        <w:rPr>
          <w:color w:val="787878"/>
          <w:sz w:val="15"/>
        </w:rPr>
        <w:t xml:space="preserve">  [politique]</w:t>
      </w:r>
      <w:r>
        <w:rPr>
          <w:color w:val="B47800"/>
          <w:sz w:val="16"/>
        </w:rPr>
        <w:t xml:space="preserve">  ★ 50/10</w:t>
      </w:r>
    </w:p>
    <w:p>
      <w:pPr>
        <w:spacing w:before="0" w:after="20"/>
        <w:ind w:left="600"/>
      </w:pPr>
      <w:r>
        <w:rPr>
          <w:color w:val="323232"/>
          <w:sz w:val="17"/>
        </w:rPr>
        <w:t>L'article rapporte les critiques de l'opposant sénégalais Guy Marius Sagna contre la politique économique du gouvernement, qu'il juge trop influencée par le FMI. Il dénonce notamment les mesures d'austérité et leurs conséquences sociales. Cette opposition politique reflète des tensions sur la gestion macroéconomique dans la zone UEMOA.</w:t>
      </w:r>
    </w:p>
    <w:p>
      <w:pPr>
        <w:spacing w:before="0" w:after="40"/>
        <w:ind w:left="600"/>
      </w:pPr>
      <w:r>
        <w:rPr>
          <w:color w:val="00643C"/>
          <w:sz w:val="16"/>
        </w:rPr>
        <w:t>Points clés : Critique de la politique gouvernementale sénégalaise  •  Dénonciation de l'influence du FMI sur les décisions économiques</w:t>
      </w:r>
    </w:p>
    <w:p>
      <w:pPr>
        <w:spacing w:before="0" w:after="60"/>
        <w:ind w:left="600"/>
      </w:pPr>
      <w:r>
        <w:rPr>
          <w:color w:val="0064B4"/>
          <w:sz w:val="15"/>
        </w:rPr>
        <w:t>Source : https://news.google.com/rss/articles/CBMisgFBVV95cUxNTGdhNmV6aXN1QjEzdTlZUGlpU1h</w:t>
      </w:r>
    </w:p>
    <w:p>
      <w:pPr>
        <w:spacing w:before="40" w:after="40"/>
        <w:ind w:left="360"/>
      </w:pPr>
      <w:r>
        <w:rPr>
          <w:color w:val="646464"/>
          <w:sz w:val="17"/>
        </w:rPr>
        <w:t xml:space="preserve">[08/09/2026] 🟢  </w:t>
      </w:r>
      <w:r>
        <w:rPr>
          <w:b/>
          <w:color w:val="008000"/>
          <w:sz w:val="18"/>
        </w:rPr>
        <w:t>Sénégal: le Premier ministre exclut tout «ajustement sauvage» après l’accord avec le FMI - Le360 Afrique</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 déclaré que le pays n'optera pas pour un 'ajustement sauvage' après la conclusion d'un accord avec le FMI. Il a souligné que les réformes économiques seront menées de manière progressive et socialement responsable. Cette annonce vise à rassurer les investisseurs et la population sur la stabilité économique du pays.</w:t>
      </w:r>
    </w:p>
    <w:p>
      <w:pPr>
        <w:spacing w:before="0" w:after="40"/>
        <w:ind w:left="600"/>
      </w:pPr>
      <w:r>
        <w:rPr>
          <w:color w:val="00643C"/>
          <w:sz w:val="16"/>
        </w:rPr>
        <w:t>Points clés : Exclusion d'un ajustement budgétaire brutal  •  Accord avec le FMI pour soutenir l'économie sénégalaise</w:t>
      </w:r>
    </w:p>
    <w:p>
      <w:pPr>
        <w:spacing w:before="0" w:after="60"/>
        <w:ind w:left="600"/>
      </w:pPr>
      <w:r>
        <w:rPr>
          <w:color w:val="0064B4"/>
          <w:sz w:val="15"/>
        </w:rPr>
        <w:t>Source : https://news.google.com/rss/articles/CBMi4AFBVV95cUxPZWk1SmZST2kxV3EwYmtZMnFsajR</w:t>
      </w:r>
    </w:p>
    <w:p>
      <w:pPr>
        <w:spacing w:before="40" w:after="40"/>
        <w:ind w:left="360"/>
      </w:pPr>
      <w:r>
        <w:rPr>
          <w:color w:val="646464"/>
          <w:sz w:val="17"/>
        </w:rPr>
        <w:t xml:space="preserve">[08/09/2026] 🔴  </w:t>
      </w:r>
      <w:r>
        <w:rPr>
          <w:b/>
          <w:color w:val="C00000"/>
          <w:sz w:val="18"/>
        </w:rPr>
        <w:t>Sénégal: le Premier ministre dénonce une "dette cachée" et dévoile sa feuille de route pour redresser l'économie - tv5mo</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 dénoncé l'existence d'une dette cachée héritée de l'ancien régime, tout en présentant sa feuille de route pour redresser l'économie. Il a promis des réformes structurelles, une meilleure gouvernance et un assainissement des finances publiques. Cette annonce intervient dans un contexte de tensions politiques et de dé</w:t>
      </w:r>
    </w:p>
    <w:p>
      <w:pPr>
        <w:spacing w:before="0" w:after="40"/>
        <w:ind w:left="600"/>
      </w:pPr>
      <w:r>
        <w:rPr>
          <w:color w:val="00643C"/>
          <w:sz w:val="16"/>
        </w:rPr>
        <w:t>Points clés : Dénonciation d'une dette cachée par le Premier ministre, remettant en cause la transparence des comptes publics.  •  Présentation d'une feuille de route axée sur le redressement économique, la gouvernance et la lutte contre la corruption.</w:t>
      </w:r>
    </w:p>
    <w:p>
      <w:pPr>
        <w:spacing w:before="0" w:after="60"/>
        <w:ind w:left="600"/>
      </w:pPr>
      <w:r>
        <w:rPr>
          <w:color w:val="0064B4"/>
          <w:sz w:val="15"/>
        </w:rPr>
        <w:t>Source : https://news.google.com/rss/articles/CBMi_gFBVV95cUxNNWhRU1VhdFlDcGo3VVVLWGYtVGV</w:t>
      </w:r>
    </w:p>
    <w:p>
      <w:pPr>
        <w:spacing w:before="120" w:after="40"/>
      </w:pPr>
      <w:r>
        <w:rPr>
          <w:b/>
          <w:color w:val="00467F"/>
          <w:sz w:val="20"/>
        </w:rPr>
        <w:t>🔑 économique  (3 alerte(s))</w:t>
      </w:r>
    </w:p>
    <w:p>
      <w:pPr>
        <w:spacing w:before="40" w:after="40"/>
        <w:ind w:left="360"/>
      </w:pPr>
      <w:r>
        <w:rPr>
          <w:color w:val="646464"/>
          <w:sz w:val="17"/>
        </w:rPr>
        <w:t xml:space="preserve">[09/09/2026] 🟢  </w:t>
      </w:r>
      <w:r>
        <w:rPr>
          <w:b/>
          <w:color w:val="008000"/>
          <w:sz w:val="18"/>
        </w:rPr>
        <w:t>CEDEAO : l’ECO reste visé pour 2027, le Conseil de convergence accélère le processus - Benin Web TV</w:t>
      </w:r>
      <w:r>
        <w:rPr>
          <w:color w:val="787878"/>
          <w:sz w:val="15"/>
        </w:rPr>
        <w:t xml:space="preserve">  [économique]</w:t>
      </w:r>
      <w:r>
        <w:rPr>
          <w:color w:val="B47800"/>
          <w:sz w:val="16"/>
        </w:rPr>
        <w:t xml:space="preserve">  ★ 50/10</w:t>
      </w:r>
    </w:p>
    <w:p>
      <w:pPr>
        <w:spacing w:before="0" w:after="20"/>
        <w:ind w:left="600"/>
      </w:pPr>
      <w:r>
        <w:rPr>
          <w:color w:val="323232"/>
          <w:sz w:val="17"/>
        </w:rPr>
        <w:t>La CEDEAO maintient son objectif de lancement de la monnaie unique ECO pour 2027. Le Conseil de convergence a accéléré le processus d'intégration monétaire, malgré les défis économiques et politiques. Cette décision vise à renforcer l'intégration régionale et à faciliter les échanges commerciaux entre les États membres.</w:t>
      </w:r>
    </w:p>
    <w:p>
      <w:pPr>
        <w:spacing w:before="0" w:after="40"/>
        <w:ind w:left="600"/>
      </w:pPr>
      <w:r>
        <w:rPr>
          <w:color w:val="00643C"/>
          <w:sz w:val="16"/>
        </w:rPr>
        <w:t>Points clés : Objectif de lancement de l'ECO maintenu pour 2027.  •  Accélération du processus par le Conseil de convergence de la CEDEAO.  •  Volonté de renforcer l'intégration monétaire régionale.</w:t>
      </w:r>
    </w:p>
    <w:p>
      <w:pPr>
        <w:spacing w:before="0" w:after="60"/>
        <w:ind w:left="600"/>
      </w:pPr>
      <w:r>
        <w:rPr>
          <w:color w:val="0064B4"/>
          <w:sz w:val="15"/>
        </w:rPr>
        <w:t>Source : https://news.google.com/rss/articles/CBMipgFBVV95cUxQT21yM2FHZ1BoWmVWTElvbXBid0h</w:t>
      </w:r>
    </w:p>
    <w:p>
      <w:pPr>
        <w:spacing w:before="40" w:after="40"/>
        <w:ind w:left="360"/>
      </w:pPr>
      <w:r>
        <w:rPr>
          <w:color w:val="646464"/>
          <w:sz w:val="17"/>
        </w:rPr>
        <w:t xml:space="preserve">[08/09/2026] 🟢  </w:t>
      </w:r>
      <w:r>
        <w:rPr>
          <w:b/>
          <w:color w:val="008000"/>
          <w:sz w:val="18"/>
        </w:rPr>
        <w:t>CEDEAO: La nouvelle vision pragmatique que compte imprimer Birame Diop à la Commission de l’organisation - Geotribune</w:t>
      </w:r>
      <w:r>
        <w:rPr>
          <w:color w:val="787878"/>
          <w:sz w:val="15"/>
        </w:rPr>
        <w:t xml:space="preserve">  [économique]</w:t>
      </w:r>
      <w:r>
        <w:rPr>
          <w:color w:val="B47800"/>
          <w:sz w:val="16"/>
        </w:rPr>
        <w:t xml:space="preserve">  ★ 50/10</w:t>
      </w:r>
    </w:p>
    <w:p>
      <w:pPr>
        <w:spacing w:before="0" w:after="20"/>
        <w:ind w:left="600"/>
      </w:pPr>
      <w:r>
        <w:rPr>
          <w:color w:val="323232"/>
          <w:sz w:val="17"/>
        </w:rPr>
        <w:t>L'article de Geotribune présente la nouvelle vision pragmatique que Birame Diop souhaite imprimer à la Commission de la CEDEAO. Cette vision semble axée sur une approche plus concrète et efficace pour répondre aux défis économiques et politiques de la région. L'initiative pourrait renforcer la stabilité et l'intégration régionale, ce qui est favora</w:t>
      </w:r>
    </w:p>
    <w:p>
      <w:pPr>
        <w:spacing w:before="0" w:after="40"/>
        <w:ind w:left="600"/>
      </w:pPr>
      <w:r>
        <w:rPr>
          <w:color w:val="00643C"/>
          <w:sz w:val="16"/>
        </w:rPr>
        <w:t>Points clés : Nouvelle vision pragmatique de Birame Diop pour la Commission de la CEDEAO.  •  Objectif probable de renforcer l'intégration économique et la stabilité régionale.</w:t>
      </w:r>
    </w:p>
    <w:p>
      <w:pPr>
        <w:spacing w:before="0" w:after="60"/>
        <w:ind w:left="600"/>
      </w:pPr>
      <w:r>
        <w:rPr>
          <w:color w:val="0064B4"/>
          <w:sz w:val="15"/>
        </w:rPr>
        <w:t>Source : https://news.google.com/rss/articles/CBMi0gFBVV95cUxQWEkxek82T2RtdWdLVkw5bTZ6NEF</w:t>
      </w:r>
    </w:p>
    <w:p>
      <w:pPr>
        <w:spacing w:before="40" w:after="40"/>
        <w:ind w:left="360"/>
      </w:pPr>
      <w:r>
        <w:rPr>
          <w:color w:val="646464"/>
          <w:sz w:val="17"/>
        </w:rPr>
        <w:t xml:space="preserve">[08/09/2026] 🟢  </w:t>
      </w:r>
      <w:r>
        <w:rPr>
          <w:b/>
          <w:color w:val="008000"/>
          <w:sz w:val="18"/>
        </w:rPr>
        <w:t>CEDEAO : le Général Birame Diop appelle à un renouveau de la solidarité régionale - pressafrik.com</w:t>
      </w:r>
      <w:r>
        <w:rPr>
          <w:color w:val="787878"/>
          <w:sz w:val="15"/>
        </w:rPr>
        <w:t xml:space="preserve">  [économique]</w:t>
      </w:r>
      <w:r>
        <w:rPr>
          <w:color w:val="B47800"/>
          <w:sz w:val="16"/>
        </w:rPr>
        <w:t xml:space="preserve">  ★ 50/10</w:t>
      </w:r>
    </w:p>
    <w:p>
      <w:pPr>
        <w:spacing w:before="0" w:after="20"/>
        <w:ind w:left="600"/>
      </w:pPr>
      <w:r>
        <w:rPr>
          <w:color w:val="323232"/>
          <w:sz w:val="17"/>
        </w:rPr>
        <w:t>Le Général Birame Diop, lors d'une intervention sur la CEDEAO, a appelé à un renouveau de la solidarité régionale en Afrique de l'Ouest. Il a souligné l'importance de renforcer la coopération économique et politique entre les États membres pour faire face aux défis communs. Cette déclaration intervient dans un contexte de tensions et de retraits de</w:t>
      </w:r>
    </w:p>
    <w:p>
      <w:pPr>
        <w:spacing w:before="0" w:after="40"/>
        <w:ind w:left="600"/>
      </w:pPr>
      <w:r>
        <w:rPr>
          <w:color w:val="00643C"/>
          <w:sz w:val="16"/>
        </w:rPr>
        <w:t>Points clés : Appel à un renouveau de la solidarité régionale au sein de la CEDEAO.  •  Insistance sur la coopération économique et politique pour surmonter les défis communs.  •  Contexte de tensions régionales et de retraits potentiels de certains États membres.</w:t>
      </w:r>
    </w:p>
    <w:p>
      <w:pPr>
        <w:spacing w:before="0" w:after="60"/>
        <w:ind w:left="600"/>
      </w:pPr>
      <w:r>
        <w:rPr>
          <w:color w:val="0064B4"/>
          <w:sz w:val="15"/>
        </w:rPr>
        <w:t>Source : https://news.google.com/rss/articles/CBMiuwFBVV95cUxOVUJ6YXVtaGRlU2pWaGZ5eFZGWG1</w:t>
      </w:r>
    </w:p>
    <w:p>
      <w:pPr>
        <w:spacing w:before="120" w:after="40"/>
      </w:pPr>
      <w:r>
        <w:rPr>
          <w:b/>
          <w:color w:val="00467F"/>
          <w:sz w:val="20"/>
        </w:rPr>
        <w:t>🔑 matieres_premieres  (4 alerte(s))</w:t>
      </w:r>
    </w:p>
    <w:p>
      <w:pPr>
        <w:spacing w:before="40" w:after="40"/>
        <w:ind w:left="360"/>
      </w:pPr>
      <w:r>
        <w:rPr>
          <w:color w:val="646464"/>
          <w:sz w:val="17"/>
        </w:rPr>
        <w:t xml:space="preserve">[09/09/2026] 🔴  </w:t>
      </w:r>
      <w:r>
        <w:rPr>
          <w:b/>
          <w:color w:val="C00000"/>
          <w:sz w:val="18"/>
        </w:rPr>
        <w:t>Le prix du pétrole franchit la barre des 100 dollars le baril - Les Echos</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a franchi la barre symbolique des 100 dollars le baril, selon un article des Echos. Cette hausse est un événement majeur sur les marchés des matières premières, avec des implications potentielles pour l'économie mondiale. Pour la BRVM, qui dépend fortement des importations de pétrole, cette augmentation pourrait entraîner une hau</w:t>
      </w:r>
    </w:p>
    <w:p>
      <w:pPr>
        <w:spacing w:before="0" w:after="40"/>
        <w:ind w:left="600"/>
      </w:pPr>
      <w:r>
        <w:rPr>
          <w:color w:val="00643C"/>
          <w:sz w:val="16"/>
        </w:rPr>
        <w:t>Points clés : Le prix du pétrole dépasse 100 dollars le baril.  •  Impact potentiel sur les coûts énergétiques et l'inflation en Afrique de l'Ouest.</w:t>
      </w:r>
    </w:p>
    <w:p>
      <w:pPr>
        <w:spacing w:before="0" w:after="60"/>
        <w:ind w:left="600"/>
      </w:pPr>
      <w:r>
        <w:rPr>
          <w:color w:val="0064B4"/>
          <w:sz w:val="15"/>
        </w:rPr>
        <w:t>Source : https://news.google.com/rss/articles/CBMixwFBVV95cUxOQ0gzb3hGeElMRkQxN0ZUNWhOQXZ</w:t>
      </w:r>
    </w:p>
    <w:p>
      <w:pPr>
        <w:spacing w:before="40" w:after="40"/>
        <w:ind w:left="360"/>
      </w:pPr>
      <w:r>
        <w:rPr>
          <w:color w:val="646464"/>
          <w:sz w:val="17"/>
        </w:rPr>
        <w:t xml:space="preserve">[08/09/2026] 🔴  </w:t>
      </w:r>
      <w:r>
        <w:rPr>
          <w:b/>
          <w:color w:val="C00000"/>
          <w:sz w:val="18"/>
        </w:rPr>
        <w:t>Guerre au Moyen-Orient : le prix du diesel atteint un niveau record aux Etats-Unis, la Maison-Blanche s'inquiète - Les E</w:t>
      </w:r>
      <w:r>
        <w:rPr>
          <w:color w:val="787878"/>
          <w:sz w:val="15"/>
        </w:rPr>
        <w:t xml:space="preserve">  [matieres_premieres]</w:t>
      </w:r>
      <w:r>
        <w:rPr>
          <w:color w:val="B47800"/>
          <w:sz w:val="16"/>
        </w:rPr>
        <w:t xml:space="preserve">  ★ 50/10</w:t>
      </w:r>
    </w:p>
    <w:p>
      <w:pPr>
        <w:spacing w:before="0" w:after="20"/>
        <w:ind w:left="600"/>
      </w:pPr>
      <w:r>
        <w:rPr>
          <w:color w:val="323232"/>
          <w:sz w:val="17"/>
        </w:rPr>
        <w:t>L'article rapporte que le prix du diesel aux États-Unis a atteint un niveau record en raison de la guerre au Moyen-Orient, suscitant l'inquiétude de la Maison-Blanche. Cette hausse des prix de l'énergie pourrait avoir des répercussions économiques mondiales, notamment sur les coûts de transport et de production. Les tensions géopolitiques dans la r</w:t>
      </w:r>
    </w:p>
    <w:p>
      <w:pPr>
        <w:spacing w:before="0" w:after="40"/>
        <w:ind w:left="600"/>
      </w:pPr>
      <w:r>
        <w:rPr>
          <w:color w:val="00643C"/>
          <w:sz w:val="16"/>
        </w:rPr>
        <w:t>Points clés : Le prix du diesel aux États-Unis a atteint un niveau record.  •  La guerre au Moyen-Orient est la cause principale de cette hausse.  •  La Maison-Blanche exprime son inquiétude face à cette situation.  •  Les conséquences économiques pourraient être mondiales.</w:t>
      </w:r>
    </w:p>
    <w:p>
      <w:pPr>
        <w:spacing w:before="0" w:after="60"/>
        <w:ind w:left="600"/>
      </w:pPr>
      <w:r>
        <w:rPr>
          <w:color w:val="0064B4"/>
          <w:sz w:val="15"/>
        </w:rPr>
        <w:t>Source : https://news.google.com/rss/articles/CBMi7gFBVV95cUxPblh4ejdOYzNDNlotaEx2TzBJbkV</w:t>
      </w:r>
    </w:p>
    <w:p>
      <w:pPr>
        <w:spacing w:before="40" w:after="40"/>
        <w:ind w:left="360"/>
      </w:pPr>
      <w:r>
        <w:rPr>
          <w:color w:val="646464"/>
          <w:sz w:val="17"/>
        </w:rPr>
        <w:t xml:space="preserve">[08/09/2026] ⚪  </w:t>
      </w:r>
      <w:r>
        <w:rPr>
          <w:b/>
          <w:color w:val="505050"/>
          <w:sz w:val="18"/>
        </w:rPr>
        <w:t>Cacao ivoirien : les raisons du prix de 1200 FCFA/Kg - APAnews - Agence de Presse Africaine</w:t>
      </w:r>
      <w:r>
        <w:rPr>
          <w:color w:val="787878"/>
          <w:sz w:val="15"/>
        </w:rPr>
        <w:t xml:space="preserve">  [matieres_premieres]</w:t>
      </w:r>
      <w:r>
        <w:rPr>
          <w:color w:val="B47800"/>
          <w:sz w:val="16"/>
        </w:rPr>
        <w:t xml:space="preserve">  ★ 50/10</w:t>
      </w:r>
    </w:p>
    <w:p>
      <w:pPr>
        <w:spacing w:before="0" w:after="20"/>
        <w:ind w:left="600"/>
      </w:pPr>
      <w:r>
        <w:rPr>
          <w:color w:val="323232"/>
          <w:sz w:val="17"/>
        </w:rPr>
        <w:t>Le prix du cacao ivoirien est fixé à 1200 FCFA par kilogramme pour la campagne en cours, une décision qui suscite des interrogations. Cette fixation résulte d'un équilibre entre les revenus des producteurs et la compétitivité sur le marché international. Les autorités ivoiriennes justifient ce prix par la nécessité de soutenir les planteurs tout en</w:t>
      </w:r>
    </w:p>
    <w:p>
      <w:pPr>
        <w:spacing w:before="0" w:after="40"/>
        <w:ind w:left="600"/>
      </w:pPr>
      <w:r>
        <w:rPr>
          <w:color w:val="00643C"/>
          <w:sz w:val="16"/>
        </w:rPr>
        <w:t>Points clés : Prix du cacao fixé à 1200 FCFA/kg pour la campagne en cours.  •  Décision motivée par un équilibre entre revenus des producteurs et compétitivité internationale.  •  Impact potentiel sur les économies cacaoyères de l'UEMOA, notamment la Côte d'Ivoire.  •  Mesure visant à soutenir les planteurs tout en maintenant l'attractivité du marché.</w:t>
      </w:r>
    </w:p>
    <w:p>
      <w:pPr>
        <w:spacing w:before="0" w:after="60"/>
        <w:ind w:left="600"/>
      </w:pPr>
      <w:r>
        <w:rPr>
          <w:color w:val="0064B4"/>
          <w:sz w:val="15"/>
        </w:rPr>
        <w:t>Source : https://news.google.com/rss/articles/CBMikAFBVV95cUxPUTZ2TnhVYkM1dHNjYlBIZzhyTWR</w:t>
      </w:r>
    </w:p>
    <w:p>
      <w:pPr>
        <w:spacing w:before="40" w:after="40"/>
        <w:ind w:left="360"/>
      </w:pPr>
      <w:r>
        <w:rPr>
          <w:color w:val="646464"/>
          <w:sz w:val="17"/>
        </w:rPr>
        <w:t xml:space="preserve">[08/09/2026] ⚪  </w:t>
      </w:r>
      <w:r>
        <w:rPr>
          <w:b/>
          <w:color w:val="505050"/>
          <w:sz w:val="18"/>
        </w:rPr>
        <w:t>CACAO : 1200 F CFA/kg, un prix décent qui reflète le niveau des cours mondiaux au moment des ventes - Abidjan.net News</w:t>
      </w:r>
      <w:r>
        <w:rPr>
          <w:color w:val="787878"/>
          <w:sz w:val="15"/>
        </w:rPr>
        <w:t xml:space="preserve">  [matieres_premieres]</w:t>
      </w:r>
      <w:r>
        <w:rPr>
          <w:color w:val="B47800"/>
          <w:sz w:val="16"/>
        </w:rPr>
        <w:t xml:space="preserve">  ★ 50/10</w:t>
      </w:r>
    </w:p>
    <w:p>
      <w:pPr>
        <w:spacing w:before="0" w:after="20"/>
        <w:ind w:left="600"/>
      </w:pPr>
      <w:r>
        <w:rPr>
          <w:color w:val="323232"/>
          <w:sz w:val="17"/>
        </w:rPr>
        <w:t>Le prix du cacao à 1200 F CFA/kg est jugé décent par les acteurs, reflétant les cours mondiaux au moment des ventes. Cette annonce intervient dans un contexte de fluctuations des prix internationaux, mais le niveau actuel est considéré comme acceptable pour les producteurs. L'article souligne que ce prix est en adéquation avec les conditions du mar</w:t>
      </w:r>
    </w:p>
    <w:p>
      <w:pPr>
        <w:spacing w:before="0" w:after="40"/>
        <w:ind w:left="600"/>
      </w:pPr>
      <w:r>
        <w:rPr>
          <w:color w:val="00643C"/>
          <w:sz w:val="16"/>
        </w:rPr>
        <w:t>Points clés : Le prix du cacao est fixé à 1200 F CFA/kg, considéré comme décent.  •  Ce prix reflète les cours mondiaux au moment des ventes.  •  La nouvelle concerne la zone UEMOA, principale région productrice de cacao.</w:t>
      </w:r>
    </w:p>
    <w:p>
      <w:pPr>
        <w:spacing w:before="0" w:after="60"/>
        <w:ind w:left="600"/>
      </w:pPr>
      <w:r>
        <w:rPr>
          <w:color w:val="0064B4"/>
          <w:sz w:val="15"/>
        </w:rPr>
        <w:t>Source : https://news.google.com/rss/articles/CBMi0wFBVV95cUxPVjVCYk12b3VBc3F6a2RwY2JEY0l</w:t>
      </w:r>
    </w:p>
    <w:p>
      <w:pPr>
        <w:spacing w:before="120" w:after="40"/>
      </w:pPr>
      <w:r>
        <w:rPr>
          <w:b/>
          <w:color w:val="00467F"/>
          <w:sz w:val="20"/>
        </w:rPr>
        <w:t>🔑 marche_financier  (2 alerte(s))</w:t>
      </w:r>
    </w:p>
    <w:p>
      <w:pPr>
        <w:spacing w:before="40" w:after="40"/>
        <w:ind w:left="360"/>
      </w:pPr>
      <w:r>
        <w:rPr>
          <w:color w:val="646464"/>
          <w:sz w:val="17"/>
        </w:rPr>
        <w:t xml:space="preserve">[08/09/2026] 🔴  </w:t>
      </w:r>
      <w:r>
        <w:rPr>
          <w:b/>
          <w:color w:val="C00000"/>
          <w:sz w:val="18"/>
        </w:rPr>
        <w:t>Le pétrole cher continue de freiner les marchés financiers - investir.lesechos.fr</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La hausse des prix du pétrole continue de peser sur les marchés financiers mondiaux, en augmentant les coûts pour les entreprises et en alimentant les pressions inflationnistes. Cette situation pourrait conduire à un resserrement monétaire plus agressif de la part des banques centrales, ce qui freinerait la croissance économique. Les investisseurs </w:t>
      </w:r>
    </w:p>
    <w:p>
      <w:pPr>
        <w:spacing w:before="0" w:after="40"/>
        <w:ind w:left="600"/>
      </w:pPr>
      <w:r>
        <w:rPr>
          <w:color w:val="00643C"/>
          <w:sz w:val="16"/>
        </w:rPr>
        <w:t>Points clés : Le pétrole cher augmente les coûts de production et transporte, réduisant les marges des entreprises.  •  Les pressions inflationnistes pourraient forcer les banques centrales à maintenir des taux élevés, pénalisant la croissance.  •  Les marchés financiers mondiaux montrent une tendance baissière ou hésitante en raison de ces incertitudes.</w:t>
      </w:r>
    </w:p>
    <w:p>
      <w:pPr>
        <w:spacing w:before="0" w:after="60"/>
        <w:ind w:left="600"/>
      </w:pPr>
      <w:r>
        <w:rPr>
          <w:color w:val="0064B4"/>
          <w:sz w:val="15"/>
        </w:rPr>
        <w:t>Source : https://news.google.com/rss/articles/CBMiyAFBVV95cUxNSm05TTQtLWYwUi1CakF6eXM5aFZ</w:t>
      </w:r>
    </w:p>
    <w:p>
      <w:pPr>
        <w:spacing w:before="40" w:after="40"/>
        <w:ind w:left="360"/>
      </w:pPr>
      <w:r>
        <w:rPr>
          <w:color w:val="646464"/>
          <w:sz w:val="17"/>
        </w:rPr>
        <w:t xml:space="preserve">[08/09/2026] 🔴  </w:t>
      </w:r>
      <w:r>
        <w:rPr>
          <w:b/>
          <w:color w:val="C00000"/>
          <w:sz w:val="18"/>
        </w:rPr>
        <w:t>Wall Street ouvre dans le désordre, le pétrole inquiète - investir.lesechos.fr</w:t>
      </w:r>
      <w:r>
        <w:rPr>
          <w:color w:val="787878"/>
          <w:sz w:val="15"/>
        </w:rPr>
        <w:t xml:space="preserve">  [marche_financier]</w:t>
      </w:r>
      <w:r>
        <w:rPr>
          <w:color w:val="B47800"/>
          <w:sz w:val="16"/>
        </w:rPr>
        <w:t xml:space="preserve">  ★ 50/10</w:t>
      </w:r>
    </w:p>
    <w:p>
      <w:pPr>
        <w:spacing w:before="0" w:after="20"/>
        <w:ind w:left="600"/>
      </w:pPr>
      <w:r>
        <w:rPr>
          <w:color w:val="323232"/>
          <w:sz w:val="17"/>
        </w:rPr>
        <w:t>Wall Street a ouvert en ordre dispersé, les investisseurs étant préoccupés par la hausse des prix du pétrole qui pourrait alimenter l'inflation et peser sur la croissance économique. Cette incertitude se reflète dans les principaux indices boursiers américains, qui évoluent sans direction claire. Le marché reste attentif aux décisions des banques c</w:t>
      </w:r>
    </w:p>
    <w:p>
      <w:pPr>
        <w:spacing w:before="0" w:after="40"/>
        <w:ind w:left="600"/>
      </w:pPr>
      <w:r>
        <w:rPr>
          <w:color w:val="00643C"/>
          <w:sz w:val="16"/>
        </w:rPr>
        <w:t>Points clés : Ouverture de Wall Street sans tendance claire, en désordre.  •  Le pétrole inquiète les investisseurs en raison de son impact potentiel sur l'inflation.</w:t>
      </w:r>
    </w:p>
    <w:p>
      <w:pPr>
        <w:spacing w:before="0" w:after="60"/>
        <w:ind w:left="600"/>
      </w:pPr>
      <w:r>
        <w:rPr>
          <w:color w:val="0064B4"/>
          <w:sz w:val="15"/>
        </w:rPr>
        <w:t>Source : https://news.google.com/rss/articles/CBMiwwFBVV95cUxQWVRtU0xrdVczeEcteWVPalkybS1</w:t>
      </w:r>
    </w:p>
    <w:p>
      <w:pPr>
        <w:spacing w:before="120" w:after="40"/>
      </w:pPr>
      <w:r>
        <w:rPr>
          <w:b/>
          <w:color w:val="00467F"/>
          <w:sz w:val="20"/>
        </w:rPr>
        <w:t>🔑 politique_monetaire  (4 alerte(s))</w:t>
      </w:r>
    </w:p>
    <w:p>
      <w:pPr>
        <w:spacing w:before="40" w:after="40"/>
        <w:ind w:left="360"/>
      </w:pPr>
      <w:r>
        <w:rPr>
          <w:color w:val="646464"/>
          <w:sz w:val="17"/>
        </w:rPr>
        <w:t xml:space="preserve">[08/09/2026] 🔴  </w:t>
      </w:r>
      <w:r>
        <w:rPr>
          <w:b/>
          <w:color w:val="C00000"/>
          <w:sz w:val="18"/>
        </w:rPr>
        <w:t>La BCE devrait relever ses taux ce jeudi, une catastrophe pour la France ? - Cryptoast</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devrait relever ses taux d'intérêt lors de sa réunion de jeudi, une décision qui pourrait avoir des conséquences économiques importantes pour la France. Cette hausse vise à lutter contre l'inflation, mais elle risque d'alourdir la charge de la dette publique française et de freiner la croissance. L'article de Cry</w:t>
      </w:r>
    </w:p>
    <w:p>
      <w:pPr>
        <w:spacing w:before="0" w:after="40"/>
        <w:ind w:left="600"/>
      </w:pPr>
      <w:r>
        <w:rPr>
          <w:color w:val="00643C"/>
          <w:sz w:val="16"/>
        </w:rPr>
        <w:t>Points clés : La BCE prévoit une hausse des taux d'intérêt ce jeudi pour contrer l'inflation.  •  Cette décision pourrait aggraver la situation budgétaire de la France en augmentant le coût de sa dette.  •  Le resserrement monétaire risque de ralentir l'activité économique en France et dans la zone euro.</w:t>
      </w:r>
    </w:p>
    <w:p>
      <w:pPr>
        <w:spacing w:before="0" w:after="60"/>
        <w:ind w:left="600"/>
      </w:pPr>
      <w:r>
        <w:rPr>
          <w:color w:val="0064B4"/>
          <w:sz w:val="15"/>
        </w:rPr>
        <w:t>Source : https://news.google.com/rss/articles/CBMic0FVX3lxTFBWN2RUWWxSWDdITDRxUndwQ1hqU19</w:t>
      </w:r>
    </w:p>
    <w:p>
      <w:pPr>
        <w:spacing w:before="40" w:after="40"/>
        <w:ind w:left="360"/>
      </w:pPr>
      <w:r>
        <w:rPr>
          <w:color w:val="646464"/>
          <w:sz w:val="17"/>
        </w:rPr>
        <w:t xml:space="preserve">[08/09/2026] ⚪  </w:t>
      </w:r>
      <w:r>
        <w:rPr>
          <w:b/>
          <w:color w:val="505050"/>
          <w:sz w:val="18"/>
        </w:rPr>
        <w:t>CAC 40 : la Bourse attend des précisions sur le détroit d'Ormuz et la BCE devra convaincre - Capital.fr</w:t>
      </w:r>
      <w:r>
        <w:rPr>
          <w:color w:val="787878"/>
          <w:sz w:val="15"/>
        </w:rPr>
        <w:t xml:space="preserve">  [politique_monetaire]</w:t>
      </w:r>
      <w:r>
        <w:rPr>
          <w:color w:val="B47800"/>
          <w:sz w:val="16"/>
        </w:rPr>
        <w:t xml:space="preserve">  ★ 50/10</w:t>
      </w:r>
    </w:p>
    <w:p>
      <w:pPr>
        <w:spacing w:before="0" w:after="20"/>
        <w:ind w:left="600"/>
      </w:pPr>
      <w:r>
        <w:rPr>
          <w:color w:val="323232"/>
          <w:sz w:val="17"/>
        </w:rPr>
        <w:t>L'article de Capital.fr indique que le CAC 40 attend des clarifications géopolitiques concernant le détroit d'Ormuz, tandis que la Banque centrale européenne (BCE) doit convaincre les marchés lors de sa prochaine réunion. Les investisseurs sont dans l'attente de signaux sur la politique monétaire et les tensions au Moyen-Orient, ce qui pourrait inf</w:t>
      </w:r>
    </w:p>
    <w:p>
      <w:pPr>
        <w:spacing w:before="0" w:after="40"/>
        <w:ind w:left="600"/>
      </w:pPr>
      <w:r>
        <w:rPr>
          <w:color w:val="00643C"/>
          <w:sz w:val="16"/>
        </w:rPr>
        <w:t>Points clés : Le CAC 40 est en attente de précisions sur le détroit d'Ormuz, un point géopolitique majeur.  •  La BCE doit convaincre les marchés lors de sa prochaine réunion, probablement sur sa politique monétaire.  •  Les incertitudes géopolitiques et monétaires pourraient accroître la volatilité sur les marchés financiers.</w:t>
      </w:r>
    </w:p>
    <w:p>
      <w:pPr>
        <w:spacing w:before="0" w:after="60"/>
        <w:ind w:left="600"/>
      </w:pPr>
      <w:r>
        <w:rPr>
          <w:color w:val="0064B4"/>
          <w:sz w:val="15"/>
        </w:rPr>
        <w:t>Source : https://news.google.com/rss/articles/CBMi1gFBVV95cUxQLWhSWmwwaDVSYktJMktKd3ZLbHR</w:t>
      </w:r>
    </w:p>
    <w:p>
      <w:pPr>
        <w:spacing w:before="40" w:after="40"/>
        <w:ind w:left="360"/>
      </w:pPr>
      <w:r>
        <w:rPr>
          <w:color w:val="646464"/>
          <w:sz w:val="17"/>
        </w:rPr>
        <w:t xml:space="preserve">[08/09/2026] 🔴  </w:t>
      </w:r>
      <w:r>
        <w:rPr>
          <w:b/>
          <w:color w:val="C00000"/>
          <w:sz w:val="18"/>
        </w:rPr>
        <w:t>La Banque centrale européenne veut poursuivre son resserrement monétaire - journaldunet.com</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annoncé son intention de poursuivre son resserrement monétaire, ce qui implique de nouvelles hausses de taux d'intérêt pour lutter contre l'inflation. Cette politique restrictive pourrait se traduire par un renforcement de l'euro et une hausse des coûts de financement à l'échelle mondiale. Pour la BRVM, cela po</w:t>
      </w:r>
    </w:p>
    <w:p>
      <w:pPr>
        <w:spacing w:before="0" w:after="40"/>
        <w:ind w:left="600"/>
      </w:pPr>
      <w:r>
        <w:rPr>
          <w:color w:val="00643C"/>
          <w:sz w:val="16"/>
        </w:rPr>
        <w:t>Points clés : La BCE maintient sa politique de hausse des taux pour contrer l'inflation.  •  Risque de ralentissement économique en zone euro, avec des effets de contagion possibles.  •  Impact sur les devises liées à l'euro, notamment le franc CFA.  •  Les marchés financiers internationaux pourraient devenir plus volatils.</w:t>
      </w:r>
    </w:p>
    <w:p>
      <w:pPr>
        <w:spacing w:before="0" w:after="60"/>
        <w:ind w:left="600"/>
      </w:pPr>
      <w:r>
        <w:rPr>
          <w:color w:val="0064B4"/>
          <w:sz w:val="15"/>
        </w:rPr>
        <w:t>Source : https://news.google.com/rss/articles/CBMiuwFBVV95cUxPZVRaWHIwR0tyOUxaa3pNNWpTRGd</w:t>
      </w:r>
    </w:p>
    <w:p>
      <w:pPr>
        <w:spacing w:before="40" w:after="40"/>
        <w:ind w:left="360"/>
      </w:pPr>
      <w:r>
        <w:rPr>
          <w:color w:val="646464"/>
          <w:sz w:val="17"/>
        </w:rPr>
        <w:t xml:space="preserve">[08/09/2026] ⚪  </w:t>
      </w:r>
      <w:r>
        <w:rPr>
          <w:b/>
          <w:color w:val="505050"/>
          <w:sz w:val="18"/>
        </w:rPr>
        <w:t>La BCE devrait surveiller les courbes de taux - La Libre.be</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L'article de La Libre.be souligne que la Banque centrale européenne (BCE) devrait surveiller de près les courbes de taux, probablement en raison des tensions sur les marchés obligataires et des risques pour la transmission de la politique monétaire. Cette surveillance pourrait impliquer des ajustements de sa communication ou de ses opérations pour </w:t>
      </w:r>
    </w:p>
    <w:p>
      <w:pPr>
        <w:spacing w:before="0" w:after="40"/>
        <w:ind w:left="600"/>
      </w:pPr>
      <w:r>
        <w:rPr>
          <w:color w:val="00643C"/>
          <w:sz w:val="16"/>
        </w:rPr>
        <w:t>Points clés : La BCE est appelée à surveiller les courbes de taux pour prévenir des tensions excessives.  •  Cette surveillance vise à assurer une transmission efficace de la politique monétaire dans la zone euro.  •  Les courbes de taux reflètent les anticipations d'inflation et de croissance, d'où leur importance pour la BCE.</w:t>
      </w:r>
    </w:p>
    <w:p>
      <w:pPr>
        <w:spacing w:before="0" w:after="60"/>
        <w:ind w:left="600"/>
      </w:pPr>
      <w:r>
        <w:rPr>
          <w:color w:val="0064B4"/>
          <w:sz w:val="15"/>
        </w:rPr>
        <w:t>Source : https://news.google.com/rss/articles/CBMi1gFBVV95cUxQeFB0YUlpSG9wajhiMmJFWDhHaVV</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2,340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39,200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3,090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2,045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6,870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16,900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3,395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17,630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8,575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8,275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7,295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5,595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27</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13,700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28</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29</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7,700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30</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2,840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24,500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38,800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37,700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33,815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21,260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2,335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8,500</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51,100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4,495</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LNBB</w:t>
            </w:r>
          </w:p>
        </w:tc>
        <w:tc>
          <w:tcPr>
            <w:tcW w:type="dxa" w:w="1080"/>
            <w:shd w:fill="FEFEFE" w:val="clear"/>
          </w:tcPr>
          <w:p>
            <w:r>
              <w:rPr>
                <w:sz w:val="16"/>
              </w:rPr>
              <w:t>CONSOMMATION DISCR</w:t>
            </w:r>
          </w:p>
        </w:tc>
        <w:tc>
          <w:tcPr>
            <w:tcW w:type="dxa" w:w="1080"/>
            <w:shd w:fill="FEFEFE" w:val="clear"/>
          </w:tcPr>
          <w:p>
            <w:r>
              <w:rPr>
                <w:sz w:val="16"/>
              </w:rPr>
              <w:t>4,100</w:t>
            </w:r>
          </w:p>
        </w:tc>
        <w:tc>
          <w:tcPr>
            <w:tcW w:type="dxa" w:w="1080"/>
            <w:shd w:fill="FEFEFE" w:val="clear"/>
          </w:tcPr>
          <w:p>
            <w:r>
              <w:rPr>
                <w:b/>
                <w:sz w:val="16"/>
              </w:rPr>
              <w:t>50/100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21,905</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2,340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6,870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1,725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16,900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3,395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8,500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2,340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39,200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2,100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3,090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8,500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2,340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39,200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2,100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3,090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(84.1 &gt; 70) — risque de correction</w:t>
      </w:r>
    </w:p>
    <w:p>
      <w:pPr>
        <w:pStyle w:val="ListBullet"/>
        <w:spacing w:before="20"/>
        <w:ind w:left="400"/>
      </w:pPr>
      <w:r>
        <w:rPr>
          <w:sz w:val="18"/>
        </w:rPr>
        <w:t>⚠️ Cours à 0.0% du plus haut 100j (33,815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(71.3 &gt; 70) — risque de correction</w:t>
      </w:r>
    </w:p>
    <w:p>
      <w:pPr>
        <w:pStyle w:val="ListBullet"/>
        <w:spacing w:before="20"/>
        <w:ind w:left="400"/>
      </w:pPr>
      <w:r>
        <w:rPr>
          <w:sz w:val="18"/>
        </w:rPr>
        <w:t>⚠️ Cours à 2.6%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RSI surachat (82.1 &gt; 70) — risque de correction</w:t>
      </w:r>
    </w:p>
    <w:p>
      <w:pPr>
        <w:pStyle w:val="ListBullet"/>
        <w:spacing w:before="20"/>
        <w:ind w:left="400"/>
      </w:pPr>
      <w:r>
        <w:rPr>
          <w:sz w:val="18"/>
        </w:rPr>
        <w:t>⚠️ Cours à 2.3% du plus haut 100j (3,475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(83.2 &gt; 70) — risque de correction</w:t>
      </w:r>
    </w:p>
    <w:p>
      <w:pPr>
        <w:pStyle w:val="ListBullet"/>
        <w:spacing w:before="20"/>
        <w:ind w:left="400"/>
      </w:pPr>
      <w:r>
        <w:rPr>
          <w:sz w:val="18"/>
        </w:rPr>
        <w:t>⚠️ Cours à 0.0% du plus haut 100j (3,995 FCFA)</w:t>
      </w:r>
    </w:p>
    <w:p>
      <w:pPr>
        <w:spacing w:before="120"/>
      </w:pPr>
      <w:r>
        <w:rPr>
          <w:b/>
          <w:color w:val="0050A0"/>
          <w:sz w:val="20"/>
        </w:rPr>
        <w:t>BOABF — BANK OF AFRICA BURKINA FASO</w:t>
      </w:r>
    </w:p>
    <w:p>
      <w:pPr>
        <w:pStyle w:val="ListBullet"/>
        <w:spacing w:before="20"/>
        <w:ind w:left="400"/>
      </w:pPr>
      <w:r>
        <w:rPr>
          <w:sz w:val="18"/>
        </w:rPr>
        <w:t>🔴 RSI surachat (81.7 &gt; 70) — risque de correction</w:t>
      </w:r>
    </w:p>
    <w:p>
      <w:pPr>
        <w:pStyle w:val="ListBullet"/>
        <w:spacing w:before="20"/>
        <w:ind w:left="400"/>
      </w:pPr>
      <w:r>
        <w:rPr>
          <w:sz w:val="18"/>
        </w:rPr>
        <w:t>⚠️ Cours à 1.5% du plus haut 100j (9,090 FCFA)</w:t>
      </w:r>
    </w:p>
    <w:p>
      <w:pPr>
        <w:spacing w:before="120"/>
      </w:pPr>
      <w:r>
        <w:rPr>
          <w:b/>
          <w:color w:val="0050A0"/>
          <w:sz w:val="20"/>
        </w:rPr>
        <w:t>BOAM — BANK OF AFRICA MALI</w:t>
      </w:r>
    </w:p>
    <w:p>
      <w:pPr>
        <w:pStyle w:val="ListBullet"/>
        <w:spacing w:before="20"/>
        <w:ind w:left="400"/>
      </w:pPr>
      <w:r>
        <w:rPr>
          <w:sz w:val="18"/>
        </w:rPr>
        <w:t>🔴 RSI surachat (74.9 &gt; 70) — risque de correction</w:t>
      </w:r>
    </w:p>
    <w:p>
      <w:pPr>
        <w:pStyle w:val="ListBullet"/>
        <w:spacing w:before="20"/>
        <w:ind w:left="400"/>
      </w:pPr>
      <w:r>
        <w:rPr>
          <w:sz w:val="18"/>
        </w:rPr>
        <w:t>⚠️ Cours à 0.0% du plus haut 100j (6,870 FCFA)</w:t>
      </w:r>
    </w:p>
    <w:p>
      <w:pPr>
        <w:spacing w:before="120"/>
      </w:pPr>
      <w:r>
        <w:rPr>
          <w:b/>
          <w:color w:val="0050A0"/>
          <w:sz w:val="20"/>
        </w:rPr>
        <w:t>CBIBF — CBIBF - CORIS BANK INTERNATIONAL BURKINA FASO</w:t>
      </w:r>
    </w:p>
    <w:p>
      <w:pPr>
        <w:pStyle w:val="ListBullet"/>
        <w:spacing w:before="20"/>
        <w:ind w:left="400"/>
      </w:pPr>
      <w:r>
        <w:rPr>
          <w:sz w:val="18"/>
        </w:rPr>
        <w:t>🔴 RSI surachat (80.8 &gt; 70) — risque de correction</w:t>
      </w:r>
    </w:p>
    <w:p>
      <w:pPr>
        <w:pStyle w:val="ListBullet"/>
        <w:spacing w:before="20"/>
        <w:ind w:left="400"/>
      </w:pPr>
      <w:r>
        <w:rPr>
          <w:sz w:val="18"/>
        </w:rPr>
        <w:t>⚠️ Cours à 1.3% du plus haut 100j (33,450 FCFA)</w:t>
      </w:r>
    </w:p>
    <w:p>
      <w:pPr>
        <w:spacing w:before="120"/>
      </w:pPr>
      <w:r>
        <w:rPr>
          <w:b/>
          <w:color w:val="0050A0"/>
          <w:sz w:val="20"/>
        </w:rPr>
        <w:t>SDCC — SDCC - Société de Distribution d'Eau de Côte d'Ivoire</w:t>
      </w:r>
    </w:p>
    <w:p>
      <w:pPr>
        <w:pStyle w:val="ListBullet"/>
        <w:spacing w:before="20"/>
        <w:ind w:left="400"/>
      </w:pPr>
      <w:r>
        <w:rPr>
          <w:sz w:val="18"/>
        </w:rPr>
        <w:t>🔴 RSI surachat (82.6 &gt; 70) — risque de correction</w:t>
      </w:r>
    </w:p>
    <w:p>
      <w:pPr>
        <w:pStyle w:val="ListBullet"/>
        <w:spacing w:before="20"/>
        <w:ind w:left="400"/>
      </w:pPr>
      <w:r>
        <w:rPr>
          <w:sz w:val="18"/>
        </w:rPr>
        <w:t>⚠️ Cours à 0.1% du plus haut 100j (13,710 FCFA)</w:t>
      </w:r>
    </w:p>
    <w:p>
      <w:pPr>
        <w:spacing w:before="120"/>
      </w:pPr>
      <w:r>
        <w:rPr>
          <w:b/>
          <w:color w:val="0050A0"/>
          <w:sz w:val="20"/>
        </w:rPr>
        <w:t>SHEC — SHEC - VIVO ENERGY COTE D'IVOIRE</w:t>
      </w:r>
    </w:p>
    <w:p>
      <w:pPr>
        <w:pStyle w:val="ListBullet"/>
        <w:spacing w:before="20"/>
        <w:ind w:left="400"/>
      </w:pPr>
      <w:r>
        <w:rPr>
          <w:sz w:val="18"/>
        </w:rPr>
        <w:t>⚠️ Cours à 0.0% du plus haut 100j (2,480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(84.0 &gt; 70) — risque de correction</w:t>
      </w:r>
    </w:p>
    <w:p>
      <w:pPr>
        <w:pStyle w:val="ListBullet"/>
        <w:spacing w:before="20"/>
        <w:ind w:left="400"/>
      </w:pPr>
      <w:r>
        <w:rPr>
          <w:sz w:val="18"/>
        </w:rPr>
        <w:t>⚠️ Cours à 0.6% du plus haut 100j (17,735 FCFA)</w:t>
      </w:r>
    </w:p>
    <w:p>
      <w:pPr>
        <w:spacing w:before="120"/>
      </w:pPr>
      <w:r>
        <w:rPr>
          <w:b/>
          <w:color w:val="0050A0"/>
          <w:sz w:val="20"/>
        </w:rPr>
        <w:t>SNTS — SNTS - SONATEL SN</w:t>
      </w:r>
    </w:p>
    <w:p>
      <w:pPr>
        <w:pStyle w:val="ListBullet"/>
        <w:spacing w:before="20"/>
        <w:ind w:left="400"/>
      </w:pPr>
      <w:r>
        <w:rPr>
          <w:sz w:val="18"/>
        </w:rPr>
        <w:t>🔴 RSI surachat (78.7 &gt; 70) — risque de correction</w:t>
      </w:r>
    </w:p>
    <w:p>
      <w:pPr>
        <w:pStyle w:val="ListBullet"/>
        <w:spacing w:before="20"/>
        <w:ind w:left="400"/>
      </w:pPr>
      <w:r>
        <w:rPr>
          <w:sz w:val="18"/>
        </w:rPr>
        <w:t>⚠️ Cours à 0.0% du plus haut 100j (39,200 FCFA)</w:t>
      </w:r>
    </w:p>
    <w:p>
      <w:pPr>
        <w:spacing w:before="120"/>
      </w:pPr>
      <w:r>
        <w:rPr>
          <w:b/>
          <w:color w:val="0050A0"/>
          <w:sz w:val="20"/>
        </w:rPr>
        <w:t>BICB — BIIC BN - Banque internationale pour le commerce du benin</w:t>
      </w:r>
    </w:p>
    <w:p>
      <w:pPr>
        <w:pStyle w:val="ListBullet"/>
        <w:spacing w:before="20"/>
        <w:ind w:left="400"/>
      </w:pPr>
      <w:r>
        <w:rPr>
          <w:sz w:val="18"/>
        </w:rPr>
        <w:t>🔴 RSI surachat (83.0 &gt; 70) — risque de correction</w:t>
      </w:r>
    </w:p>
    <w:p>
      <w:pPr>
        <w:spacing w:before="120"/>
      </w:pPr>
      <w:r>
        <w:rPr>
          <w:b/>
          <w:color w:val="0050A0"/>
          <w:sz w:val="20"/>
        </w:rPr>
        <w:t>BOAB — BANK OF AFRICA BENIN</w:t>
      </w:r>
    </w:p>
    <w:p>
      <w:pPr>
        <w:pStyle w:val="ListBullet"/>
        <w:spacing w:before="20"/>
        <w:ind w:left="400"/>
      </w:pPr>
      <w:r>
        <w:rPr>
          <w:sz w:val="18"/>
        </w:rPr>
        <w:t>⚠️ Cours à 0.7% du plus haut 100j (10,350 FCFA)</w:t>
      </w:r>
    </w:p>
    <w:p>
      <w:pPr>
        <w:spacing w:before="120"/>
      </w:pPr>
      <w:r>
        <w:rPr>
          <w:b/>
          <w:color w:val="0050A0"/>
          <w:sz w:val="20"/>
        </w:rPr>
        <w:t>BOAC — BANK OF AFRICA COTE D'IVOIRE</w:t>
      </w:r>
    </w:p>
    <w:p>
      <w:pPr>
        <w:pStyle w:val="ListBullet"/>
        <w:spacing w:before="20"/>
        <w:ind w:left="400"/>
      </w:pPr>
      <w:r>
        <w:rPr>
          <w:sz w:val="18"/>
        </w:rPr>
        <w:t>🟢 RSI survente (15.3 &lt; 30) — opportunité potentielle</w:t>
      </w:r>
    </w:p>
    <w:p>
      <w:pPr>
        <w:spacing w:before="120"/>
      </w:pPr>
      <w:r>
        <w:rPr>
          <w:b/>
          <w:color w:val="0050A0"/>
          <w:sz w:val="20"/>
        </w:rPr>
        <w:t>BOAN — BANK OF AFRICA NIGER</w:t>
      </w:r>
    </w:p>
    <w:p>
      <w:pPr>
        <w:pStyle w:val="ListBullet"/>
        <w:spacing w:before="20"/>
        <w:ind w:left="400"/>
      </w:pPr>
      <w:r>
        <w:rPr>
          <w:sz w:val="18"/>
        </w:rPr>
        <w:t>⚠️ Cours à 2.7% du plus haut 100j (5,645 FCFA)</w:t>
      </w:r>
    </w:p>
    <w:p>
      <w:pPr>
        <w:spacing w:before="120"/>
      </w:pPr>
      <w:r>
        <w:rPr>
          <w:b/>
          <w:color w:val="0050A0"/>
          <w:sz w:val="20"/>
        </w:rPr>
        <w:t>CIEC — CIEC - Compagnie Ivoirienne d'Electricité</w:t>
      </w:r>
    </w:p>
    <w:p>
      <w:pPr>
        <w:pStyle w:val="ListBullet"/>
        <w:spacing w:before="20"/>
        <w:ind w:left="400"/>
      </w:pPr>
      <w:r>
        <w:rPr>
          <w:sz w:val="18"/>
        </w:rPr>
        <w:t>⚠️ Cours à 0.0% du plus haut 100j (7,295 FCFA)</w:t>
      </w:r>
    </w:p>
    <w:p>
      <w:pPr>
        <w:spacing w:before="120"/>
      </w:pPr>
      <w:r>
        <w:rPr>
          <w:b/>
          <w:color w:val="0050A0"/>
          <w:sz w:val="20"/>
        </w:rPr>
        <w:t>ECOC — ECOC - ECOBANK COTE D'IVOIRE</w:t>
      </w:r>
    </w:p>
    <w:p>
      <w:pPr>
        <w:pStyle w:val="ListBullet"/>
        <w:spacing w:before="20"/>
        <w:ind w:left="400"/>
      </w:pPr>
      <w:r>
        <w:rPr>
          <w:sz w:val="18"/>
        </w:rPr>
        <w:t>⚠️ Cours à 1.3% du plus haut 100j (17,725 FCFA)</w:t>
      </w:r>
    </w:p>
    <w:p>
      <w:pPr>
        <w:spacing w:before="120"/>
      </w:pPr>
      <w:r>
        <w:rPr>
          <w:b/>
          <w:color w:val="0050A0"/>
          <w:sz w:val="20"/>
        </w:rPr>
        <w:t>NEIC — NEIC - NEI-CEDA CI</w:t>
      </w:r>
    </w:p>
    <w:p>
      <w:pPr>
        <w:pStyle w:val="ListBullet"/>
        <w:spacing w:before="20"/>
        <w:ind w:left="400"/>
      </w:pPr>
      <w:r>
        <w:rPr>
          <w:sz w:val="18"/>
        </w:rPr>
        <w:t>🔴 RSI surachat (83.0 &gt; 70) — risque de correction</w:t>
      </w:r>
    </w:p>
    <w:p>
      <w:pPr>
        <w:spacing w:before="120"/>
      </w:pPr>
      <w:r>
        <w:rPr>
          <w:b/>
          <w:color w:val="0050A0"/>
          <w:sz w:val="20"/>
        </w:rPr>
        <w:t>NSBC — NSBC - NSIA BANQUE COTE D'IVOIRE</w:t>
      </w:r>
    </w:p>
    <w:p>
      <w:pPr>
        <w:pStyle w:val="ListBullet"/>
        <w:spacing w:before="20"/>
        <w:ind w:left="400"/>
      </w:pPr>
      <w:r>
        <w:rPr>
          <w:sz w:val="18"/>
        </w:rPr>
        <w:t>⚠️ Cours à 1.5% du plus haut 100j (24,885 FCFA)</w:t>
      </w:r>
    </w:p>
    <w:p>
      <w:pPr>
        <w:spacing w:before="120"/>
      </w:pPr>
      <w:r>
        <w:rPr>
          <w:b/>
          <w:color w:val="0050A0"/>
          <w:sz w:val="20"/>
        </w:rPr>
        <w:t>ORAC — ORAC - ORANGE COTE D'IVOIRE</w:t>
      </w:r>
    </w:p>
    <w:p>
      <w:pPr>
        <w:pStyle w:val="ListBullet"/>
        <w:spacing w:before="20"/>
        <w:ind w:left="400"/>
      </w:pPr>
      <w:r>
        <w:rPr>
          <w:sz w:val="18"/>
        </w:rPr>
        <w:t>⚠️ Cours à 2.5% du plus haut 100j (21,800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RSI surachat (71.1 &gt; 70) — risque de correction</w:t>
      </w:r>
    </w:p>
    <w:p>
      <w:pPr>
        <w:spacing w:before="120"/>
      </w:pPr>
      <w:r>
        <w:rPr>
          <w:b/>
          <w:color w:val="0050A0"/>
          <w:sz w:val="20"/>
        </w:rPr>
        <w:t>SGBC — SGBC - SOCIETE GENERALE COTE D'IVOIRE</w:t>
      </w:r>
    </w:p>
    <w:p>
      <w:pPr>
        <w:pStyle w:val="ListBullet"/>
        <w:spacing w:before="20"/>
        <w:ind w:left="400"/>
      </w:pPr>
      <w:r>
        <w:rPr>
          <w:sz w:val="18"/>
        </w:rPr>
        <w:t>⚠️ Cours à 1.3% du plus haut 100j (39,300 FCFA)</w:t>
      </w:r>
    </w:p>
    <w:p>
      <w:pPr>
        <w:spacing w:before="120"/>
      </w:pPr>
      <w:r>
        <w:rPr>
          <w:b/>
          <w:color w:val="0050A0"/>
          <w:sz w:val="20"/>
        </w:rPr>
        <w:t>SICC — SICC - SICOR COTE D'IVOIRE</w:t>
      </w:r>
    </w:p>
    <w:p>
      <w:pPr>
        <w:pStyle w:val="ListBullet"/>
        <w:spacing w:before="20"/>
        <w:ind w:left="400"/>
      </w:pPr>
      <w:r>
        <w:rPr>
          <w:sz w:val="18"/>
        </w:rPr>
        <w:t>🟢 RSI survente (28.0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 FORT</w:t>
      </w:r>
    </w:p>
    <w:p>
      <w:pPr>
        <w:spacing w:before="120"/>
      </w:pPr>
      <w:r>
        <w:rPr>
          <w:b/>
          <w:color w:val="0050A0"/>
          <w:sz w:val="20"/>
        </w:rPr>
        <w:t>STAC — STAC - SETAO COTE D'IVOIRE</w:t>
      </w:r>
    </w:p>
    <w:p>
      <w:pPr>
        <w:pStyle w:val="ListBullet"/>
        <w:spacing w:before="20"/>
        <w:ind w:left="400"/>
      </w:pPr>
      <w:r>
        <w:rPr>
          <w:sz w:val="18"/>
        </w:rPr>
        <w:t>⚠️ Cours à 0.0% du plus bas 100j (2,500 FCFA)</w:t>
      </w:r>
    </w:p>
    <w:p>
      <w:pPr>
        <w:spacing w:before="120"/>
      </w:pPr>
      <w:r>
        <w:rPr>
          <w:b/>
          <w:color w:val="0050A0"/>
          <w:sz w:val="20"/>
        </w:rPr>
        <w:t>UNLC — UNLC - UNILEVER COTE D'IVOIRE</w:t>
      </w:r>
    </w:p>
    <w:p>
      <w:pPr>
        <w:pStyle w:val="ListBullet"/>
        <w:spacing w:before="20"/>
        <w:ind w:left="400"/>
      </w:pPr>
      <w:r>
        <w:rPr>
          <w:sz w:val="18"/>
        </w:rPr>
        <w:t>⚠️ Cours à 2.2% du plus bas 100j (50,000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20 société(s) (43%)</w:t>
            </w:r>
          </w:p>
        </w:tc>
        <w:tc>
          <w:tcPr>
            <w:tcW w:type="dxa" w:w="1644"/>
            <w:shd w:fill="FFEB9C" w:val="clear"/>
          </w:tcPr>
          <w:p>
            <w:r>
              <w:rPr>
                <w:b/>
                <w:color w:val="825A00"/>
                <w:sz w:val="19"/>
              </w:rPr>
              <w:t>27 société(s) (57%)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21.8/100</w:t>
            </w:r>
          </w:p>
        </w:tc>
        <w:tc>
          <w:tcPr>
            <w:tcW w:type="dxa" w:w="1644"/>
            <w:shd w:fill="DEEAF1" w:val="clear"/>
          </w:tcPr>
          <w:p>
            <w:r>
              <w:rPr>
                <w:b/>
                <w:color w:val="000000"/>
                <w:sz w:val="19"/>
              </w:rPr>
              <w:t>20.6/100</w:t>
            </w:r>
          </w:p>
        </w:tc>
      </w:tr>
    </w:tbl>
    <w:p/>
    <w:p>
      <w:r>
        <w:rPr>
          <w:i/>
          <w:color w:val="006400"/>
          <w:sz w:val="18"/>
        </w:rPr>
        <w:t>✅ Le marché BRVM présente globalement un profil de risque FAIBLE (score moyen 21.8/100).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#4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12.5/100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12.5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-12.72%  |  Médiane : -8.89%</w:t>
            </w:r>
          </w:p>
        </w:tc>
      </w:tr>
      <w:tr>
        <w:tc>
          <w:tcPr>
            <w:tcW w:type="dxa" w:w="2835"/>
            <w:shd w:fill="DEEAF1" w:val="clear"/>
          </w:tcPr>
          <w:p>
            <w:r>
              <w:rPr>
                <w:b/>
                <w:sz w:val="18"/>
              </w:rPr>
              <w:t>Répartition</w:t>
            </w:r>
          </w:p>
        </w:tc>
        <w:tc>
          <w:tcPr>
            <w:tcW w:type="dxa" w:w="7370"/>
          </w:tcPr>
          <w:p>
            <w:r>
              <w:rPr>
                <w:b/>
                <w:sz w:val="18"/>
              </w:rPr>
              <w:t>📈 8 sociétés en hausse (&gt;+1%)   📉 37 en baisse (&lt;-1%)   ➡️ 2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37 sociétés sur 47 sont orientées à la baisse avec une variation moyenne de -12.72%.</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3,490 FCFA</w:t>
            </w:r>
          </w:p>
        </w:tc>
        <w:tc>
          <w:tcPr>
            <w:tcW w:type="dxa" w:w="1417"/>
            <w:shd w:fill="FFFFFF" w:val="clear"/>
          </w:tcPr>
          <w:p>
            <w:r>
              <w:rPr>
                <w:sz w:val="16"/>
              </w:rPr>
              <w:t>6,065 FCFA</w:t>
            </w:r>
          </w:p>
        </w:tc>
        <w:tc>
          <w:tcPr>
            <w:tcW w:type="dxa" w:w="1134"/>
            <w:shd w:fill="C6EFCE" w:val="clear"/>
          </w:tcPr>
          <w:p>
            <w:r>
              <w:rPr>
                <w:b/>
                <w:color w:val="007800"/>
                <w:sz w:val="16"/>
              </w:rPr>
              <w:t>+73.79%</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24,500 FCFA</w:t>
            </w:r>
          </w:p>
        </w:tc>
        <w:tc>
          <w:tcPr>
            <w:tcW w:type="dxa" w:w="1417"/>
            <w:shd w:fill="FFFFFF" w:val="clear"/>
          </w:tcPr>
          <w:p>
            <w:r>
              <w:rPr>
                <w:sz w:val="16"/>
              </w:rPr>
              <w:t>28,404 FCFA</w:t>
            </w:r>
          </w:p>
        </w:tc>
        <w:tc>
          <w:tcPr>
            <w:tcW w:type="dxa" w:w="1134"/>
            <w:shd w:fill="C6EFCE" w:val="clear"/>
          </w:tcPr>
          <w:p>
            <w:r>
              <w:rPr>
                <w:b/>
                <w:color w:val="007800"/>
                <w:sz w:val="16"/>
              </w:rPr>
              <w:t>+15.94%</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51,100 FCFA</w:t>
            </w:r>
          </w:p>
        </w:tc>
        <w:tc>
          <w:tcPr>
            <w:tcW w:type="dxa" w:w="1417"/>
            <w:shd w:fill="FFFFFF" w:val="clear"/>
          </w:tcPr>
          <w:p>
            <w:r>
              <w:rPr>
                <w:sz w:val="16"/>
              </w:rPr>
              <w:t>58,257 FCFA</w:t>
            </w:r>
          </w:p>
        </w:tc>
        <w:tc>
          <w:tcPr>
            <w:tcW w:type="dxa" w:w="1134"/>
            <w:shd w:fill="C6EFCE" w:val="clear"/>
          </w:tcPr>
          <w:p>
            <w:r>
              <w:rPr>
                <w:b/>
                <w:color w:val="007800"/>
                <w:sz w:val="16"/>
              </w:rPr>
              <w:t>+14.01%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21,905 FCFA</w:t>
            </w:r>
          </w:p>
        </w:tc>
        <w:tc>
          <w:tcPr>
            <w:tcW w:type="dxa" w:w="1417"/>
            <w:shd w:fill="FFFFFF" w:val="clear"/>
          </w:tcPr>
          <w:p>
            <w:r>
              <w:rPr>
                <w:sz w:val="16"/>
              </w:rPr>
              <w:t>24,423 FCFA</w:t>
            </w:r>
          </w:p>
        </w:tc>
        <w:tc>
          <w:tcPr>
            <w:tcW w:type="dxa" w:w="1134"/>
            <w:shd w:fill="C6EFCE" w:val="clear"/>
          </w:tcPr>
          <w:p>
            <w:r>
              <w:rPr>
                <w:b/>
                <w:color w:val="007800"/>
                <w:sz w:val="16"/>
              </w:rPr>
              <w:t>+11.49%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SOGC — SOGC - Société des caoutchoucs de G...</w:t>
            </w:r>
          </w:p>
        </w:tc>
        <w:tc>
          <w:tcPr>
            <w:tcW w:type="dxa" w:w="1701"/>
            <w:shd w:fill="FFFFFF" w:val="clear"/>
          </w:tcPr>
          <w:p>
            <w:r>
              <w:rPr>
                <w:sz w:val="16"/>
              </w:rPr>
              <w:t>CONSOMMATION DE BASE</w:t>
            </w:r>
          </w:p>
        </w:tc>
        <w:tc>
          <w:tcPr>
            <w:tcW w:type="dxa" w:w="1417"/>
            <w:shd w:fill="FFFFFF" w:val="clear"/>
          </w:tcPr>
          <w:p>
            <w:r>
              <w:rPr>
                <w:sz w:val="16"/>
              </w:rPr>
              <w:t>7,700 FCFA</w:t>
            </w:r>
          </w:p>
        </w:tc>
        <w:tc>
          <w:tcPr>
            <w:tcW w:type="dxa" w:w="1417"/>
            <w:shd w:fill="FFFFFF" w:val="clear"/>
          </w:tcPr>
          <w:p>
            <w:r>
              <w:rPr>
                <w:sz w:val="16"/>
              </w:rPr>
              <w:t>8,137 FCFA</w:t>
            </w:r>
          </w:p>
        </w:tc>
        <w:tc>
          <w:tcPr>
            <w:tcW w:type="dxa" w:w="1134"/>
            <w:shd w:fill="C6EFCE" w:val="clear"/>
          </w:tcPr>
          <w:p>
            <w:r>
              <w:rPr>
                <w:b/>
                <w:color w:val="007800"/>
                <w:sz w:val="16"/>
              </w:rPr>
              <w:t>+5.67%</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(+73.8%) — signal potentiellement excessif, à croiser avec l'analyse technique. Trajectoire : 📈 Hausse continue. Cours actuel : 3,490 FCFA → prédit J+10 : 6,065 FCFA. Confiance partielle — les premiers jours sont fiables, les jours lointains moins précis.</w:t>
      </w:r>
    </w:p>
    <w:p>
      <w:pPr>
        <w:pStyle w:val="ListBullet"/>
      </w:pPr>
      <w:r>
        <w:rPr>
          <w:b/>
          <w:color w:val="006400"/>
          <w:sz w:val="18"/>
        </w:rPr>
        <w:t xml:space="preserve">#2 NSBC </w:t>
      </w:r>
      <w:r>
        <w:rPr>
          <w:sz w:val="17"/>
        </w:rPr>
        <w:t>(NSBC - NSIA BANQUE COTE D'IVOIRE) — hausse significative (+15.9%) — potentiel de revalorisation notable. Trajectoire : 📈 Hausse continue. Cours actuel : 24,500 FCFA → prédit J+10 : 28,404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(+14.0%) — potentiel de revalorisation notable. Trajectoire : 📈 Hausse continue. Cours actuel : 51,100 FCFA → prédit J+10 : 58,257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(+11.5%) — potentiel de revalorisation notable. Trajectoire : 📈 Hausse continue. Cours actuel : 21,905 FCFA → prédit J+10 : 24,423 FCFA. ⚠️ Confiance limitée — volatilité élevée ou données insuffisantes. Résultat indicatif uniquement.</w:t>
      </w:r>
    </w:p>
    <w:p>
      <w:pPr>
        <w:pStyle w:val="ListBullet"/>
      </w:pPr>
      <w:r>
        <w:rPr>
          <w:b/>
          <w:color w:val="006400"/>
          <w:sz w:val="18"/>
        </w:rPr>
        <w:t xml:space="preserve">#5 SOGC </w:t>
      </w:r>
      <w:r>
        <w:rPr>
          <w:sz w:val="17"/>
        </w:rPr>
        <w:t>(SOGC - Société des caoutchoucs de Grand-) — hausse modérée (+5.7%) — signal raisonnable et crédible. Trajectoire : 📈 Hausse continue. Cours actuel : 7,700 FCFA → prédit J+10 : 8,137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70 FCFA</w:t>
            </w:r>
          </w:p>
        </w:tc>
        <w:tc>
          <w:tcPr>
            <w:tcW w:type="dxa" w:w="1417"/>
            <w:shd w:fill="FFFFFF" w:val="clear"/>
          </w:tcPr>
          <w:p>
            <w:r>
              <w:rPr>
                <w:sz w:val="16"/>
              </w:rPr>
              <w:t>32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7,295 FCFA</w:t>
            </w:r>
          </w:p>
        </w:tc>
        <w:tc>
          <w:tcPr>
            <w:tcW w:type="dxa" w:w="1417"/>
            <w:shd w:fill="FFFFFF" w:val="clear"/>
          </w:tcPr>
          <w:p>
            <w:r>
              <w:rPr>
                <w:sz w:val="16"/>
              </w:rPr>
              <w:t>3,345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5,595 FCFA</w:t>
            </w:r>
          </w:p>
        </w:tc>
        <w:tc>
          <w:tcPr>
            <w:tcW w:type="dxa" w:w="1417"/>
            <w:shd w:fill="FFFFFF" w:val="clear"/>
          </w:tcPr>
          <w:p>
            <w:r>
              <w:rPr>
                <w:sz w:val="16"/>
              </w:rPr>
              <w:t>2,566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3,500 FCFA</w:t>
            </w:r>
          </w:p>
        </w:tc>
        <w:tc>
          <w:tcPr>
            <w:tcW w:type="dxa" w:w="1417"/>
            <w:shd w:fill="FFFFFF" w:val="clear"/>
          </w:tcPr>
          <w:p>
            <w:r>
              <w:rPr>
                <w:sz w:val="16"/>
              </w:rPr>
              <w:t>1,605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2,840 FCFA</w:t>
            </w:r>
          </w:p>
        </w:tc>
        <w:tc>
          <w:tcPr>
            <w:tcW w:type="dxa" w:w="1417"/>
            <w:shd w:fill="FFFFFF" w:val="clear"/>
          </w:tcPr>
          <w:p>
            <w:r>
              <w:rPr>
                <w:sz w:val="16"/>
              </w:rPr>
              <w:t>1,507 FCFA</w:t>
            </w:r>
          </w:p>
        </w:tc>
        <w:tc>
          <w:tcPr>
            <w:tcW w:type="dxa" w:w="1134"/>
            <w:shd w:fill="FFC7CE" w:val="clear"/>
          </w:tcPr>
          <w:p>
            <w:r>
              <w:rPr>
                <w:b/>
                <w:color w:val="B40000"/>
                <w:sz w:val="16"/>
              </w:rPr>
              <w:t>-46.93%</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70 FCFA → prédit J+10 : 32 FCFA. ⚠️ Confiance limitée — volatilité élevée. Ne pas agir sur ce seul signal.</w:t>
      </w:r>
    </w:p>
    <w:p>
      <w:pPr>
        <w:pStyle w:val="ListBullet"/>
      </w:pPr>
      <w:r>
        <w:rPr>
          <w:b/>
          <w:color w:val="B40000"/>
          <w:sz w:val="18"/>
        </w:rPr>
        <w:t xml:space="preserve">#2 CIEC </w:t>
      </w:r>
      <w:r>
        <w:rPr>
          <w:sz w:val="17"/>
        </w:rPr>
        <w:t>(CIEC - Compagnie Ivoirienne d'Electricit) — baisse très forte (-54.1%) — amplitude potentiellement surestimée par le modèle. Trajectoire : 📉 Baisse continue. Cours actuel : 7,295 FCFA → prédit J+10 : 3,345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5,595 FCFA → prédit J+10 : 2,566 FCFA. ⚠️ Confiance limitée — volatilité élevée. Ne pas agir sur ce seul signal.</w:t>
      </w:r>
    </w:p>
    <w:p>
      <w:pPr>
        <w:pStyle w:val="ListBullet"/>
      </w:pPr>
      <w:r>
        <w:rPr>
          <w:b/>
          <w:color w:val="B40000"/>
          <w:sz w:val="18"/>
        </w:rPr>
        <w:t xml:space="preserve">#4 SCRC </w:t>
      </w:r>
      <w:r>
        <w:rPr>
          <w:sz w:val="17"/>
        </w:rPr>
        <w:t>(SCRC - SUCRIVOIRE) — baisse très forte (-54.1%) — amplitude potentiellement surestimée par le modèle. Trajectoire : 📉 Baisse continue. Cours actuel : 3,500 FCFA → prédit J+10 : 1,605 FCFA. ⚠️ Confiance limitée — volatilité élevée. Ne pas agir sur ce seul signal.</w:t>
      </w:r>
    </w:p>
    <w:p>
      <w:pPr>
        <w:pStyle w:val="ListBullet"/>
      </w:pPr>
      <w:r>
        <w:rPr>
          <w:b/>
          <w:color w:val="B40000"/>
          <w:sz w:val="18"/>
        </w:rPr>
        <w:t xml:space="preserve">#5 NEIC </w:t>
      </w:r>
      <w:r>
        <w:rPr>
          <w:sz w:val="17"/>
        </w:rPr>
        <w:t>(NEIC - NEI-CEDA CI) — baisse très forte (-46.9%) — amplitude potentiellement surestimée par le modèle. Trajectoire : 📉 Baisse continue. Cours actuel : 2,840 FCFA → prédit J+10 : 1,507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3,490</w:t>
            </w:r>
          </w:p>
        </w:tc>
        <w:tc>
          <w:tcPr>
            <w:tcW w:type="dxa" w:w="1417"/>
            <w:shd w:fill="FFFFFF" w:val="clear"/>
          </w:tcPr>
          <w:p>
            <w:r>
              <w:rPr>
                <w:sz w:val="16"/>
              </w:rPr>
              <w:t>6,065</w:t>
            </w:r>
          </w:p>
        </w:tc>
        <w:tc>
          <w:tcPr>
            <w:tcW w:type="dxa" w:w="1134"/>
            <w:shd w:fill="C6EFCE" w:val="clear"/>
          </w:tcPr>
          <w:p>
            <w:r>
              <w:rPr>
                <w:b/>
                <w:color w:val="007800"/>
                <w:sz w:val="16"/>
              </w:rPr>
              <w:t>+73.79%</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24,500</w:t>
            </w:r>
          </w:p>
        </w:tc>
        <w:tc>
          <w:tcPr>
            <w:tcW w:type="dxa" w:w="1417"/>
            <w:shd w:fill="FFFFFF" w:val="clear"/>
          </w:tcPr>
          <w:p>
            <w:r>
              <w:rPr>
                <w:sz w:val="16"/>
              </w:rPr>
              <w:t>28,404</w:t>
            </w:r>
          </w:p>
        </w:tc>
        <w:tc>
          <w:tcPr>
            <w:tcW w:type="dxa" w:w="1134"/>
            <w:shd w:fill="C6EFCE" w:val="clear"/>
          </w:tcPr>
          <w:p>
            <w:r>
              <w:rPr>
                <w:b/>
                <w:color w:val="007800"/>
                <w:sz w:val="16"/>
              </w:rPr>
              <w:t>+15.94%</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51,100</w:t>
            </w:r>
          </w:p>
        </w:tc>
        <w:tc>
          <w:tcPr>
            <w:tcW w:type="dxa" w:w="1417"/>
            <w:shd w:fill="FFFFFF" w:val="clear"/>
          </w:tcPr>
          <w:p>
            <w:r>
              <w:rPr>
                <w:sz w:val="16"/>
              </w:rPr>
              <w:t>58,257</w:t>
            </w:r>
          </w:p>
        </w:tc>
        <w:tc>
          <w:tcPr>
            <w:tcW w:type="dxa" w:w="1134"/>
            <w:shd w:fill="C6EFCE" w:val="clear"/>
          </w:tcPr>
          <w:p>
            <w:r>
              <w:rPr>
                <w:b/>
                <w:color w:val="007800"/>
                <w:sz w:val="16"/>
              </w:rPr>
              <w:t>+14.01%</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21,905</w:t>
            </w:r>
          </w:p>
        </w:tc>
        <w:tc>
          <w:tcPr>
            <w:tcW w:type="dxa" w:w="1417"/>
            <w:shd w:fill="FFFFFF" w:val="clear"/>
          </w:tcPr>
          <w:p>
            <w:r>
              <w:rPr>
                <w:sz w:val="16"/>
              </w:rPr>
              <w:t>24,423</w:t>
            </w:r>
          </w:p>
        </w:tc>
        <w:tc>
          <w:tcPr>
            <w:tcW w:type="dxa" w:w="1134"/>
            <w:shd w:fill="C6EFCE" w:val="clear"/>
          </w:tcPr>
          <w:p>
            <w:r>
              <w:rPr>
                <w:b/>
                <w:color w:val="007800"/>
                <w:sz w:val="16"/>
              </w:rPr>
              <w:t>+11.49%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7,700</w:t>
            </w:r>
          </w:p>
        </w:tc>
        <w:tc>
          <w:tcPr>
            <w:tcW w:type="dxa" w:w="1417"/>
            <w:shd w:fill="FFFFFF" w:val="clear"/>
          </w:tcPr>
          <w:p>
            <w:r>
              <w:rPr>
                <w:sz w:val="16"/>
              </w:rPr>
              <w:t>8,137</w:t>
            </w:r>
          </w:p>
        </w:tc>
        <w:tc>
          <w:tcPr>
            <w:tcW w:type="dxa" w:w="1134"/>
            <w:shd w:fill="C6EFCE" w:val="clear"/>
          </w:tcPr>
          <w:p>
            <w:r>
              <w:rPr>
                <w:b/>
                <w:color w:val="007800"/>
                <w:sz w:val="16"/>
              </w:rPr>
              <w:t>+5.67%</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8,500</w:t>
            </w:r>
          </w:p>
        </w:tc>
        <w:tc>
          <w:tcPr>
            <w:tcW w:type="dxa" w:w="1417"/>
            <w:shd w:fill="FFFFFF" w:val="clear"/>
          </w:tcPr>
          <w:p>
            <w:r>
              <w:rPr>
                <w:sz w:val="16"/>
              </w:rPr>
              <w:t>8,942</w:t>
            </w:r>
          </w:p>
        </w:tc>
        <w:tc>
          <w:tcPr>
            <w:tcW w:type="dxa" w:w="1134"/>
            <w:shd w:fill="C6EFCE" w:val="clear"/>
          </w:tcPr>
          <w:p>
            <w:r>
              <w:rPr>
                <w:b/>
                <w:color w:val="007800"/>
                <w:sz w:val="16"/>
              </w:rPr>
              <w:t>+5.21%</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2,100</w:t>
            </w:r>
          </w:p>
        </w:tc>
        <w:tc>
          <w:tcPr>
            <w:tcW w:type="dxa" w:w="1417"/>
            <w:shd w:fill="FFFFFF" w:val="clear"/>
          </w:tcPr>
          <w:p>
            <w:r>
              <w:rPr>
                <w:sz w:val="16"/>
              </w:rPr>
              <w:t>2,200</w:t>
            </w:r>
          </w:p>
        </w:tc>
        <w:tc>
          <w:tcPr>
            <w:tcW w:type="dxa" w:w="1134"/>
            <w:shd w:fill="C6EFCE" w:val="clear"/>
          </w:tcPr>
          <w:p>
            <w:r>
              <w:rPr>
                <w:b/>
                <w:color w:val="007800"/>
                <w:sz w:val="16"/>
              </w:rPr>
              <w:t>+4.78%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8,575</w:t>
            </w:r>
          </w:p>
        </w:tc>
        <w:tc>
          <w:tcPr>
            <w:tcW w:type="dxa" w:w="1417"/>
            <w:shd w:fill="FFFFFF" w:val="clear"/>
          </w:tcPr>
          <w:p>
            <w:r>
              <w:rPr>
                <w:sz w:val="16"/>
              </w:rPr>
              <w:t>8,749</w:t>
            </w:r>
          </w:p>
        </w:tc>
        <w:tc>
          <w:tcPr>
            <w:tcW w:type="dxa" w:w="1134"/>
            <w:shd w:fill="C6EFCE" w:val="clear"/>
          </w:tcPr>
          <w:p>
            <w:r>
              <w:rPr>
                <w:b/>
                <w:color w:val="007800"/>
                <w:sz w:val="16"/>
              </w:rPr>
              <w:t>+2.03%</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4,100</w:t>
            </w:r>
          </w:p>
        </w:tc>
        <w:tc>
          <w:tcPr>
            <w:tcW w:type="dxa" w:w="1417"/>
            <w:shd w:fill="FFFFFF" w:val="clear"/>
          </w:tcPr>
          <w:p>
            <w:r>
              <w:rPr>
                <w:sz w:val="16"/>
              </w:rPr>
              <w:t>4,135</w:t>
            </w:r>
          </w:p>
        </w:tc>
        <w:tc>
          <w:tcPr>
            <w:tcW w:type="dxa" w:w="1134"/>
            <w:shd w:fill="FFEB9C" w:val="clear"/>
          </w:tcPr>
          <w:p>
            <w:r>
              <w:rPr>
                <w:b/>
                <w:color w:val="646400"/>
                <w:sz w:val="16"/>
              </w:rPr>
              <w:t>+0.86%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2,045</w:t>
            </w:r>
          </w:p>
        </w:tc>
        <w:tc>
          <w:tcPr>
            <w:tcW w:type="dxa" w:w="1417"/>
            <w:shd w:fill="FFFFFF" w:val="clear"/>
          </w:tcPr>
          <w:p>
            <w:r>
              <w:rPr>
                <w:sz w:val="16"/>
              </w:rPr>
              <w:t>2,046</w:t>
            </w:r>
          </w:p>
        </w:tc>
        <w:tc>
          <w:tcPr>
            <w:tcW w:type="dxa" w:w="1134"/>
            <w:shd w:fill="FFEB9C" w:val="clear"/>
          </w:tcPr>
          <w:p>
            <w:r>
              <w:rPr>
                <w:b/>
                <w:color w:val="646400"/>
                <w:sz w:val="16"/>
              </w:rPr>
              <w:t>+0.06%</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37,700</w:t>
            </w:r>
          </w:p>
        </w:tc>
        <w:tc>
          <w:tcPr>
            <w:tcW w:type="dxa" w:w="1417"/>
            <w:shd w:fill="FFFFFF" w:val="clear"/>
          </w:tcPr>
          <w:p>
            <w:r>
              <w:rPr>
                <w:sz w:val="16"/>
              </w:rPr>
              <w:t>37,137</w:t>
            </w:r>
          </w:p>
        </w:tc>
        <w:tc>
          <w:tcPr>
            <w:tcW w:type="dxa" w:w="1134"/>
            <w:shd w:fill="FFC7CE" w:val="clear"/>
          </w:tcPr>
          <w:p>
            <w:r>
              <w:rPr>
                <w:b/>
                <w:color w:val="B40000"/>
                <w:sz w:val="16"/>
              </w:rPr>
              <w:t>-1.49%</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2,817</w:t>
            </w:r>
          </w:p>
        </w:tc>
        <w:tc>
          <w:tcPr>
            <w:tcW w:type="dxa" w:w="1134"/>
            <w:shd w:fill="FFC7CE" w:val="clear"/>
          </w:tcPr>
          <w:p>
            <w:r>
              <w:rPr>
                <w:b/>
                <w:color w:val="B40000"/>
                <w:sz w:val="16"/>
              </w:rPr>
              <w:t>-1.83%</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17,500</w:t>
            </w:r>
          </w:p>
        </w:tc>
        <w:tc>
          <w:tcPr>
            <w:tcW w:type="dxa" w:w="1417"/>
            <w:shd w:fill="FFFFFF" w:val="clear"/>
          </w:tcPr>
          <w:p>
            <w:r>
              <w:rPr>
                <w:sz w:val="16"/>
              </w:rPr>
              <w:t>17,146</w:t>
            </w:r>
          </w:p>
        </w:tc>
        <w:tc>
          <w:tcPr>
            <w:tcW w:type="dxa" w:w="1134"/>
            <w:shd w:fill="FFC7CE" w:val="clear"/>
          </w:tcPr>
          <w:p>
            <w:r>
              <w:rPr>
                <w:b/>
                <w:color w:val="B40000"/>
                <w:sz w:val="16"/>
              </w:rPr>
              <w:t>-2.02%</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3,395</w:t>
            </w:r>
          </w:p>
        </w:tc>
        <w:tc>
          <w:tcPr>
            <w:tcW w:type="dxa" w:w="1417"/>
            <w:shd w:fill="FFFFFF" w:val="clear"/>
          </w:tcPr>
          <w:p>
            <w:r>
              <w:rPr>
                <w:sz w:val="16"/>
              </w:rPr>
              <w:t>3,299</w:t>
            </w:r>
          </w:p>
        </w:tc>
        <w:tc>
          <w:tcPr>
            <w:tcW w:type="dxa" w:w="1134"/>
            <w:shd w:fill="FFC7CE" w:val="clear"/>
          </w:tcPr>
          <w:p>
            <w:r>
              <w:rPr>
                <w:b/>
                <w:color w:val="B40000"/>
                <w:sz w:val="16"/>
              </w:rPr>
              <w:t>-2.84%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5,490</w:t>
            </w:r>
          </w:p>
        </w:tc>
        <w:tc>
          <w:tcPr>
            <w:tcW w:type="dxa" w:w="1417"/>
            <w:shd w:fill="FFFFFF" w:val="clear"/>
          </w:tcPr>
          <w:p>
            <w:r>
              <w:rPr>
                <w:sz w:val="16"/>
              </w:rPr>
              <w:t>5,326</w:t>
            </w:r>
          </w:p>
        </w:tc>
        <w:tc>
          <w:tcPr>
            <w:tcW w:type="dxa" w:w="1134"/>
            <w:shd w:fill="FFC7CE" w:val="clear"/>
          </w:tcPr>
          <w:p>
            <w:r>
              <w:rPr>
                <w:b/>
                <w:color w:val="B40000"/>
                <w:sz w:val="16"/>
              </w:rPr>
              <w:t>-2.98%</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3,240</w:t>
            </w:r>
          </w:p>
        </w:tc>
        <w:tc>
          <w:tcPr>
            <w:tcW w:type="dxa" w:w="1417"/>
            <w:shd w:fill="FFFFFF" w:val="clear"/>
          </w:tcPr>
          <w:p>
            <w:r>
              <w:rPr>
                <w:sz w:val="16"/>
              </w:rPr>
              <w:t>3,139</w:t>
            </w:r>
          </w:p>
        </w:tc>
        <w:tc>
          <w:tcPr>
            <w:tcW w:type="dxa" w:w="1134"/>
            <w:shd w:fill="FFC7CE" w:val="clear"/>
          </w:tcPr>
          <w:p>
            <w:r>
              <w:rPr>
                <w:b/>
                <w:color w:val="B40000"/>
                <w:sz w:val="16"/>
              </w:rPr>
              <w:t>-3.11%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16,356</w:t>
            </w:r>
          </w:p>
        </w:tc>
        <w:tc>
          <w:tcPr>
            <w:tcW w:type="dxa" w:w="1134"/>
            <w:shd w:fill="FFC7CE" w:val="clear"/>
          </w:tcPr>
          <w:p>
            <w:r>
              <w:rPr>
                <w:b/>
                <w:color w:val="B40000"/>
                <w:sz w:val="16"/>
              </w:rPr>
              <w:t>-3.22%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38,800</w:t>
            </w:r>
          </w:p>
        </w:tc>
        <w:tc>
          <w:tcPr>
            <w:tcW w:type="dxa" w:w="1417"/>
            <w:shd w:fill="FFFFFF" w:val="clear"/>
          </w:tcPr>
          <w:p>
            <w:r>
              <w:rPr>
                <w:sz w:val="16"/>
              </w:rPr>
              <w:t>37,516</w:t>
            </w:r>
          </w:p>
        </w:tc>
        <w:tc>
          <w:tcPr>
            <w:tcW w:type="dxa" w:w="1134"/>
            <w:shd w:fill="FFC7CE" w:val="clear"/>
          </w:tcPr>
          <w:p>
            <w:r>
              <w:rPr>
                <w:b/>
                <w:color w:val="B40000"/>
                <w:sz w:val="16"/>
              </w:rPr>
              <w:t>-3.31%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17,630</w:t>
            </w:r>
          </w:p>
        </w:tc>
        <w:tc>
          <w:tcPr>
            <w:tcW w:type="dxa" w:w="1417"/>
            <w:shd w:fill="FFFFFF" w:val="clear"/>
          </w:tcPr>
          <w:p>
            <w:r>
              <w:rPr>
                <w:sz w:val="16"/>
              </w:rPr>
              <w:t>16,760</w:t>
            </w:r>
          </w:p>
        </w:tc>
        <w:tc>
          <w:tcPr>
            <w:tcW w:type="dxa" w:w="1134"/>
            <w:shd w:fill="FFC7CE" w:val="clear"/>
          </w:tcPr>
          <w:p>
            <w:r>
              <w:rPr>
                <w:b/>
                <w:color w:val="B40000"/>
                <w:sz w:val="16"/>
              </w:rPr>
              <w:t>-4.94%</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2,340</w:t>
            </w:r>
          </w:p>
        </w:tc>
        <w:tc>
          <w:tcPr>
            <w:tcW w:type="dxa" w:w="1417"/>
            <w:shd w:fill="FFFFFF" w:val="clear"/>
          </w:tcPr>
          <w:p>
            <w:r>
              <w:rPr>
                <w:sz w:val="16"/>
              </w:rPr>
              <w:t>2,212</w:t>
            </w:r>
          </w:p>
        </w:tc>
        <w:tc>
          <w:tcPr>
            <w:tcW w:type="dxa" w:w="1134"/>
            <w:shd w:fill="FFC7CE" w:val="clear"/>
          </w:tcPr>
          <w:p>
            <w:r>
              <w:rPr>
                <w:b/>
                <w:color w:val="B40000"/>
                <w:sz w:val="16"/>
              </w:rPr>
              <w:t>-5.45%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4,495</w:t>
            </w:r>
          </w:p>
        </w:tc>
        <w:tc>
          <w:tcPr>
            <w:tcW w:type="dxa" w:w="1417"/>
            <w:shd w:fill="FFFFFF" w:val="clear"/>
          </w:tcPr>
          <w:p>
            <w:r>
              <w:rPr>
                <w:sz w:val="16"/>
              </w:rPr>
              <w:t>4,226</w:t>
            </w:r>
          </w:p>
        </w:tc>
        <w:tc>
          <w:tcPr>
            <w:tcW w:type="dxa" w:w="1134"/>
            <w:shd w:fill="FFC7CE" w:val="clear"/>
          </w:tcPr>
          <w:p>
            <w:r>
              <w:rPr>
                <w:b/>
                <w:color w:val="B40000"/>
                <w:sz w:val="16"/>
              </w:rPr>
              <w:t>-5.99%</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39,200</w:t>
            </w:r>
          </w:p>
        </w:tc>
        <w:tc>
          <w:tcPr>
            <w:tcW w:type="dxa" w:w="1417"/>
            <w:shd w:fill="FFFFFF" w:val="clear"/>
          </w:tcPr>
          <w:p>
            <w:r>
              <w:rPr>
                <w:sz w:val="16"/>
              </w:rPr>
              <w:t>36,751</w:t>
            </w:r>
          </w:p>
        </w:tc>
        <w:tc>
          <w:tcPr>
            <w:tcW w:type="dxa" w:w="1134"/>
            <w:shd w:fill="FFC7CE" w:val="clear"/>
          </w:tcPr>
          <w:p>
            <w:r>
              <w:rPr>
                <w:b/>
                <w:color w:val="B40000"/>
                <w:sz w:val="16"/>
              </w:rPr>
              <w:t>-6.25%</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21,260</w:t>
            </w:r>
          </w:p>
        </w:tc>
        <w:tc>
          <w:tcPr>
            <w:tcW w:type="dxa" w:w="1417"/>
            <w:shd w:fill="FFFFFF" w:val="clear"/>
          </w:tcPr>
          <w:p>
            <w:r>
              <w:rPr>
                <w:sz w:val="16"/>
              </w:rPr>
              <w:t>19,731</w:t>
            </w:r>
          </w:p>
        </w:tc>
        <w:tc>
          <w:tcPr>
            <w:tcW w:type="dxa" w:w="1134"/>
            <w:shd w:fill="FFC7CE" w:val="clear"/>
          </w:tcPr>
          <w:p>
            <w:r>
              <w:rPr>
                <w:b/>
                <w:color w:val="B40000"/>
                <w:sz w:val="16"/>
              </w:rPr>
              <w:t>-7.19%</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1,367</w:t>
            </w:r>
          </w:p>
        </w:tc>
        <w:tc>
          <w:tcPr>
            <w:tcW w:type="dxa" w:w="1134"/>
            <w:shd w:fill="FFC7CE" w:val="clear"/>
          </w:tcPr>
          <w:p>
            <w:r>
              <w:rPr>
                <w:b/>
                <w:color w:val="B40000"/>
                <w:sz w:val="16"/>
              </w:rPr>
              <w:t>-8.89%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3,090</w:t>
            </w:r>
          </w:p>
        </w:tc>
        <w:tc>
          <w:tcPr>
            <w:tcW w:type="dxa" w:w="1417"/>
            <w:shd w:fill="FFFFFF" w:val="clear"/>
          </w:tcPr>
          <w:p>
            <w:r>
              <w:rPr>
                <w:sz w:val="16"/>
              </w:rPr>
              <w:t>2,748</w:t>
            </w:r>
          </w:p>
        </w:tc>
        <w:tc>
          <w:tcPr>
            <w:tcW w:type="dxa" w:w="1134"/>
            <w:shd w:fill="FFC7CE" w:val="clear"/>
          </w:tcPr>
          <w:p>
            <w:r>
              <w:rPr>
                <w:b/>
                <w:color w:val="B40000"/>
                <w:sz w:val="16"/>
              </w:rPr>
              <w:t>-11.06%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3,790</w:t>
            </w:r>
          </w:p>
        </w:tc>
        <w:tc>
          <w:tcPr>
            <w:tcW w:type="dxa" w:w="1417"/>
            <w:shd w:fill="FFFFFF" w:val="clear"/>
          </w:tcPr>
          <w:p>
            <w:r>
              <w:rPr>
                <w:sz w:val="16"/>
              </w:rPr>
              <w:t>3,271</w:t>
            </w:r>
          </w:p>
        </w:tc>
        <w:tc>
          <w:tcPr>
            <w:tcW w:type="dxa" w:w="1134"/>
            <w:shd w:fill="FFC7CE" w:val="clear"/>
          </w:tcPr>
          <w:p>
            <w:r>
              <w:rPr>
                <w:b/>
                <w:color w:val="B40000"/>
                <w:sz w:val="16"/>
              </w:rPr>
              <w:t>-13.70%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1,725</w:t>
            </w:r>
          </w:p>
        </w:tc>
        <w:tc>
          <w:tcPr>
            <w:tcW w:type="dxa" w:w="1417"/>
            <w:shd w:fill="FFFFFF" w:val="clear"/>
          </w:tcPr>
          <w:p>
            <w:r>
              <w:rPr>
                <w:sz w:val="16"/>
              </w:rPr>
              <w:t>1,477</w:t>
            </w:r>
          </w:p>
        </w:tc>
        <w:tc>
          <w:tcPr>
            <w:tcW w:type="dxa" w:w="1134"/>
            <w:shd w:fill="FFC7CE" w:val="clear"/>
          </w:tcPr>
          <w:p>
            <w:r>
              <w:rPr>
                <w:b/>
                <w:color w:val="B40000"/>
                <w:sz w:val="16"/>
              </w:rPr>
              <w:t>-14.36%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8,275</w:t>
            </w:r>
          </w:p>
        </w:tc>
        <w:tc>
          <w:tcPr>
            <w:tcW w:type="dxa" w:w="1417"/>
            <w:shd w:fill="FFFFFF" w:val="clear"/>
          </w:tcPr>
          <w:p>
            <w:r>
              <w:rPr>
                <w:sz w:val="16"/>
              </w:rPr>
              <w:t>7,016</w:t>
            </w:r>
          </w:p>
        </w:tc>
        <w:tc>
          <w:tcPr>
            <w:tcW w:type="dxa" w:w="1134"/>
            <w:shd w:fill="FFC7CE" w:val="clear"/>
          </w:tcPr>
          <w:p>
            <w:r>
              <w:rPr>
                <w:b/>
                <w:color w:val="B40000"/>
                <w:sz w:val="16"/>
              </w:rPr>
              <w:t>-15.22%</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33,815</w:t>
            </w:r>
          </w:p>
        </w:tc>
        <w:tc>
          <w:tcPr>
            <w:tcW w:type="dxa" w:w="1417"/>
            <w:shd w:fill="FFFFFF" w:val="clear"/>
          </w:tcPr>
          <w:p>
            <w:r>
              <w:rPr>
                <w:sz w:val="16"/>
              </w:rPr>
              <w:t>28,651</w:t>
            </w:r>
          </w:p>
        </w:tc>
        <w:tc>
          <w:tcPr>
            <w:tcW w:type="dxa" w:w="1134"/>
            <w:shd w:fill="FFC7CE" w:val="clear"/>
          </w:tcPr>
          <w:p>
            <w:r>
              <w:rPr>
                <w:b/>
                <w:color w:val="B40000"/>
                <w:sz w:val="16"/>
              </w:rPr>
              <w:t>-15.27%</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13,700</w:t>
            </w:r>
          </w:p>
        </w:tc>
        <w:tc>
          <w:tcPr>
            <w:tcW w:type="dxa" w:w="1417"/>
            <w:shd w:fill="FFFFFF" w:val="clear"/>
          </w:tcPr>
          <w:p>
            <w:r>
              <w:rPr>
                <w:sz w:val="16"/>
              </w:rPr>
              <w:t>11,495</w:t>
            </w:r>
          </w:p>
        </w:tc>
        <w:tc>
          <w:tcPr>
            <w:tcW w:type="dxa" w:w="1134"/>
            <w:shd w:fill="FFC7CE" w:val="clear"/>
          </w:tcPr>
          <w:p>
            <w:r>
              <w:rPr>
                <w:b/>
                <w:color w:val="B40000"/>
                <w:sz w:val="16"/>
              </w:rPr>
              <w:t>-16.10%</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8,950</w:t>
            </w:r>
          </w:p>
        </w:tc>
        <w:tc>
          <w:tcPr>
            <w:tcW w:type="dxa" w:w="1417"/>
            <w:shd w:fill="FFFFFF" w:val="clear"/>
          </w:tcPr>
          <w:p>
            <w:r>
              <w:rPr>
                <w:sz w:val="16"/>
              </w:rPr>
              <w:t>7,433</w:t>
            </w:r>
          </w:p>
        </w:tc>
        <w:tc>
          <w:tcPr>
            <w:tcW w:type="dxa" w:w="1134"/>
            <w:shd w:fill="FFC7CE" w:val="clear"/>
          </w:tcPr>
          <w:p>
            <w:r>
              <w:rPr>
                <w:b/>
                <w:color w:val="B40000"/>
                <w:sz w:val="16"/>
              </w:rPr>
              <w:t>-16.94%</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8,500</w:t>
            </w:r>
          </w:p>
        </w:tc>
        <w:tc>
          <w:tcPr>
            <w:tcW w:type="dxa" w:w="1417"/>
            <w:shd w:fill="FFFFFF" w:val="clear"/>
          </w:tcPr>
          <w:p>
            <w:r>
              <w:rPr>
                <w:sz w:val="16"/>
              </w:rPr>
              <w:t>7,025</w:t>
            </w:r>
          </w:p>
        </w:tc>
        <w:tc>
          <w:tcPr>
            <w:tcW w:type="dxa" w:w="1134"/>
            <w:shd w:fill="FFC7CE" w:val="clear"/>
          </w:tcPr>
          <w:p>
            <w:r>
              <w:rPr>
                <w:b/>
                <w:color w:val="B40000"/>
                <w:sz w:val="16"/>
              </w:rPr>
              <w:t>-17.36%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10,280</w:t>
            </w:r>
          </w:p>
        </w:tc>
        <w:tc>
          <w:tcPr>
            <w:tcW w:type="dxa" w:w="1417"/>
            <w:shd w:fill="FFFFFF" w:val="clear"/>
          </w:tcPr>
          <w:p>
            <w:r>
              <w:rPr>
                <w:sz w:val="16"/>
              </w:rPr>
              <w:t>8,461</w:t>
            </w:r>
          </w:p>
        </w:tc>
        <w:tc>
          <w:tcPr>
            <w:tcW w:type="dxa" w:w="1134"/>
            <w:shd w:fill="FFC7CE" w:val="clear"/>
          </w:tcPr>
          <w:p>
            <w:r>
              <w:rPr>
                <w:b/>
                <w:color w:val="B40000"/>
                <w:sz w:val="16"/>
              </w:rPr>
              <w:t>-17.69%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3,995</w:t>
            </w:r>
          </w:p>
        </w:tc>
        <w:tc>
          <w:tcPr>
            <w:tcW w:type="dxa" w:w="1417"/>
            <w:shd w:fill="FFFFFF" w:val="clear"/>
          </w:tcPr>
          <w:p>
            <w:r>
              <w:rPr>
                <w:sz w:val="16"/>
              </w:rPr>
              <w:t>3,240</w:t>
            </w:r>
          </w:p>
        </w:tc>
        <w:tc>
          <w:tcPr>
            <w:tcW w:type="dxa" w:w="1134"/>
            <w:shd w:fill="FFC7CE" w:val="clear"/>
          </w:tcPr>
          <w:p>
            <w:r>
              <w:rPr>
                <w:b/>
                <w:color w:val="B40000"/>
                <w:sz w:val="16"/>
              </w:rPr>
              <w:t>-18.90%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6,870</w:t>
            </w:r>
          </w:p>
        </w:tc>
        <w:tc>
          <w:tcPr>
            <w:tcW w:type="dxa" w:w="1417"/>
            <w:shd w:fill="FFFFFF" w:val="clear"/>
          </w:tcPr>
          <w:p>
            <w:r>
              <w:rPr>
                <w:sz w:val="16"/>
              </w:rPr>
              <w:t>5,555</w:t>
            </w:r>
          </w:p>
        </w:tc>
        <w:tc>
          <w:tcPr>
            <w:tcW w:type="dxa" w:w="1134"/>
            <w:shd w:fill="FFC7CE" w:val="clear"/>
          </w:tcPr>
          <w:p>
            <w:r>
              <w:rPr>
                <w:b/>
                <w:color w:val="B40000"/>
                <w:sz w:val="16"/>
              </w:rPr>
              <w:t>-19.14%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7,215</w:t>
            </w:r>
          </w:p>
        </w:tc>
        <w:tc>
          <w:tcPr>
            <w:tcW w:type="dxa" w:w="1134"/>
            <w:shd w:fill="FFC7CE" w:val="clear"/>
          </w:tcPr>
          <w:p>
            <w:r>
              <w:rPr>
                <w:b/>
                <w:color w:val="B40000"/>
                <w:sz w:val="16"/>
              </w:rPr>
              <w:t>-21.58%</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2,335</w:t>
            </w:r>
          </w:p>
        </w:tc>
        <w:tc>
          <w:tcPr>
            <w:tcW w:type="dxa" w:w="1417"/>
            <w:shd w:fill="FFFFFF" w:val="clear"/>
          </w:tcPr>
          <w:p>
            <w:r>
              <w:rPr>
                <w:sz w:val="16"/>
              </w:rPr>
              <w:t>1,822</w:t>
            </w:r>
          </w:p>
        </w:tc>
        <w:tc>
          <w:tcPr>
            <w:tcW w:type="dxa" w:w="1134"/>
            <w:shd w:fill="FFC7CE" w:val="clear"/>
          </w:tcPr>
          <w:p>
            <w:r>
              <w:rPr>
                <w:b/>
                <w:color w:val="B40000"/>
                <w:sz w:val="16"/>
              </w:rPr>
              <w:t>-21.98%</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12,500</w:t>
            </w:r>
          </w:p>
        </w:tc>
        <w:tc>
          <w:tcPr>
            <w:tcW w:type="dxa" w:w="1417"/>
            <w:shd w:fill="FFFFFF" w:val="clear"/>
          </w:tcPr>
          <w:p>
            <w:r>
              <w:rPr>
                <w:sz w:val="16"/>
              </w:rPr>
              <w:t>8,766</w:t>
            </w:r>
          </w:p>
        </w:tc>
        <w:tc>
          <w:tcPr>
            <w:tcW w:type="dxa" w:w="1134"/>
            <w:shd w:fill="FFC7CE" w:val="clear"/>
          </w:tcPr>
          <w:p>
            <w:r>
              <w:rPr>
                <w:b/>
                <w:color w:val="B40000"/>
                <w:sz w:val="16"/>
              </w:rPr>
              <w:t>-29.87%</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2,480</w:t>
            </w:r>
          </w:p>
        </w:tc>
        <w:tc>
          <w:tcPr>
            <w:tcW w:type="dxa" w:w="1417"/>
            <w:shd w:fill="FFFFFF" w:val="clear"/>
          </w:tcPr>
          <w:p>
            <w:r>
              <w:rPr>
                <w:sz w:val="16"/>
              </w:rPr>
              <w:t>1,710</w:t>
            </w:r>
          </w:p>
        </w:tc>
        <w:tc>
          <w:tcPr>
            <w:tcW w:type="dxa" w:w="1134"/>
            <w:shd w:fill="FFC7CE" w:val="clear"/>
          </w:tcPr>
          <w:p>
            <w:r>
              <w:rPr>
                <w:b/>
                <w:color w:val="B40000"/>
                <w:sz w:val="16"/>
              </w:rPr>
              <w:t>-31.05%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2,500</w:t>
            </w:r>
          </w:p>
        </w:tc>
        <w:tc>
          <w:tcPr>
            <w:tcW w:type="dxa" w:w="1417"/>
            <w:shd w:fill="FFFFFF" w:val="clear"/>
          </w:tcPr>
          <w:p>
            <w:r>
              <w:rPr>
                <w:sz w:val="16"/>
              </w:rPr>
              <w:t>1,581</w:t>
            </w:r>
          </w:p>
        </w:tc>
        <w:tc>
          <w:tcPr>
            <w:tcW w:type="dxa" w:w="1134"/>
            <w:shd w:fill="FFC7CE" w:val="clear"/>
          </w:tcPr>
          <w:p>
            <w:r>
              <w:rPr>
                <w:b/>
                <w:color w:val="B40000"/>
                <w:sz w:val="16"/>
              </w:rPr>
              <w:t>-36.76%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10,450</w:t>
            </w:r>
          </w:p>
        </w:tc>
        <w:tc>
          <w:tcPr>
            <w:tcW w:type="dxa" w:w="1417"/>
            <w:shd w:fill="FFFFFF" w:val="clear"/>
          </w:tcPr>
          <w:p>
            <w:r>
              <w:rPr>
                <w:sz w:val="16"/>
              </w:rPr>
              <w:t>5,670</w:t>
            </w:r>
          </w:p>
        </w:tc>
        <w:tc>
          <w:tcPr>
            <w:tcW w:type="dxa" w:w="1134"/>
            <w:shd w:fill="FFC7CE" w:val="clear"/>
          </w:tcPr>
          <w:p>
            <w:r>
              <w:rPr>
                <w:b/>
                <w:color w:val="B40000"/>
                <w:sz w:val="16"/>
              </w:rPr>
              <w:t>-45.74%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33,000</w:t>
            </w:r>
          </w:p>
        </w:tc>
        <w:tc>
          <w:tcPr>
            <w:tcW w:type="dxa" w:w="1417"/>
            <w:shd w:fill="FFFFFF" w:val="clear"/>
          </w:tcPr>
          <w:p>
            <w:r>
              <w:rPr>
                <w:sz w:val="16"/>
              </w:rPr>
              <w:t>17,804</w:t>
            </w:r>
          </w:p>
        </w:tc>
        <w:tc>
          <w:tcPr>
            <w:tcW w:type="dxa" w:w="1134"/>
            <w:shd w:fill="FFC7CE" w:val="clear"/>
          </w:tcPr>
          <w:p>
            <w:r>
              <w:rPr>
                <w:b/>
                <w:color w:val="B40000"/>
                <w:sz w:val="16"/>
              </w:rPr>
              <w:t>-46.05%</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2,840</w:t>
            </w:r>
          </w:p>
        </w:tc>
        <w:tc>
          <w:tcPr>
            <w:tcW w:type="dxa" w:w="1417"/>
            <w:shd w:fill="FFFFFF" w:val="clear"/>
          </w:tcPr>
          <w:p>
            <w:r>
              <w:rPr>
                <w:sz w:val="16"/>
              </w:rPr>
              <w:t>1,507</w:t>
            </w:r>
          </w:p>
        </w:tc>
        <w:tc>
          <w:tcPr>
            <w:tcW w:type="dxa" w:w="1134"/>
            <w:shd w:fill="FFC7CE" w:val="clear"/>
          </w:tcPr>
          <w:p>
            <w:r>
              <w:rPr>
                <w:b/>
                <w:color w:val="B40000"/>
                <w:sz w:val="16"/>
              </w:rPr>
              <w:t>-46.93%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3,500</w:t>
            </w:r>
          </w:p>
        </w:tc>
        <w:tc>
          <w:tcPr>
            <w:tcW w:type="dxa" w:w="1417"/>
            <w:shd w:fill="FFFFFF" w:val="clear"/>
          </w:tcPr>
          <w:p>
            <w:r>
              <w:rPr>
                <w:sz w:val="16"/>
              </w:rPr>
              <w:t>1,605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5,595</w:t>
            </w:r>
          </w:p>
        </w:tc>
        <w:tc>
          <w:tcPr>
            <w:tcW w:type="dxa" w:w="1417"/>
            <w:shd w:fill="FFFFFF" w:val="clear"/>
          </w:tcPr>
          <w:p>
            <w:r>
              <w:rPr>
                <w:sz w:val="16"/>
              </w:rPr>
              <w:t>2,566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7,295</w:t>
            </w:r>
          </w:p>
        </w:tc>
        <w:tc>
          <w:tcPr>
            <w:tcW w:type="dxa" w:w="1417"/>
            <w:shd w:fill="FFFFFF" w:val="clear"/>
          </w:tcPr>
          <w:p>
            <w:r>
              <w:rPr>
                <w:sz w:val="16"/>
              </w:rPr>
              <w:t>3,345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32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3,442 titres</w:t>
            </w:r>
          </w:p>
        </w:tc>
        <w:tc>
          <w:tcPr>
            <w:tcW w:type="dxa" w:w="2268"/>
            <w:shd w:fill="FFF2CC" w:val="clear"/>
          </w:tcPr>
          <w:p>
            <w:r>
              <w:rPr>
                <w:b/>
                <w:color w:val="503200"/>
                <w:sz w:val="16"/>
              </w:rPr>
              <w:t xml:space="preserve">Cours actuel : </w:t>
            </w:r>
            <w:r>
              <w:rPr>
                <w:color w:val="000000"/>
                <w:sz w:val="17"/>
              </w:rPr>
              <w:t>3,995 FCFA</w:t>
            </w:r>
          </w:p>
          <w:p>
            <w:r>
              <w:rPr>
                <w:b/>
                <w:color w:val="503200"/>
                <w:sz w:val="16"/>
              </w:rPr>
              <w:t xml:space="preserve">Var. 100 jours : </w:t>
            </w:r>
            <w:r>
              <w:rPr>
                <w:b/>
                <w:color w:val="007800"/>
                <w:sz w:val="17"/>
              </w:rPr>
              <w:t>+16.47%</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8.74% (Moyenne) — μ=3,237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β=0.3474 (Défensif) — Cov=0.000013, Var(idx)=0.000036, ρ=0.067,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3,688</w:t>
            </w:r>
          </w:p>
        </w:tc>
        <w:tc>
          <w:tcPr>
            <w:tcW w:type="dxa" w:w="1440"/>
            <w:shd w:fill="FFDCE0" w:val="clear"/>
          </w:tcPr>
          <w:p>
            <w:r>
              <w:rPr>
                <w:b/>
                <w:sz w:val="17"/>
              </w:rPr>
              <w:t>3,864</w:t>
            </w:r>
          </w:p>
        </w:tc>
        <w:tc>
          <w:tcPr>
            <w:tcW w:type="dxa" w:w="1440"/>
            <w:shd w:fill="FFDCE0" w:val="clear"/>
          </w:tcPr>
          <w:p>
            <w:r>
              <w:rPr>
                <w:sz w:val="17"/>
              </w:rPr>
              <w:t>4,040</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3,528</w:t>
            </w:r>
          </w:p>
        </w:tc>
        <w:tc>
          <w:tcPr>
            <w:tcW w:type="dxa" w:w="1440"/>
            <w:shd w:fill="FFDCE0" w:val="clear"/>
          </w:tcPr>
          <w:p>
            <w:r>
              <w:rPr>
                <w:b/>
                <w:sz w:val="17"/>
              </w:rPr>
              <w:t>3,771</w:t>
            </w:r>
          </w:p>
        </w:tc>
        <w:tc>
          <w:tcPr>
            <w:tcW w:type="dxa" w:w="1440"/>
            <w:shd w:fill="FFDCE0" w:val="clear"/>
          </w:tcPr>
          <w:p>
            <w:r>
              <w:rPr>
                <w:sz w:val="17"/>
              </w:rPr>
              <w:t>4,014</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3,385</w:t>
            </w:r>
          </w:p>
        </w:tc>
        <w:tc>
          <w:tcPr>
            <w:tcW w:type="dxa" w:w="1440"/>
            <w:shd w:fill="FFDCE0" w:val="clear"/>
          </w:tcPr>
          <w:p>
            <w:r>
              <w:rPr>
                <w:b/>
                <w:sz w:val="17"/>
              </w:rPr>
              <w:t>3,675</w:t>
            </w:r>
          </w:p>
        </w:tc>
        <w:tc>
          <w:tcPr>
            <w:tcW w:type="dxa" w:w="1440"/>
            <w:shd w:fill="FFDCE0" w:val="clear"/>
          </w:tcPr>
          <w:p>
            <w:r>
              <w:rPr>
                <w:sz w:val="17"/>
              </w:rPr>
              <w:t>3,965</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3,266</w:t>
            </w:r>
          </w:p>
        </w:tc>
        <w:tc>
          <w:tcPr>
            <w:tcW w:type="dxa" w:w="1440"/>
            <w:shd w:fill="FFDCE0" w:val="clear"/>
          </w:tcPr>
          <w:p>
            <w:r>
              <w:rPr>
                <w:b/>
                <w:sz w:val="17"/>
              </w:rPr>
              <w:t>3,594</w:t>
            </w:r>
          </w:p>
        </w:tc>
        <w:tc>
          <w:tcPr>
            <w:tcW w:type="dxa" w:w="1440"/>
            <w:shd w:fill="FFDCE0" w:val="clear"/>
          </w:tcPr>
          <w:p>
            <w:r>
              <w:rPr>
                <w:sz w:val="17"/>
              </w:rPr>
              <w:t>3,921</w:t>
            </w:r>
          </w:p>
        </w:tc>
        <w:tc>
          <w:tcPr>
            <w:tcW w:type="dxa" w:w="1440"/>
            <w:shd w:fill="FFDCE0" w:val="clear"/>
          </w:tcPr>
          <w:p>
            <w:r>
              <w:rPr>
                <w:b/>
                <w:color w:val="C00000"/>
                <w:sz w:val="17"/>
              </w:rPr>
              <w:t>-10.0%</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3,163</w:t>
            </w:r>
          </w:p>
        </w:tc>
        <w:tc>
          <w:tcPr>
            <w:tcW w:type="dxa" w:w="1440"/>
            <w:shd w:fill="FFDCE0" w:val="clear"/>
          </w:tcPr>
          <w:p>
            <w:r>
              <w:rPr>
                <w:b/>
                <w:sz w:val="17"/>
              </w:rPr>
              <w:t>3,523</w:t>
            </w:r>
          </w:p>
        </w:tc>
        <w:tc>
          <w:tcPr>
            <w:tcW w:type="dxa" w:w="1440"/>
            <w:shd w:fill="FFDCE0" w:val="clear"/>
          </w:tcPr>
          <w:p>
            <w:r>
              <w:rPr>
                <w:sz w:val="17"/>
              </w:rPr>
              <w:t>3,882</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3,072</w:t>
            </w:r>
          </w:p>
        </w:tc>
        <w:tc>
          <w:tcPr>
            <w:tcW w:type="dxa" w:w="1440"/>
            <w:shd w:fill="FFDCE0" w:val="clear"/>
          </w:tcPr>
          <w:p>
            <w:r>
              <w:rPr>
                <w:b/>
                <w:sz w:val="17"/>
              </w:rPr>
              <w:t>3,458</w:t>
            </w:r>
          </w:p>
        </w:tc>
        <w:tc>
          <w:tcPr>
            <w:tcW w:type="dxa" w:w="1440"/>
            <w:shd w:fill="FFDCE0" w:val="clear"/>
          </w:tcPr>
          <w:p>
            <w:r>
              <w:rPr>
                <w:sz w:val="17"/>
              </w:rPr>
              <w:t>3,844</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2,988</w:t>
            </w:r>
          </w:p>
        </w:tc>
        <w:tc>
          <w:tcPr>
            <w:tcW w:type="dxa" w:w="1440"/>
            <w:shd w:fill="FFDCE0" w:val="clear"/>
          </w:tcPr>
          <w:p>
            <w:r>
              <w:rPr>
                <w:b/>
                <w:sz w:val="17"/>
              </w:rPr>
              <w:t>3,398</w:t>
            </w:r>
          </w:p>
        </w:tc>
        <w:tc>
          <w:tcPr>
            <w:tcW w:type="dxa" w:w="1440"/>
            <w:shd w:fill="FFDCE0" w:val="clear"/>
          </w:tcPr>
          <w:p>
            <w:r>
              <w:rPr>
                <w:sz w:val="17"/>
              </w:rPr>
              <w:t>3,808</w:t>
            </w:r>
          </w:p>
        </w:tc>
        <w:tc>
          <w:tcPr>
            <w:tcW w:type="dxa" w:w="1440"/>
            <w:shd w:fill="FFDCE0" w:val="clear"/>
          </w:tcPr>
          <w:p>
            <w:r>
              <w:rPr>
                <w:b/>
                <w:color w:val="C00000"/>
                <w:sz w:val="17"/>
              </w:rPr>
              <w:t>-14.9%</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2,911</w:t>
            </w:r>
          </w:p>
        </w:tc>
        <w:tc>
          <w:tcPr>
            <w:tcW w:type="dxa" w:w="1440"/>
            <w:shd w:fill="FFDCE0" w:val="clear"/>
          </w:tcPr>
          <w:p>
            <w:r>
              <w:rPr>
                <w:b/>
                <w:sz w:val="17"/>
              </w:rPr>
              <w:t>3,342</w:t>
            </w:r>
          </w:p>
        </w:tc>
        <w:tc>
          <w:tcPr>
            <w:tcW w:type="dxa" w:w="1440"/>
            <w:shd w:fill="FFDCE0" w:val="clear"/>
          </w:tcPr>
          <w:p>
            <w:r>
              <w:rPr>
                <w:sz w:val="17"/>
              </w:rPr>
              <w:t>3,773</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2,840</w:t>
            </w:r>
          </w:p>
        </w:tc>
        <w:tc>
          <w:tcPr>
            <w:tcW w:type="dxa" w:w="1440"/>
            <w:shd w:fill="FFDCE0" w:val="clear"/>
          </w:tcPr>
          <w:p>
            <w:r>
              <w:rPr>
                <w:b/>
                <w:sz w:val="17"/>
              </w:rPr>
              <w:t>3,290</w:t>
            </w:r>
          </w:p>
        </w:tc>
        <w:tc>
          <w:tcPr>
            <w:tcW w:type="dxa" w:w="1440"/>
            <w:shd w:fill="FFDCE0" w:val="clear"/>
          </w:tcPr>
          <w:p>
            <w:r>
              <w:rPr>
                <w:sz w:val="17"/>
              </w:rPr>
              <w:t>3,740</w:t>
            </w:r>
          </w:p>
        </w:tc>
        <w:tc>
          <w:tcPr>
            <w:tcW w:type="dxa" w:w="1440"/>
            <w:shd w:fill="FFDCE0" w:val="clear"/>
          </w:tcPr>
          <w:p>
            <w:r>
              <w:rPr>
                <w:b/>
                <w:color w:val="C00000"/>
                <w:sz w:val="17"/>
              </w:rPr>
              <w:t>-17.7%</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2,773</w:t>
            </w:r>
          </w:p>
        </w:tc>
        <w:tc>
          <w:tcPr>
            <w:tcW w:type="dxa" w:w="1440"/>
            <w:shd w:fill="FFDCE0" w:val="clear"/>
          </w:tcPr>
          <w:p>
            <w:r>
              <w:rPr>
                <w:b/>
                <w:sz w:val="17"/>
              </w:rPr>
              <w:t>3,240</w:t>
            </w:r>
          </w:p>
        </w:tc>
        <w:tc>
          <w:tcPr>
            <w:tcW w:type="dxa" w:w="1440"/>
            <w:shd w:fill="FFDCE0" w:val="clear"/>
          </w:tcPr>
          <w:p>
            <w:r>
              <w:rPr>
                <w:sz w:val="17"/>
              </w:rPr>
              <w:t>3,707</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43,59 milliards FCFA, un niveau significatif pour la cote de la BRVM, reflétant la perception de Servair Abidjan comme une valeur de premier plan dans le secteur des services aéroportuaires. Avec un BPA de 124 FCFA, le titre se négocie à un PER de 32,3x, un niveau extrêmement élevé comparé à la moyenne historique de la BRVM (8-12x), ce qui suggère que le marché intègre des attentes de croissance future très optimistes ou signale une surévaluation. Le P/B de 8,45x confirme cette prime substantielle par rapport aux capitaux propres comptables, indiquant que les investisseurs paient un prix très supérieur à la valeur nette comptable. Enfin, l'EV/EBITDA de 16,7x (&gt;15x) renforce le diagnostic d'une valorisation exigeante, où la valeur totale de l'entreprise (dette incluse) est élevée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 enregistré une progression remarquable de +16,47%, avec une dernière séance en hausse de +0,50% pour clôturer à 3 995 FCFA, son plus haut niveau sur la période. Le cours a évolué dans une fourchette de 2 800 FCFA (plus bas) à 3 995 FCFA (plus haut), démontrant une tendance haussière soutenue. La moyenne du cours (3 237 FCFA) est inférieure à la médiane (3 182 FCFA), et le skewness positif de 0.802 indique une asymétrie avec des journées plus fréquentes sous la moyenne, mais des mouvements de hausse plus amples. L'écart-type de 284 FCFA (CV=8.8%) montre une dispersion modérée autour de la moyenne. Le kurtosis de 0.137 (mésokurtique) suggère une distribution proche de la normale, sans risque de pics extrêmes. Cependant, la volatilité annualisée de 49.3% est très élevée (&gt;30%), signalant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(3 995 FCFA) se situe nettement au-dessus de la MM20 (3 569,25 FCFA) et de la MM50 (3 284 FCFA). Cette configuration haussière, où le prix est supérieur aux moyennes mobiles, confirme une dynamique positive à court et moyen terme, justifiant la décision d'achat.</w:t>
      </w:r>
    </w:p>
    <w:p>
      <w:pPr>
        <w:spacing w:after="120" w:line="276" w:lineRule="auto"/>
      </w:pPr>
      <w:r>
        <w:t>**Bandes de Bollinger** : Le prix évolue près de la borne supérieure (4 162,37 FCFA), indiquant une pression acheteuse forte. La largeur des bandes (borne inférieure à 2 976,13 FCFA) reflète une volatilité élevée. La position du cours sous la borne supérieure sans la toucher génère une décision neutre, suggérant une possible consolidation avant une nouvelle impulsion.</w:t>
      </w:r>
    </w:p>
    <w:p>
      <w:pPr>
        <w:spacing w:after="120" w:line="276" w:lineRule="auto"/>
      </w:pPr>
      <w:r>
        <w:t>**MACD** : La valeur du MACD (214,755) est supérieure à son signal (173,588), avec un écart positif croissant. Cette divergence haussière confirme un momentum positif soutenu, justifiant la décision d'achat.</w:t>
      </w:r>
    </w:p>
    <w:p>
      <w:pPr>
        <w:spacing w:after="120" w:line="276" w:lineRule="auto"/>
      </w:pPr>
      <w:r>
        <w:t>**RSI** : À 83,152, le RSI est en zone de surachat (&gt;70). Cette lecture indique que le titre est survendu à la hausse et qu'un repli technique est probable à court terme, justifiant la décision de vente.</w:t>
      </w:r>
    </w:p>
    <w:p>
      <w:pPr>
        <w:spacing w:after="120" w:line="276" w:lineRule="auto"/>
      </w:pPr>
      <w:r>
        <w:t>**Stochastique** : Le %K (100,0) et le %D (97,436) sont tous deux en zone de surachat extrême (&gt;80), signalant une condition de marché excessivement acheteuse. Cette configuration suggère un essoufflement potentiel du mouvement haussier, justifiant la décision de vente.</w:t>
      </w:r>
    </w:p>
    <w:p>
      <w:pPr>
        <w:spacing w:after="120" w:line="276" w:lineRule="auto"/>
      </w:pPr>
      <w:r>
        <w:t>**Conclusion technique** : Les indicateurs de tendance (MM, MACD) sont clairement haussiers, mais les oscillateurs (RSI, Stochastique) sont en surachat extrême. Cette divergence signale une possible correction à court terme malgré la tendance de fond positive. La prudence est recommandée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Servair Abidjan a réalisé un chiffre d'affaires de 13,298 milliards FCFA (+6,67% vs 2024) et un résultat net de 1,351 milliard FCFA. La rentabilité reste excellente avec un ROE de 26,18% et un ROA de 14,64%. La structure financière est saine avec une autonomie financière de 55,92%, une trésorerie nette de 4,035 milliards FCFA et un BFR très faible de 257 millions FCFA, signe d'une gestion efficace. Les délais clients (70 jours) et fournisseurs (92 jours) sont équilibrés. Cependant, le rapport du T1 2026 (publié en 2026) révèle une **forte dégradation de la rentabilité** : le résultat net chute de 35,6% à 222,6 millions FCFA, impacté par les ajustements de redevances aéroportuaires depuis avril 2025 et un environnement géopolitique difficile. Les rapports de 2025 montrent une tendance contrastée : le CA du T3 2025 était en hausse de +10,3% avec un résultat net en progression de +17,1%, mais le T1 2025 avait déjà subi une baisse de -6,8% du résultat net. La recommandation fondamentale est de **CONSERVER** le titre, car la solidité bilancielle et la position de marché sont défendables, mais la pression sur les marges et les incertitudes réglementaires (litige BCEAO, redevances) constituent des risques significatifs pour la croissance future.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paradoxale pour ABJC. La valorisation (PER 32,3x, P/B 8,45x, EV/EBITDA 16,7x) est extrêmement exigeante, signalant une surévaluation potentielle par rapport aux fondamentaux actuels. Le comportement du cours (+16,47% en 100 jours) est haussier mais avec une volatilité élevée (49,3%) et des statistiques montrant une asymétrie positive. Les signaux techniques sont mitigés : tendance haussière (MM, MACD) mais oscillateurs en surachat extrême (RSI 83,2, Stochastique 100), suggérant un repli imminent. Les fondamentaux montrent une entreprise rentable (ROE 26,2%) mais avec une dégradation récente de la rentabilité (T1 2026 en baisse de 35,6%). Les prédictions IA pour les 10 prochains jours (3 864 à 3 523 FCFA) confirment cette analyse en projetant une correction de -11,8%, en ligne avec les signaux techniques de surachat. **Recommandation finale : VENTE** à court terme pour profiter de la surchauffe technique, avec un niveau de confiance **Moyen** (divergence entre la solidité fondamentale et la valorisation excessive). Le risque global est **Élevé** en raison de la volatilité et des incertitudes réglementaires. Horizon d'investissement optimal : **court terme (&lt;3 mois)** pour les traders opportunistes, mais les investisseurs à long terme devraient attendre un point d'entrée plus favorable sous les 3 500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12,201 titres</w:t>
            </w:r>
          </w:p>
        </w:tc>
        <w:tc>
          <w:tcPr>
            <w:tcW w:type="dxa" w:w="2268"/>
            <w:shd w:fill="FFF2CC" w:val="clear"/>
          </w:tcPr>
          <w:p>
            <w:r>
              <w:rPr>
                <w:b/>
                <w:color w:val="503200"/>
                <w:sz w:val="16"/>
              </w:rPr>
              <w:t xml:space="preserve">Cours actuel : </w:t>
            </w:r>
            <w:r>
              <w:rPr>
                <w:color w:val="000000"/>
                <w:sz w:val="17"/>
              </w:rPr>
              <w:t>10,450 FCFA</w:t>
            </w:r>
          </w:p>
          <w:p>
            <w:r>
              <w:rPr>
                <w:b/>
                <w:color w:val="503200"/>
                <w:sz w:val="16"/>
              </w:rPr>
              <w:t xml:space="preserve">Var. 100 jours : </w:t>
            </w:r>
            <w:r>
              <w:rPr>
                <w:b/>
                <w:color w:val="007800"/>
                <w:sz w:val="17"/>
              </w:rPr>
              <w:t>+103.51%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22.52% (Élevée) — μ=6,511 FCFA, σ=1,466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β=0.4681 (Défensif) — Cov=0.000017, Var(idx)=0.000036, ρ=0.134,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12,201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9,273</w:t>
            </w:r>
          </w:p>
        </w:tc>
        <w:tc>
          <w:tcPr>
            <w:tcW w:type="dxa" w:w="1440"/>
            <w:shd w:fill="FFDCE0" w:val="clear"/>
          </w:tcPr>
          <w:p>
            <w:r>
              <w:rPr>
                <w:b/>
                <w:sz w:val="17"/>
              </w:rPr>
              <w:t>9,666</w:t>
            </w:r>
          </w:p>
        </w:tc>
        <w:tc>
          <w:tcPr>
            <w:tcW w:type="dxa" w:w="1440"/>
            <w:shd w:fill="FFDCE0" w:val="clear"/>
          </w:tcPr>
          <w:p>
            <w:r>
              <w:rPr>
                <w:sz w:val="17"/>
              </w:rPr>
              <w:t>10,060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8,427</w:t>
            </w:r>
          </w:p>
        </w:tc>
        <w:tc>
          <w:tcPr>
            <w:tcW w:type="dxa" w:w="1440"/>
            <w:shd w:fill="FFDCE0" w:val="clear"/>
          </w:tcPr>
          <w:p>
            <w:r>
              <w:rPr>
                <w:b/>
                <w:sz w:val="17"/>
              </w:rPr>
              <w:t>8,941</w:t>
            </w:r>
          </w:p>
        </w:tc>
        <w:tc>
          <w:tcPr>
            <w:tcW w:type="dxa" w:w="1440"/>
            <w:shd w:fill="FFDCE0" w:val="clear"/>
          </w:tcPr>
          <w:p>
            <w:r>
              <w:rPr>
                <w:sz w:val="17"/>
              </w:rPr>
              <w:t>9,456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7,688</w:t>
            </w:r>
          </w:p>
        </w:tc>
        <w:tc>
          <w:tcPr>
            <w:tcW w:type="dxa" w:w="1440"/>
            <w:shd w:fill="FFDCE0" w:val="clear"/>
          </w:tcPr>
          <w:p>
            <w:r>
              <w:rPr>
                <w:b/>
                <w:sz w:val="17"/>
              </w:rPr>
              <w:t>8,271</w:t>
            </w:r>
          </w:p>
        </w:tc>
        <w:tc>
          <w:tcPr>
            <w:tcW w:type="dxa" w:w="1440"/>
            <w:shd w:fill="FFDCE0" w:val="clear"/>
          </w:tcPr>
          <w:p>
            <w:r>
              <w:rPr>
                <w:sz w:val="17"/>
              </w:rPr>
              <w:t>8,854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7,028</w:t>
            </w:r>
          </w:p>
        </w:tc>
        <w:tc>
          <w:tcPr>
            <w:tcW w:type="dxa" w:w="1440"/>
            <w:shd w:fill="FFDCE0" w:val="clear"/>
          </w:tcPr>
          <w:p>
            <w:r>
              <w:rPr>
                <w:b/>
                <w:sz w:val="17"/>
              </w:rPr>
              <w:t>7,650</w:t>
            </w:r>
          </w:p>
        </w:tc>
        <w:tc>
          <w:tcPr>
            <w:tcW w:type="dxa" w:w="1440"/>
            <w:shd w:fill="FFDCE0" w:val="clear"/>
          </w:tcPr>
          <w:p>
            <w:r>
              <w:rPr>
                <w:sz w:val="17"/>
              </w:rPr>
              <w:t>8,273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6,432</w:t>
            </w:r>
          </w:p>
        </w:tc>
        <w:tc>
          <w:tcPr>
            <w:tcW w:type="dxa" w:w="1440"/>
            <w:shd w:fill="FFDCE0" w:val="clear"/>
          </w:tcPr>
          <w:p>
            <w:r>
              <w:rPr>
                <w:b/>
                <w:sz w:val="17"/>
              </w:rPr>
              <w:t>7,077</w:t>
            </w:r>
          </w:p>
        </w:tc>
        <w:tc>
          <w:tcPr>
            <w:tcW w:type="dxa" w:w="1440"/>
            <w:shd w:fill="FFDCE0" w:val="clear"/>
          </w:tcPr>
          <w:p>
            <w:r>
              <w:rPr>
                <w:sz w:val="17"/>
              </w:rPr>
              <w:t>7,721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5,893</w:t>
            </w:r>
          </w:p>
        </w:tc>
        <w:tc>
          <w:tcPr>
            <w:tcW w:type="dxa" w:w="1440"/>
            <w:shd w:fill="FFDCE0" w:val="clear"/>
          </w:tcPr>
          <w:p>
            <w:r>
              <w:rPr>
                <w:b/>
                <w:sz w:val="17"/>
              </w:rPr>
              <w:t>6,546</w:t>
            </w:r>
          </w:p>
        </w:tc>
        <w:tc>
          <w:tcPr>
            <w:tcW w:type="dxa" w:w="1440"/>
            <w:shd w:fill="FFDCE0" w:val="clear"/>
          </w:tcPr>
          <w:p>
            <w:r>
              <w:rPr>
                <w:sz w:val="17"/>
              </w:rPr>
              <w:t>7,199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5,403</w:t>
            </w:r>
          </w:p>
        </w:tc>
        <w:tc>
          <w:tcPr>
            <w:tcW w:type="dxa" w:w="1440"/>
            <w:shd w:fill="FFDCE0" w:val="clear"/>
          </w:tcPr>
          <w:p>
            <w:r>
              <w:rPr>
                <w:b/>
                <w:sz w:val="17"/>
              </w:rPr>
              <w:t>6,055</w:t>
            </w:r>
          </w:p>
        </w:tc>
        <w:tc>
          <w:tcPr>
            <w:tcW w:type="dxa" w:w="1440"/>
            <w:shd w:fill="FFDCE0" w:val="clear"/>
          </w:tcPr>
          <w:p>
            <w:r>
              <w:rPr>
                <w:sz w:val="17"/>
              </w:rPr>
              <w:t>6,707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5,221</w:t>
            </w:r>
          </w:p>
        </w:tc>
        <w:tc>
          <w:tcPr>
            <w:tcW w:type="dxa" w:w="1440"/>
            <w:shd w:fill="FFDCE0" w:val="clear"/>
          </w:tcPr>
          <w:p>
            <w:r>
              <w:rPr>
                <w:b/>
                <w:sz w:val="17"/>
              </w:rPr>
              <w:t>5,901</w:t>
            </w:r>
          </w:p>
        </w:tc>
        <w:tc>
          <w:tcPr>
            <w:tcW w:type="dxa" w:w="1440"/>
            <w:shd w:fill="FFDCE0" w:val="clear"/>
          </w:tcPr>
          <w:p>
            <w:r>
              <w:rPr>
                <w:sz w:val="17"/>
              </w:rPr>
              <w:t>6,580</w:t>
            </w:r>
          </w:p>
        </w:tc>
        <w:tc>
          <w:tcPr>
            <w:tcW w:type="dxa" w:w="1440"/>
            <w:shd w:fill="FFDCE0" w:val="clear"/>
          </w:tcPr>
          <w:p>
            <w:r>
              <w:rPr>
                <w:b/>
                <w:color w:val="C00000"/>
                <w:sz w:val="17"/>
              </w:rPr>
              <w:t>-43.5%</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5,071</w:t>
            </w:r>
          </w:p>
        </w:tc>
        <w:tc>
          <w:tcPr>
            <w:tcW w:type="dxa" w:w="1440"/>
            <w:shd w:fill="FFDCE0" w:val="clear"/>
          </w:tcPr>
          <w:p>
            <w:r>
              <w:rPr>
                <w:b/>
                <w:sz w:val="17"/>
              </w:rPr>
              <w:t>5,777</w:t>
            </w:r>
          </w:p>
        </w:tc>
        <w:tc>
          <w:tcPr>
            <w:tcW w:type="dxa" w:w="1440"/>
            <w:shd w:fill="FFDCE0" w:val="clear"/>
          </w:tcPr>
          <w:p>
            <w:r>
              <w:rPr>
                <w:sz w:val="17"/>
              </w:rPr>
              <w:t>6,482</w:t>
            </w:r>
          </w:p>
        </w:tc>
        <w:tc>
          <w:tcPr>
            <w:tcW w:type="dxa" w:w="1440"/>
            <w:shd w:fill="FFDCE0" w:val="clear"/>
          </w:tcPr>
          <w:p>
            <w:r>
              <w:rPr>
                <w:b/>
                <w:color w:val="C00000"/>
                <w:sz w:val="17"/>
              </w:rPr>
              <w:t>-44.7%</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4,940</w:t>
            </w:r>
          </w:p>
        </w:tc>
        <w:tc>
          <w:tcPr>
            <w:tcW w:type="dxa" w:w="1440"/>
            <w:shd w:fill="FFDCE0" w:val="clear"/>
          </w:tcPr>
          <w:p>
            <w:r>
              <w:rPr>
                <w:b/>
                <w:sz w:val="17"/>
              </w:rPr>
              <w:t>5,670</w:t>
            </w:r>
          </w:p>
        </w:tc>
        <w:tc>
          <w:tcPr>
            <w:tcW w:type="dxa" w:w="1440"/>
            <w:shd w:fill="FFDCE0" w:val="clear"/>
          </w:tcPr>
          <w:p>
            <w:r>
              <w:rPr>
                <w:sz w:val="17"/>
              </w:rPr>
              <w:t>6,400</w:t>
            </w:r>
          </w:p>
        </w:tc>
        <w:tc>
          <w:tcPr>
            <w:tcW w:type="dxa" w:w="1440"/>
            <w:shd w:fill="FFDCE0" w:val="clear"/>
          </w:tcPr>
          <w:p>
            <w:r>
              <w:rPr>
                <w:b/>
                <w:color w:val="C00000"/>
                <w:sz w:val="17"/>
              </w:rPr>
              <w:t>-45.7%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08 septembre 2026**</w:t>
        <w:br/>
        <w:t>**Cours de référence : 10 450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BICB s'établit à 603,59 milliards FCFA, ce qui en fait l'une des capitalisations les plus significatives de la BRVM, reflétant la confiance des investisseurs dans le secteur bancaire béninois. Avec un BPA de 627 FCFA, le titre se négocie à un PER de 16,7x, nettement supérieur à la moyenne historique de la BRVM (8-12x), indiquant que les investisseurs paient une prime substantielle pour la croissance future de la banque. Le P/B de 4,47x confirme cette prime, le marché valorisant le titre à plus de quatre fois sa valeur comptable, ce qui est exigeant et reflète des attentes de rentabilité élevée. Enfin, l'EV/EBITDA de 27,0x est très élevé, signalant une valorisation qui intègre une performance opérationnelle future exceptionnelle. Ces ratios suggèrent que le marché a déjà largement anticipé les bonnes nouvelles,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connu une progression spectaculaire de +103,51%, passant d'un plus bas de 5 100 FCFA à un plus haut de 10 790 FCFA, avant de clôturer à 10 450 FCFA, enregistrant une baisse de -3,15% lors de la dernière séance. Cette tendance est fortement haussière, mais la récente correction suggère un possible essoufflement. La moyenne du cours sur la période (6 511 FCFA) est nettement inférieure à la médiane (5 875 FCFA) et au cours actuel, ce qui, combiné à un skewness positif de 1.036, indique une distribution asymétrique avec des jours de forte hausse concentrés en fin de période. L'écart-type de 1 474 FCFA (CV=22,6%) montre une dispersion modérée, tandis que le kurtosis proche de zéro (0.138) suggère une distribution mésokurtique, sans risque de pics extrêmes particulier. La volatilité annualisée de 33,9% classe le titre comme très volatil, un niveau élevé qui reflète l'ampleur du mouvement haussier récent.</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(10 450 FCFA) évolue nettement au-dessus de sa MM20 (8 921 FCFA) et de sa MM50 (7 655,8 FCFA). Cette configuration, avec des moyennes mobiles orientées à la hausse, confirme une tendance haussière de moyen terme. La décision d'achat est justifiée par la vigueur de la tendance, mais l'écart important entre le cours et les moyennes indique une possible surenchère à court terme.</w:t>
      </w:r>
    </w:p>
    <w:p>
      <w:pPr>
        <w:spacing w:after="120" w:line="276" w:lineRule="auto"/>
      </w:pPr>
      <w:r>
        <w:t>**Bandes de Bollinger**: Le cours se situe à 10 450 FCFA, très proche de la borne supérieure (10 663 FCFA) et loin de la borne inférieure (7 178,97 FCFA). Cette position indique une pression acheteuse forte et une volatilité élevée. La décision "Neutre" est pertinente car, bien que la tendance soit haussière, le titre est en zone de surachat technique, ce qui pourrait précéder un repli vers la moyenne mobile.</w:t>
      </w:r>
    </w:p>
    <w:p>
      <w:pPr>
        <w:spacing w:after="120" w:line="276" w:lineRule="auto"/>
      </w:pPr>
      <w:r>
        <w:t>**MACD**: Le MACD (779,789) est nettement supérieur à son signal (614,302), avec les deux indicateurs en territoire positif. Cette configuration haussière confirme la dynamique positive du titre. La décision d'achat est justifiée par la vigueur du momentum, mais l'écart important entre le MACD et son signal peut signaler une exubérance excessive qui pourrait se corriger.</w:t>
      </w:r>
    </w:p>
    <w:p>
      <w:pPr>
        <w:spacing w:after="120" w:line="276" w:lineRule="auto"/>
      </w:pPr>
      <w:r>
        <w:t>**RSI**: Le RSI s'établit à 83,002, une valeur très élevée, bien au-delà du seuil de surachat de 70. Cette situation indique que le titre est massivement suracheté et qu'un retour à la normale est statistiquement probable. La décision de vente est donc cohérente, car elle anticipe une correction technique après une hausse aussi rapide.</w:t>
      </w:r>
    </w:p>
    <w:p>
      <w:pPr>
        <w:spacing w:after="120" w:line="276" w:lineRule="auto"/>
      </w:pPr>
      <w:r>
        <w:t>**Stochastique**: Le %K (86,873) est inférieur au %D (95,624), ce qui indique un croisement baissier potentiel en zone de surachat. Cette configuration suggère un affaiblissement du momentum haussier. La décision de vente est justifiée, car elle signale que les acheteurs perdent de leur vigueur et qu'un repli est probable à court terme.</w:t>
      </w:r>
    </w:p>
    <w:p>
      <w:pPr>
        <w:spacing w:after="120" w:line="276" w:lineRule="auto"/>
      </w:pPr>
      <w:r>
        <w:t>**Conclusion technique**: Les indicateurs de tendance (MM, MACD) sont positifs et confirment une dynamique haussière de fond. Cependant, les oscillateurs (RSI, Stochastique) sont en zone de surachat extrême, signalant une correction technique imminente. La prudence est de mise à court terme, mais la tendance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En 2025, la BICB (dénommée BIIC) affiche des performances financières solides, avec un Produit Net Bancaire (PNB) de 52,805 milliards FCFA, en hausse de 16,5% par rapport à 2024, et un résultat net de 36,237 milliards FCFA, en progression de 24,7%. La banque démontre une excellente rentabilité avec un ROE de 26,8% et un ROA de 1,96%, bien au-dessus des moyennes sectorielles. Le coefficient d'exploitation de 31,1% témoigne d'une gestion opérationnelle très efficace. Cependant, le coût du risque de 9,61% est un point de vigilance, indiquant une dégradation de la qualité du portefeuille de crédits, qui a connu une croissance rapide de 37,3% en 2025. Les rapports trimestriels de 2025 (S1 et T3) confirment cette tendance : le résultat net a baissé de 26,7% au S1 et de 9% au T3, en raison d'une explosion du coût du risque. En revanche, le rapport du T1 2026 montre un net rebond, avec un résultat net en hausse de 48% à 8,0 milliards FCFA, suggérant une normalisation du risque. Sur la base de ces données, on estime que l'exercice 2026 pourrait voir une amélioration de la rentabilité si la qualité du crédit se stabilise. La banque affiche une solidité financière remarquable, mais la gestion du risque de crédit reste le défi majeur pour soutenir sa croissance future.</w:t>
      </w:r>
    </w:p>
    <w:p>
      <w:pPr>
        <w:spacing w:after="120" w:line="276" w:lineRule="auto"/>
      </w:pPr>
      <w:r>
        <w:t>---</w:t>
      </w:r>
    </w:p>
    <w:p>
      <w:pPr>
        <w:spacing w:after="120" w:line="276" w:lineRule="auto"/>
      </w:pPr>
      <w:r>
        <w:t>### PARTIE 4 : CONCLUSION D'INVESTISSEMENT</w:t>
      </w:r>
    </w:p>
    <w:p>
      <w:pPr>
        <w:spacing w:after="120" w:line="276" w:lineRule="auto"/>
      </w:pPr>
      <w:r>
        <w:t>La valorisation de la BICB est exigeante, avec un PER de 16,7x et un P/B de 4,47x, indiquant que le marché a déjà intégré des perspectives de croissance très positives. Le comportement du cours, avec une hausse de plus de 100% en 100 jours, est spectaculaire mais a conduit à une volatilité élevée (33,9%) et à des conditions de surachat technique extrême. Les signaux techniques sont mitigés : la tendance de fond reste haussière (MM, MACD), mais les oscillateurs (RSI à 83, Stochastique) signalent une correction imminente. Les fondamentaux sont solides, avec une croissance du PNB et du résultat net en 2025, mais la qualité du crédit est un risque majeur, bien que le T1 2026 montre une amélioration. Les prédictions IA (J+1 à J+10) projettent une baisse continue du cours vers 7 077 FCFA, confirmant les signaux de surachat technique. En synthèse, la convergence entre les signaux techniques de surachat et les prédictions IA suggère une correction à court terme, malgré des fondamentaux solides. **Recommandation : VENTE** à court terme pour profiter de la correction, avec un niveau de confiance **Moyen** et un risque global **Élevé**. L'horizon d'investissement optimal serait de moyen terme (3-12 mois), après une stabilisation du cours, pour réévaluer une position à l'achat sur des niveaux plus attractifs.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652 titres</w:t>
            </w:r>
          </w:p>
        </w:tc>
        <w:tc>
          <w:tcPr>
            <w:tcW w:type="dxa" w:w="2268"/>
            <w:shd w:fill="FFF2CC" w:val="clear"/>
          </w:tcPr>
          <w:p>
            <w:r>
              <w:rPr>
                <w:b/>
                <w:color w:val="503200"/>
                <w:sz w:val="16"/>
              </w:rPr>
              <w:t xml:space="preserve">Cours actuel : </w:t>
            </w:r>
            <w:r>
              <w:rPr>
                <w:color w:val="000000"/>
                <w:sz w:val="17"/>
              </w:rPr>
              <w:t>33,815 FCFA</w:t>
            </w:r>
          </w:p>
          <w:p>
            <w:r>
              <w:rPr>
                <w:b/>
                <w:color w:val="503200"/>
                <w:sz w:val="16"/>
              </w:rPr>
              <w:t xml:space="preserve">Var. 100 jours : </w:t>
            </w:r>
            <w:r>
              <w:rPr>
                <w:b/>
                <w:color w:val="007800"/>
                <w:sz w:val="17"/>
              </w:rPr>
              <w:t>+46.96%</w:t>
            </w:r>
          </w:p>
          <w:p>
            <w:r>
              <w:rPr>
                <w:b/>
                <w:color w:val="503200"/>
                <w:sz w:val="16"/>
              </w:rPr>
              <w:t xml:space="preserve">Plus haut 100j : </w:t>
            </w:r>
            <w:r>
              <w:rPr>
                <w:color w:val="000000"/>
                <w:sz w:val="17"/>
              </w:rPr>
              <w:t>33,815 FCFA</w:t>
            </w:r>
          </w:p>
          <w:p>
            <w:r>
              <w:rPr>
                <w:b/>
                <w:color w:val="503200"/>
                <w:sz w:val="16"/>
              </w:rPr>
              <w:t xml:space="preserve">Plus bas 100j : </w:t>
            </w:r>
            <w:r>
              <w:rPr>
                <w:color w:val="000000"/>
                <w:sz w:val="17"/>
              </w:rPr>
              <w:t>23,010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7.47% (Moyenne) — μ=27,918 FCFA, σ=2,085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β=0.4771 (Défensif) — Cov=0.000017, Var(idx)=0.000036, ρ=0.162,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652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31,220</w:t>
            </w:r>
          </w:p>
        </w:tc>
        <w:tc>
          <w:tcPr>
            <w:tcW w:type="dxa" w:w="1440"/>
            <w:shd w:fill="FFDCE0" w:val="clear"/>
          </w:tcPr>
          <w:p>
            <w:r>
              <w:rPr>
                <w:b/>
                <w:sz w:val="17"/>
              </w:rPr>
              <w:t>32,100</w:t>
            </w:r>
          </w:p>
        </w:tc>
        <w:tc>
          <w:tcPr>
            <w:tcW w:type="dxa" w:w="1440"/>
            <w:shd w:fill="FFDCE0" w:val="clear"/>
          </w:tcPr>
          <w:p>
            <w:r>
              <w:rPr>
                <w:sz w:val="17"/>
              </w:rPr>
              <w:t>32,979</w:t>
            </w:r>
          </w:p>
        </w:tc>
        <w:tc>
          <w:tcPr>
            <w:tcW w:type="dxa" w:w="1440"/>
            <w:shd w:fill="FFDCE0" w:val="clear"/>
          </w:tcPr>
          <w:p>
            <w:r>
              <w:rPr>
                <w:b/>
                <w:color w:val="C00000"/>
                <w:sz w:val="17"/>
              </w:rPr>
              <w:t>-5.1%</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30,432</w:t>
            </w:r>
          </w:p>
        </w:tc>
        <w:tc>
          <w:tcPr>
            <w:tcW w:type="dxa" w:w="1440"/>
            <w:shd w:fill="FFDCE0" w:val="clear"/>
          </w:tcPr>
          <w:p>
            <w:r>
              <w:rPr>
                <w:b/>
                <w:sz w:val="17"/>
              </w:rPr>
              <w:t>31,658</w:t>
            </w:r>
          </w:p>
        </w:tc>
        <w:tc>
          <w:tcPr>
            <w:tcW w:type="dxa" w:w="1440"/>
            <w:shd w:fill="FFDCE0" w:val="clear"/>
          </w:tcPr>
          <w:p>
            <w:r>
              <w:rPr>
                <w:sz w:val="17"/>
              </w:rPr>
              <w:t>32,884</w:t>
            </w:r>
          </w:p>
        </w:tc>
        <w:tc>
          <w:tcPr>
            <w:tcW w:type="dxa" w:w="1440"/>
            <w:shd w:fill="FFDCE0" w:val="clear"/>
          </w:tcPr>
          <w:p>
            <w:r>
              <w:rPr>
                <w:b/>
                <w:color w:val="C00000"/>
                <w:sz w:val="17"/>
              </w:rPr>
              <w:t>-6.4%</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29,655</w:t>
            </w:r>
          </w:p>
        </w:tc>
        <w:tc>
          <w:tcPr>
            <w:tcW w:type="dxa" w:w="1440"/>
            <w:shd w:fill="FFDCE0" w:val="clear"/>
          </w:tcPr>
          <w:p>
            <w:r>
              <w:rPr>
                <w:b/>
                <w:sz w:val="17"/>
              </w:rPr>
              <w:t>31,132</w:t>
            </w:r>
          </w:p>
        </w:tc>
        <w:tc>
          <w:tcPr>
            <w:tcW w:type="dxa" w:w="1440"/>
            <w:shd w:fill="FFDCE0" w:val="clear"/>
          </w:tcPr>
          <w:p>
            <w:r>
              <w:rPr>
                <w:sz w:val="17"/>
              </w:rPr>
              <w:t>32,609</w:t>
            </w:r>
          </w:p>
        </w:tc>
        <w:tc>
          <w:tcPr>
            <w:tcW w:type="dxa" w:w="1440"/>
            <w:shd w:fill="FFDCE0" w:val="clear"/>
          </w:tcPr>
          <w:p>
            <w:r>
              <w:rPr>
                <w:b/>
                <w:color w:val="C00000"/>
                <w:sz w:val="17"/>
              </w:rPr>
              <w:t>-7.9%</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29,004</w:t>
            </w:r>
          </w:p>
        </w:tc>
        <w:tc>
          <w:tcPr>
            <w:tcW w:type="dxa" w:w="1440"/>
            <w:shd w:fill="FFDCE0" w:val="clear"/>
          </w:tcPr>
          <w:p>
            <w:r>
              <w:rPr>
                <w:b/>
                <w:sz w:val="17"/>
              </w:rPr>
              <w:t>30,685</w:t>
            </w:r>
          </w:p>
        </w:tc>
        <w:tc>
          <w:tcPr>
            <w:tcW w:type="dxa" w:w="1440"/>
            <w:shd w:fill="FFDCE0" w:val="clear"/>
          </w:tcPr>
          <w:p>
            <w:r>
              <w:rPr>
                <w:sz w:val="17"/>
              </w:rPr>
              <w:t>32,366</w:t>
            </w:r>
          </w:p>
        </w:tc>
        <w:tc>
          <w:tcPr>
            <w:tcW w:type="dxa" w:w="1440"/>
            <w:shd w:fill="FFDCE0" w:val="clear"/>
          </w:tcPr>
          <w:p>
            <w:r>
              <w:rPr>
                <w:b/>
                <w:color w:val="C00000"/>
                <w:sz w:val="17"/>
              </w:rPr>
              <w:t>-9.3%</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28,440</w:t>
            </w:r>
          </w:p>
        </w:tc>
        <w:tc>
          <w:tcPr>
            <w:tcW w:type="dxa" w:w="1440"/>
            <w:shd w:fill="FFDCE0" w:val="clear"/>
          </w:tcPr>
          <w:p>
            <w:r>
              <w:rPr>
                <w:b/>
                <w:sz w:val="17"/>
              </w:rPr>
              <w:t>30,296</w:t>
            </w:r>
          </w:p>
        </w:tc>
        <w:tc>
          <w:tcPr>
            <w:tcW w:type="dxa" w:w="1440"/>
            <w:shd w:fill="FFDCE0" w:val="clear"/>
          </w:tcPr>
          <w:p>
            <w:r>
              <w:rPr>
                <w:sz w:val="17"/>
              </w:rPr>
              <w:t>32,152</w:t>
            </w:r>
          </w:p>
        </w:tc>
        <w:tc>
          <w:tcPr>
            <w:tcW w:type="dxa" w:w="1440"/>
            <w:shd w:fill="FFDCE0" w:val="clear"/>
          </w:tcPr>
          <w:p>
            <w:r>
              <w:rPr>
                <w:b/>
                <w:color w:val="C00000"/>
                <w:sz w:val="17"/>
              </w:rPr>
              <w:t>-10.4%</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27,927</w:t>
            </w:r>
          </w:p>
        </w:tc>
        <w:tc>
          <w:tcPr>
            <w:tcW w:type="dxa" w:w="1440"/>
            <w:shd w:fill="FFDCE0" w:val="clear"/>
          </w:tcPr>
          <w:p>
            <w:r>
              <w:rPr>
                <w:b/>
                <w:sz w:val="17"/>
              </w:rPr>
              <w:t>29,936</w:t>
            </w:r>
          </w:p>
        </w:tc>
        <w:tc>
          <w:tcPr>
            <w:tcW w:type="dxa" w:w="1440"/>
            <w:shd w:fill="FFDCE0" w:val="clear"/>
          </w:tcPr>
          <w:p>
            <w:r>
              <w:rPr>
                <w:sz w:val="17"/>
              </w:rPr>
              <w:t>31,944</w:t>
            </w:r>
          </w:p>
        </w:tc>
        <w:tc>
          <w:tcPr>
            <w:tcW w:type="dxa" w:w="1440"/>
            <w:shd w:fill="FFDCE0" w:val="clear"/>
          </w:tcPr>
          <w:p>
            <w:r>
              <w:rPr>
                <w:b/>
                <w:color w:val="C00000"/>
                <w:sz w:val="17"/>
              </w:rPr>
              <w:t>-11.5%</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27,448</w:t>
            </w:r>
          </w:p>
        </w:tc>
        <w:tc>
          <w:tcPr>
            <w:tcW w:type="dxa" w:w="1440"/>
            <w:shd w:fill="FFDCE0" w:val="clear"/>
          </w:tcPr>
          <w:p>
            <w:r>
              <w:rPr>
                <w:b/>
                <w:sz w:val="17"/>
              </w:rPr>
              <w:t>29,593</w:t>
            </w:r>
          </w:p>
        </w:tc>
        <w:tc>
          <w:tcPr>
            <w:tcW w:type="dxa" w:w="1440"/>
            <w:shd w:fill="FFDCE0" w:val="clear"/>
          </w:tcPr>
          <w:p>
            <w:r>
              <w:rPr>
                <w:sz w:val="17"/>
              </w:rPr>
              <w:t>31,737</w:t>
            </w:r>
          </w:p>
        </w:tc>
        <w:tc>
          <w:tcPr>
            <w:tcW w:type="dxa" w:w="1440"/>
            <w:shd w:fill="FFDCE0" w:val="clear"/>
          </w:tcPr>
          <w:p>
            <w:r>
              <w:rPr>
                <w:b/>
                <w:color w:val="C00000"/>
                <w:sz w:val="17"/>
              </w:rPr>
              <w:t>-12.5%</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26,998</w:t>
            </w:r>
          </w:p>
        </w:tc>
        <w:tc>
          <w:tcPr>
            <w:tcW w:type="dxa" w:w="1440"/>
            <w:shd w:fill="FFDCE0" w:val="clear"/>
          </w:tcPr>
          <w:p>
            <w:r>
              <w:rPr>
                <w:b/>
                <w:sz w:val="17"/>
              </w:rPr>
              <w:t>29,265</w:t>
            </w:r>
          </w:p>
        </w:tc>
        <w:tc>
          <w:tcPr>
            <w:tcW w:type="dxa" w:w="1440"/>
            <w:shd w:fill="FFDCE0" w:val="clear"/>
          </w:tcPr>
          <w:p>
            <w:r>
              <w:rPr>
                <w:sz w:val="17"/>
              </w:rPr>
              <w:t>31,532</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26,572</w:t>
            </w:r>
          </w:p>
        </w:tc>
        <w:tc>
          <w:tcPr>
            <w:tcW w:type="dxa" w:w="1440"/>
            <w:shd w:fill="FFDCE0" w:val="clear"/>
          </w:tcPr>
          <w:p>
            <w:r>
              <w:rPr>
                <w:b/>
                <w:sz w:val="17"/>
              </w:rPr>
              <w:t>28,951</w:t>
            </w:r>
          </w:p>
        </w:tc>
        <w:tc>
          <w:tcPr>
            <w:tcW w:type="dxa" w:w="1440"/>
            <w:shd w:fill="FFDCE0" w:val="clear"/>
          </w:tcPr>
          <w:p>
            <w:r>
              <w:rPr>
                <w:sz w:val="17"/>
              </w:rPr>
              <w:t>31,330</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26,170</w:t>
            </w:r>
          </w:p>
        </w:tc>
        <w:tc>
          <w:tcPr>
            <w:tcW w:type="dxa" w:w="1440"/>
            <w:shd w:fill="FFDCE0" w:val="clear"/>
          </w:tcPr>
          <w:p>
            <w:r>
              <w:rPr>
                <w:b/>
                <w:sz w:val="17"/>
              </w:rPr>
              <w:t>28,651</w:t>
            </w:r>
          </w:p>
        </w:tc>
        <w:tc>
          <w:tcPr>
            <w:tcW w:type="dxa" w:w="1440"/>
            <w:shd w:fill="FFDCE0" w:val="clear"/>
          </w:tcPr>
          <w:p>
            <w:r>
              <w:rPr>
                <w:sz w:val="17"/>
              </w:rPr>
              <w:t>31,133</w:t>
            </w:r>
          </w:p>
        </w:tc>
        <w:tc>
          <w:tcPr>
            <w:tcW w:type="dxa" w:w="1440"/>
            <w:shd w:fill="FFDCE0" w:val="clear"/>
          </w:tcPr>
          <w:p>
            <w:r>
              <w:rPr>
                <w:b/>
                <w:color w:val="C00000"/>
                <w:sz w:val="17"/>
              </w:rPr>
              <w:t>-15.3%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563,58 milliards FCFA, positionnant le titre parmi les valeurs à grande capitalisation de la BRVM, reflétant la confiance des investisseurs dans ce pilier du secteur bancaire ivoirien. Avec un BPA de 2 191 FCFA, chaque action génère un bénéfice substantiel, justifiant un PER de 15,4x, nettement supérieur à la moyenne historique de la BRVM (8-12x), indiquant que le marché intègre déjà des perspectives de croissance soutenue. Le P/B de 4,67x confirme cette prime, le marché valorisant fortement les capitaux propres de la banque, soit plus de quatre fois leur valeur comptable, signe d'une rentabilité attendue élevée. Enfin, l'EV/EBITDA de 11,4x, bien que dans la fourchette haute, reste cohérent avec une entreprise affichant une forte capacité opérationnelle à générer des flux, justifiant une valorisation exigeante mais non déraisonnable.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spectaculaire de +46,96%, passant d'un plus bas de 23 010 FCFA à un plus haut de 33 815 FCFA, son niveau actuel, avec une légère hausse de +0,09% lors de la dernière séance. Cette tendance haussière marquée est confirmée par les statistiques descriptives : la moyenne (27 918 FCFA) est inférieure à la médiane (28 448 FCFA), indiquant une distribution légèrement asymétrique avec une queue de distribution vers les valeurs basses, cohérente avec la forte accélération récente. L'écart-type de 2 095 FCFA (CV de 7,5%) révèle une dispersion modérée des prix autour de la moyenne, tandis que le kurtosis de 0,903 (mésokurtique) suggère une distribution proche de la normale, sans risque excessif de mouvements extrêmes. Le skewness négatif de -0,211, bien que faible, indique une probabilité légèrement plus élevée de fortes baisses que de fortes hausses, un point de vigilance. La volatilité annualisée de 28,0% classe le titre dans la catégorie des valeurs à volatilité modérée à élevée, reflétant un intérêt soutenu mais des fluctuations notables.</w:t>
      </w:r>
    </w:p>
    <w:p>
      <w:pPr>
        <w:spacing w:after="120" w:line="276" w:lineRule="auto" w:before="240"/>
      </w:pPr>
      <w:r>
        <w:rPr>
          <w:b/>
          <w:color w:val="003366"/>
          <w:sz w:val="24"/>
        </w:rPr>
        <w:t>**PARTIE 2 : ANALYSE TECHNIQUE DÉTAILLÉE**</w:t>
      </w:r>
    </w:p>
    <w:p>
      <w:pPr>
        <w:spacing w:after="120" w:line="276" w:lineRule="auto"/>
      </w:pPr>
      <w:r>
        <w:t>**Moyennes Mobiles** : Le cours actuel de 33 815 FCFA se situe nettement au-dessus de la MM20 (30 088,5 FCFA) et de la MM50 (29 171,9 FCFA), avec un écart croissant qui témoigne d'une dynamique haussière puissante. La configuration des MM, avec la MM20 au-dessus de la MM50, confirme une tendance positive à moyen terme, justifiant la décision d'Achat.</w:t>
      </w:r>
    </w:p>
    <w:p>
      <w:pPr>
        <w:spacing w:after="120" w:line="276" w:lineRule="auto"/>
      </w:pPr>
      <w:r>
        <w:t>**Bandes de Bollinger** : Le prix évolue au contact de la borne supérieure (33 558,63 FCFA), voire légèrement au-delà, signalant une phase de surachat extrême et une volatilité accrue. Cette position indique que le titre est temporairement étendu, ce qui suggère un risque de consolidation ou de correction à court terme, justifiant la décision de Vente.</w:t>
      </w:r>
    </w:p>
    <w:p>
      <w:pPr>
        <w:spacing w:after="120" w:line="276" w:lineRule="auto"/>
      </w:pPr>
      <w:r>
        <w:t>**MACD** : Le MACD (1 122,884) est nettement supérieur à sa ligne de signal (626,064), avec un écart positif important qui démontre un momentum haussier très fort. Cette configuration, bien que positive, souligne également une possible exubérance du marché, mais la décision reste à l'Achat tant que l'écart ne se réduit pas.</w:t>
      </w:r>
    </w:p>
    <w:p>
      <w:pPr>
        <w:spacing w:after="120" w:line="276" w:lineRule="auto"/>
      </w:pPr>
      <w:r>
        <w:t>**RSI** : Avec une valeur de 84,125, le RSI est profondément en zone de surachat (au-delà de 70), indiquant que le titre a été acheté de manière excessive et qu'une correction technique est probable à court terme. La décision de Vente est donc justifiée pour les traders à court terme, malgré la force de la tendance sous-jacente.</w:t>
      </w:r>
    </w:p>
    <w:p>
      <w:pPr>
        <w:spacing w:after="120" w:line="276" w:lineRule="auto"/>
      </w:pPr>
      <w:r>
        <w:t>**Stochastique** : Le %K et le %D sont tous deux à 100,0, un niveau extrême de surachat qui signale une condition de marché très tendue. Ce niveau maximal indique que les acheteurs ont épuisé leur potentiel à court terme, renforçant la décision de Vente et anticipant un possible retournement ou une phase de consolidation.</w:t>
      </w:r>
    </w:p>
    <w:p>
      <w:pPr>
        <w:spacing w:after="120" w:line="276" w:lineRule="auto"/>
      </w:pPr>
      <w:r>
        <w:t>**Conclusion technique** : La convergence des indicateurs de momentum (RSI, Stochastique, Bandes de Bollinger) vers des zones de surachat extrême contraste avec la tendance haussière toujours en place selon les moyennes mobiles et le MACD. Cette divergence entre la force de la tendance et les conditions de surachat suggère qu'un repli technique est probable à court terme, mais la tendance de fond reste résolument haussière. Les investisseurs à long terme peuvent maintenir leurs positions, tandis que les traders doivent être prudents.</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BICC révèlent une banque extrêmement performante. Le Produit Net Bancaire (PNB) s'établit à 79,563 milliards FCFA, générant un résultat net de 36,520 milliards FCFA, soit une marge nette exceptionnelle de 45,9%. La rentabilité des fonds propres (ROE) atteint 30,29%, un niveau remarquable, et le ROA de 3,24% témoigne d'une utilisation très efficace des actifs. Le coefficient d'exploitation de 50,83% confirme une excellente maîtrise des charges, tandis que le coût du risque négatif (-12,15%) indique une reprise de provisions, signe d'une qualité de portefeuille saine. Les dépôts clientèle (952,872 milliards FCFA) financent largement les crédits (524,439 milliards FCFA), avec un ratio de transformation de 55%, laissant une marge de manœuvre significative. Les rapports trimestriels confirment cette dynamique : le rapport du T1 2026 (publié en 2026) montre un PNB de 21,214 milliards FCFA (+17,0%) et un résultat net de 10,387 milliards FCFA (+29,7%), tandis que le rapport du T3 2025 (publié en 2025) indiquait déjà un résultat net cumulé de 27,402 milliards FCFA (+50,8%). Sur la base de ces performances, on estime que l'exercice 2026 pourrait voir le PNB dépasser 90 milliards FCFA et le résultat net atteindre 42-45 milliards FCFA, confirmant la solidité et la croissance soutenue de la banque.</w:t>
      </w:r>
    </w:p>
    <w:p>
      <w:pPr>
        <w:spacing w:after="120" w:line="276" w:lineRule="auto" w:before="240"/>
      </w:pPr>
      <w:r>
        <w:rPr>
          <w:b/>
          <w:color w:val="003366"/>
          <w:sz w:val="24"/>
        </w:rPr>
        <w:t>**PARTIE 4 : CONCLUSION D'INVESTISSEMENT**</w:t>
      </w:r>
    </w:p>
    <w:p>
      <w:pPr>
        <w:spacing w:after="120" w:line="276" w:lineRule="auto"/>
      </w:pPr>
      <w:r>
        <w:t>La valorisation de BICC (PER 15,4x, P/B 4,67x) est exigeante, reflétant une prime de qualité, mais elle est soutenue par des fondamentaux exceptionnels avec un ROE de 30,3% et une croissance à deux chiffres du PNB et du résultat net. Le comportement du cours, avec une hausse de +46,96% sur 100 jours et une volatilité de 28%, montre une dynamique très positive, bien que les statistiques (kurtosis, skewness) suggèrent un risque de correction. Les signaux techniques sont partagés : la tendance (MM, MACD) reste haussière, mais les indicateurs de surachat (RSI, Stochastique, Bollinger) sont à des niveaux extrêmes, signalant un repli probable à court terme. Les fondamentaux, eux, sont indiscutablement solides avec des perspectives de croissance soutenue. Les prédictions IA (32 100 FCFA à J+1, puis baisse progressive à 30 296 FCFA à J+10) confirment cette analyse, anticipant une consolidation après la forte hausse. En synthèse, la convergence entre la solidité fondamentale et la tendance haussière de fond est contrebalancée par des signaux techniques de surachat et une valorisation tendue. **Recommandation : CONSERVER**, avec un niveau de confiance Moyen et un risque global Moyen. Pour les investisseurs à long terme (&gt;1 an), le titre reste une valeur de qualité à conserver, tandis qu'à court terme (&lt;3 mois), une phase de consolidation est attendue, offrant potentiellement un point d'entrée plus attractif.</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2,804 titres</w:t>
            </w:r>
          </w:p>
        </w:tc>
        <w:tc>
          <w:tcPr>
            <w:tcW w:type="dxa" w:w="2268"/>
            <w:shd w:fill="FFF2CC" w:val="clear"/>
          </w:tcPr>
          <w:p>
            <w:r>
              <w:rPr>
                <w:b/>
                <w:color w:val="503200"/>
                <w:sz w:val="16"/>
              </w:rPr>
              <w:t xml:space="preserve">Cours actuel : </w:t>
            </w:r>
            <w:r>
              <w:rPr>
                <w:color w:val="000000"/>
                <w:sz w:val="17"/>
              </w:rPr>
              <w:t>2,045 FCFA</w:t>
            </w:r>
          </w:p>
          <w:p>
            <w:r>
              <w:rPr>
                <w:b/>
                <w:color w:val="503200"/>
                <w:sz w:val="16"/>
              </w:rPr>
              <w:t xml:space="preserve">Var. 100 jours : </w:t>
            </w:r>
            <w:r>
              <w:rPr>
                <w:b/>
                <w:color w:val="007800"/>
                <w:sz w:val="17"/>
              </w:rPr>
              <w:t>+30.67%</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13.24% (Moyenne) — μ=1,821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β=-0.0359 (Contre-cyclique) — Cov=-0.000001, Var(idx)=0.000036, ρ=-0.007,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2,804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1,964</w:t>
            </w:r>
          </w:p>
        </w:tc>
        <w:tc>
          <w:tcPr>
            <w:tcW w:type="dxa" w:w="1440"/>
            <w:shd w:fill="FAFAFA" w:val="clear"/>
          </w:tcPr>
          <w:p>
            <w:r>
              <w:rPr>
                <w:b/>
                <w:sz w:val="17"/>
              </w:rPr>
              <w:t>2,063</w:t>
            </w:r>
          </w:p>
        </w:tc>
        <w:tc>
          <w:tcPr>
            <w:tcW w:type="dxa" w:w="1440"/>
            <w:shd w:fill="FAFAFA" w:val="clear"/>
          </w:tcPr>
          <w:p>
            <w:r>
              <w:rPr>
                <w:sz w:val="17"/>
              </w:rPr>
              <w:t>2,161</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2026-09-10</w:t>
            </w:r>
          </w:p>
        </w:tc>
        <w:tc>
          <w:tcPr>
            <w:tcW w:type="dxa" w:w="1440"/>
            <w:shd w:fill="FAFAFA" w:val="clear"/>
          </w:tcPr>
          <w:p>
            <w:r>
              <w:rPr>
                <w:sz w:val="17"/>
              </w:rPr>
              <w:t>1,919</w:t>
            </w:r>
          </w:p>
        </w:tc>
        <w:tc>
          <w:tcPr>
            <w:tcW w:type="dxa" w:w="1440"/>
            <w:shd w:fill="FAFAFA" w:val="clear"/>
          </w:tcPr>
          <w:p>
            <w:r>
              <w:rPr>
                <w:b/>
                <w:sz w:val="17"/>
              </w:rPr>
              <w:t>2,058</w:t>
            </w:r>
          </w:p>
        </w:tc>
        <w:tc>
          <w:tcPr>
            <w:tcW w:type="dxa" w:w="1440"/>
            <w:shd w:fill="FAFAFA" w:val="clear"/>
          </w:tcPr>
          <w:p>
            <w:r>
              <w:rPr>
                <w:sz w:val="17"/>
              </w:rPr>
              <w:t>2,197</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2026-09-11</w:t>
            </w:r>
          </w:p>
        </w:tc>
        <w:tc>
          <w:tcPr>
            <w:tcW w:type="dxa" w:w="1440"/>
            <w:shd w:fill="FAFAFA" w:val="clear"/>
          </w:tcPr>
          <w:p>
            <w:r>
              <w:rPr>
                <w:sz w:val="17"/>
              </w:rPr>
              <w:t>1,888</w:t>
            </w:r>
          </w:p>
        </w:tc>
        <w:tc>
          <w:tcPr>
            <w:tcW w:type="dxa" w:w="1440"/>
            <w:shd w:fill="FAFAFA" w:val="clear"/>
          </w:tcPr>
          <w:p>
            <w:r>
              <w:rPr>
                <w:b/>
                <w:sz w:val="17"/>
              </w:rPr>
              <w:t>2,059</w:t>
            </w:r>
          </w:p>
        </w:tc>
        <w:tc>
          <w:tcPr>
            <w:tcW w:type="dxa" w:w="1440"/>
            <w:shd w:fill="FAFAFA" w:val="clear"/>
          </w:tcPr>
          <w:p>
            <w:r>
              <w:rPr>
                <w:sz w:val="17"/>
              </w:rPr>
              <w:t>2,229</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2026-09-14</w:t>
            </w:r>
          </w:p>
        </w:tc>
        <w:tc>
          <w:tcPr>
            <w:tcW w:type="dxa" w:w="1440"/>
            <w:shd w:fill="FAFAFA" w:val="clear"/>
          </w:tcPr>
          <w:p>
            <w:r>
              <w:rPr>
                <w:sz w:val="17"/>
              </w:rPr>
              <w:t>1,862</w:t>
            </w:r>
          </w:p>
        </w:tc>
        <w:tc>
          <w:tcPr>
            <w:tcW w:type="dxa" w:w="1440"/>
            <w:shd w:fill="FAFAFA" w:val="clear"/>
          </w:tcPr>
          <w:p>
            <w:r>
              <w:rPr>
                <w:b/>
                <w:sz w:val="17"/>
              </w:rPr>
              <w:t>2,059</w:t>
            </w:r>
          </w:p>
        </w:tc>
        <w:tc>
          <w:tcPr>
            <w:tcW w:type="dxa" w:w="1440"/>
            <w:shd w:fill="FAFAFA" w:val="clear"/>
          </w:tcPr>
          <w:p>
            <w:r>
              <w:rPr>
                <w:sz w:val="17"/>
              </w:rPr>
              <w:t>2,255</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2026-09-15</w:t>
            </w:r>
          </w:p>
        </w:tc>
        <w:tc>
          <w:tcPr>
            <w:tcW w:type="dxa" w:w="1440"/>
            <w:shd w:fill="FAFAFA" w:val="clear"/>
          </w:tcPr>
          <w:p>
            <w:r>
              <w:rPr>
                <w:sz w:val="17"/>
              </w:rPr>
              <w:t>1,837</w:t>
            </w:r>
          </w:p>
        </w:tc>
        <w:tc>
          <w:tcPr>
            <w:tcW w:type="dxa" w:w="1440"/>
            <w:shd w:fill="FAFAFA" w:val="clear"/>
          </w:tcPr>
          <w:p>
            <w:r>
              <w:rPr>
                <w:b/>
                <w:sz w:val="17"/>
              </w:rPr>
              <w:t>2,057</w:t>
            </w:r>
          </w:p>
        </w:tc>
        <w:tc>
          <w:tcPr>
            <w:tcW w:type="dxa" w:w="1440"/>
            <w:shd w:fill="FAFAFA" w:val="clear"/>
          </w:tcPr>
          <w:p>
            <w:r>
              <w:rPr>
                <w:sz w:val="17"/>
              </w:rPr>
              <w:t>2,277</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2026-09-16</w:t>
            </w:r>
          </w:p>
        </w:tc>
        <w:tc>
          <w:tcPr>
            <w:tcW w:type="dxa" w:w="1440"/>
            <w:shd w:fill="FAFAFA" w:val="clear"/>
          </w:tcPr>
          <w:p>
            <w:r>
              <w:rPr>
                <w:sz w:val="17"/>
              </w:rPr>
              <w:t>1,815</w:t>
            </w:r>
          </w:p>
        </w:tc>
        <w:tc>
          <w:tcPr>
            <w:tcW w:type="dxa" w:w="1440"/>
            <w:shd w:fill="FAFAFA" w:val="clear"/>
          </w:tcPr>
          <w:p>
            <w:r>
              <w:rPr>
                <w:b/>
                <w:sz w:val="17"/>
              </w:rPr>
              <w:t>2,055</w:t>
            </w:r>
          </w:p>
        </w:tc>
        <w:tc>
          <w:tcPr>
            <w:tcW w:type="dxa" w:w="1440"/>
            <w:shd w:fill="FAFAFA" w:val="clear"/>
          </w:tcPr>
          <w:p>
            <w:r>
              <w:rPr>
                <w:sz w:val="17"/>
              </w:rPr>
              <w:t>2,296</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2026-09-17</w:t>
            </w:r>
          </w:p>
        </w:tc>
        <w:tc>
          <w:tcPr>
            <w:tcW w:type="dxa" w:w="1440"/>
            <w:shd w:fill="FAFAFA" w:val="clear"/>
          </w:tcPr>
          <w:p>
            <w:r>
              <w:rPr>
                <w:sz w:val="17"/>
              </w:rPr>
              <w:t>1,794</w:t>
            </w:r>
          </w:p>
        </w:tc>
        <w:tc>
          <w:tcPr>
            <w:tcW w:type="dxa" w:w="1440"/>
            <w:shd w:fill="FAFAFA" w:val="clear"/>
          </w:tcPr>
          <w:p>
            <w:r>
              <w:rPr>
                <w:b/>
                <w:sz w:val="17"/>
              </w:rPr>
              <w:t>2,053</w:t>
            </w:r>
          </w:p>
        </w:tc>
        <w:tc>
          <w:tcPr>
            <w:tcW w:type="dxa" w:w="1440"/>
            <w:shd w:fill="FAFAFA" w:val="clear"/>
          </w:tcPr>
          <w:p>
            <w:r>
              <w:rPr>
                <w:sz w:val="17"/>
              </w:rPr>
              <w:t>2,313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2026-09-18</w:t>
            </w:r>
          </w:p>
        </w:tc>
        <w:tc>
          <w:tcPr>
            <w:tcW w:type="dxa" w:w="1440"/>
            <w:shd w:fill="FAFAFA" w:val="clear"/>
          </w:tcPr>
          <w:p>
            <w:r>
              <w:rPr>
                <w:sz w:val="17"/>
              </w:rPr>
              <w:t>1,774</w:t>
            </w:r>
          </w:p>
        </w:tc>
        <w:tc>
          <w:tcPr>
            <w:tcW w:type="dxa" w:w="1440"/>
            <w:shd w:fill="FAFAFA" w:val="clear"/>
          </w:tcPr>
          <w:p>
            <w:r>
              <w:rPr>
                <w:b/>
                <w:sz w:val="17"/>
              </w:rPr>
              <w:t>2,051</w:t>
            </w:r>
          </w:p>
        </w:tc>
        <w:tc>
          <w:tcPr>
            <w:tcW w:type="dxa" w:w="1440"/>
            <w:shd w:fill="FAFAFA" w:val="clear"/>
          </w:tcPr>
          <w:p>
            <w:r>
              <w:rPr>
                <w:sz w:val="17"/>
              </w:rPr>
              <w:t>2,328</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2026-09-21</w:t>
            </w:r>
          </w:p>
        </w:tc>
        <w:tc>
          <w:tcPr>
            <w:tcW w:type="dxa" w:w="1440"/>
            <w:shd w:fill="FAFAFA" w:val="clear"/>
          </w:tcPr>
          <w:p>
            <w:r>
              <w:rPr>
                <w:sz w:val="17"/>
              </w:rPr>
              <w:t>1,755</w:t>
            </w:r>
          </w:p>
        </w:tc>
        <w:tc>
          <w:tcPr>
            <w:tcW w:type="dxa" w:w="1440"/>
            <w:shd w:fill="FAFAFA" w:val="clear"/>
          </w:tcPr>
          <w:p>
            <w:r>
              <w:rPr>
                <w:b/>
                <w:sz w:val="17"/>
              </w:rPr>
              <w:t>2,049</w:t>
            </w:r>
          </w:p>
        </w:tc>
        <w:tc>
          <w:tcPr>
            <w:tcW w:type="dxa" w:w="1440"/>
            <w:shd w:fill="FAFAFA" w:val="clear"/>
          </w:tcPr>
          <w:p>
            <w:r>
              <w:rPr>
                <w:sz w:val="17"/>
              </w:rPr>
              <w:t>2,342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2026-09-22</w:t>
            </w:r>
          </w:p>
        </w:tc>
        <w:tc>
          <w:tcPr>
            <w:tcW w:type="dxa" w:w="1440"/>
            <w:shd w:fill="FAFAFA" w:val="clear"/>
          </w:tcPr>
          <w:p>
            <w:r>
              <w:rPr>
                <w:sz w:val="17"/>
              </w:rPr>
              <w:t>1,737</w:t>
            </w:r>
          </w:p>
        </w:tc>
        <w:tc>
          <w:tcPr>
            <w:tcW w:type="dxa" w:w="1440"/>
            <w:shd w:fill="FAFAFA" w:val="clear"/>
          </w:tcPr>
          <w:p>
            <w:r>
              <w:rPr>
                <w:b/>
                <w:sz w:val="17"/>
              </w:rPr>
              <w:t>2,046</w:t>
            </w:r>
          </w:p>
        </w:tc>
        <w:tc>
          <w:tcPr>
            <w:tcW w:type="dxa" w:w="1440"/>
            <w:shd w:fill="FAFAFA" w:val="clear"/>
          </w:tcPr>
          <w:p>
            <w:r>
              <w:rPr>
                <w:sz w:val="17"/>
              </w:rPr>
              <w:t>2,355</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13,55 milliards FCFA, un niveau modeste sur la BRVM qui reflète la taille réduite de la société dans le secteur de la distribution de matériaux. Le BPA de 3 FCFA par action est extrêmement faible, traduisant une capacité bénéficiaire très limitée. Le PER de 607x est absolument exorbitant comparé à la moyenne du marché BRVM (8-12x), indiquant que les investisseurs paient un prix très élevé pour des bénéfices quasi inexistants. En revanche, le P/B de 0,76x suggère que le marché valorise la société en dessous de sa valeur comptable, ce qui pourrait représenter une opportunité pour les investisseurs value. L'EV/EBITDA de 24,4x, bien supérieur au seuil de 15x, confirme une valorisation exigeante par rapport à la capacité opérationnelle de l'entreprise, créant un paradoxe entre la faiblesse des bénéfices et la décote sur l'actif net.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affiche une progression spectaculaire de +30,67%, passant d'un plus bas de 1 300 FCFA à un plus haut de 2 400 FCFA, avant de se stabiliser autour de 2 045 FCFA. La dernière séance enregistre un repli de -2,85%, suggérant une prise de bénéfices après cette forte ascension. La moyenne de 1 821 FCFA est inférieure à la médiane de 1 880 FCFA, indiquant une distribution légèrement asymétrique avec une concentration des cours vers le haut de la fourchette. L'écart-type de 242 FCFA avec un coefficient de variation de 13,3% révèle une dispersion modérée autour de la moyenne. Le kurtosis de -0,654 (mésokurtique) indique une distribution proche de la normale sans risque de pics extrêmes, tandis que le skewness de -0,127 confirme une symétrie relative. La volatilité annualisée de 51,6% classe le titre dans la catégorie des valeurs très volatiles, ce qui implique un risque élevé pour les investisseurs malgré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Le cours actuel de 2 045 FCFA se positionne au-dessus de la MM20 (2 104,5 FCFA) mais en dessous de la MM50 (1 991,3 FCFA), créant une configuration ambiguë. La décision d'achat signalée suggère que la tendance de court terme reste positive, mais la proximité du cours avec la MM20 indique une possible consolidation avant la poursuite du mouvement haussier.</w:t>
      </w:r>
    </w:p>
    <w:p>
      <w:pPr>
        <w:spacing w:after="120" w:line="276" w:lineRule="auto"/>
      </w:pPr>
      <w:r>
        <w:t>**Bandes de Bollinger**: Le prix évolue à mi-chemin entre la borne supérieure (2 378,59 FCFA) et la borne inférieure (1 830,41 FCFA), indiquant une volatilité modérée sans extension excessive. La position neutre du cours dans les bandes suggère une phase de consolidation après le récent mouvement haussier, avec un potentiel de rebond vers la borne supérieure si le momentum s'accélère.</w:t>
      </w:r>
    </w:p>
    <w:p>
      <w:pPr>
        <w:spacing w:after="120" w:line="276" w:lineRule="auto"/>
      </w:pPr>
      <w:r>
        <w:t>**MACD**: La valeur du MACD (58,716) est inférieure à son signal (70,966), générant une décision de vente. Cette configuration baissière indique un ralentissement du momentum haussier, même si les deux indicateurs restent en territoire positif. La convergence négative suggère une possible correction à court terme avant la reprise de la tendance.</w:t>
      </w:r>
    </w:p>
    <w:p>
      <w:pPr>
        <w:spacing w:after="120" w:line="276" w:lineRule="auto"/>
      </w:pPr>
      <w:r>
        <w:t>**RSI**: À 53,205, le RSI se situe en zone neutre, indiquant un équilibre entre les forces acheteuses et vendeuses. Cette valeur n'atteint pas les seuils extrêmes de surachat (70) ou de survente (30), laissant une marge de manœuvre pour une évolution dans les deux sens sans signal directionnel fort.</w:t>
      </w:r>
    </w:p>
    <w:p>
      <w:pPr>
        <w:spacing w:after="120" w:line="276" w:lineRule="auto"/>
      </w:pPr>
      <w:r>
        <w:t>**Stochastique**: Le %K (13,415) est nettement inférieur au %D (29,082), signalant une condition de survente qui pourrait précéder un rebond technique. La décision d'achat générée par cet indicateur contraste avec le signal de vente du MACD, créant une divergence qui suggère une possible stabilisation du cours dans les prochaines séances.</w:t>
      </w:r>
    </w:p>
    <w:p>
      <w:pPr>
        <w:spacing w:after="120" w:line="276" w:lineRule="auto"/>
      </w:pPr>
      <w:r>
        <w:t>**Conclusion technique**: La configuration technique de BNBC est mitigée avec des signaux contradictoires entre les moyennes mobiles et le stochastique d'un côté (achat), et le MACD de l'autre (vente). Le RSI neutre et les bandes de Bollinger indiquent une phase de consolidation. La tendance de fond reste haussière, mais un repli technique vers la zone des 1 990-2 000 FCFA (MM50) serait sain avant une reprise du mouvement ascendant.</w:t>
      </w:r>
    </w:p>
    <w:p>
      <w:pPr>
        <w:spacing w:after="120" w:line="276" w:lineRule="auto" w:before="240"/>
      </w:pPr>
      <w:r>
        <w:rPr>
          <w:b/>
          <w:color w:val="003366"/>
          <w:sz w:val="24"/>
        </w:rPr>
        <w:t>**PARTIE 3 : ANALYSE FONDAMENTALE (SECTION CRITIQUE)**</w:t>
      </w:r>
    </w:p>
    <w:p>
      <w:pPr>
        <w:spacing w:after="120" w:line="276" w:lineRule="auto"/>
      </w:pPr>
      <w:r>
        <w:t>En 2025, BNBC (entreprise non bancaire du secteur distribution) affiche un chiffre d'affaires de 42,454 milliards FCFA, en recul de -6,31% par rapport à 2024 (45,312 milliards FCFA), confirmant la contraction de l'activité. Le résultat net de 22,32 millions FCFA, bien qu'en amélioration par rapport aux 7,31 millions de 2024, reste dérisoire avec une marge nette de seulement 0,05%. Le ROE de 0,13% et le ROA de 0,05% sont extrêmement faibles, très loin du seuil de 15% considéré comme excellent. La structure financière montre des capitaux propres solides de 17,77 milliards FCFA (autonomie financière de 36,16%), mais la trésorerie nette est fortement négative à -16,69 milliards FCFA, créant un risque de liquidité majeur. Le BFR de 29,37 milliards FCFA avec un délai clients de 104 jours et une durée de stockage de 339 jours révèle une immobilisation importante du capital, tandis que le délai fournisseurs de 116 jours offre un répit limité. Les rapports trimestriels 2025 montrent une dégradation progressive : perte de -139,57 millions au S1 2025, aggravée à -157,03 millions sur 9 mois, malgré une amélioration de la marge brute. Le T1 2026 enregistre une perte de -65,57 millions, impacté par l'intégration de la division Équipement. Les perspectives de redressement reposent sur la montée en puissance des divisions Équipement et Power, ainsi que le nouveau showroom TECHNIBAT KM4, mais la rentabilité reste structurellement anémique avec un objectif d'équilibre ambitieux.</w:t>
      </w:r>
    </w:p>
    <w:p>
      <w:pPr>
        <w:spacing w:after="120" w:line="276" w:lineRule="auto" w:before="240"/>
      </w:pPr>
      <w:r>
        <w:rPr>
          <w:b/>
          <w:color w:val="003366"/>
          <w:sz w:val="24"/>
        </w:rPr>
        <w:t>**PARTIE 4 : CONCLUSION D'INVESTISSEMENT**</w:t>
      </w:r>
    </w:p>
    <w:p>
      <w:pPr>
        <w:spacing w:after="120" w:line="276" w:lineRule="auto"/>
      </w:pPr>
      <w:r>
        <w:t>La valorisation de BNBC présente un paradoxe flagrant : un PER de 607x indique une surévaluation extrême des bénéfices, tandis que le P/B de 0,76x suggère une décote sur l'actif net, créant une confusion sur la véritable valeur du titre. Le comportement du cours (+30,67% sur 100 jours) avec une volatilité annualisée de 51,6% et un kurtosis mésokurtique témoigne d'un mouvement haussier soutenu mais risqué. Les signaux techniques sont divergents (achat sur MM et stochastique, vente sur MACD, neutre sur RSI et Bollinger), indiquant une phase de consolidation incertaine. Les fondamentaux restent très fragiles avec une rentabilité quasi nulle (ROE 0,13%), une trésorerie négative de -16,69 milliards et une activité en contraction, malgré des capitaux propres solides. Les prédictions IA (2 057-2 063 FCFA sur 10 jours) suggèrent une stabilité relative, confirmant la pause technique. La convergence entre la faiblesse fondamentale et la valorisation boursière élevée justifie une recommandation **CONSERVER** avec un niveau de confiance **Moyen**, un risque global **Élevé**, et un horizon d'investissement **moyen terme (3-12 mois)** pour observer la capacité de la direction à redresser la rentabilité via les nouvelles divisions.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416.97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5,998 titres</w:t>
            </w:r>
          </w:p>
        </w:tc>
        <w:tc>
          <w:tcPr>
            <w:tcW w:type="dxa" w:w="2268"/>
            <w:shd w:fill="FFF2CC" w:val="clear"/>
          </w:tcPr>
          <w:p>
            <w:r>
              <w:rPr>
                <w:b/>
                <w:color w:val="503200"/>
                <w:sz w:val="16"/>
              </w:rPr>
              <w:t xml:space="preserve">Cours actuel : </w:t>
            </w:r>
            <w:r>
              <w:rPr>
                <w:color w:val="000000"/>
                <w:sz w:val="17"/>
              </w:rPr>
              <w:t>10,280 FCFA</w:t>
            </w:r>
          </w:p>
          <w:p>
            <w:r>
              <w:rPr>
                <w:b/>
                <w:color w:val="503200"/>
                <w:sz w:val="16"/>
              </w:rPr>
              <w:t xml:space="preserve">Var. 100 jours : </w:t>
            </w:r>
            <w:r>
              <w:rPr>
                <w:b/>
                <w:color w:val="007800"/>
                <w:sz w:val="17"/>
              </w:rPr>
              <w:t>+38.92%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μ=8,971 FCFA, σ=584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β=-0.3767 (Contre-cyclique) — Cov=-0.000014, Var(idx)=0.000036, ρ=-0.132,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9,487</w:t>
            </w:r>
          </w:p>
        </w:tc>
        <w:tc>
          <w:tcPr>
            <w:tcW w:type="dxa" w:w="1440"/>
            <w:shd w:fill="FFDCE0" w:val="clear"/>
          </w:tcPr>
          <w:p>
            <w:r>
              <w:rPr>
                <w:b/>
                <w:sz w:val="17"/>
              </w:rPr>
              <w:t>9,823</w:t>
            </w:r>
          </w:p>
        </w:tc>
        <w:tc>
          <w:tcPr>
            <w:tcW w:type="dxa" w:w="1440"/>
            <w:shd w:fill="FFDCE0" w:val="clear"/>
          </w:tcPr>
          <w:p>
            <w:r>
              <w:rPr>
                <w:sz w:val="17"/>
              </w:rPr>
              <w:t>10,160</w:t>
            </w:r>
          </w:p>
        </w:tc>
        <w:tc>
          <w:tcPr>
            <w:tcW w:type="dxa" w:w="1440"/>
            <w:shd w:fill="FFDCE0" w:val="clear"/>
          </w:tcPr>
          <w:p>
            <w:r>
              <w:rPr>
                <w:b/>
                <w:color w:val="C00000"/>
                <w:sz w:val="17"/>
              </w:rPr>
              <w:t>-4.4%</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9,117</w:t>
            </w:r>
          </w:p>
        </w:tc>
        <w:tc>
          <w:tcPr>
            <w:tcW w:type="dxa" w:w="1440"/>
            <w:shd w:fill="FFDCE0" w:val="clear"/>
          </w:tcPr>
          <w:p>
            <w:r>
              <w:rPr>
                <w:b/>
                <w:sz w:val="17"/>
              </w:rPr>
              <w:t>9,581</w:t>
            </w:r>
          </w:p>
        </w:tc>
        <w:tc>
          <w:tcPr>
            <w:tcW w:type="dxa" w:w="1440"/>
            <w:shd w:fill="FFDCE0" w:val="clear"/>
          </w:tcPr>
          <w:p>
            <w:r>
              <w:rPr>
                <w:sz w:val="17"/>
              </w:rPr>
              <w:t>10,045</w:t>
            </w:r>
          </w:p>
        </w:tc>
        <w:tc>
          <w:tcPr>
            <w:tcW w:type="dxa" w:w="1440"/>
            <w:shd w:fill="FFDCE0" w:val="clear"/>
          </w:tcPr>
          <w:p>
            <w:r>
              <w:rPr>
                <w:b/>
                <w:color w:val="C00000"/>
                <w:sz w:val="17"/>
              </w:rPr>
              <w:t>-6.8%</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8,817</w:t>
            </w:r>
          </w:p>
        </w:tc>
        <w:tc>
          <w:tcPr>
            <w:tcW w:type="dxa" w:w="1440"/>
            <w:shd w:fill="FFDCE0" w:val="clear"/>
          </w:tcPr>
          <w:p>
            <w:r>
              <w:rPr>
                <w:b/>
                <w:sz w:val="17"/>
              </w:rPr>
              <w:t>9,372</w:t>
            </w:r>
          </w:p>
        </w:tc>
        <w:tc>
          <w:tcPr>
            <w:tcW w:type="dxa" w:w="1440"/>
            <w:shd w:fill="FFDCE0" w:val="clear"/>
          </w:tcPr>
          <w:p>
            <w:r>
              <w:rPr>
                <w:sz w:val="17"/>
              </w:rPr>
              <w:t>9,928</w:t>
            </w:r>
          </w:p>
        </w:tc>
        <w:tc>
          <w:tcPr>
            <w:tcW w:type="dxa" w:w="1440"/>
            <w:shd w:fill="FFDCE0" w:val="clear"/>
          </w:tcPr>
          <w:p>
            <w:r>
              <w:rPr>
                <w:b/>
                <w:color w:val="C00000"/>
                <w:sz w:val="17"/>
              </w:rPr>
              <w:t>-8.8%</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8,575</w:t>
            </w:r>
          </w:p>
        </w:tc>
        <w:tc>
          <w:tcPr>
            <w:tcW w:type="dxa" w:w="1440"/>
            <w:shd w:fill="FFDCE0" w:val="clear"/>
          </w:tcPr>
          <w:p>
            <w:r>
              <w:rPr>
                <w:b/>
                <w:sz w:val="17"/>
              </w:rPr>
              <w:t>9,206</w:t>
            </w:r>
          </w:p>
        </w:tc>
        <w:tc>
          <w:tcPr>
            <w:tcW w:type="dxa" w:w="1440"/>
            <w:shd w:fill="FFDCE0" w:val="clear"/>
          </w:tcPr>
          <w:p>
            <w:r>
              <w:rPr>
                <w:sz w:val="17"/>
              </w:rPr>
              <w:t>9,836</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8,365</w:t>
            </w:r>
          </w:p>
        </w:tc>
        <w:tc>
          <w:tcPr>
            <w:tcW w:type="dxa" w:w="1440"/>
            <w:shd w:fill="FFDCE0" w:val="clear"/>
          </w:tcPr>
          <w:p>
            <w:r>
              <w:rPr>
                <w:b/>
                <w:sz w:val="17"/>
              </w:rPr>
              <w:t>9,059</w:t>
            </w:r>
          </w:p>
        </w:tc>
        <w:tc>
          <w:tcPr>
            <w:tcW w:type="dxa" w:w="1440"/>
            <w:shd w:fill="FFDCE0" w:val="clear"/>
          </w:tcPr>
          <w:p>
            <w:r>
              <w:rPr>
                <w:sz w:val="17"/>
              </w:rPr>
              <w:t>9,753</w:t>
            </w:r>
          </w:p>
        </w:tc>
        <w:tc>
          <w:tcPr>
            <w:tcW w:type="dxa" w:w="1440"/>
            <w:shd w:fill="FFDCE0" w:val="clear"/>
          </w:tcPr>
          <w:p>
            <w:r>
              <w:rPr>
                <w:b/>
                <w:color w:val="C00000"/>
                <w:sz w:val="17"/>
              </w:rPr>
              <w:t>-11.9%</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8,175</w:t>
            </w:r>
          </w:p>
        </w:tc>
        <w:tc>
          <w:tcPr>
            <w:tcW w:type="dxa" w:w="1440"/>
            <w:shd w:fill="FFDCE0" w:val="clear"/>
          </w:tcPr>
          <w:p>
            <w:r>
              <w:rPr>
                <w:b/>
                <w:sz w:val="17"/>
              </w:rPr>
              <w:t>8,924</w:t>
            </w:r>
          </w:p>
        </w:tc>
        <w:tc>
          <w:tcPr>
            <w:tcW w:type="dxa" w:w="1440"/>
            <w:shd w:fill="FFDCE0" w:val="clear"/>
          </w:tcPr>
          <w:p>
            <w:r>
              <w:rPr>
                <w:sz w:val="17"/>
              </w:rPr>
              <w:t>9,672</w:t>
            </w:r>
          </w:p>
        </w:tc>
        <w:tc>
          <w:tcPr>
            <w:tcW w:type="dxa" w:w="1440"/>
            <w:shd w:fill="FFDCE0" w:val="clear"/>
          </w:tcPr>
          <w:p>
            <w:r>
              <w:rPr>
                <w:b/>
                <w:color w:val="C00000"/>
                <w:sz w:val="17"/>
              </w:rPr>
              <w:t>-13.2%</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8,000</w:t>
            </w:r>
          </w:p>
        </w:tc>
        <w:tc>
          <w:tcPr>
            <w:tcW w:type="dxa" w:w="1440"/>
            <w:shd w:fill="FFDCE0" w:val="clear"/>
          </w:tcPr>
          <w:p>
            <w:r>
              <w:rPr>
                <w:b/>
                <w:sz w:val="17"/>
              </w:rPr>
              <w:t>8,797</w:t>
            </w:r>
          </w:p>
        </w:tc>
        <w:tc>
          <w:tcPr>
            <w:tcW w:type="dxa" w:w="1440"/>
            <w:shd w:fill="FFDCE0" w:val="clear"/>
          </w:tcPr>
          <w:p>
            <w:r>
              <w:rPr>
                <w:sz w:val="17"/>
              </w:rPr>
              <w:t>9,594</w:t>
            </w:r>
          </w:p>
        </w:tc>
        <w:tc>
          <w:tcPr>
            <w:tcW w:type="dxa" w:w="1440"/>
            <w:shd w:fill="FFDCE0" w:val="clear"/>
          </w:tcPr>
          <w:p>
            <w:r>
              <w:rPr>
                <w:b/>
                <w:color w:val="C00000"/>
                <w:sz w:val="17"/>
              </w:rPr>
              <w:t>-14.4%</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7,838</w:t>
            </w:r>
          </w:p>
        </w:tc>
        <w:tc>
          <w:tcPr>
            <w:tcW w:type="dxa" w:w="1440"/>
            <w:shd w:fill="FFDCE0" w:val="clear"/>
          </w:tcPr>
          <w:p>
            <w:r>
              <w:rPr>
                <w:b/>
                <w:sz w:val="17"/>
              </w:rPr>
              <w:t>8,678</w:t>
            </w:r>
          </w:p>
        </w:tc>
        <w:tc>
          <w:tcPr>
            <w:tcW w:type="dxa" w:w="1440"/>
            <w:shd w:fill="FFDCE0" w:val="clear"/>
          </w:tcPr>
          <w:p>
            <w:r>
              <w:rPr>
                <w:sz w:val="17"/>
              </w:rPr>
              <w:t>9,519</w:t>
            </w:r>
          </w:p>
        </w:tc>
        <w:tc>
          <w:tcPr>
            <w:tcW w:type="dxa" w:w="1440"/>
            <w:shd w:fill="FFDCE0" w:val="clear"/>
          </w:tcPr>
          <w:p>
            <w:r>
              <w:rPr>
                <w:b/>
                <w:color w:val="C00000"/>
                <w:sz w:val="17"/>
              </w:rPr>
              <w:t>-15.6%</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7,687</w:t>
            </w:r>
          </w:p>
        </w:tc>
        <w:tc>
          <w:tcPr>
            <w:tcW w:type="dxa" w:w="1440"/>
            <w:shd w:fill="FFDCE0" w:val="clear"/>
          </w:tcPr>
          <w:p>
            <w:r>
              <w:rPr>
                <w:b/>
                <w:sz w:val="17"/>
              </w:rPr>
              <w:t>8,567</w:t>
            </w:r>
          </w:p>
        </w:tc>
        <w:tc>
          <w:tcPr>
            <w:tcW w:type="dxa" w:w="1440"/>
            <w:shd w:fill="FFDCE0" w:val="clear"/>
          </w:tcPr>
          <w:p>
            <w:r>
              <w:rPr>
                <w:sz w:val="17"/>
              </w:rPr>
              <w:t>9,447</w:t>
            </w:r>
          </w:p>
        </w:tc>
        <w:tc>
          <w:tcPr>
            <w:tcW w:type="dxa" w:w="1440"/>
            <w:shd w:fill="FFDCE0" w:val="clear"/>
          </w:tcPr>
          <w:p>
            <w:r>
              <w:rPr>
                <w:b/>
                <w:color w:val="C00000"/>
                <w:sz w:val="17"/>
              </w:rPr>
              <w:t>-16.7%</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7,545</w:t>
            </w:r>
          </w:p>
        </w:tc>
        <w:tc>
          <w:tcPr>
            <w:tcW w:type="dxa" w:w="1440"/>
            <w:shd w:fill="FFDCE0" w:val="clear"/>
          </w:tcPr>
          <w:p>
            <w:r>
              <w:rPr>
                <w:b/>
                <w:sz w:val="17"/>
              </w:rPr>
              <w:t>8,461</w:t>
            </w:r>
          </w:p>
        </w:tc>
        <w:tc>
          <w:tcPr>
            <w:tcW w:type="dxa" w:w="1440"/>
            <w:shd w:fill="FFDCE0" w:val="clear"/>
          </w:tcPr>
          <w:p>
            <w:r>
              <w:rPr>
                <w:sz w:val="17"/>
              </w:rPr>
              <w:t>9,378</w:t>
            </w:r>
          </w:p>
        </w:tc>
        <w:tc>
          <w:tcPr>
            <w:tcW w:type="dxa" w:w="1440"/>
            <w:shd w:fill="FFDCE0" w:val="clear"/>
          </w:tcPr>
          <w:p>
            <w:r>
              <w:rPr>
                <w:b/>
                <w:color w:val="C00000"/>
                <w:sz w:val="17"/>
              </w:rPr>
              <w:t>-17.7%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416,97 milliards FCFA, ce qui positionne la banque parmi les valeurs à grande capitalisation de la BRVM. Avec un BPA de 496 FCFA, le titre se négocie à un PER de 20,7x, nettement supérieur à la moyenne historique de la place (~8-12x). Ce niveau élevé suggère que le marché intègre des attentes de croissance soutenue des bénéfices, mais expose également le titre à un risque de correction en cas de déception. Le P/B de 3,55x, bien que dans la fourchette des primes de croissance (2-4x), indique que les investisseurs paient plus de 3,5 fois la valeur comptable des actifs, signe d'une confiance marquée dans la création de valeur future. Enfin, l'EV/EBITDA de 20,9x (&gt;15x) confirme une valorisation exigeante, où la capacité opérationnelle de la banque est fortement rémunérée, laissant peu de marge d'erreur sur l'exécution stratégique.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BOAB a enregistré une progression spectaculaire de +38,92%, clôturant à 10 280 FCFA, avec une légère hausse de +0,39% lors de la dernière séance. Le titre a évolué dans un large intervalle de 7 400 FCFA (plus bas) à 10 350 FCFA (plus haut), démontrant une dynamique haussière soutenue. La moyenne du cours sur la période (8 971 FCFA) est supérieure à la médiane (8 838 FCFA), et le skewness positif (0,592) confirme une asymétrie avec des journées plus fréquentes sous la moyenne, typique des phases d'accélération. L'écart-type de 587 FCFA (CV=6,5%) révèle une dispersion modérée, tandis que le kurtosis de 0,799 (mésokurtique) indique une distribution proche de la normale, sans risque de pics extrêmes. La volatilité annualisée de 27,1% classe le titre dans la catégorie modérée à élevée, reflétant un intérêt spéculatif certain et des mouvements de cours amples.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(10 280 FCFA) évolue nettement au-dessus de la MM20 (9 697,75 FCFA) et de la MM50 (9 153,4 FCFA), confirmant une tendance haussière robuste à court et moyen terme. L'écart croissant entre les deux moyennes suggère une accélération du mouvement, justifiant la décision d'achat.</w:t>
      </w:r>
    </w:p>
    <w:p>
      <w:pPr>
        <w:spacing w:after="120" w:line="276" w:lineRule="auto"/>
      </w:pPr>
      <w:r>
        <w:t>**Bandes de Bollinger** : Le prix se positionne à 10 280 FCFA, entre la borne inférieure (8 339,82 FCFA) et la borne supérieure (11 055,68 FCFA), sans toucher les extrêmes. Cette position neutre indique une volatilité normale, mais la largeur des bandes reflète l'amplitude récente des variations. Le signal neutre suggère d'attendre une cassure des bornes pour confirmer la tendance.</w:t>
      </w:r>
    </w:p>
    <w:p>
      <w:pPr>
        <w:spacing w:after="120" w:line="276" w:lineRule="auto"/>
      </w:pPr>
      <w:r>
        <w:t>**MACD** : La valeur du MACD (392,01) est supérieure à son signal (361,631), avec un écart positif de 30,38 points. Cette configuration haussière témoigne d'un momentum positif persistant, bien que l'écart modéré suggère une possible consolidation à court terme. La décision d'achat est maintenue.</w:t>
      </w:r>
    </w:p>
    <w:p>
      <w:pPr>
        <w:spacing w:after="120" w:line="276" w:lineRule="auto"/>
      </w:pPr>
      <w:r>
        <w:t>**RSI** : À 68,333, le RSI se situe en zone neutre-haute, proche du seuil de surachat (70). Cette valeur indique une pression acheteuse encore présente mais potentiellement proche de l'épuisement. Le signal neutre invite à la prudence, car un dépassement des 70 pourrait déclencher des prises de bénéfices.</w:t>
      </w:r>
    </w:p>
    <w:p>
      <w:pPr>
        <w:spacing w:after="120" w:line="276" w:lineRule="auto"/>
      </w:pPr>
      <w:r>
        <w:t>**Stochastique** : Le %K (94,4) et le %D (94,125) sont tous deux en zone de surachat extrême (&gt;80), signalant une condition de marché survendue à l'achat. Cette configuration émet un signal de vente, prévenant d'un probable retournement ou d'une consolidation technique imminente.</w:t>
      </w:r>
    </w:p>
    <w:p>
      <w:pPr>
        <w:spacing w:after="120" w:line="276" w:lineRule="auto"/>
      </w:pPr>
      <w:r>
        <w:t>**Conclusion technique** : La convergence des moyennes mobiles et du MACD plaide en faveur d'une tendance haussière intacte. Cependant, la divergence entre le RSI (neutre) et le Stochastique (surachat extrême) suggère un essoufflement à très court terme. Les bandes de Bollinger, quant à elles, n'indiquent pas de rupture imminente. Le scénario le plus probable est une pause ou un léger repli technique avant la reprise de la tendance.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 révèlent une banque performante : le Produit Net Bancaire (PNB) atteint 51,274 milliards FCFA, générant un résultat net de 20,107 milliards FCFA. La rentabilité des fonds propres (ROE) est excellente à 17,11%, et le ROA de 2,08% témoigne d'une bonne utilisation des actifs. Le coefficient d'exploitation de 49,53% (&lt;50%) démontre une efficacité opérationnelle remarquable, tandis que le coût du risque de 22,50% (provisions/charges financières) reste élevé, signalant une vigilance nécessaire sur la qualité du portefeuille de crédits. La structure financière montre une autonomie de 12,18% (capitaux propres/total bilan), inférieure au seuil de 30%, indiquant une dépendance aux dépôts clients (711,642 milliards FCFA) qui financent les crédits (391,724 milliards FCFA), soit un ratio de transformation de 55%. **Les rapports trimestriels 2025** confirment cette dynamique : au T3 2025 (30/09/2025), le PNB progresse de 9% à 37,065 milliards FCFA et le résultat net de 13% à 15,880 milliards FCFA, malgré une contraction des crédits (-10%) et dépôts (-5%). **Le rapport T1 2026** (31/03/2026) montre une accélération avec un PNB en hausse de 11% à 12,329 milliards FCFA, porté par les commissions (+18,9%), mais un résultat net quasi stable (+1% à 4,502 milliards FCFA) en raison de pressions sur les coûts. Sur cette base, on estime que l'exercice 2026 pourrait voir un PNB dépasser 56 milliards FCFA (+10%), mais un résultat net limité à environ 21 milliards FCFA (+5%), reflétant une maîtrise des charges à surveiller. La banque privilégie la qualité à la croissance volumique, avec une base de dépôts en progression de 3,5% à 753,7 milliards FCFA au T1 2026, un signe de confiance des clients.</w:t>
      </w:r>
    </w:p>
    <w:p>
      <w:pPr>
        <w:spacing w:after="120" w:line="276" w:lineRule="auto"/>
      </w:pPr>
      <w:r>
        <w:t>---</w:t>
      </w:r>
    </w:p>
    <w:p>
      <w:pPr>
        <w:spacing w:after="120" w:line="276" w:lineRule="auto"/>
      </w:pPr>
      <w:r>
        <w:t>### PARTIE 4 : CONCLUSION D'INVESTISSEMENT</w:t>
      </w:r>
    </w:p>
    <w:p>
      <w:pPr>
        <w:spacing w:after="120" w:line="276" w:lineRule="auto"/>
      </w:pPr>
      <w:r>
        <w:t>La valorisation de BOAB (PER 20,7x, P/B 3,55x, EV/EBITDA 20,9x) est exigeante, intégrant des attentes de croissance que les fondamentaux peinent à confirmer pleinement, malgré une rentabilité solide (ROE 17,11%) et un coefficient d'exploitation excellent (49,53%). Le comportement du cours (+38,92% sur 100 jours) avec une volatilité de 27,1% et un skewness positif traduit un optimisme marqué, mais le kurtosis mésokurtique et le RSI proche de 70 suggèrent un risque de consolidation. Les signaux techniques sont mitigés : les moyennes mobiles et le MACD restent haussiers, mais le Stochastique en surachat extrême (94,4) et les bandes de Bollinger neutres indiquent un possible essoufflement à court terme. Les fondamentaux, bien que solides avec une croissance du PNB de +11% au T1 2026, montrent une stagnation du résultat net (+1%), signalant des défis sur la rentabilité nette. Les prédictions IA (J+1 à J+10) prévoient une correction progressive de 10 280 à 9 059 FCFA (-12%), contredisant la tendance récente et suggérant un rééquilibrage technique. En synthèse, la convergence entre la valorisation élevée, les signaux techniques de surachat et les prédictions baissières plaide pour une prudence accrue. **Recommandation finale : CONSERVER**, avec un niveau de confiance **Moyen** et un risque global **Élevé**. L'horizon d'investissement optimal serait le **moyen terme (3-12 mois)**, en attendant une correction du cours vers les 9 000-9 500 FCFA pour renforcer les positions, ou une confirmation d'une croissance nette durable au-delà des 21 milliards FCFA estimés pour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6,836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007800"/>
                <w:sz w:val="17"/>
              </w:rPr>
              <w:t>+58.55%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17.63% (Élevée) — μ=6,379 FCFA, σ=1,125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β=0.1279 (Défensif) — Cov=0.000005, Var(idx)=0.000036, ρ=0.036,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8,261</w:t>
            </w:r>
          </w:p>
        </w:tc>
        <w:tc>
          <w:tcPr>
            <w:tcW w:type="dxa" w:w="1440"/>
            <w:shd w:fill="FFDCE0" w:val="clear"/>
          </w:tcPr>
          <w:p>
            <w:r>
              <w:rPr>
                <w:b/>
                <w:sz w:val="17"/>
              </w:rPr>
              <w:t>8,598</w:t>
            </w:r>
          </w:p>
        </w:tc>
        <w:tc>
          <w:tcPr>
            <w:tcW w:type="dxa" w:w="1440"/>
            <w:shd w:fill="FFDCE0" w:val="clear"/>
          </w:tcPr>
          <w:p>
            <w:r>
              <w:rPr>
                <w:sz w:val="17"/>
              </w:rPr>
              <w:t>8,935</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7,876</w:t>
            </w:r>
          </w:p>
        </w:tc>
        <w:tc>
          <w:tcPr>
            <w:tcW w:type="dxa" w:w="1440"/>
            <w:shd w:fill="FFDCE0" w:val="clear"/>
          </w:tcPr>
          <w:p>
            <w:r>
              <w:rPr>
                <w:b/>
                <w:sz w:val="17"/>
              </w:rPr>
              <w:t>8,338</w:t>
            </w:r>
          </w:p>
        </w:tc>
        <w:tc>
          <w:tcPr>
            <w:tcW w:type="dxa" w:w="1440"/>
            <w:shd w:fill="FFDCE0" w:val="clear"/>
          </w:tcPr>
          <w:p>
            <w:r>
              <w:rPr>
                <w:sz w:val="17"/>
              </w:rPr>
              <w:t>8,800</w:t>
            </w:r>
          </w:p>
        </w:tc>
        <w:tc>
          <w:tcPr>
            <w:tcW w:type="dxa" w:w="1440"/>
            <w:shd w:fill="FFDCE0" w:val="clear"/>
          </w:tcPr>
          <w:p>
            <w:r>
              <w:rPr>
                <w:b/>
                <w:color w:val="C00000"/>
                <w:sz w:val="17"/>
              </w:rPr>
              <w:t>-6.8%</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7,590</w:t>
            </w:r>
          </w:p>
        </w:tc>
        <w:tc>
          <w:tcPr>
            <w:tcW w:type="dxa" w:w="1440"/>
            <w:shd w:fill="FFDCE0" w:val="clear"/>
          </w:tcPr>
          <w:p>
            <w:r>
              <w:rPr>
                <w:b/>
                <w:sz w:val="17"/>
              </w:rPr>
              <w:t>8,142</w:t>
            </w:r>
          </w:p>
        </w:tc>
        <w:tc>
          <w:tcPr>
            <w:tcW w:type="dxa" w:w="1440"/>
            <w:shd w:fill="FFDCE0" w:val="clear"/>
          </w:tcPr>
          <w:p>
            <w:r>
              <w:rPr>
                <w:sz w:val="17"/>
              </w:rPr>
              <w:t>8,695</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7,375</w:t>
            </w:r>
          </w:p>
        </w:tc>
        <w:tc>
          <w:tcPr>
            <w:tcW w:type="dxa" w:w="1440"/>
            <w:shd w:fill="FFDCE0" w:val="clear"/>
          </w:tcPr>
          <w:p>
            <w:r>
              <w:rPr>
                <w:b/>
                <w:sz w:val="17"/>
              </w:rPr>
              <w:t>8,002</w:t>
            </w:r>
          </w:p>
        </w:tc>
        <w:tc>
          <w:tcPr>
            <w:tcW w:type="dxa" w:w="1440"/>
            <w:shd w:fill="FFDCE0" w:val="clear"/>
          </w:tcPr>
          <w:p>
            <w:r>
              <w:rPr>
                <w:sz w:val="17"/>
              </w:rPr>
              <w:t>8,629</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7,199</w:t>
            </w:r>
          </w:p>
        </w:tc>
        <w:tc>
          <w:tcPr>
            <w:tcW w:type="dxa" w:w="1440"/>
            <w:shd w:fill="FFDCE0" w:val="clear"/>
          </w:tcPr>
          <w:p>
            <w:r>
              <w:rPr>
                <w:b/>
                <w:sz w:val="17"/>
              </w:rPr>
              <w:t>7,890</w:t>
            </w:r>
          </w:p>
        </w:tc>
        <w:tc>
          <w:tcPr>
            <w:tcW w:type="dxa" w:w="1440"/>
            <w:shd w:fill="FFDCE0" w:val="clear"/>
          </w:tcPr>
          <w:p>
            <w:r>
              <w:rPr>
                <w:sz w:val="17"/>
              </w:rPr>
              <w:t>8,581</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7,042</w:t>
            </w:r>
          </w:p>
        </w:tc>
        <w:tc>
          <w:tcPr>
            <w:tcW w:type="dxa" w:w="1440"/>
            <w:shd w:fill="FFDCE0" w:val="clear"/>
          </w:tcPr>
          <w:p>
            <w:r>
              <w:rPr>
                <w:b/>
                <w:sz w:val="17"/>
              </w:rPr>
              <w:t>7,790</w:t>
            </w:r>
          </w:p>
        </w:tc>
        <w:tc>
          <w:tcPr>
            <w:tcW w:type="dxa" w:w="1440"/>
            <w:shd w:fill="FFDCE0" w:val="clear"/>
          </w:tcPr>
          <w:p>
            <w:r>
              <w:rPr>
                <w:sz w:val="17"/>
              </w:rPr>
              <w:t>8,537</w:t>
            </w:r>
          </w:p>
        </w:tc>
        <w:tc>
          <w:tcPr>
            <w:tcW w:type="dxa" w:w="1440"/>
            <w:shd w:fill="FFDCE0" w:val="clear"/>
          </w:tcPr>
          <w:p>
            <w:r>
              <w:rPr>
                <w:b/>
                <w:color w:val="C00000"/>
                <w:sz w:val="17"/>
              </w:rPr>
              <w:t>-13.0%</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6,897</w:t>
            </w:r>
          </w:p>
        </w:tc>
        <w:tc>
          <w:tcPr>
            <w:tcW w:type="dxa" w:w="1440"/>
            <w:shd w:fill="FFDCE0" w:val="clear"/>
          </w:tcPr>
          <w:p>
            <w:r>
              <w:rPr>
                <w:b/>
                <w:sz w:val="17"/>
              </w:rPr>
              <w:t>7,695</w:t>
            </w:r>
          </w:p>
        </w:tc>
        <w:tc>
          <w:tcPr>
            <w:tcW w:type="dxa" w:w="1440"/>
            <w:shd w:fill="FFDCE0" w:val="clear"/>
          </w:tcPr>
          <w:p>
            <w:r>
              <w:rPr>
                <w:sz w:val="17"/>
              </w:rPr>
              <w:t>8,493</w:t>
            </w:r>
          </w:p>
        </w:tc>
        <w:tc>
          <w:tcPr>
            <w:tcW w:type="dxa" w:w="1440"/>
            <w:shd w:fill="FFDCE0" w:val="clear"/>
          </w:tcPr>
          <w:p>
            <w:r>
              <w:rPr>
                <w:b/>
                <w:color w:val="C00000"/>
                <w:sz w:val="17"/>
              </w:rPr>
              <w:t>-14.0%</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6,762</w:t>
            </w:r>
          </w:p>
        </w:tc>
        <w:tc>
          <w:tcPr>
            <w:tcW w:type="dxa" w:w="1440"/>
            <w:shd w:fill="FFDCE0" w:val="clear"/>
          </w:tcPr>
          <w:p>
            <w:r>
              <w:rPr>
                <w:b/>
                <w:sz w:val="17"/>
              </w:rPr>
              <w:t>7,605</w:t>
            </w:r>
          </w:p>
        </w:tc>
        <w:tc>
          <w:tcPr>
            <w:tcW w:type="dxa" w:w="1440"/>
            <w:shd w:fill="FFDCE0" w:val="clear"/>
          </w:tcPr>
          <w:p>
            <w:r>
              <w:rPr>
                <w:sz w:val="17"/>
              </w:rPr>
              <w:t>8,447</w:t>
            </w:r>
          </w:p>
        </w:tc>
        <w:tc>
          <w:tcPr>
            <w:tcW w:type="dxa" w:w="1440"/>
            <w:shd w:fill="FFDCE0" w:val="clear"/>
          </w:tcPr>
          <w:p>
            <w:r>
              <w:rPr>
                <w:b/>
                <w:color w:val="C00000"/>
                <w:sz w:val="17"/>
              </w:rPr>
              <w:t>-15.0%</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6,634</w:t>
            </w:r>
          </w:p>
        </w:tc>
        <w:tc>
          <w:tcPr>
            <w:tcW w:type="dxa" w:w="1440"/>
            <w:shd w:fill="FFDCE0" w:val="clear"/>
          </w:tcPr>
          <w:p>
            <w:r>
              <w:rPr>
                <w:b/>
                <w:sz w:val="17"/>
              </w:rPr>
              <w:t>7,518</w:t>
            </w:r>
          </w:p>
        </w:tc>
        <w:tc>
          <w:tcPr>
            <w:tcW w:type="dxa" w:w="1440"/>
            <w:shd w:fill="FFDCE0" w:val="clear"/>
          </w:tcPr>
          <w:p>
            <w:r>
              <w:rPr>
                <w:sz w:val="17"/>
              </w:rPr>
              <w:t>8,401</w:t>
            </w:r>
          </w:p>
        </w:tc>
        <w:tc>
          <w:tcPr>
            <w:tcW w:type="dxa" w:w="1440"/>
            <w:shd w:fill="FFDCE0" w:val="clear"/>
          </w:tcPr>
          <w:p>
            <w:r>
              <w:rPr>
                <w:b/>
                <w:color w:val="C00000"/>
                <w:sz w:val="17"/>
              </w:rPr>
              <w:t>-16.0%</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6,512</w:t>
            </w:r>
          </w:p>
        </w:tc>
        <w:tc>
          <w:tcPr>
            <w:tcW w:type="dxa" w:w="1440"/>
            <w:shd w:fill="FFDCE0" w:val="clear"/>
          </w:tcPr>
          <w:p>
            <w:r>
              <w:rPr>
                <w:b/>
                <w:sz w:val="17"/>
              </w:rPr>
              <w:t>7,433</w:t>
            </w:r>
          </w:p>
        </w:tc>
        <w:tc>
          <w:tcPr>
            <w:tcW w:type="dxa" w:w="1440"/>
            <w:shd w:fill="FFDCE0" w:val="clear"/>
          </w:tcPr>
          <w:p>
            <w:r>
              <w:rPr>
                <w:sz w:val="17"/>
              </w:rPr>
              <w:t>8,354</w:t>
            </w:r>
          </w:p>
        </w:tc>
        <w:tc>
          <w:tcPr>
            <w:tcW w:type="dxa" w:w="1440"/>
            <w:shd w:fill="FFDCE0" w:val="clear"/>
          </w:tcPr>
          <w:p>
            <w:r>
              <w:rPr>
                <w:b/>
                <w:color w:val="C00000"/>
                <w:sz w:val="17"/>
              </w:rPr>
              <w:t>-16.9%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393,80 milliards FCFA, positionnant la banque parmi les valeurs significatives de la BRVM. Avec un BPA de 438 FCFA, le PER de 20,5x est nettement supérieur à la moyenne historique du marché (8-12x), indiquant que les investisseurs paient une prime substantielle pour les bénéfices actuels, anticipant probablement une croissance future. Le P/B de 3,11x confirme cette prime, le marché valorisant la banque à plus de trois fois sa valeur comptable, ce qui est dans la fourchette haute (2-4x) pour une croissance attendue. Enfin, l'EV/EBITDA de 9,5x, dans la limite supérieure de la zone raisonnable (5-10x), suggère que la valeur totale de l'entreprise reste cohérente avec sa capacité opérationnelle de génération de cash, tempérant quelque peu la lecture du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connu une appréciation spectaculaire de +58,55%, avec une dernière séance en légère hausse de +0,56% à 8 950 FCFA. Le titre a évolué dans une fourchette très large, entre un plus bas de 5 235 FCFA et un plus haut de 9 090 FCFA, illustrant un mouvement haussier puissant. La moyenne du cours sur la période (6 379 FCFA) est nettement inférieure à la médiane (5 698 FCFA) et au cours actuel, ce qui, combiné à un skewness positif de 1.029, confirme une distribution asymétrique avec des journées de forte hausse concentrées en fin de période. L'écart-type de 1 130 FCFA (CV de 17,7%) montre une dispersion modérée, tandis que le kurtosis de -0.074 (mésokurtique) indique un risque de pics limité. La volatilité annualisée de 33,6% classe le titre comme très volatil, un niveau élevé qui reflète l'ampleur du rallye récent.</w:t>
      </w:r>
    </w:p>
    <w:p>
      <w:pPr>
        <w:spacing w:after="120" w:line="276" w:lineRule="auto" w:before="240"/>
      </w:pPr>
      <w:r>
        <w:rPr>
          <w:b/>
          <w:color w:val="003366"/>
          <w:sz w:val="24"/>
        </w:rPr>
        <w:t>**PARTIE 2 : ANALYSE TECHNIQUE DÉTAILLÉE**</w:t>
      </w:r>
    </w:p>
    <w:p>
      <w:pPr>
        <w:spacing w:after="120" w:line="276" w:lineRule="auto"/>
      </w:pPr>
      <w:r>
        <w:t>**Moyennes Mobiles** : Le cours actuel de 8 950 FCFA se situe nettement au-dessus de la MM20 (8 138 FCFA) et de la MM50 (7 258,2 FCFA), dans une configuration de tendance haussière claire. L'écart important entre le prix et ces moyennes témoigne de la vigueur du mouvement, mais suggère également une certaine extension du prix par rapport à sa moyenne récente, d'où une décision d'achat qui reste valide tant que la tendance n'inverse pas.</w:t>
      </w:r>
    </w:p>
    <w:p>
      <w:pPr>
        <w:spacing w:after="120" w:line="276" w:lineRule="auto"/>
      </w:pPr>
      <w:r>
        <w:t>**Bandes de Bollinger** : Le cours évolue près de la borne supérieure (9 770 FCFA) et bien au-dessus de la borne inférieure (6 506 FCFA), indiquant une volatilité élevée et une pression acheteuse soutenue. La position proche de la borne haute signale que le titre est suracheté à court terme, mais la décision est jugée neutre, car les bandes s'élargissent, ce qui peut accompagner une poursuite de la tendance avant un éventuel retour vers la moyenne.</w:t>
      </w:r>
    </w:p>
    <w:p>
      <w:pPr>
        <w:spacing w:after="120" w:line="276" w:lineRule="auto"/>
      </w:pPr>
      <w:r>
        <w:t>**MACD** : Le MACD (542,159) est nettement supérieur à son signal (508,921), avec les deux lignes en territoire positif. Cette configuration confirme un momentum haussier robuste et une dynamique de prix positive. La décision d'achat est justifiée par cette divergence positive qui indique que la pression acheteuse reste dominante, bien qu'un écart important puisse précéder une consolidation.</w:t>
      </w:r>
    </w:p>
    <w:p>
      <w:pPr>
        <w:spacing w:after="120" w:line="276" w:lineRule="auto"/>
      </w:pPr>
      <w:r>
        <w:t>**RSI** : Le RSI s'établit à 81,746, un niveau très élevé, bien au-dessus du seuil de surachat de 70. Cette valeur indique que le titre est fortement suracheté, ce qui suggère qu'un repli technique ou une phase de consolidation est probable à court terme. La décision de vente est donc émise pour signaler ce risque de correction, même si en tendance forte, le RSI peut rester suracheté pendant une période prolongée.</w:t>
      </w:r>
    </w:p>
    <w:p>
      <w:pPr>
        <w:spacing w:after="120" w:line="276" w:lineRule="auto"/>
      </w:pPr>
      <w:r>
        <w:t>**Stochastique** : Le %K (92,179) et le %D (89,944) sont tous deux dans la zone de surachat (&gt;80), avec %K toujours supérieur à %D, ce qui indique une dynamique haussière persistante mais extrême. La décision de vente est émise car ces niveaux suggèrent que le mouvement haussier est arrivé à maturité à court terme, augmentant la probabilité d'un croisement baissier.</w:t>
      </w:r>
    </w:p>
    <w:p>
      <w:pPr>
        <w:spacing w:after="120" w:line="276" w:lineRule="auto"/>
      </w:pPr>
      <w:r>
        <w:t>**Conclusion technique** : Les indicateurs de tendance (MM, MACD) sont résolument positifs et confirment une tendance haussière solide, mais les oscillateurs (RSI, Stochastique) sont tous en zone de surachat extrême, signalant un risque élevé de correction technique à court terme. La prudence est donc de mise pour un nouvel achat à ces niveaux, bien que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la banque affiche un Produit Net Bancaire (PNB) de 57,820 milliards FCFA, quasi stable (+0,6%), mais un résultat net de 19,252 milliards FCFA, en baisse de -14,1% par rapport à 2024, principalement en raison d'un coût du risque doublé à -8,355 milliards. Les ratios de rentabilité restent néanmoins solides avec un ROE de 15,2% et un ROA de 1,68%, tandis que le coefficient d'exploitation de 47,2% démontre une excellente maîtrise des coûts. Le bilan est robuste avec des dépôts clientèle en hausse de 7,9% à 877,822 milliards, mais les créances sur la clientèle ont reculé de -19,3%, la banque privilégiant les créances interbancaires. Les rapports de 2026 montrent une normalisation du risque : au S1 2026, le résultat net progresse de +31% à 10,770 milliards grâce à un coût du risque en amélioration de 65,2%, malgré un PNB en repli de -5,2%. Sur la base de ces tendances, on estime que l'exercice 2026 pourrait voir un résultat net annuel supérieur à celui de 2025, porté par la baisse des provisions, mais la stagnation du PNB reste une faiblesse structurelle à surveiller.</w:t>
      </w:r>
    </w:p>
    <w:p>
      <w:pPr>
        <w:spacing w:after="120" w:line="276" w:lineRule="auto" w:before="240"/>
      </w:pPr>
      <w:r>
        <w:rPr>
          <w:b/>
          <w:color w:val="003366"/>
          <w:sz w:val="24"/>
        </w:rPr>
        <w:t>**PARTIE 4 : CONCLUSION D'INVESTISSEMENT**</w:t>
      </w:r>
    </w:p>
    <w:p>
      <w:pPr>
        <w:spacing w:after="120" w:line="276" w:lineRule="auto"/>
      </w:pPr>
      <w:r>
        <w:t>La valorisation de BOABF (PER de 20,5x, P/B de 3,11x) est exigeante et reflète une prime de croissance qui semble peu justifiée par la stagnation du PNB, mais qui intègre l'amélioration de la rentabilité nette. Le comportement du cours (+58,55% en 100 jours) montre une tendance haussière spectaculaire, mais avec une volatilité élevée (33,6%) et des statistiques indiquant une distribution asymétrique positive. Les signaux techniques sont contradictoires : les indicateurs de tendance (MM, MACD) sont positifs, tandis que les oscillateurs (RSI à 81,7, Stochastique à 92,2) hurlent au surachat. Les fondamentaux sont solides (ROE de 15,2%, coefficient d'exploitation de 47,2%) et l'amélioration du coût du risque en 2026 est un point positif, mais la croissance du PNB est atone. Les prédictions IA (baisse vers 7 890 FCFA à J+10) confirment le risque de correction technique. **Recommandation finale : CONSERVER** — la convergence entre la valorisation élevée, les signaux techniques surachetés et la prédiction IA de repli suggère d'attendre un meilleur point d'entrée. Niveau de confiance : Moyen. Risque global : Élevé. Horizon optimal : Moyen terme (3-12 mois), après une probable phase de consolidation.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11,755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+47.06%</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15.59% (Élevée) — μ=10,001 FCFA, σ=1,559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β=-0.0089 (Contre-cyclique) — Cov=-0.000000, Var(idx)=0.000036, ρ=-0.003,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11,755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11,395</w:t>
            </w:r>
          </w:p>
        </w:tc>
        <w:tc>
          <w:tcPr>
            <w:tcW w:type="dxa" w:w="1440"/>
            <w:shd w:fill="FFDCE0" w:val="clear"/>
          </w:tcPr>
          <w:p>
            <w:r>
              <w:rPr>
                <w:b/>
                <w:sz w:val="17"/>
              </w:rPr>
              <w:t>11,822</w:t>
            </w:r>
          </w:p>
        </w:tc>
        <w:tc>
          <w:tcPr>
            <w:tcW w:type="dxa" w:w="1440"/>
            <w:shd w:fill="FFDCE0" w:val="clear"/>
          </w:tcPr>
          <w:p>
            <w:r>
              <w:rPr>
                <w:sz w:val="17"/>
              </w:rPr>
              <w:t>12,248</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10,754</w:t>
            </w:r>
          </w:p>
        </w:tc>
        <w:tc>
          <w:tcPr>
            <w:tcW w:type="dxa" w:w="1440"/>
            <w:shd w:fill="FFDCE0" w:val="clear"/>
          </w:tcPr>
          <w:p>
            <w:r>
              <w:rPr>
                <w:b/>
                <w:sz w:val="17"/>
              </w:rPr>
              <w:t>11,332</w:t>
            </w:r>
          </w:p>
        </w:tc>
        <w:tc>
          <w:tcPr>
            <w:tcW w:type="dxa" w:w="1440"/>
            <w:shd w:fill="FFDCE0" w:val="clear"/>
          </w:tcPr>
          <w:p>
            <w:r>
              <w:rPr>
                <w:sz w:val="17"/>
              </w:rPr>
              <w:t>11,910</w:t>
            </w:r>
          </w:p>
        </w:tc>
        <w:tc>
          <w:tcPr>
            <w:tcW w:type="dxa" w:w="1440"/>
            <w:shd w:fill="FFDCE0" w:val="clear"/>
          </w:tcPr>
          <w:p>
            <w:r>
              <w:rPr>
                <w:b/>
                <w:color w:val="C00000"/>
                <w:sz w:val="17"/>
              </w:rPr>
              <w:t>-9.3%</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10,162</w:t>
            </w:r>
          </w:p>
        </w:tc>
        <w:tc>
          <w:tcPr>
            <w:tcW w:type="dxa" w:w="1440"/>
            <w:shd w:fill="FFDCE0" w:val="clear"/>
          </w:tcPr>
          <w:p>
            <w:r>
              <w:rPr>
                <w:b/>
                <w:sz w:val="17"/>
              </w:rPr>
              <w:t>10,840</w:t>
            </w:r>
          </w:p>
        </w:tc>
        <w:tc>
          <w:tcPr>
            <w:tcW w:type="dxa" w:w="1440"/>
            <w:shd w:fill="FFDCE0" w:val="clear"/>
          </w:tcPr>
          <w:p>
            <w:r>
              <w:rPr>
                <w:sz w:val="17"/>
              </w:rPr>
              <w:t>11,517</w:t>
            </w:r>
          </w:p>
        </w:tc>
        <w:tc>
          <w:tcPr>
            <w:tcW w:type="dxa" w:w="1440"/>
            <w:shd w:fill="FFDCE0" w:val="clear"/>
          </w:tcPr>
          <w:p>
            <w:r>
              <w:rPr>
                <w:b/>
                <w:color w:val="C00000"/>
                <w:sz w:val="17"/>
              </w:rPr>
              <w:t>-13.3%</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9,655</w:t>
            </w:r>
          </w:p>
        </w:tc>
        <w:tc>
          <w:tcPr>
            <w:tcW w:type="dxa" w:w="1440"/>
            <w:shd w:fill="FFDCE0" w:val="clear"/>
          </w:tcPr>
          <w:p>
            <w:r>
              <w:rPr>
                <w:b/>
                <w:sz w:val="17"/>
              </w:rPr>
              <w:t>10,406</w:t>
            </w:r>
          </w:p>
        </w:tc>
        <w:tc>
          <w:tcPr>
            <w:tcW w:type="dxa" w:w="1440"/>
            <w:shd w:fill="FFDCE0" w:val="clear"/>
          </w:tcPr>
          <w:p>
            <w:r>
              <w:rPr>
                <w:sz w:val="17"/>
              </w:rPr>
              <w:t>11,157</w:t>
            </w:r>
          </w:p>
        </w:tc>
        <w:tc>
          <w:tcPr>
            <w:tcW w:type="dxa" w:w="1440"/>
            <w:shd w:fill="FFDCE0" w:val="clear"/>
          </w:tcPr>
          <w:p>
            <w:r>
              <w:rPr>
                <w:b/>
                <w:color w:val="C00000"/>
                <w:sz w:val="17"/>
              </w:rPr>
              <w:t>-16.8%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9,222</w:t>
            </w:r>
          </w:p>
        </w:tc>
        <w:tc>
          <w:tcPr>
            <w:tcW w:type="dxa" w:w="1440"/>
            <w:shd w:fill="FFDCE0" w:val="clear"/>
          </w:tcPr>
          <w:p>
            <w:r>
              <w:rPr>
                <w:b/>
                <w:sz w:val="17"/>
              </w:rPr>
              <w:t>10,031</w:t>
            </w:r>
          </w:p>
        </w:tc>
        <w:tc>
          <w:tcPr>
            <w:tcW w:type="dxa" w:w="1440"/>
            <w:shd w:fill="FFDCE0" w:val="clear"/>
          </w:tcPr>
          <w:p>
            <w:r>
              <w:rPr>
                <w:sz w:val="17"/>
              </w:rPr>
              <w:t>10,840</w:t>
            </w:r>
          </w:p>
        </w:tc>
        <w:tc>
          <w:tcPr>
            <w:tcW w:type="dxa" w:w="1440"/>
            <w:shd w:fill="FFDCE0" w:val="clear"/>
          </w:tcPr>
          <w:p>
            <w:r>
              <w:rPr>
                <w:b/>
                <w:color w:val="C00000"/>
                <w:sz w:val="17"/>
              </w:rPr>
              <w:t>-19.8%</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8,849</w:t>
            </w:r>
          </w:p>
        </w:tc>
        <w:tc>
          <w:tcPr>
            <w:tcW w:type="dxa" w:w="1440"/>
            <w:shd w:fill="FFDCE0" w:val="clear"/>
          </w:tcPr>
          <w:p>
            <w:r>
              <w:rPr>
                <w:b/>
                <w:sz w:val="17"/>
              </w:rPr>
              <w:t>9,706</w:t>
            </w:r>
          </w:p>
        </w:tc>
        <w:tc>
          <w:tcPr>
            <w:tcW w:type="dxa" w:w="1440"/>
            <w:shd w:fill="FFDCE0" w:val="clear"/>
          </w:tcPr>
          <w:p>
            <w:r>
              <w:rPr>
                <w:sz w:val="17"/>
              </w:rPr>
              <w:t>10,564</w:t>
            </w:r>
          </w:p>
        </w:tc>
        <w:tc>
          <w:tcPr>
            <w:tcW w:type="dxa" w:w="1440"/>
            <w:shd w:fill="FFDCE0" w:val="clear"/>
          </w:tcPr>
          <w:p>
            <w:r>
              <w:rPr>
                <w:b/>
                <w:color w:val="C00000"/>
                <w:sz w:val="17"/>
              </w:rPr>
              <w:t>-22.4%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8,525</w:t>
            </w:r>
          </w:p>
        </w:tc>
        <w:tc>
          <w:tcPr>
            <w:tcW w:type="dxa" w:w="1440"/>
            <w:shd w:fill="FFDCE0" w:val="clear"/>
          </w:tcPr>
          <w:p>
            <w:r>
              <w:rPr>
                <w:b/>
                <w:sz w:val="17"/>
              </w:rPr>
              <w:t>9,424</w:t>
            </w:r>
          </w:p>
        </w:tc>
        <w:tc>
          <w:tcPr>
            <w:tcW w:type="dxa" w:w="1440"/>
            <w:shd w:fill="FFDCE0" w:val="clear"/>
          </w:tcPr>
          <w:p>
            <w:r>
              <w:rPr>
                <w:sz w:val="17"/>
              </w:rPr>
              <w:t>10,323</w:t>
            </w:r>
          </w:p>
        </w:tc>
        <w:tc>
          <w:tcPr>
            <w:tcW w:type="dxa" w:w="1440"/>
            <w:shd w:fill="FFDCE0" w:val="clear"/>
          </w:tcPr>
          <w:p>
            <w:r>
              <w:rPr>
                <w:b/>
                <w:color w:val="C00000"/>
                <w:sz w:val="17"/>
              </w:rPr>
              <w:t>-24.6%</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8,241</w:t>
            </w:r>
          </w:p>
        </w:tc>
        <w:tc>
          <w:tcPr>
            <w:tcW w:type="dxa" w:w="1440"/>
            <w:shd w:fill="FFDCE0" w:val="clear"/>
          </w:tcPr>
          <w:p>
            <w:r>
              <w:rPr>
                <w:b/>
                <w:sz w:val="17"/>
              </w:rPr>
              <w:t>9,177</w:t>
            </w:r>
          </w:p>
        </w:tc>
        <w:tc>
          <w:tcPr>
            <w:tcW w:type="dxa" w:w="1440"/>
            <w:shd w:fill="FFDCE0" w:val="clear"/>
          </w:tcPr>
          <w:p>
            <w:r>
              <w:rPr>
                <w:sz w:val="17"/>
              </w:rPr>
              <w:t>10,113</w:t>
            </w:r>
          </w:p>
        </w:tc>
        <w:tc>
          <w:tcPr>
            <w:tcW w:type="dxa" w:w="1440"/>
            <w:shd w:fill="FFDCE0" w:val="clear"/>
          </w:tcPr>
          <w:p>
            <w:r>
              <w:rPr>
                <w:b/>
                <w:color w:val="C00000"/>
                <w:sz w:val="17"/>
              </w:rPr>
              <w:t>-26.6%</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7,990</w:t>
            </w:r>
          </w:p>
        </w:tc>
        <w:tc>
          <w:tcPr>
            <w:tcW w:type="dxa" w:w="1440"/>
            <w:shd w:fill="FFDCE0" w:val="clear"/>
          </w:tcPr>
          <w:p>
            <w:r>
              <w:rPr>
                <w:b/>
                <w:sz w:val="17"/>
              </w:rPr>
              <w:t>8,959</w:t>
            </w:r>
          </w:p>
        </w:tc>
        <w:tc>
          <w:tcPr>
            <w:tcW w:type="dxa" w:w="1440"/>
            <w:shd w:fill="FFDCE0" w:val="clear"/>
          </w:tcPr>
          <w:p>
            <w:r>
              <w:rPr>
                <w:sz w:val="17"/>
              </w:rPr>
              <w:t>9,929</w:t>
            </w:r>
          </w:p>
        </w:tc>
        <w:tc>
          <w:tcPr>
            <w:tcW w:type="dxa" w:w="1440"/>
            <w:shd w:fill="FFDCE0" w:val="clear"/>
          </w:tcPr>
          <w:p>
            <w:r>
              <w:rPr>
                <w:b/>
                <w:color w:val="C00000"/>
                <w:sz w:val="17"/>
              </w:rPr>
              <w:t>-28.3%</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7,766</w:t>
            </w:r>
          </w:p>
        </w:tc>
        <w:tc>
          <w:tcPr>
            <w:tcW w:type="dxa" w:w="1440"/>
            <w:shd w:fill="FFDCE0" w:val="clear"/>
          </w:tcPr>
          <w:p>
            <w:r>
              <w:rPr>
                <w:b/>
                <w:sz w:val="17"/>
              </w:rPr>
              <w:t>8,766</w:t>
            </w:r>
          </w:p>
        </w:tc>
        <w:tc>
          <w:tcPr>
            <w:tcW w:type="dxa" w:w="1440"/>
            <w:shd w:fill="FFDCE0" w:val="clear"/>
          </w:tcPr>
          <w:p>
            <w:r>
              <w:rPr>
                <w:sz w:val="17"/>
              </w:rPr>
              <w:t>9,766</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Absolument. Voici un rapport d'analyse structuré et professionnel pour l'action BOAC,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500 milliards FCFA positionne BOAC comme une valeur de premier plan sur la BRVM. Avec un BPA de 888 FCFA, le PER de 14,1x est supérieur à la moyenne historique du marché (8-12x), ce qui indique que les investisseurs sont prêts à payer une prime pour la qualité de ses bénéfices. Le P/B de 3,93x confirme cette prime de croissance, le marché valorisant nettement au-dessus de la valeur comptable des fonds propres. Enfin, l'EV/EBITDA de 27,4x est très exigeant, signalant que la valeur d'entreprise intègre des attentes de performance opérationnelle élevée sur le long terme. Ces ratios suggèrent une valorisation qui n'est pas "bon marché", mais qui reflète la confiance du marché dans la solidité et les perspectives de la banque.</w:t>
      </w:r>
    </w:p>
    <w:p>
      <w:pPr>
        <w:spacing w:after="120" w:line="276" w:lineRule="auto"/>
      </w:pPr>
      <w:r>
        <w:t>### **PARTIE 1 : ANALYSE DU COURS — STATISTIQUES ET ÉVOLUTION (100 derniers jours)**</w:t>
      </w:r>
    </w:p>
    <w:p>
      <w:pPr>
        <w:spacing w:after="120" w:line="276" w:lineRule="auto"/>
      </w:pPr>
      <w:r>
        <w:t>Sur les 100 derniers jours, l'action BOAC a connu une performance spectaculaire avec une variation totale de +47,06%, passant d'un plus bas de 8,400 FCFA à un plus haut de 13,450 FCFA, pour clôturer à 12,500 FCFA. La variation de +0,04% sur la dernière séance suggère une stabilisation après cette forte hausse. La moyenne du cours (10,001 FCFA) est nettement inférieure à la médiane (9,225 FCFA) et au cours actuel, ce qui, combiné à un skewness positif de 0.951, confirme une distribution asymétrique avec une majorité de journées sous la moyenne mais des épisodes de hausse très marqués. L'écart-type de 1,567 FCFA (CV de 15.7%) indique une dispersion modérée des prix autour de la moyenne. Le kurtosis négatif (-0.643) suggère une distribution mésokurtique, sans risque de variations extrêmes plus élevé que la normale. La volatilité annualisée de 25,8% classe le titre dans la catégorie "modérée à élevée", reflétant un risque de marché significatif.</w:t>
      </w:r>
    </w:p>
    <w:p>
      <w:pPr>
        <w:spacing w:after="120" w:line="276" w:lineRule="auto"/>
      </w:pPr>
      <w:r>
        <w:t>### **PARTIE 2 : ANALYSE TECHNIQUE DÉTAILLÉE**</w:t>
      </w:r>
    </w:p>
    <w:p>
      <w:pPr>
        <w:spacing w:after="120" w:line="276" w:lineRule="auto"/>
      </w:pPr>
      <w:r>
        <w:t>**Moyennes Mobiles**: Le cours actuel (12,500 FCFA) est supérieur à la MM20 (12,722 FCFA) et très au-dessus de la MM50 (11,170 FCFA). Cette configuration haussière, où le cours évolue au-dessus de ses moyennes mobiles clés, justifie la décision d'**Achat**. La MM20 agissant comme un support dynamique à court terme.</w:t>
      </w:r>
    </w:p>
    <w:p>
      <w:pPr>
        <w:spacing w:after="120" w:line="276" w:lineRule="auto"/>
      </w:pPr>
      <w:r>
        <w:t>**Bandes de Bollinger**: Le cours se situe à 12,500 FCFA, dans la partie supérieure du canal formé par les bornes (11,900 FCFA à 13,544 FCFA), mais sans toucher la borne supérieure. Cela indique une volatilité normale et une absence de surachat immédiat, d'où la décision **Neutre**. Le rétrécissement des bandes pourrait précéder un mouvement significatif.</w:t>
      </w:r>
    </w:p>
    <w:p>
      <w:pPr>
        <w:spacing w:after="120" w:line="276" w:lineRule="auto"/>
      </w:pPr>
      <w:r>
        <w:t>**MACD**: La valeur du MACD (338.6) est inférieure à son signal (487.2), indiquant un momentum baissier à court terme. Bien que les deux lignes soient en territoire positif, ce croisement baissier suggère un essoufflement de la tendance haussière, justifiant la décision de **Vente**.</w:t>
      </w:r>
    </w:p>
    <w:p>
      <w:pPr>
        <w:spacing w:after="120" w:line="276" w:lineRule="auto"/>
      </w:pPr>
      <w:r>
        <w:t>**RSI**: Avec une valeur de 15.3, le RSI est en territoire de survente extrême (&lt;30). Cela indique que le titre a été massivement vendu et pourrait être sous-évalué à court terme. Historiquement, un tel niveau précède souvent un rebond technique, d'où la décision d'**Achat**.</w:t>
      </w:r>
    </w:p>
    <w:p>
      <w:pPr>
        <w:spacing w:after="120" w:line="276" w:lineRule="auto"/>
      </w:pPr>
      <w:r>
        <w:t>**Stochastique**: Les valeurs de %K (20.4) et %D (18.5) sont basses, proches de la zone de survente (&lt;20). Bien qu'elles ne soient pas encore en croisement haussier, elles suggèrent une faiblesse du momentum. La décision est **Neutre**, attendant un signal de retournement.</w:t>
      </w:r>
    </w:p>
    <w:p>
      <w:pPr>
        <w:spacing w:after="120" w:line="276" w:lineRule="auto"/>
      </w:pPr>
      <w:r>
        <w:t>**Conclusion technique**: Les indicateurs sont mitigés. Les moyennes mobiles indiquent une tendance de fond haussière, mais le MACD et le RSI signalent une correction en cours ou imminente. Le RSI en survente extrême suggère un potentiel de rebond, mais le MACD baissier appelle à la prudence. Le titre semble en phase de consolidation après une forte hausse, avec un biais haussier à moyen terme.</w:t>
      </w:r>
    </w:p>
    <w:p>
      <w:pPr>
        <w:spacing w:after="120" w:line="276" w:lineRule="auto"/>
      </w:pPr>
      <w:r>
        <w:t>### **PARTIE 3 : ANALYSE FONDAMENTALE (SECTION CRITIQUE)**</w:t>
      </w:r>
    </w:p>
    <w:p>
      <w:pPr>
        <w:spacing w:after="120" w:line="276" w:lineRule="auto"/>
      </w:pPr>
      <w:r>
        <w:t>En 2025, la banque affiche des fondamentaux solides avec un Produit Net Bancaire (PNB) de 73,545 milliards FCFA, en hausse de +1,1% par rapport à 2024. Le résultat net s'établit à 35,540 milliards FCFA, en progression de +10,9% sur un an, porté par une amélioration du coût du risque (-27,8%). La rentabilité est excellente avec un ROE de 27,9% et un ROA de 3,2%. Le coefficient d'exploitation de 36,7% témoigne d'une gestion très efficace. Cependant, le ratio de dépendance financière (88,5%) est élevé, et le coût du risque (6,7%) reste un point de vigilance. Les rapports trimestriels de 2026 montrent une activité en croissance modérée au T1 (PNB +3,09% à 18,96 milliards), mais une dégradation brutale du coût net du risque (+314,75%). Sur la base de ces données, on estime que l'exercice 2026 pourrait voir une croissance du PNB plus soutenue, mais la rentabilité pourrait être affectée si la dégradation du risque se confirme. La banque reste très solide, avec des dépôts en forte hausse (+21,44% au T1 2026), mais la prudence est de mise sur la qualité future du portefeuille de crédits.</w:t>
      </w:r>
    </w:p>
    <w:p>
      <w:pPr>
        <w:spacing w:after="120" w:line="276" w:lineRule="auto"/>
      </w:pPr>
      <w:r>
        <w:t>### **PARTIE 4 : CONCLUSION D'INVESTISSEMENT**</w:t>
      </w:r>
    </w:p>
    <w:p>
      <w:pPr>
        <w:spacing w:after="120" w:line="276" w:lineRule="auto"/>
      </w:pPr>
      <w:r>
        <w:t>La valorisation actuelle (PER 14.1x, P/B 3.93x) est exigeante et intègre déjà des attentes de croissance élevées. Le comportement du cours sur 100 jours a été très haussier (+47%), mais les statistiques (skewness positif) et la volatilité (25.8%) suggèrent un risque de retournement. Les signaux techniques sont divergents : la tendance de fond (MM) est positive, mais les oscillateurs (MACD, RSI) indiquent une correction en cours, avec un RSI en survente extrême. Les fondamentaux de la banque sont excellents (ROE de 27.9%, coefficient d'exploitation très bas), mais la hausse du coût du risque au T1 2026 est un signal d'alerte. Enfin, les prédictions IA pour les 10 prochains jours (chute de 12,500 à 10,031 FCFA) confirment le scénario de correction technique. En synthèse, la convergence entre les signaux techniques baissiers à court terme et les prédictions IA est forte, malgré des fondamentaux solides. Par conséquent, la recommandation est de **CONSERVER** le titre pour le moyen-long terme, avec une confiance **Moyenne**. Le risque global est **Élevé** à court terme en raison de la volatilité et des signaux de correction. L'horizon d'investissement optimal serait le **moyen terme (3-12 mois)**, après une probable phase de consolidation, pour profiter de la solidité fondamentale de la banque à un prix potentiellement plus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188.58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6,294 titres</w:t>
            </w:r>
          </w:p>
        </w:tc>
        <w:tc>
          <w:tcPr>
            <w:tcW w:type="dxa" w:w="2268"/>
            <w:shd w:fill="FFF2CC" w:val="clear"/>
          </w:tcPr>
          <w:p>
            <w:r>
              <w:rPr>
                <w:b/>
                <w:color w:val="503200"/>
                <w:sz w:val="16"/>
              </w:rPr>
              <w:t xml:space="preserve">Cours actuel : </w:t>
            </w:r>
            <w:r>
              <w:rPr>
                <w:color w:val="000000"/>
                <w:sz w:val="17"/>
              </w:rPr>
              <w:t>6,870 FCFA</w:t>
            </w:r>
          </w:p>
          <w:p>
            <w:r>
              <w:rPr>
                <w:b/>
                <w:color w:val="503200"/>
                <w:sz w:val="16"/>
              </w:rPr>
              <w:t xml:space="preserve">Var. 100 jours : </w:t>
            </w:r>
            <w:r>
              <w:rPr>
                <w:b/>
                <w:color w:val="007800"/>
                <w:sz w:val="17"/>
              </w:rPr>
              <w:t>+49.67%</w:t>
            </w:r>
          </w:p>
          <w:p>
            <w:r>
              <w:rPr>
                <w:b/>
                <w:color w:val="503200"/>
                <w:sz w:val="16"/>
              </w:rPr>
              <w:t xml:space="preserve">Plus haut 100j : </w:t>
            </w:r>
            <w:r>
              <w:rPr>
                <w:color w:val="000000"/>
                <w:sz w:val="17"/>
              </w:rPr>
              <w:t>6,870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13.01% (Moyenne) — μ=5,280 FCFA, σ=687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β=0.3383 (Défensif) — Cov=0.000012, Var(idx)=0.000036,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6,421</w:t>
            </w:r>
          </w:p>
        </w:tc>
        <w:tc>
          <w:tcPr>
            <w:tcW w:type="dxa" w:w="1440"/>
            <w:shd w:fill="FFDCE0" w:val="clear"/>
          </w:tcPr>
          <w:p>
            <w:r>
              <w:rPr>
                <w:b/>
                <w:sz w:val="17"/>
              </w:rPr>
              <w:t>6,663</w:t>
            </w:r>
          </w:p>
        </w:tc>
        <w:tc>
          <w:tcPr>
            <w:tcW w:type="dxa" w:w="1440"/>
            <w:shd w:fill="FFDCE0" w:val="clear"/>
          </w:tcPr>
          <w:p>
            <w:r>
              <w:rPr>
                <w:sz w:val="17"/>
              </w:rPr>
              <w:t>6,905</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6,106</w:t>
            </w:r>
          </w:p>
        </w:tc>
        <w:tc>
          <w:tcPr>
            <w:tcW w:type="dxa" w:w="1440"/>
            <w:shd w:fill="FFDCE0" w:val="clear"/>
          </w:tcPr>
          <w:p>
            <w:r>
              <w:rPr>
                <w:b/>
                <w:sz w:val="17"/>
              </w:rPr>
              <w:t>6,437</w:t>
            </w:r>
          </w:p>
        </w:tc>
        <w:tc>
          <w:tcPr>
            <w:tcW w:type="dxa" w:w="1440"/>
            <w:shd w:fill="FFDCE0" w:val="clear"/>
          </w:tcPr>
          <w:p>
            <w:r>
              <w:rPr>
                <w:sz w:val="17"/>
              </w:rPr>
              <w:t>6,768</w:t>
            </w:r>
          </w:p>
        </w:tc>
        <w:tc>
          <w:tcPr>
            <w:tcW w:type="dxa" w:w="1440"/>
            <w:shd w:fill="FFDCE0" w:val="clear"/>
          </w:tcPr>
          <w:p>
            <w:r>
              <w:rPr>
                <w:b/>
                <w:color w:val="C00000"/>
                <w:sz w:val="17"/>
              </w:rPr>
              <w:t>-6.3%</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5,863</w:t>
            </w:r>
          </w:p>
        </w:tc>
        <w:tc>
          <w:tcPr>
            <w:tcW w:type="dxa" w:w="1440"/>
            <w:shd w:fill="FFDCE0" w:val="clear"/>
          </w:tcPr>
          <w:p>
            <w:r>
              <w:rPr>
                <w:b/>
                <w:sz w:val="17"/>
              </w:rPr>
              <w:t>6,257</w:t>
            </w:r>
          </w:p>
        </w:tc>
        <w:tc>
          <w:tcPr>
            <w:tcW w:type="dxa" w:w="1440"/>
            <w:shd w:fill="FFDCE0" w:val="clear"/>
          </w:tcPr>
          <w:p>
            <w:r>
              <w:rPr>
                <w:sz w:val="17"/>
              </w:rPr>
              <w:t>6,651</w:t>
            </w:r>
          </w:p>
        </w:tc>
        <w:tc>
          <w:tcPr>
            <w:tcW w:type="dxa" w:w="1440"/>
            <w:shd w:fill="FFDCE0" w:val="clear"/>
          </w:tcPr>
          <w:p>
            <w:r>
              <w:rPr>
                <w:b/>
                <w:color w:val="C00000"/>
                <w:sz w:val="17"/>
              </w:rPr>
              <w:t>-8.9%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5,674</w:t>
            </w:r>
          </w:p>
        </w:tc>
        <w:tc>
          <w:tcPr>
            <w:tcW w:type="dxa" w:w="1440"/>
            <w:shd w:fill="FFDCE0" w:val="clear"/>
          </w:tcPr>
          <w:p>
            <w:r>
              <w:rPr>
                <w:b/>
                <w:sz w:val="17"/>
              </w:rPr>
              <w:t>6,119</w:t>
            </w:r>
          </w:p>
        </w:tc>
        <w:tc>
          <w:tcPr>
            <w:tcW w:type="dxa" w:w="1440"/>
            <w:shd w:fill="FFDCE0" w:val="clear"/>
          </w:tcPr>
          <w:p>
            <w:r>
              <w:rPr>
                <w:sz w:val="17"/>
              </w:rPr>
              <w:t>6,563</w:t>
            </w:r>
          </w:p>
        </w:tc>
        <w:tc>
          <w:tcPr>
            <w:tcW w:type="dxa" w:w="1440"/>
            <w:shd w:fill="FFDCE0" w:val="clear"/>
          </w:tcPr>
          <w:p>
            <w:r>
              <w:rPr>
                <w:b/>
                <w:color w:val="C00000"/>
                <w:sz w:val="17"/>
              </w:rPr>
              <w:t>-10.9%</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5,515</w:t>
            </w:r>
          </w:p>
        </w:tc>
        <w:tc>
          <w:tcPr>
            <w:tcW w:type="dxa" w:w="1440"/>
            <w:shd w:fill="FFDCE0" w:val="clear"/>
          </w:tcPr>
          <w:p>
            <w:r>
              <w:rPr>
                <w:b/>
                <w:sz w:val="17"/>
              </w:rPr>
              <w:t>6,003</w:t>
            </w:r>
          </w:p>
        </w:tc>
        <w:tc>
          <w:tcPr>
            <w:tcW w:type="dxa" w:w="1440"/>
            <w:shd w:fill="FFDCE0" w:val="clear"/>
          </w:tcPr>
          <w:p>
            <w:r>
              <w:rPr>
                <w:sz w:val="17"/>
              </w:rPr>
              <w:t>6,491</w:t>
            </w:r>
          </w:p>
        </w:tc>
        <w:tc>
          <w:tcPr>
            <w:tcW w:type="dxa" w:w="1440"/>
            <w:shd w:fill="FFDCE0" w:val="clear"/>
          </w:tcPr>
          <w:p>
            <w:r>
              <w:rPr>
                <w:b/>
                <w:color w:val="C00000"/>
                <w:sz w:val="17"/>
              </w:rPr>
              <w:t>-12.6%</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5,374</w:t>
            </w:r>
          </w:p>
        </w:tc>
        <w:tc>
          <w:tcPr>
            <w:tcW w:type="dxa" w:w="1440"/>
            <w:shd w:fill="FFDCE0" w:val="clear"/>
          </w:tcPr>
          <w:p>
            <w:r>
              <w:rPr>
                <w:b/>
                <w:sz w:val="17"/>
              </w:rPr>
              <w:t>5,900</w:t>
            </w:r>
          </w:p>
        </w:tc>
        <w:tc>
          <w:tcPr>
            <w:tcW w:type="dxa" w:w="1440"/>
            <w:shd w:fill="FFDCE0" w:val="clear"/>
          </w:tcPr>
          <w:p>
            <w:r>
              <w:rPr>
                <w:sz w:val="17"/>
              </w:rPr>
              <w:t>6,425</w:t>
            </w:r>
          </w:p>
        </w:tc>
        <w:tc>
          <w:tcPr>
            <w:tcW w:type="dxa" w:w="1440"/>
            <w:shd w:fill="FFDCE0" w:val="clear"/>
          </w:tcPr>
          <w:p>
            <w:r>
              <w:rPr>
                <w:b/>
                <w:color w:val="C00000"/>
                <w:sz w:val="17"/>
              </w:rPr>
              <w:t>-14.1%</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5,246</w:t>
            </w:r>
          </w:p>
        </w:tc>
        <w:tc>
          <w:tcPr>
            <w:tcW w:type="dxa" w:w="1440"/>
            <w:shd w:fill="FFDCE0" w:val="clear"/>
          </w:tcPr>
          <w:p>
            <w:r>
              <w:rPr>
                <w:b/>
                <w:sz w:val="17"/>
              </w:rPr>
              <w:t>5,804</w:t>
            </w:r>
          </w:p>
        </w:tc>
        <w:tc>
          <w:tcPr>
            <w:tcW w:type="dxa" w:w="1440"/>
            <w:shd w:fill="FFDCE0" w:val="clear"/>
          </w:tcPr>
          <w:p>
            <w:r>
              <w:rPr>
                <w:sz w:val="17"/>
              </w:rPr>
              <w:t>6,363</w:t>
            </w:r>
          </w:p>
        </w:tc>
        <w:tc>
          <w:tcPr>
            <w:tcW w:type="dxa" w:w="1440"/>
            <w:shd w:fill="FFDCE0" w:val="clear"/>
          </w:tcPr>
          <w:p>
            <w:r>
              <w:rPr>
                <w:b/>
                <w:color w:val="C00000"/>
                <w:sz w:val="17"/>
              </w:rPr>
              <w:t>-15.5%</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5,128</w:t>
            </w:r>
          </w:p>
        </w:tc>
        <w:tc>
          <w:tcPr>
            <w:tcW w:type="dxa" w:w="1440"/>
            <w:shd w:fill="FFDCE0" w:val="clear"/>
          </w:tcPr>
          <w:p>
            <w:r>
              <w:rPr>
                <w:b/>
                <w:sz w:val="17"/>
              </w:rPr>
              <w:t>5,716</w:t>
            </w:r>
          </w:p>
        </w:tc>
        <w:tc>
          <w:tcPr>
            <w:tcW w:type="dxa" w:w="1440"/>
            <w:shd w:fill="FFDCE0" w:val="clear"/>
          </w:tcPr>
          <w:p>
            <w:r>
              <w:rPr>
                <w:sz w:val="17"/>
              </w:rPr>
              <w:t>6,303</w:t>
            </w:r>
          </w:p>
        </w:tc>
        <w:tc>
          <w:tcPr>
            <w:tcW w:type="dxa" w:w="1440"/>
            <w:shd w:fill="FFDCE0" w:val="clear"/>
          </w:tcPr>
          <w:p>
            <w:r>
              <w:rPr>
                <w:b/>
                <w:color w:val="C00000"/>
                <w:sz w:val="17"/>
              </w:rPr>
              <w:t>-16.8%</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5,018</w:t>
            </w:r>
          </w:p>
        </w:tc>
        <w:tc>
          <w:tcPr>
            <w:tcW w:type="dxa" w:w="1440"/>
            <w:shd w:fill="FFDCE0" w:val="clear"/>
          </w:tcPr>
          <w:p>
            <w:r>
              <w:rPr>
                <w:b/>
                <w:sz w:val="17"/>
              </w:rPr>
              <w:t>5,633</w:t>
            </w:r>
          </w:p>
        </w:tc>
        <w:tc>
          <w:tcPr>
            <w:tcW w:type="dxa" w:w="1440"/>
            <w:shd w:fill="FFDCE0" w:val="clear"/>
          </w:tcPr>
          <w:p>
            <w:r>
              <w:rPr>
                <w:sz w:val="17"/>
              </w:rPr>
              <w:t>6,247</w:t>
            </w:r>
          </w:p>
        </w:tc>
        <w:tc>
          <w:tcPr>
            <w:tcW w:type="dxa" w:w="1440"/>
            <w:shd w:fill="FFDCE0" w:val="clear"/>
          </w:tcPr>
          <w:p>
            <w:r>
              <w:rPr>
                <w:b/>
                <w:color w:val="C00000"/>
                <w:sz w:val="17"/>
              </w:rPr>
              <w:t>-18.0%</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4,917</w:t>
            </w:r>
          </w:p>
        </w:tc>
        <w:tc>
          <w:tcPr>
            <w:tcW w:type="dxa" w:w="1440"/>
            <w:shd w:fill="FFDCE0" w:val="clear"/>
          </w:tcPr>
          <w:p>
            <w:r>
              <w:rPr>
                <w:b/>
                <w:sz w:val="17"/>
              </w:rPr>
              <w:t>5,555</w:t>
            </w:r>
          </w:p>
        </w:tc>
        <w:tc>
          <w:tcPr>
            <w:tcW w:type="dxa" w:w="1440"/>
            <w:shd w:fill="FFDCE0" w:val="clear"/>
          </w:tcPr>
          <w:p>
            <w:r>
              <w:rPr>
                <w:sz w:val="17"/>
              </w:rPr>
              <w:t>6,194</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Absolument. Voici un rapport d'analyse structuré et professionnel pour l'action BOAM,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188,58 milliards FCFA, ce qui en fait une valeur de taille moyenne sur la BRVM, représentant un poids significatif dans l'indice mais loin des très grandes capitalisations. Avec un BPA de 404 FCFA, chaque action détenue génère un bénéfice annuel de ce montant. Le PER de 17,0x est nettement supérieur à la moyenne historique de la BRVM (8-12x), indiquant que les investisseurs sont prêts à payer une prime substantielle pour les bénéfices de la banque, probablement en raison de sa croissance récente. Le P/B de 3,79x confirme cette prime, le marché valorisant le titre bien au-dessus de sa valeur comptable (3,79 fois), ce qui reflète une forte confiance dans la création de valeur future. Enfin, un EV/EBITDA de 9,3x, dans la fourchette haute mais raisonnable (5-10x), suggère que la valeur totale de l'entreprise reste en ligne avec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l'action BOAM a connu une progression spectaculaire de +49,67%, passant d'un plus bas de 4 425 FCFA à un plus haut historique de 6 870 FCFA, qui est également le cours actuel. Cette tendance est fortement haussière, bien que la dernière séance montre une stagnation (0,00%). L'analyse statistique révèle que la moyenne (5 280 FCFA) est inférieure à la médiane (4 985 FCFA), ce qui, combiné à un skewness positif de 0.699, indique une distribution asymétrique avec une concentration de jours de trading sous la moyenne, mais des épisodes de hausse très marqués qui tirent la moyenne vers le haut. L'écart-type de 690 FCFA (CV de 13,1%) montre une dispersion modérée autour de la moyenne. Le kurtosis négatif (-0.748) suggère une distribution mésokurtique, avec un risque de mouvements extrêmes plus faible qu'une distribution normale. La volatilité annualisée de 33,9% classe le titre comme très volatil, ce qui représente un risque élevé pour les investisseurs, mais aussi un potentiel de rendement important.</w:t>
      </w:r>
    </w:p>
    <w:p>
      <w:pPr>
        <w:spacing w:after="120" w:line="276" w:lineRule="auto"/>
      </w:pPr>
      <w:r>
        <w:t>### **PARTIE 2 : ANALYSE TECHNIQUE DÉTAILLÉE**</w:t>
      </w:r>
    </w:p>
    <w:p>
      <w:pPr>
        <w:spacing w:after="120" w:line="276" w:lineRule="auto"/>
      </w:pPr>
      <w:r>
        <w:t>**Moyennes Mobiles**: Le cours actuel (6 870 FCFA) est nettement au-dessus de la MM20 (6 402,75 FCFA) et de la MM50 (5 840,1 FCFA), avec une MM20 supérieure à la MM50. Cette configuration en "courbe ascendante" est un signal technique haussier classique, confirmant la solidité de la tendance à moyen terme. La décision d'achat est justifiée par cette dynamique positive.</w:t>
      </w:r>
    </w:p>
    <w:p>
      <w:pPr>
        <w:spacing w:after="120" w:line="276" w:lineRule="auto"/>
      </w:pPr>
      <w:r>
        <w:t>**Bandes de Bollinger**: Le prix est proche de la borne supérieure (6 935,73 FCFA), ce qui indique que le titre est actuellement en territoire de surachat à court terme. La largeur des bandes est significative, reflétant la volatilité élevée du titre. La décision "Neutre" est prudente, car elle suggère que le marché pourrait consolider ou subir un repli technique avant de poursuivre sa tendance haussière.</w:t>
      </w:r>
    </w:p>
    <w:p>
      <w:pPr>
        <w:spacing w:after="120" w:line="276" w:lineRule="auto"/>
      </w:pPr>
      <w:r>
        <w:t>**MACD**: Le MACD (262,575) est positif et supérieur à sa ligne de signal (255,999), indiquant un momentum haussier toujours en vigueur. La divergence positive entre les deux lignes, bien que non extrême, soutient la poursuite de la tendance. La décision d'achat est cohérente avec la dynamique actuelle du marché.</w:t>
      </w:r>
    </w:p>
    <w:p>
      <w:pPr>
        <w:spacing w:after="120" w:line="276" w:lineRule="auto"/>
      </w:pPr>
      <w:r>
        <w:t>**RSI**: Avec une valeur de 74,91, le RSI est entré en zone de surachat (au-dessus de 70). Cela signale que le titre a fortement monté sur une courte période et qu'une correction technique est de plus en plus probable à court terme. La décision de vente est un signal de prudence, indiquant que le potentiel de hausse immédiat pourrait être limité.</w:t>
      </w:r>
    </w:p>
    <w:p>
      <w:pPr>
        <w:spacing w:after="120" w:line="276" w:lineRule="auto"/>
      </w:pPr>
      <w:r>
        <w:t>**Stochastique**: Le %K (100,0) est extrêmement suracheté et bien au-dessus du %D (80,952). Cette configuration extrême indique que l'élan haussier est à son paroxysme. La décision de vente est justifiée par la probabilité élevée d'un croisement baissier imminent, qui précéderait un repli du cours.</w:t>
      </w:r>
    </w:p>
    <w:p>
      <w:pPr>
        <w:spacing w:after="120" w:line="276" w:lineRule="auto"/>
      </w:pPr>
      <w:r>
        <w:t>**Conclusion technique**: Les indicateurs de tendance (MM, MACD) sont résolument positifs et confirment une forte dynamique haussière. Cependant, les oscillateurs (RSI, Stochastique) sont tous en zone de surachat extrême, signalant une exubérance du marché et un risque élevé de correction technique à très court terme. La position du prix à la borne supérieure des bandes de Bollinger renforce ce risque. Le scénario le plus probable est une consolidation ou un repli temporaire avant la reprise de la tendance haussière de fond.</w:t>
      </w:r>
    </w:p>
    <w:p>
      <w:pPr>
        <w:spacing w:after="120" w:line="276" w:lineRule="auto"/>
      </w:pPr>
      <w:r>
        <w:t>### **PARTIE 3 : ANALYSE FONDAMENTALE (SECTION CRITIQUE)**</w:t>
      </w:r>
    </w:p>
    <w:p>
      <w:pPr>
        <w:spacing w:after="120" w:line="276" w:lineRule="auto"/>
      </w:pPr>
      <w:r>
        <w:t>En 2025, les données financières structurées de BOAM font état d'un Produit Net Bancaire (PNB) de 37,996 milliards FCFA, en croissance de 5,08%, et d'un résultat net de 11,081 milliards FCFA. Cette performance se traduit par un ROE exceptionnel de 22,24% et un ROA de 1,87%, démontrant une excellente rentabilité des fonds propres et une bonne efficacité de l'utilisation des actifs. Le coefficient d'exploitation de 63,14% reste légèrement au-dessus de la barre des 60%, indiquant une marge de progression en matière d'efficacité opérationnelle. Le coût du risque, à 43,39% des charges financières, est un point de vigilance, signalant un risque de crédit significatif. En croisant avec les rapports narratifs, on observe une amélioration continue tout au long de l'année 2025 : le rapport du T1 2025 (31/03/2025) montrait un résultat net en hausse de 91%, celui du S1 2025 (30/06/2025) une hausse de 28,8%, et celui du T3 2025 (30/09/2025) une hausse de 26,2% avec un PNB en croissance de 5,8%. Sur la base de ces rapports trimestriels, on estime que la performance annuelle 2025 est robuste, portée par une amélioration de la marge d'intérêt, une maîtrise des coûts et une baisse du coût du risque. Les états financiers certifiés de 2024 (31/12/2024) montraient déjà une forte progression du résultat net (+57,9%), confirmant une trajectoire de croissance solide et durable. La banque affiche une solidité financière certaine, mais doit surveiller son coût du risque et son coefficient d'exploitation pour optimiser sa performance future.</w:t>
      </w:r>
    </w:p>
    <w:p>
      <w:pPr>
        <w:spacing w:after="120" w:line="276" w:lineRule="auto"/>
      </w:pPr>
      <w:r>
        <w:t>### **PARTIE 4 : CONCLUSION D'INVESTISSEMENT**</w:t>
      </w:r>
    </w:p>
    <w:p>
      <w:pPr>
        <w:spacing w:after="120" w:line="276" w:lineRule="auto"/>
      </w:pPr>
      <w:r>
        <w:t>La valorisation de BOAM (PER 17x, P/B 3,79x) est exigeante et intègre déjà des attentes de croissance élevées, ce qui laisse peu de marge d'erreur. Le comportement du cours, avec une hausse spectaculaire de près de 50% en 100 jours et une volatilité élevée (33,9%), confirme un fort intérêt des investisseurs mais expose à un risque de retournement. Les signaux techniques sont contradictoires : la tendance de fond (MM, MACD) est haussière, mais les oscillateurs (RSI, Stochastique) hurlent au surachat, suggérant une correction à court terme. Les fondamentaux sont excellents, avec une croissance du résultat net soutenue et une rentabilité (ROE &gt;22%) parmi les meilleures de la place, bien que le coût du risque reste un facteur de vigilance. Les prédictions IA, qui anticipent une baisse progressive du cours vers 6 000 FCFA sur 10 jours, corroborent le signal technique de surachat et suggèrent une phase de consolidation. En synthèse, la convergence entre les signaux techniques de surachat et les prédictions IA, contrastant avec des fondamentaux solides, conduit à une recommandation de **CONSERVER** le titre pour les investisseurs actuels, et d'attendre un repli technique vers les 6 000-6 200 FCFA pour les nouveaux entrants. Le niveau de confiance est **Moyen**, le risque global est **Élevé** en raison de la volatilité et de la valorisation, et l'horizon d'investissement optimal est le **moyen terme (3-12 mois)** pour capitaliser sur la solidité des fondamentaux après une probable phase de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114.19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10,041 titres</w:t>
            </w:r>
          </w:p>
        </w:tc>
        <w:tc>
          <w:tcPr>
            <w:tcW w:type="dxa" w:w="2268"/>
            <w:shd w:fill="FFF2CC" w:val="clear"/>
          </w:tcPr>
          <w:p>
            <w:r>
              <w:rPr>
                <w:b/>
                <w:color w:val="503200"/>
                <w:sz w:val="16"/>
              </w:rPr>
              <w:t xml:space="preserve">Cours actuel : </w:t>
            </w:r>
            <w:r>
              <w:rPr>
                <w:color w:val="000000"/>
                <w:sz w:val="17"/>
              </w:rPr>
              <w:t>5,490 FCFA</w:t>
            </w:r>
          </w:p>
          <w:p>
            <w:r>
              <w:rPr>
                <w:b/>
                <w:color w:val="503200"/>
                <w:sz w:val="16"/>
              </w:rPr>
              <w:t xml:space="preserve">Var. 100 jours : </w:t>
            </w:r>
            <w:r>
              <w:rPr>
                <w:b/>
                <w:color w:val="007800"/>
                <w:sz w:val="17"/>
              </w:rPr>
              <w:t>+93.99%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2,830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18.78% (Élevée) — μ=4,336 FCFA, σ=814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β=0.2358 (Défensif) — Cov=0.000009, Var(idx)=0.000036, ρ=0.057,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5,302</w:t>
            </w:r>
          </w:p>
        </w:tc>
        <w:tc>
          <w:tcPr>
            <w:tcW w:type="dxa" w:w="1440"/>
            <w:shd w:fill="FAFAFA" w:val="clear"/>
          </w:tcPr>
          <w:p>
            <w:r>
              <w:rPr>
                <w:b/>
                <w:sz w:val="17"/>
              </w:rPr>
              <w:t>5,443</w:t>
            </w:r>
          </w:p>
        </w:tc>
        <w:tc>
          <w:tcPr>
            <w:tcW w:type="dxa" w:w="1440"/>
            <w:shd w:fill="FAFAFA" w:val="clear"/>
          </w:tcPr>
          <w:p>
            <w:r>
              <w:rPr>
                <w:sz w:val="17"/>
              </w:rPr>
              <w:t>5,585</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2026-09-10</w:t>
            </w:r>
          </w:p>
        </w:tc>
        <w:tc>
          <w:tcPr>
            <w:tcW w:type="dxa" w:w="1440"/>
            <w:shd w:fill="FAFAFA" w:val="clear"/>
          </w:tcPr>
          <w:p>
            <w:r>
              <w:rPr>
                <w:sz w:val="17"/>
              </w:rPr>
              <w:t>5,236</w:t>
            </w:r>
          </w:p>
        </w:tc>
        <w:tc>
          <w:tcPr>
            <w:tcW w:type="dxa" w:w="1440"/>
            <w:shd w:fill="FAFAFA" w:val="clear"/>
          </w:tcPr>
          <w:p>
            <w:r>
              <w:rPr>
                <w:b/>
                <w:sz w:val="17"/>
              </w:rPr>
              <w:t>5,435</w:t>
            </w:r>
          </w:p>
        </w:tc>
        <w:tc>
          <w:tcPr>
            <w:tcW w:type="dxa" w:w="1440"/>
            <w:shd w:fill="FAFAFA" w:val="clear"/>
          </w:tcPr>
          <w:p>
            <w:r>
              <w:rPr>
                <w:sz w:val="17"/>
              </w:rPr>
              <w:t>5,635</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5,178</w:t>
            </w:r>
          </w:p>
        </w:tc>
        <w:tc>
          <w:tcPr>
            <w:tcW w:type="dxa" w:w="1440"/>
            <w:shd w:fill="FAFAFA" w:val="clear"/>
          </w:tcPr>
          <w:p>
            <w:r>
              <w:rPr>
                <w:b/>
                <w:sz w:val="17"/>
              </w:rPr>
              <w:t>5,422</w:t>
            </w:r>
          </w:p>
        </w:tc>
        <w:tc>
          <w:tcPr>
            <w:tcW w:type="dxa" w:w="1440"/>
            <w:shd w:fill="FAFAFA" w:val="clear"/>
          </w:tcPr>
          <w:p>
            <w:r>
              <w:rPr>
                <w:sz w:val="17"/>
              </w:rPr>
              <w:t>5,666</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2026-09-14</w:t>
            </w:r>
          </w:p>
        </w:tc>
        <w:tc>
          <w:tcPr>
            <w:tcW w:type="dxa" w:w="1440"/>
            <w:shd w:fill="FAFAFA" w:val="clear"/>
          </w:tcPr>
          <w:p>
            <w:r>
              <w:rPr>
                <w:sz w:val="17"/>
              </w:rPr>
              <w:t>5,127</w:t>
            </w:r>
          </w:p>
        </w:tc>
        <w:tc>
          <w:tcPr>
            <w:tcW w:type="dxa" w:w="1440"/>
            <w:shd w:fill="FAFAFA" w:val="clear"/>
          </w:tcPr>
          <w:p>
            <w:r>
              <w:rPr>
                <w:b/>
                <w:sz w:val="17"/>
              </w:rPr>
              <w:t>5,408</w:t>
            </w:r>
          </w:p>
        </w:tc>
        <w:tc>
          <w:tcPr>
            <w:tcW w:type="dxa" w:w="1440"/>
            <w:shd w:fill="FAFAFA" w:val="clear"/>
          </w:tcPr>
          <w:p>
            <w:r>
              <w:rPr>
                <w:sz w:val="17"/>
              </w:rPr>
              <w:t>5,688</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2026-09-15</w:t>
            </w:r>
          </w:p>
        </w:tc>
        <w:tc>
          <w:tcPr>
            <w:tcW w:type="dxa" w:w="1440"/>
            <w:shd w:fill="FAFAFA" w:val="clear"/>
          </w:tcPr>
          <w:p>
            <w:r>
              <w:rPr>
                <w:sz w:val="17"/>
              </w:rPr>
              <w:t>5,080</w:t>
            </w:r>
          </w:p>
        </w:tc>
        <w:tc>
          <w:tcPr>
            <w:tcW w:type="dxa" w:w="1440"/>
            <w:shd w:fill="FAFAFA" w:val="clear"/>
          </w:tcPr>
          <w:p>
            <w:r>
              <w:rPr>
                <w:b/>
                <w:sz w:val="17"/>
              </w:rPr>
              <w:t>5,393</w:t>
            </w:r>
          </w:p>
        </w:tc>
        <w:tc>
          <w:tcPr>
            <w:tcW w:type="dxa" w:w="1440"/>
            <w:shd w:fill="FAFAFA" w:val="clear"/>
          </w:tcPr>
          <w:p>
            <w:r>
              <w:rPr>
                <w:sz w:val="17"/>
              </w:rPr>
              <w:t>5,706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5,038</w:t>
            </w:r>
          </w:p>
        </w:tc>
        <w:tc>
          <w:tcPr>
            <w:tcW w:type="dxa" w:w="1440"/>
            <w:shd w:fill="FFDCE0" w:val="clear"/>
          </w:tcPr>
          <w:p>
            <w:r>
              <w:rPr>
                <w:b/>
                <w:sz w:val="17"/>
              </w:rPr>
              <w:t>5,380</w:t>
            </w:r>
          </w:p>
        </w:tc>
        <w:tc>
          <w:tcPr>
            <w:tcW w:type="dxa" w:w="1440"/>
            <w:shd w:fill="FFDCE0" w:val="clear"/>
          </w:tcPr>
          <w:p>
            <w:r>
              <w:rPr>
                <w:sz w:val="17"/>
              </w:rPr>
              <w:t>5,722</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4,997</w:t>
            </w:r>
          </w:p>
        </w:tc>
        <w:tc>
          <w:tcPr>
            <w:tcW w:type="dxa" w:w="1440"/>
            <w:shd w:fill="FFDCE0" w:val="clear"/>
          </w:tcPr>
          <w:p>
            <w:r>
              <w:rPr>
                <w:b/>
                <w:sz w:val="17"/>
              </w:rPr>
              <w:t>5,366</w:t>
            </w:r>
          </w:p>
        </w:tc>
        <w:tc>
          <w:tcPr>
            <w:tcW w:type="dxa" w:w="1440"/>
            <w:shd w:fill="FFDCE0" w:val="clear"/>
          </w:tcPr>
          <w:p>
            <w:r>
              <w:rPr>
                <w:sz w:val="17"/>
              </w:rPr>
              <w:t>5,734</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4,960</w:t>
            </w:r>
          </w:p>
        </w:tc>
        <w:tc>
          <w:tcPr>
            <w:tcW w:type="dxa" w:w="1440"/>
            <w:shd w:fill="FFDCE0" w:val="clear"/>
          </w:tcPr>
          <w:p>
            <w:r>
              <w:rPr>
                <w:b/>
                <w:sz w:val="17"/>
              </w:rPr>
              <w:t>5,353</w:t>
            </w:r>
          </w:p>
        </w:tc>
        <w:tc>
          <w:tcPr>
            <w:tcW w:type="dxa" w:w="1440"/>
            <w:shd w:fill="FFDCE0" w:val="clear"/>
          </w:tcPr>
          <w:p>
            <w:r>
              <w:rPr>
                <w:sz w:val="17"/>
              </w:rPr>
              <w:t>5,745</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4,924</w:t>
            </w:r>
          </w:p>
        </w:tc>
        <w:tc>
          <w:tcPr>
            <w:tcW w:type="dxa" w:w="1440"/>
            <w:shd w:fill="FFDCE0" w:val="clear"/>
          </w:tcPr>
          <w:p>
            <w:r>
              <w:rPr>
                <w:b/>
                <w:sz w:val="17"/>
              </w:rPr>
              <w:t>5,339</w:t>
            </w:r>
          </w:p>
        </w:tc>
        <w:tc>
          <w:tcPr>
            <w:tcW w:type="dxa" w:w="1440"/>
            <w:shd w:fill="FFDCE0" w:val="clear"/>
          </w:tcPr>
          <w:p>
            <w:r>
              <w:rPr>
                <w:sz w:val="17"/>
              </w:rPr>
              <w:t>5,755</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4,889</w:t>
            </w:r>
          </w:p>
        </w:tc>
        <w:tc>
          <w:tcPr>
            <w:tcW w:type="dxa" w:w="1440"/>
            <w:shd w:fill="FFDCE0" w:val="clear"/>
          </w:tcPr>
          <w:p>
            <w:r>
              <w:rPr>
                <w:b/>
                <w:sz w:val="17"/>
              </w:rPr>
              <w:t>5,326</w:t>
            </w:r>
          </w:p>
        </w:tc>
        <w:tc>
          <w:tcPr>
            <w:tcW w:type="dxa" w:w="1440"/>
            <w:shd w:fill="FFDCE0" w:val="clear"/>
          </w:tcPr>
          <w:p>
            <w:r>
              <w:rPr>
                <w:sz w:val="17"/>
              </w:rPr>
              <w:t>5,763</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114,19 milliards FCFA, un niveau substantiel qui la positionne parmi les valeurs moyennes de la cote BRVM. Le titre se paie extrêmement cher au regard de ses bénéfices, avec un PER de 279,2x, très largement supérieur à la moyenne de la BRVM (8-12x). Ce ratio traduit une anticipation extrêmement optimiste du marché, qui valorise des bénéfices futurs encore hypothétiques. Le P/B de 3,17x indique que le marché valorise la société à plus de trois fois ses capitaux propres, ce qui est élevé pour une banque dont le ROE est inférieur à 2%. Enfin, l'EV/EBITDA de 41,0x, bien au-dessus du seuil exigeant de 15x, confirme une valorisation très tendue, intégrant un scénario de redressement rapide qui ne s'est pas encore matérialisé dans les comptes.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+93,99%, avec une dernière séance en hausse de +0,83% à 5 490 FCFA. Le titre a évolué dans une fourchette très large, entre un plus bas de 2 830 FCFA et un plus haut de 5 645 FCFA, illustrant un mouvement haussier d'une rare intensité. La moyenne du cours sur la période (4 336 FCFA) est supérieure à la médiane (4 150 FCFA), indiquant une asymétrie positive de la distribution, confirmée par un skewness de 0,134. L'écart-type de 818 FCFA (CV=18,9%) révèle une dispersion modérée des prix autour de la moyenne. Le kurtosis de -1,529 (platykurtique) signale une distribution aplatie, suggérant une absence de mouvements extrêmes récents malgré la forte tendance. La volatilité annualisée de 39,1% classe le titre comme très volatil, un niveau élevé qui implique un risque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(5 490 FCFA) se positionne nettement au-dessus de la MM20 (5 319,75 FCFA) et de la MM50 (5 068,9 FCFA), confirmant une dynamique haussière solide à court et moyen terme. La configuration des moyennes mobiles, avec le cours au-dessus des deux, génère un signal d'achat cohérent avec la tendance de fond.</w:t>
      </w:r>
    </w:p>
    <w:p>
      <w:pPr>
        <w:spacing w:after="120" w:line="276" w:lineRule="auto"/>
      </w:pPr>
      <w:r>
        <w:t>**Bandes de Bollinger** : Le prix se situe à 5 490 FCFA, proche de la borne supérieure (5 657,66 FCFA), indiquant que le titre est en zone de surachat temporaire. La largeur des bandes reflète la volatilité élevée du titre. La décision est neutre, le cours n'ayant pas encore franchi la borne, mais la pression acheteuse reste forte.</w:t>
      </w:r>
    </w:p>
    <w:p>
      <w:pPr>
        <w:spacing w:after="120" w:line="276" w:lineRule="auto"/>
      </w:pPr>
      <w:r>
        <w:t>**MACD** : La valeur du MACD (122,341) est inférieure à son signal (132,078), générant un signal de vente à court terme. Cette configuration suggère un essoufflement du momentum haussier, les deux lignes évoluant sous la ligne zéro, ce qui pourrait précéder une consolidation ou un repli technique.</w:t>
      </w:r>
    </w:p>
    <w:p>
      <w:pPr>
        <w:spacing w:after="120" w:line="276" w:lineRule="auto"/>
      </w:pPr>
      <w:r>
        <w:t>**RSI** : À 70,0, l'indice de force relative se trouve à la limite supérieure de la zone neutre, frôlant le seuil de surachat (70). Cette valeur indique que le titre est fortement sollicité par les acheteurs, mais qu'un essoufflement est possible à très court terme. La décision est neutre.</w:t>
      </w:r>
    </w:p>
    <w:p>
      <w:pPr>
        <w:spacing w:after="120" w:line="276" w:lineRule="auto"/>
      </w:pPr>
      <w:r>
        <w:t>**Stochastique** : Le %K (68,687) est supérieur au %D (62,963), avec les deux indicateurs en zone positive mais sous le seuil des 80. Cette configuration signale une dynamique haussière toujours en place, mais avec une perte de vigueur. La décision est neutre.</w:t>
      </w:r>
    </w:p>
    <w:p>
      <w:pPr>
        <w:spacing w:after="120" w:line="276" w:lineRule="auto"/>
      </w:pPr>
      <w:r>
        <w:t>**Conclusion technique** : Les indicateurs de tendance (MM) restent positifs, mais les oscillateurs (MACD, RSI, Stochastique) montrent des signes d'essoufflement. Le titre est en phase de consolidation après une forte hausse, et un repli technique vers les 5 300-5 400 FCFA est envisageable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la BOAN a enregistré un Produit Net Bancaire de 21,125 milliards FCFA, en léger repli de -1,2% par rapport à 2024 (21,380 milliards). Le résultat net s'est effondré à 409 millions FCFA, contre 5 002 millions en 2024, soit une chute de -91,8%. Cette dégradation s'explique par une hausse des charges d'exploitation (+19,7% selon le rapport annuel 2025) et une explosion du coût du risque à 6 016 millions FCFA (+121,5%), incluant une provision exceptionnelle de 4,8 milliards liée au taux de sinistralité sectoriel de 24%. Les ratios de rentabilité sont particulièrement faibles : ROE de 1,13% et ROA de 0,14%. Le coefficient d'exploitation s'est dégradé à 74,4%, bien au-dessus du seuil d'efficacité de 60%. Cependant, le rapport du T1 2026 (daté du 31 mars 2026) montre un net redressement : PNB en hausse de +7,9% à 5 170 millions, résultat net en progression de +28,9% à 1 467 millions, et coefficient d'exploitation ramené à 56,2%. Sur la base de ce trimestre, on estime que l'exercice 2026 pourrait voir un PNB autour de 22,3 milliards et un résultat net potentiel de 5 à 7 milliards, si la tendance se confirme. La banque maintient des ratios prudentiels solides (solvabilité de 14,06%, liquidité de 123,95%). Le contexte nigérien reste fragile, mais la levée des sanctions et la reprise économique (+7% de croissance PIB attendue) constituent des catalyseurs positifs.</w:t>
      </w:r>
    </w:p>
    <w:p>
      <w:pPr>
        <w:spacing w:after="120" w:line="276" w:lineRule="auto"/>
      </w:pPr>
      <w:r>
        <w:t>---</w:t>
      </w:r>
    </w:p>
    <w:p>
      <w:pPr>
        <w:spacing w:after="120" w:line="276" w:lineRule="auto"/>
      </w:pPr>
      <w:r>
        <w:t>### PARTIE 4 : CONCLUSION D'INVESTISSEMENT</w:t>
      </w:r>
    </w:p>
    <w:p>
      <w:pPr>
        <w:spacing w:after="120" w:line="276" w:lineRule="auto"/>
      </w:pPr>
      <w:r>
        <w:t>La valorisation de BOAN (PER de 279x, P/B de 3,17x) est extrêmement exigeante et intègre un scénario de redressement rapide qui ne s'est pas encore matérialisé dans les comptes annuels. Le comportement du cours (+94% en 100 jours) traduit un enthousiasme précoce des investisseurs, mais la volatilité de 39,1% et le kurtosis platykurtique signalent un risque de correction brutale. Les signaux techniques sont partagés : les moyennes mobiles restent haussières, mais le MACD et le RSI flirtent avec des zones de surachat, suggérant un repli technique à court terme. Les fondamentaux montrent une amélioration nette au T1 2026 (+28,9% de résultat net), confirmant le début de redressement, mais la prudence reste de mise après une année 2025 catastrophique. Les prédictions IA (5 443 à 5 393 FCFA sur 10 jours) anticipent une légère consolidation, en ligne avec les signaux techniques. En synthèse, la convergence entre le redressement fondamental et la tendance haussière du cours est positive, mais la valorisation actuelle est prématurée. **Recommandation : CONSERVER**, avec un niveau de confiance Moyen et un risque global Élevé. Horizon d'investissement optimal : moyen terme (3-12 mois), en attendant la confirmation du redressement sur les prochains trimestres.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10,166 titres</w:t>
            </w:r>
          </w:p>
        </w:tc>
        <w:tc>
          <w:tcPr>
            <w:tcW w:type="dxa" w:w="2268"/>
            <w:shd w:fill="FFF2CC" w:val="clear"/>
          </w:tcPr>
          <w:p>
            <w:r>
              <w:rPr>
                <w:b/>
                <w:color w:val="503200"/>
                <w:sz w:val="16"/>
              </w:rPr>
              <w:t xml:space="preserve">Cours actuel : </w:t>
            </w:r>
            <w:r>
              <w:rPr>
                <w:color w:val="000000"/>
                <w:sz w:val="17"/>
              </w:rPr>
              <w:t>8,275 FCFA</w:t>
            </w:r>
          </w:p>
          <w:p>
            <w:r>
              <w:rPr>
                <w:b/>
                <w:color w:val="503200"/>
                <w:sz w:val="16"/>
              </w:rPr>
              <w:t xml:space="preserve">Var. 100 jours : </w:t>
            </w:r>
            <w:r>
              <w:rPr>
                <w:b/>
                <w:color w:val="007800"/>
                <w:sz w:val="17"/>
              </w:rPr>
              <w:t>+22.59%</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5.59% (Moyenne) — μ=7,528 FCFA, σ=420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β=0.2874 (Défensif) — Cov=0.000010, Var(idx)=0.000036, ρ=0.112,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7,847</w:t>
            </w:r>
          </w:p>
        </w:tc>
        <w:tc>
          <w:tcPr>
            <w:tcW w:type="dxa" w:w="1440"/>
            <w:shd w:fill="FFDCE0" w:val="clear"/>
          </w:tcPr>
          <w:p>
            <w:r>
              <w:rPr>
                <w:b/>
                <w:sz w:val="17"/>
              </w:rPr>
              <w:t>8,051</w:t>
            </w:r>
          </w:p>
        </w:tc>
        <w:tc>
          <w:tcPr>
            <w:tcW w:type="dxa" w:w="1440"/>
            <w:shd w:fill="FFDCE0" w:val="clear"/>
          </w:tcPr>
          <w:p>
            <w:r>
              <w:rPr>
                <w:sz w:val="17"/>
              </w:rPr>
              <w:t>8,255</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7,621</w:t>
            </w:r>
          </w:p>
        </w:tc>
        <w:tc>
          <w:tcPr>
            <w:tcW w:type="dxa" w:w="1440"/>
            <w:shd w:fill="FFDCE0" w:val="clear"/>
          </w:tcPr>
          <w:p>
            <w:r>
              <w:rPr>
                <w:b/>
                <w:sz w:val="17"/>
              </w:rPr>
              <w:t>7,904</w:t>
            </w:r>
          </w:p>
        </w:tc>
        <w:tc>
          <w:tcPr>
            <w:tcW w:type="dxa" w:w="1440"/>
            <w:shd w:fill="FFDCE0" w:val="clear"/>
          </w:tcPr>
          <w:p>
            <w:r>
              <w:rPr>
                <w:sz w:val="17"/>
              </w:rPr>
              <w:t>8,187</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7,422</w:t>
            </w:r>
          </w:p>
        </w:tc>
        <w:tc>
          <w:tcPr>
            <w:tcW w:type="dxa" w:w="1440"/>
            <w:shd w:fill="FFDCE0" w:val="clear"/>
          </w:tcPr>
          <w:p>
            <w:r>
              <w:rPr>
                <w:b/>
                <w:sz w:val="17"/>
              </w:rPr>
              <w:t>7,763</w:t>
            </w:r>
          </w:p>
        </w:tc>
        <w:tc>
          <w:tcPr>
            <w:tcW w:type="dxa" w:w="1440"/>
            <w:shd w:fill="FFDCE0" w:val="clear"/>
          </w:tcPr>
          <w:p>
            <w:r>
              <w:rPr>
                <w:sz w:val="17"/>
              </w:rPr>
              <w:t>8,103</w:t>
            </w:r>
          </w:p>
        </w:tc>
        <w:tc>
          <w:tcPr>
            <w:tcW w:type="dxa" w:w="1440"/>
            <w:shd w:fill="FFDCE0" w:val="clear"/>
          </w:tcPr>
          <w:p>
            <w:r>
              <w:rPr>
                <w:b/>
                <w:color w:val="C00000"/>
                <w:sz w:val="17"/>
              </w:rPr>
              <w:t>-6.2%</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7,247</w:t>
            </w:r>
          </w:p>
        </w:tc>
        <w:tc>
          <w:tcPr>
            <w:tcW w:type="dxa" w:w="1440"/>
            <w:shd w:fill="FFDCE0" w:val="clear"/>
          </w:tcPr>
          <w:p>
            <w:r>
              <w:rPr>
                <w:b/>
                <w:sz w:val="17"/>
              </w:rPr>
              <w:t>7,634</w:t>
            </w:r>
          </w:p>
        </w:tc>
        <w:tc>
          <w:tcPr>
            <w:tcW w:type="dxa" w:w="1440"/>
            <w:shd w:fill="FFDCE0" w:val="clear"/>
          </w:tcPr>
          <w:p>
            <w:r>
              <w:rPr>
                <w:sz w:val="17"/>
              </w:rPr>
              <w:t>8,021</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7,089</w:t>
            </w:r>
          </w:p>
        </w:tc>
        <w:tc>
          <w:tcPr>
            <w:tcW w:type="dxa" w:w="1440"/>
            <w:shd w:fill="FFDCE0" w:val="clear"/>
          </w:tcPr>
          <w:p>
            <w:r>
              <w:rPr>
                <w:b/>
                <w:sz w:val="17"/>
              </w:rPr>
              <w:t>7,515</w:t>
            </w:r>
          </w:p>
        </w:tc>
        <w:tc>
          <w:tcPr>
            <w:tcW w:type="dxa" w:w="1440"/>
            <w:shd w:fill="FFDCE0" w:val="clear"/>
          </w:tcPr>
          <w:p>
            <w:r>
              <w:rPr>
                <w:sz w:val="17"/>
              </w:rPr>
              <w:t>7,941</w:t>
            </w:r>
          </w:p>
        </w:tc>
        <w:tc>
          <w:tcPr>
            <w:tcW w:type="dxa" w:w="1440"/>
            <w:shd w:fill="FFDCE0" w:val="clear"/>
          </w:tcPr>
          <w:p>
            <w:r>
              <w:rPr>
                <w:b/>
                <w:color w:val="C00000"/>
                <w:sz w:val="17"/>
              </w:rPr>
              <w:t>-9.2%</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6,944</w:t>
            </w:r>
          </w:p>
        </w:tc>
        <w:tc>
          <w:tcPr>
            <w:tcW w:type="dxa" w:w="1440"/>
            <w:shd w:fill="FFDCE0" w:val="clear"/>
          </w:tcPr>
          <w:p>
            <w:r>
              <w:rPr>
                <w:b/>
                <w:sz w:val="17"/>
              </w:rPr>
              <w:t>7,403</w:t>
            </w:r>
          </w:p>
        </w:tc>
        <w:tc>
          <w:tcPr>
            <w:tcW w:type="dxa" w:w="1440"/>
            <w:shd w:fill="FFDCE0" w:val="clear"/>
          </w:tcPr>
          <w:p>
            <w:r>
              <w:rPr>
                <w:sz w:val="17"/>
              </w:rPr>
              <w:t>7,863</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6,809</w:t>
            </w:r>
          </w:p>
        </w:tc>
        <w:tc>
          <w:tcPr>
            <w:tcW w:type="dxa" w:w="1440"/>
            <w:shd w:fill="FFDCE0" w:val="clear"/>
          </w:tcPr>
          <w:p>
            <w:r>
              <w:rPr>
                <w:b/>
                <w:sz w:val="17"/>
              </w:rPr>
              <w:t>7,298</w:t>
            </w:r>
          </w:p>
        </w:tc>
        <w:tc>
          <w:tcPr>
            <w:tcW w:type="dxa" w:w="1440"/>
            <w:shd w:fill="FFDCE0" w:val="clear"/>
          </w:tcPr>
          <w:p>
            <w:r>
              <w:rPr>
                <w:sz w:val="17"/>
              </w:rPr>
              <w:t>7,787</w:t>
            </w:r>
          </w:p>
        </w:tc>
        <w:tc>
          <w:tcPr>
            <w:tcW w:type="dxa" w:w="1440"/>
            <w:shd w:fill="FFDCE0" w:val="clear"/>
          </w:tcPr>
          <w:p>
            <w:r>
              <w:rPr>
                <w:b/>
                <w:color w:val="C00000"/>
                <w:sz w:val="17"/>
              </w:rPr>
              <w:t>-11.8%</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6,683</w:t>
            </w:r>
          </w:p>
        </w:tc>
        <w:tc>
          <w:tcPr>
            <w:tcW w:type="dxa" w:w="1440"/>
            <w:shd w:fill="FFDCE0" w:val="clear"/>
          </w:tcPr>
          <w:p>
            <w:r>
              <w:rPr>
                <w:b/>
                <w:sz w:val="17"/>
              </w:rPr>
              <w:t>7,199</w:t>
            </w:r>
          </w:p>
        </w:tc>
        <w:tc>
          <w:tcPr>
            <w:tcW w:type="dxa" w:w="1440"/>
            <w:shd w:fill="FFDCE0" w:val="clear"/>
          </w:tcPr>
          <w:p>
            <w:r>
              <w:rPr>
                <w:sz w:val="17"/>
              </w:rPr>
              <w:t>7,714</w:t>
            </w:r>
          </w:p>
        </w:tc>
        <w:tc>
          <w:tcPr>
            <w:tcW w:type="dxa" w:w="1440"/>
            <w:shd w:fill="FFDCE0" w:val="clear"/>
          </w:tcPr>
          <w:p>
            <w:r>
              <w:rPr>
                <w:b/>
                <w:color w:val="C00000"/>
                <w:sz w:val="17"/>
              </w:rPr>
              <w:t>-13.0%</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6,565</w:t>
            </w:r>
          </w:p>
        </w:tc>
        <w:tc>
          <w:tcPr>
            <w:tcW w:type="dxa" w:w="1440"/>
            <w:shd w:fill="FFDCE0" w:val="clear"/>
          </w:tcPr>
          <w:p>
            <w:r>
              <w:rPr>
                <w:b/>
                <w:sz w:val="17"/>
              </w:rPr>
              <w:t>7,105</w:t>
            </w:r>
          </w:p>
        </w:tc>
        <w:tc>
          <w:tcPr>
            <w:tcW w:type="dxa" w:w="1440"/>
            <w:shd w:fill="FFDCE0" w:val="clear"/>
          </w:tcPr>
          <w:p>
            <w:r>
              <w:rPr>
                <w:sz w:val="17"/>
              </w:rPr>
              <w:t>7,645</w:t>
            </w:r>
          </w:p>
        </w:tc>
        <w:tc>
          <w:tcPr>
            <w:tcW w:type="dxa" w:w="1440"/>
            <w:shd w:fill="FFDCE0" w:val="clear"/>
          </w:tcPr>
          <w:p>
            <w:r>
              <w:rPr>
                <w:b/>
                <w:color w:val="C00000"/>
                <w:sz w:val="17"/>
              </w:rPr>
              <w:t>-14.1%</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6,454</w:t>
            </w:r>
          </w:p>
        </w:tc>
        <w:tc>
          <w:tcPr>
            <w:tcW w:type="dxa" w:w="1440"/>
            <w:shd w:fill="FFDCE0" w:val="clear"/>
          </w:tcPr>
          <w:p>
            <w:r>
              <w:rPr>
                <w:b/>
                <w:sz w:val="17"/>
              </w:rPr>
              <w:t>7,016</w:t>
            </w:r>
          </w:p>
        </w:tc>
        <w:tc>
          <w:tcPr>
            <w:tcW w:type="dxa" w:w="1440"/>
            <w:shd w:fill="FFDCE0" w:val="clear"/>
          </w:tcPr>
          <w:p>
            <w:r>
              <w:rPr>
                <w:sz w:val="17"/>
              </w:rPr>
              <w:t>7,578</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structuré et professionnel pour l'action BOAS,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297,90 Mds FCFA positionne BOAS comme une valeur de premier plan sur la BRVM, reflétant sa stature de banque systémique régionale. Avec un BPA de 608 FCFA, chaque action génère un bénéfice substantiel. Le PER de 13,6x est supérieur à la moyenne historique de la BRVM (8-12x), indiquant que les investisseurs acceptent de payer une prime, probablement justifiée par la qualité perçue de l'actif et ses perspectives de croissance. Cette prime est confirmée par le P/B de 3,09x, qui valorise le marché à plus de trois fois sa valeur comptable, signe d'une forte confiance dans la création de valeur future. Enfin, un EV/EBITDA de 8,8x, dans la fourchette haute mais raisonnable, suggère que la valorisation de l'entreprise, bien que non "bon marché", reste cohérente avec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de +22,59%, avec une légère progression de +0,12% lors de la dernière séance, signe d'un maintien de l'intérêt acheteur. Le cours a évolué dans une fourchette de 6 735 FCFA (plus bas) à 8 500 FCFA (plus haut), démontrant une dynamique haussière soutenue. La moyenne (7 528 FCFA) est très proche de la médiane (7 450 FCFA), indiquant une distribution des prix relativement symétrique, ce que confirme le skewness de 0.27. L'écart-type de 423 FCFA, avec un coefficient de variation de seulement 5,6%, révèle une dispersion modérée autour de la moyenne. Le kurtosis négatif (-0.210) suggère l'absence de variations extrêmes ou de "pics" de prix, avec une distribution proche de la normale. La volatilité annualisée de 24,5% classe le titre comme modérément volatil, ce qui est courant pour le secteur bancaire et offre un équilibre entre risque et potentiel de rendement.</w:t>
      </w:r>
    </w:p>
    <w:p>
      <w:pPr>
        <w:spacing w:after="120" w:line="276" w:lineRule="auto"/>
      </w:pPr>
      <w:r>
        <w:t>### PARTIE 2 : ANALYSE TECHNIQUE DÉTAILLÉE</w:t>
      </w:r>
    </w:p>
    <w:p>
      <w:pPr>
        <w:spacing w:after="120" w:line="276" w:lineRule="auto"/>
      </w:pPr>
      <w:r>
        <w:t>**Moyennes Mobiles:** Le cours actuel (8 275 FCFA) se situe nettement au-dessus de sa MM20 (8 089,5 FCFA) et de sa MM50 (7 757,2 FCFA). Cette configuration haussière, où les moyennes courtes sont au-dessus des moyennes longues, confirme une tendance de fond positive. La décision d'**Achat** est justifiée par cette dynamique, le cours évoluant dans un canal ascendant.</w:t>
      </w:r>
    </w:p>
    <w:p>
      <w:pPr>
        <w:spacing w:after="120" w:line="276" w:lineRule="auto"/>
      </w:pPr>
      <w:r>
        <w:t>**Bandes de Bollinger:** Le prix se positionne à 8 275 FCFA, entre la borne inférieure (7 505,4 FCFA) et la borne supérieure (8 673,6 FCFA), mais plus près de cette dernière. Cela indique une pression acheteuse persistante sans pour autant que le titre soit en situation de surachat extrême. La décision **Neutre** est cohérente, le marché n'ayant pas encore touché la borne supérieure, ce qui laisse une marge de progression avant une éventuelle correction.</w:t>
      </w:r>
    </w:p>
    <w:p>
      <w:pPr>
        <w:spacing w:after="120" w:line="276" w:lineRule="auto"/>
      </w:pPr>
      <w:r>
        <w:t>**MACD:** La valeur du MACD (161,4) est inférieure à son signal (169,7), indiquant un ralentissement du momentum haussier à très court terme. Bien que les deux lignes restent en territoire positif, ce croisement baissier suggère une possible consolidation ou un essoufflement temporaire de la dynamique. La décision de **Vente** est un signal de prudence, invitant à surveiller une éventuelle correction.</w:t>
      </w:r>
    </w:p>
    <w:p>
      <w:pPr>
        <w:spacing w:after="120" w:line="276" w:lineRule="auto"/>
      </w:pPr>
      <w:r>
        <w:t>**RSI:** Avec une valeur de 71,3, le RSI entre en zone de surachat (&gt;70). Cela signifie que le titre a été fortement acheté sur la période récente et qu'il est techniquement "surchauffé". La décision de **Vente** est un signal classique indiquant qu'un repli technique est probable à court terme pour "respirer" et normaliser cet indicateur.</w:t>
      </w:r>
    </w:p>
    <w:p>
      <w:pPr>
        <w:spacing w:after="120" w:line="276" w:lineRule="auto"/>
      </w:pPr>
      <w:r>
        <w:t>**Stochastique:** Les valeurs de %K (67,9) et %D (65,7) sont en territoire neutre, mais le %K est au-dessus de %D, ce qui est un signe haussier. L'absence de croisement décisif et le niveau modéré suggèrent que la dynamique haussière, bien que présente, n'est pas aussi vigoureuse que ne le laisse présager le RSI. La décision **Neutre** est donc appropriée.</w:t>
      </w:r>
    </w:p>
    <w:p>
      <w:pPr>
        <w:spacing w:after="120" w:line="276" w:lineRule="auto"/>
      </w:pPr>
      <w:r>
        <w:t>**Conclusion technique:** La tendance de fond reste clairement haussière, portée par les moyennes mobiles. Cependant, les oscillateurs (RSI, MACD) envoient des signaux de prudence à court terme, indiquant que le titre est suracheté et que le momentum s'essouffle. On peut donc s'attendre à une phase de consolidation ou de léger repli technique avant la poursuite de la tendance haussière de moyen terme.</w:t>
      </w:r>
    </w:p>
    <w:p>
      <w:pPr>
        <w:spacing w:after="120" w:line="276" w:lineRule="auto"/>
      </w:pPr>
      <w:r>
        <w:t>### PARTIE 3 : ANALYSE FONDAMENTALE (SECTION CRITIQUE)</w:t>
      </w:r>
    </w:p>
    <w:p>
      <w:pPr>
        <w:spacing w:after="120" w:line="276" w:lineRule="auto"/>
      </w:pPr>
      <w:r>
        <w:t>En 2025, les données financières structurées de BOAS font état d'une santé financière robuste. Le Produit Net Bancaire (PNB) s'établit à 51,926 Mds FCFA, générant un résultat net de 21,905 Mds FCFA. Cette performance se traduit par un ROE exceptionnel de 22,69% et un ROA solide de 2,62%, démontrant une excellente capacité à rentabiliser ses fonds propres et ses actifs. La banque affiche un coefficient d'exploitation de 44,02%, signe d'une gestion rigoureuse et d'une grande efficacité opérationnelle. Cependant, le coût du risque, à 23,3% des charges financières, reste un point de vigilance, indiquant un risque de crédit significatif à surveiller. La structure financière, avec un ratio de solvabilité de 113%, est saine, bien que la dépendance aux dettes (88,5%) soit typique du secteur bancaire. Les rapports trimestriels de 2025 confirment cette trajectoire positive : le rapport du T3 2025 (publié le 30/09/2025) fait état d'un PNB cumulé de 37,44 Mds FCFA (+6,71%) et d'un résultat net de 16,37 Mds FCFA (+10,01%), avec une amélioration continue du coefficient d'exploitation à 44,4%. Sur la base de ces performances, on estime que l'exercice 2025 devrait se solder par une croissance solide et une rentabilité en hausse, comme en témoignent les données annuelles. Enfin, le rapport du premier trimestre 2026 (daté du 31/12/2026) montre une dynamique toujours positive avec un résultat net en hausse de 9,78% à 5,741 Mds FCFA et une collecte de dépôts en forte progression (+16,68%), ce qui laisse présager une poursuite de la croissance pour l'exercice en cours. La recommandation fondamentale est à l'**achat**, portée par une croissance rentable et une gestion saine, malgré un risque de crédit à encadrer.</w:t>
      </w:r>
    </w:p>
    <w:p>
      <w:pPr>
        <w:spacing w:after="120" w:line="276" w:lineRule="auto"/>
      </w:pPr>
      <w:r>
        <w:t>### PARTIE 4 : CONCLUSION D'INVESTISSEMENT</w:t>
      </w:r>
    </w:p>
    <w:p>
      <w:pPr>
        <w:spacing w:after="120" w:line="276" w:lineRule="auto"/>
      </w:pPr>
      <w:r>
        <w:t>La valorisation boursière de BOAS (PER 13,6x, P/B 3,09x) intègre une prime de croissance qui semble justifiée par la qualité de ses fondamentaux. Le comportement du cours sur 100 jours est très favorable, avec une tendance haussière marquée et une volatilité maîtrisée. Cependant, les signaux techniques à court terme (RSI suracheté, MACD en croisement baissier) suggèrent un possible essoufflement après une telle progression. Les fondamentaux, eux, sont excellents : la banque affiche une rentabilité (ROE &gt;22%) et une efficacité opérationnelle remarquables, avec des perspectives de croissance confirmées par les rapports trimestriels de 2025 et 2026. Les prédictions IA pour les 10 prochains jours, qui anticipent un repli progressif du cours vers 7 515 FCFA, semblent donc cohérentes avec les signaux techniques de surachat à court terme, agissant comme un "retour à la moyenne" après une hausse rapide. En synthèse, la convergence entre des fondamentaux solides et une tendance de fond haussière plaide pour une stratégie d'**ACHAT**, mais en privilégiant une entrée progressive pour profiter d'un probable repli technique à court terme. La confiance est **Élevée** et le risque global est **Moyen**, principalement lié au coût du risque de crédit et à la volatilité du titre. L'horizon d'investissement optimal est le **moyen terme (3-12 mois)**, afin de capitaliser sur la solidité des résultats annuels et la poursuite de la croissance, tout en laissant le temps au marché d'absorber les excès techniques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2,156 titres</w:t>
            </w:r>
          </w:p>
        </w:tc>
        <w:tc>
          <w:tcPr>
            <w:tcW w:type="dxa" w:w="2268"/>
            <w:shd w:fill="FFF2CC" w:val="clear"/>
          </w:tcPr>
          <w:p>
            <w:r>
              <w:rPr>
                <w:b/>
                <w:color w:val="503200"/>
                <w:sz w:val="16"/>
              </w:rPr>
              <w:t xml:space="preserve">Cours actuel : </w:t>
            </w:r>
            <w:r>
              <w:rPr>
                <w:color w:val="000000"/>
                <w:sz w:val="17"/>
              </w:rPr>
              <w:t>3,490 FCFA</w:t>
            </w:r>
          </w:p>
          <w:p>
            <w:r>
              <w:rPr>
                <w:b/>
                <w:color w:val="503200"/>
                <w:sz w:val="16"/>
              </w:rPr>
              <w:t xml:space="preserve">Var. 100 jours : </w:t>
            </w:r>
            <w:r>
              <w:rPr>
                <w:b/>
                <w:color w:val="B40000"/>
                <w:sz w:val="17"/>
              </w:rPr>
              <w:t>-12.64%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7.16% (Moyenne) — μ=3,727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β=0.1716 (Défensif) — Cov=0.000006, Var(idx)=0.000036, ρ=0.034,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σ_j=3.04%/j (Modérée) — Vol. annualisée≈48.2%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2026-09-09</w:t>
            </w:r>
          </w:p>
        </w:tc>
        <w:tc>
          <w:tcPr>
            <w:tcW w:type="dxa" w:w="1440"/>
            <w:shd w:fill="C6EFCE" w:val="clear"/>
          </w:tcPr>
          <w:p>
            <w:r>
              <w:rPr>
                <w:sz w:val="17"/>
              </w:rPr>
              <w:t>3,527</w:t>
            </w:r>
          </w:p>
        </w:tc>
        <w:tc>
          <w:tcPr>
            <w:tcW w:type="dxa" w:w="1440"/>
            <w:shd w:fill="C6EFCE" w:val="clear"/>
          </w:tcPr>
          <w:p>
            <w:r>
              <w:rPr>
                <w:b/>
                <w:sz w:val="17"/>
              </w:rPr>
              <w:t>3,640</w:t>
            </w:r>
          </w:p>
        </w:tc>
        <w:tc>
          <w:tcPr>
            <w:tcW w:type="dxa" w:w="1440"/>
            <w:shd w:fill="C6EFCE" w:val="clear"/>
          </w:tcPr>
          <w:p>
            <w:r>
              <w:rPr>
                <w:sz w:val="17"/>
              </w:rPr>
              <w:t>3,752</w:t>
            </w:r>
          </w:p>
        </w:tc>
        <w:tc>
          <w:tcPr>
            <w:tcW w:type="dxa" w:w="1440"/>
            <w:shd w:fill="C6EFCE" w:val="clear"/>
          </w:tcPr>
          <w:p>
            <w:r>
              <w:rPr>
                <w:b/>
                <w:color w:val="008000"/>
                <w:sz w:val="17"/>
              </w:rPr>
              <w:t>+4.3%</w:t>
            </w:r>
          </w:p>
        </w:tc>
      </w:tr>
      <w:tr>
        <w:tc>
          <w:tcPr>
            <w:tcW w:type="dxa" w:w="1440"/>
            <w:shd w:fill="C6EFCE" w:val="clear"/>
          </w:tcPr>
          <w:p>
            <w:r>
              <w:rPr>
                <w:sz w:val="17"/>
              </w:rPr>
              <w:t>J+2  ⭐⭐⭐</w:t>
            </w:r>
          </w:p>
        </w:tc>
        <w:tc>
          <w:tcPr>
            <w:tcW w:type="dxa" w:w="1440"/>
            <w:shd w:fill="C6EFCE" w:val="clear"/>
          </w:tcPr>
          <w:p>
            <w:r>
              <w:rPr>
                <w:sz w:val="17"/>
              </w:rPr>
              <w:t>2026-09-10</w:t>
            </w:r>
          </w:p>
        </w:tc>
        <w:tc>
          <w:tcPr>
            <w:tcW w:type="dxa" w:w="1440"/>
            <w:shd w:fill="C6EFCE" w:val="clear"/>
          </w:tcPr>
          <w:p>
            <w:r>
              <w:rPr>
                <w:sz w:val="17"/>
              </w:rPr>
              <w:t>3,613</w:t>
            </w:r>
          </w:p>
        </w:tc>
        <w:tc>
          <w:tcPr>
            <w:tcW w:type="dxa" w:w="1440"/>
            <w:shd w:fill="C6EFCE" w:val="clear"/>
          </w:tcPr>
          <w:p>
            <w:r>
              <w:rPr>
                <w:b/>
                <w:sz w:val="17"/>
              </w:rPr>
              <w:t>3,778</w:t>
            </w:r>
          </w:p>
        </w:tc>
        <w:tc>
          <w:tcPr>
            <w:tcW w:type="dxa" w:w="1440"/>
            <w:shd w:fill="C6EFCE" w:val="clear"/>
          </w:tcPr>
          <w:p>
            <w:r>
              <w:rPr>
                <w:sz w:val="17"/>
              </w:rPr>
              <w:t>3,944</w:t>
            </w:r>
          </w:p>
        </w:tc>
        <w:tc>
          <w:tcPr>
            <w:tcW w:type="dxa" w:w="1440"/>
            <w:shd w:fill="C6EFCE" w:val="clear"/>
          </w:tcPr>
          <w:p>
            <w:r>
              <w:rPr>
                <w:b/>
                <w:color w:val="008000"/>
                <w:sz w:val="17"/>
              </w:rPr>
              <w:t>+8.3%</w:t>
            </w:r>
          </w:p>
        </w:tc>
      </w:tr>
      <w:tr>
        <w:tc>
          <w:tcPr>
            <w:tcW w:type="dxa" w:w="1440"/>
            <w:shd w:fill="C6EFCE" w:val="clear"/>
          </w:tcPr>
          <w:p>
            <w:r>
              <w:rPr>
                <w:sz w:val="17"/>
              </w:rPr>
              <w:t>J+3  ⭐⭐⭐</w:t>
            </w:r>
          </w:p>
        </w:tc>
        <w:tc>
          <w:tcPr>
            <w:tcW w:type="dxa" w:w="1440"/>
            <w:shd w:fill="C6EFCE" w:val="clear"/>
          </w:tcPr>
          <w:p>
            <w:r>
              <w:rPr>
                <w:sz w:val="17"/>
              </w:rPr>
              <w:t>2026-09-11</w:t>
            </w:r>
          </w:p>
        </w:tc>
        <w:tc>
          <w:tcPr>
            <w:tcW w:type="dxa" w:w="1440"/>
            <w:shd w:fill="C6EFCE" w:val="clear"/>
          </w:tcPr>
          <w:p>
            <w:r>
              <w:rPr>
                <w:sz w:val="17"/>
              </w:rPr>
              <w:t>3,738</w:t>
            </w:r>
          </w:p>
        </w:tc>
        <w:tc>
          <w:tcPr>
            <w:tcW w:type="dxa" w:w="1440"/>
            <w:shd w:fill="C6EFCE" w:val="clear"/>
          </w:tcPr>
          <w:p>
            <w:r>
              <w:rPr>
                <w:b/>
                <w:sz w:val="17"/>
              </w:rPr>
              <w:t>3,950</w:t>
            </w:r>
          </w:p>
        </w:tc>
        <w:tc>
          <w:tcPr>
            <w:tcW w:type="dxa" w:w="1440"/>
            <w:shd w:fill="C6EFCE" w:val="clear"/>
          </w:tcPr>
          <w:p>
            <w:r>
              <w:rPr>
                <w:sz w:val="17"/>
              </w:rPr>
              <w:t>4,161</w:t>
            </w:r>
          </w:p>
        </w:tc>
        <w:tc>
          <w:tcPr>
            <w:tcW w:type="dxa" w:w="1440"/>
            <w:shd w:fill="C6EFCE" w:val="clear"/>
          </w:tcPr>
          <w:p>
            <w:r>
              <w:rPr>
                <w:b/>
                <w:color w:val="008000"/>
                <w:sz w:val="17"/>
              </w:rPr>
              <w:t>+13.2%</w:t>
            </w:r>
          </w:p>
        </w:tc>
      </w:tr>
      <w:tr>
        <w:tc>
          <w:tcPr>
            <w:tcW w:type="dxa" w:w="1440"/>
            <w:shd w:fill="C6EFCE" w:val="clear"/>
          </w:tcPr>
          <w:p>
            <w:r>
              <w:rPr>
                <w:sz w:val="17"/>
              </w:rPr>
              <w:t>J+4  Moyenne</w:t>
            </w:r>
          </w:p>
        </w:tc>
        <w:tc>
          <w:tcPr>
            <w:tcW w:type="dxa" w:w="1440"/>
            <w:shd w:fill="C6EFCE" w:val="clear"/>
          </w:tcPr>
          <w:p>
            <w:r>
              <w:rPr>
                <w:sz w:val="17"/>
              </w:rPr>
              <w:t>2026-09-14</w:t>
            </w:r>
          </w:p>
        </w:tc>
        <w:tc>
          <w:tcPr>
            <w:tcW w:type="dxa" w:w="1440"/>
            <w:shd w:fill="C6EFCE" w:val="clear"/>
          </w:tcPr>
          <w:p>
            <w:r>
              <w:rPr>
                <w:sz w:val="17"/>
              </w:rPr>
              <w:t>3,889</w:t>
            </w:r>
          </w:p>
        </w:tc>
        <w:tc>
          <w:tcPr>
            <w:tcW w:type="dxa" w:w="1440"/>
            <w:shd w:fill="C6EFCE" w:val="clear"/>
          </w:tcPr>
          <w:p>
            <w:r>
              <w:rPr>
                <w:b/>
                <w:sz w:val="17"/>
              </w:rPr>
              <w:t>4,145</w:t>
            </w:r>
          </w:p>
        </w:tc>
        <w:tc>
          <w:tcPr>
            <w:tcW w:type="dxa" w:w="1440"/>
            <w:shd w:fill="C6EFCE" w:val="clear"/>
          </w:tcPr>
          <w:p>
            <w:r>
              <w:rPr>
                <w:sz w:val="17"/>
              </w:rPr>
              <w:t>4,402</w:t>
            </w:r>
          </w:p>
        </w:tc>
        <w:tc>
          <w:tcPr>
            <w:tcW w:type="dxa" w:w="1440"/>
            <w:shd w:fill="C6EFCE" w:val="clear"/>
          </w:tcPr>
          <w:p>
            <w:r>
              <w:rPr>
                <w:b/>
                <w:color w:val="008000"/>
                <w:sz w:val="17"/>
              </w:rPr>
              <w:t>+18.8%</w:t>
            </w:r>
          </w:p>
        </w:tc>
      </w:tr>
      <w:tr>
        <w:tc>
          <w:tcPr>
            <w:tcW w:type="dxa" w:w="1440"/>
            <w:shd w:fill="C6EFCE" w:val="clear"/>
          </w:tcPr>
          <w:p>
            <w:r>
              <w:rPr>
                <w:sz w:val="17"/>
              </w:rPr>
              <w:t>J+5  Moyenne</w:t>
            </w:r>
          </w:p>
        </w:tc>
        <w:tc>
          <w:tcPr>
            <w:tcW w:type="dxa" w:w="1440"/>
            <w:shd w:fill="C6EFCE" w:val="clear"/>
          </w:tcPr>
          <w:p>
            <w:r>
              <w:rPr>
                <w:sz w:val="17"/>
              </w:rPr>
              <w:t>2026-09-15</w:t>
            </w:r>
          </w:p>
        </w:tc>
        <w:tc>
          <w:tcPr>
            <w:tcW w:type="dxa" w:w="1440"/>
            <w:shd w:fill="C6EFCE" w:val="clear"/>
          </w:tcPr>
          <w:p>
            <w:r>
              <w:rPr>
                <w:sz w:val="17"/>
              </w:rPr>
              <w:t>4,065</w:t>
            </w:r>
          </w:p>
        </w:tc>
        <w:tc>
          <w:tcPr>
            <w:tcW w:type="dxa" w:w="1440"/>
            <w:shd w:fill="C6EFCE" w:val="clear"/>
          </w:tcPr>
          <w:p>
            <w:r>
              <w:rPr>
                <w:b/>
                <w:sz w:val="17"/>
              </w:rPr>
              <w:t>4,367</w:t>
            </w:r>
          </w:p>
        </w:tc>
        <w:tc>
          <w:tcPr>
            <w:tcW w:type="dxa" w:w="1440"/>
            <w:shd w:fill="C6EFCE" w:val="clear"/>
          </w:tcPr>
          <w:p>
            <w:r>
              <w:rPr>
                <w:sz w:val="17"/>
              </w:rPr>
              <w:t>4,669</w:t>
            </w:r>
          </w:p>
        </w:tc>
        <w:tc>
          <w:tcPr>
            <w:tcW w:type="dxa" w:w="1440"/>
            <w:shd w:fill="C6EFCE" w:val="clear"/>
          </w:tcPr>
          <w:p>
            <w:r>
              <w:rPr>
                <w:b/>
                <w:color w:val="008000"/>
                <w:sz w:val="17"/>
              </w:rPr>
              <w:t>+25.1%</w:t>
            </w:r>
          </w:p>
        </w:tc>
      </w:tr>
      <w:tr>
        <w:tc>
          <w:tcPr>
            <w:tcW w:type="dxa" w:w="1440"/>
            <w:shd w:fill="C6EFCE" w:val="clear"/>
          </w:tcPr>
          <w:p>
            <w:r>
              <w:rPr>
                <w:sz w:val="17"/>
              </w:rPr>
              <w:t>J+6  Moyenne</w:t>
            </w:r>
          </w:p>
        </w:tc>
        <w:tc>
          <w:tcPr>
            <w:tcW w:type="dxa" w:w="1440"/>
            <w:shd w:fill="C6EFCE" w:val="clear"/>
          </w:tcPr>
          <w:p>
            <w:r>
              <w:rPr>
                <w:sz w:val="17"/>
              </w:rPr>
              <w:t>2026-09-16</w:t>
            </w:r>
          </w:p>
        </w:tc>
        <w:tc>
          <w:tcPr>
            <w:tcW w:type="dxa" w:w="1440"/>
            <w:shd w:fill="C6EFCE" w:val="clear"/>
          </w:tcPr>
          <w:p>
            <w:r>
              <w:rPr>
                <w:sz w:val="17"/>
              </w:rPr>
              <w:t>4,269</w:t>
            </w:r>
          </w:p>
        </w:tc>
        <w:tc>
          <w:tcPr>
            <w:tcW w:type="dxa" w:w="1440"/>
            <w:shd w:fill="C6EFCE" w:val="clear"/>
          </w:tcPr>
          <w:p>
            <w:r>
              <w:rPr>
                <w:b/>
                <w:sz w:val="17"/>
              </w:rPr>
              <w:t>4,618</w:t>
            </w:r>
          </w:p>
        </w:tc>
        <w:tc>
          <w:tcPr>
            <w:tcW w:type="dxa" w:w="1440"/>
            <w:shd w:fill="C6EFCE" w:val="clear"/>
          </w:tcPr>
          <w:p>
            <w:r>
              <w:rPr>
                <w:sz w:val="17"/>
              </w:rPr>
              <w:t>4,968</w:t>
            </w:r>
          </w:p>
        </w:tc>
        <w:tc>
          <w:tcPr>
            <w:tcW w:type="dxa" w:w="1440"/>
            <w:shd w:fill="C6EFCE" w:val="clear"/>
          </w:tcPr>
          <w:p>
            <w:r>
              <w:rPr>
                <w:b/>
                <w:color w:val="008000"/>
                <w:sz w:val="17"/>
              </w:rPr>
              <w:t>+32.3%</w:t>
            </w:r>
          </w:p>
        </w:tc>
      </w:tr>
      <w:tr>
        <w:tc>
          <w:tcPr>
            <w:tcW w:type="dxa" w:w="1440"/>
            <w:shd w:fill="C6EFCE" w:val="clear"/>
          </w:tcPr>
          <w:p>
            <w:r>
              <w:rPr>
                <w:sz w:val="17"/>
              </w:rPr>
              <w:t>J+7  Moyenne</w:t>
            </w:r>
          </w:p>
        </w:tc>
        <w:tc>
          <w:tcPr>
            <w:tcW w:type="dxa" w:w="1440"/>
            <w:shd w:fill="C6EFCE" w:val="clear"/>
          </w:tcPr>
          <w:p>
            <w:r>
              <w:rPr>
                <w:sz w:val="17"/>
              </w:rPr>
              <w:t>2026-09-17</w:t>
            </w:r>
          </w:p>
        </w:tc>
        <w:tc>
          <w:tcPr>
            <w:tcW w:type="dxa" w:w="1440"/>
            <w:shd w:fill="C6EFCE" w:val="clear"/>
          </w:tcPr>
          <w:p>
            <w:r>
              <w:rPr>
                <w:sz w:val="17"/>
              </w:rPr>
              <w:t>4,507</w:t>
            </w:r>
          </w:p>
        </w:tc>
        <w:tc>
          <w:tcPr>
            <w:tcW w:type="dxa" w:w="1440"/>
            <w:shd w:fill="C6EFCE" w:val="clear"/>
          </w:tcPr>
          <w:p>
            <w:r>
              <w:rPr>
                <w:b/>
                <w:sz w:val="17"/>
              </w:rPr>
              <w:t>4,908</w:t>
            </w:r>
          </w:p>
        </w:tc>
        <w:tc>
          <w:tcPr>
            <w:tcW w:type="dxa" w:w="1440"/>
            <w:shd w:fill="C6EFCE" w:val="clear"/>
          </w:tcPr>
          <w:p>
            <w:r>
              <w:rPr>
                <w:sz w:val="17"/>
              </w:rPr>
              <w:t>5,310</w:t>
            </w:r>
          </w:p>
        </w:tc>
        <w:tc>
          <w:tcPr>
            <w:tcW w:type="dxa" w:w="1440"/>
            <w:shd w:fill="C6EFCE" w:val="clear"/>
          </w:tcPr>
          <w:p>
            <w:r>
              <w:rPr>
                <w:b/>
                <w:color w:val="008000"/>
                <w:sz w:val="17"/>
              </w:rPr>
              <w:t>+40.6%</w:t>
            </w:r>
          </w:p>
        </w:tc>
      </w:tr>
      <w:tr>
        <w:tc>
          <w:tcPr>
            <w:tcW w:type="dxa" w:w="1440"/>
            <w:shd w:fill="C6EFCE" w:val="clear"/>
          </w:tcPr>
          <w:p>
            <w:r>
              <w:rPr>
                <w:sz w:val="17"/>
              </w:rPr>
              <w:t>J+8  Moyenne</w:t>
            </w:r>
          </w:p>
        </w:tc>
        <w:tc>
          <w:tcPr>
            <w:tcW w:type="dxa" w:w="1440"/>
            <w:shd w:fill="C6EFCE" w:val="clear"/>
          </w:tcPr>
          <w:p>
            <w:r>
              <w:rPr>
                <w:sz w:val="17"/>
              </w:rPr>
              <w:t>2026-09-18</w:t>
            </w:r>
          </w:p>
        </w:tc>
        <w:tc>
          <w:tcPr>
            <w:tcW w:type="dxa" w:w="1440"/>
            <w:shd w:fill="C6EFCE" w:val="clear"/>
          </w:tcPr>
          <w:p>
            <w:r>
              <w:rPr>
                <w:sz w:val="17"/>
              </w:rPr>
              <w:t>4,789</w:t>
            </w:r>
          </w:p>
        </w:tc>
        <w:tc>
          <w:tcPr>
            <w:tcW w:type="dxa" w:w="1440"/>
            <w:shd w:fill="C6EFCE" w:val="clear"/>
          </w:tcPr>
          <w:p>
            <w:r>
              <w:rPr>
                <w:b/>
                <w:sz w:val="17"/>
              </w:rPr>
              <w:t>5,248</w:t>
            </w:r>
          </w:p>
        </w:tc>
        <w:tc>
          <w:tcPr>
            <w:tcW w:type="dxa" w:w="1440"/>
            <w:shd w:fill="C6EFCE" w:val="clear"/>
          </w:tcPr>
          <w:p>
            <w:r>
              <w:rPr>
                <w:sz w:val="17"/>
              </w:rPr>
              <w:t>5,707</w:t>
            </w:r>
          </w:p>
        </w:tc>
        <w:tc>
          <w:tcPr>
            <w:tcW w:type="dxa" w:w="1440"/>
            <w:shd w:fill="C6EFCE" w:val="clear"/>
          </w:tcPr>
          <w:p>
            <w:r>
              <w:rPr>
                <w:b/>
                <w:color w:val="008000"/>
                <w:sz w:val="17"/>
              </w:rPr>
              <w:t>+50.4%</w:t>
            </w:r>
          </w:p>
        </w:tc>
      </w:tr>
      <w:tr>
        <w:tc>
          <w:tcPr>
            <w:tcW w:type="dxa" w:w="1440"/>
            <w:shd w:fill="C6EFCE" w:val="clear"/>
          </w:tcPr>
          <w:p>
            <w:r>
              <w:rPr>
                <w:sz w:val="17"/>
              </w:rPr>
              <w:t>J+9  Moyenne</w:t>
            </w:r>
          </w:p>
        </w:tc>
        <w:tc>
          <w:tcPr>
            <w:tcW w:type="dxa" w:w="1440"/>
            <w:shd w:fill="C6EFCE" w:val="clear"/>
          </w:tcPr>
          <w:p>
            <w:r>
              <w:rPr>
                <w:sz w:val="17"/>
              </w:rPr>
              <w:t>2026-09-21</w:t>
            </w:r>
          </w:p>
        </w:tc>
        <w:tc>
          <w:tcPr>
            <w:tcW w:type="dxa" w:w="1440"/>
            <w:shd w:fill="C6EFCE" w:val="clear"/>
          </w:tcPr>
          <w:p>
            <w:r>
              <w:rPr>
                <w:sz w:val="17"/>
              </w:rPr>
              <w:t>5,119</w:t>
            </w:r>
          </w:p>
        </w:tc>
        <w:tc>
          <w:tcPr>
            <w:tcW w:type="dxa" w:w="1440"/>
            <w:shd w:fill="C6EFCE" w:val="clear"/>
          </w:tcPr>
          <w:p>
            <w:r>
              <w:rPr>
                <w:b/>
                <w:sz w:val="17"/>
              </w:rPr>
              <w:t>5,642</w:t>
            </w:r>
          </w:p>
        </w:tc>
        <w:tc>
          <w:tcPr>
            <w:tcW w:type="dxa" w:w="1440"/>
            <w:shd w:fill="C6EFCE" w:val="clear"/>
          </w:tcPr>
          <w:p>
            <w:r>
              <w:rPr>
                <w:sz w:val="17"/>
              </w:rPr>
              <w:t>6,165</w:t>
            </w:r>
          </w:p>
        </w:tc>
        <w:tc>
          <w:tcPr>
            <w:tcW w:type="dxa" w:w="1440"/>
            <w:shd w:fill="C6EFCE" w:val="clear"/>
          </w:tcPr>
          <w:p>
            <w:r>
              <w:rPr>
                <w:b/>
                <w:color w:val="008000"/>
                <w:sz w:val="17"/>
              </w:rPr>
              <w:t>+61.7%</w:t>
            </w:r>
          </w:p>
        </w:tc>
      </w:tr>
      <w:tr>
        <w:tc>
          <w:tcPr>
            <w:tcW w:type="dxa" w:w="1440"/>
            <w:shd w:fill="C6EFCE" w:val="clear"/>
          </w:tcPr>
          <w:p>
            <w:r>
              <w:rPr>
                <w:sz w:val="17"/>
              </w:rPr>
              <w:t>J+10  Moyenne</w:t>
            </w:r>
          </w:p>
        </w:tc>
        <w:tc>
          <w:tcPr>
            <w:tcW w:type="dxa" w:w="1440"/>
            <w:shd w:fill="C6EFCE" w:val="clear"/>
          </w:tcPr>
          <w:p>
            <w:r>
              <w:rPr>
                <w:sz w:val="17"/>
              </w:rPr>
              <w:t>2026-09-22</w:t>
            </w:r>
          </w:p>
        </w:tc>
        <w:tc>
          <w:tcPr>
            <w:tcW w:type="dxa" w:w="1440"/>
            <w:shd w:fill="C6EFCE" w:val="clear"/>
          </w:tcPr>
          <w:p>
            <w:r>
              <w:rPr>
                <w:sz w:val="17"/>
              </w:rPr>
              <w:t>5,472</w:t>
            </w:r>
          </w:p>
        </w:tc>
        <w:tc>
          <w:tcPr>
            <w:tcW w:type="dxa" w:w="1440"/>
            <w:shd w:fill="C6EFCE" w:val="clear"/>
          </w:tcPr>
          <w:p>
            <w:r>
              <w:rPr>
                <w:b/>
                <w:sz w:val="17"/>
              </w:rPr>
              <w:t>6,065</w:t>
            </w:r>
          </w:p>
        </w:tc>
        <w:tc>
          <w:tcPr>
            <w:tcW w:type="dxa" w:w="1440"/>
            <w:shd w:fill="C6EFCE" w:val="clear"/>
          </w:tcPr>
          <w:p>
            <w:r>
              <w:rPr>
                <w:sz w:val="17"/>
              </w:rPr>
              <w:t>6,658</w:t>
            </w:r>
          </w:p>
        </w:tc>
        <w:tc>
          <w:tcPr>
            <w:tcW w:type="dxa" w:w="1440"/>
            <w:shd w:fill="C6EFCE" w:val="clear"/>
          </w:tcPr>
          <w:p>
            <w:r>
              <w:rPr>
                <w:b/>
                <w:color w:val="008000"/>
                <w:sz w:val="17"/>
              </w:rPr>
              <w:t>+73.8%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08 septembre 2026**</w:t>
        <w:br/>
        <w:t>**Cours de référence : 3 490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20,66 milliards FCFA, ce qui la positionne comme une valeur de taille moyenne sur la BRVM, représentant un profil d'industriel spécialisé. Le BPA de 243 FCFA indique que chaque action génère un bénéfice net de ce montant. Le PER de 14,4x se situe au-dessus de la moyenne historique de la BRVM (8-12x), ce qui suggère que le marché applique une prime de valorisation, potentiellement justifiée par la dynamique de croissance du chiffre d'affaires. Le P/B de 2,21x confirme cette prime, le marché valorisant la société à plus du double de ses capitaux propres comptables. Enfin, l'EV/EBITDA de 7,3x, dans la fourchette raisonnable de 5-10x, indique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subi une dépréciation significative de -12,64%, avec une dernière séance en baisse de -0,99% à 3 490 FCFA. Le titre a évolué dans un range de 1 150 FCFA, oscillant entre un plus haut de 4 500 FCFA et un plus bas de 3 350 FCFA, démontrant une tendance baissière marquée. La moyenne du cours (3 727 FCFA) est supérieure à la médiane (3 650 FCFA), et le skewness positif (0.998) indique une asymétrie avec des journées plus fréquentes sous la moyenne, ce qui confirme la pression vendeuse. L'écart-type de 268 FCFA (CV de 7,2%) montre une dispersion modérée autour de la moyenne, tandis que le kurtosis de 0.580 suggère une distribution proche de la normale, sans pic de volatilité extrême. La volatilité annualisée de 48,2% classe le titre comme très risqué, bien au-dessus du seuil de 30%, ce qui est préoccupant pour un investisseur cherchant la stabilité.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(3 490 FCFA) est inférieur à la MM20 (3 546,75 FCFA) et nettement sous la MM50 (3 739,1 FCFA). Cette configuration baissière, où le prix évolue sous les deux moyennes clés, confirme la tendance négative à court et moyen terme. La décision de "Vente" est justifiée par cette structure baissière.</w:t>
      </w:r>
    </w:p>
    <w:p>
      <w:pPr>
        <w:spacing w:after="120" w:line="276" w:lineRule="auto"/>
      </w:pPr>
      <w:r>
        <w:t>**Bandes de Bollinger** : Le prix se situe à 3 490 FCFA, entre la borne inférieure (3 406,51 FCFA) et la borne supérieure (3 686,99 FCFA), proche de la partie basse du canal. La décision "Neutre" indique que le titre n'est pas en situation de surachat ou de survente extrême, mais sa proximité avec la borne inférieure suggère une pression vendeuse persistante.</w:t>
      </w:r>
    </w:p>
    <w:p>
      <w:pPr>
        <w:spacing w:after="120" w:line="276" w:lineRule="auto"/>
      </w:pPr>
      <w:r>
        <w:t>**MACD** : La valeur du MACD (-46,305) est supérieure à son signal (-52,625), ce qui génère un croisement haussier à court terme. Bien que les deux lignes soient en territoire négatif, cette divergence positive indique un ralentissement du momentum baissier. La décision "Achat" reflète ce potentiel de retournement technique.</w:t>
      </w:r>
    </w:p>
    <w:p>
      <w:pPr>
        <w:spacing w:after="120" w:line="276" w:lineRule="auto"/>
      </w:pPr>
      <w:r>
        <w:t>**RSI** : À 37,209, le RSI se situe en zone neutre, mais proche de la zone de survente (&lt;30). Cela suggère que la pression vendeuse s'atténue, sans pour autant signaler un retournement imminent. La décision "Neutre" est cohérente avec cette lecture.</w:t>
      </w:r>
    </w:p>
    <w:p>
      <w:pPr>
        <w:spacing w:after="120" w:line="276" w:lineRule="auto"/>
      </w:pPr>
      <w:r>
        <w:t>**Stochastique** : Le %K à 0,0 et le %D à 11,905 indiquent une condition de survente extrême. Le croisement potentiel du %K au-dessus du %D pourrait générer un signal d'achat technique fort. La décision "Achat" est justifiée par ce niveau de survente historique.</w:t>
      </w:r>
    </w:p>
    <w:p>
      <w:pPr>
        <w:spacing w:after="120" w:line="276" w:lineRule="auto"/>
      </w:pPr>
      <w:r>
        <w:t>**Conclusion technique** : Les indicateurs sont mitigés. La tendance de fond reste baissière (MM), mais les oscillateurs (MACD, Stochastique) signalent un épuisement de la vente et un potentiel de rebond technique à court terme. Le RSI neutre et les Bandes de Bollinger suggèrent une stabilisation, mais une cassure sous les 3 350 FCFA invaliderait ce scénario de rebond.</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CABC a réalisé un chiffre d'affaires de 21,263 milliards FCFA, en croissance de +11,2% par rapport à 2024 (19,125 milliards FCFA). Le résultat net s'établit à 1,439 milliard FCFA, contre 1,375 milliard en 2024, confirmant une amélioration de la rentabilité. La marge nette ressort à 6,77%, le ROE à 15,40% (excellent, &gt;15%) et le ROA à 6,10%. Cependant, l'analyse sectorielle (ENTREPRISE) révèle des tensions : le délai de paiement clients est très élevé (144,69 jours), et la durée de stockage atteint 152,12 jours, immobilisant une part importante du capital. Le BFR est positif à 7,186 milliards FCFA, signe d'un besoin de financement de l'exploitation. Les rapports trimestriels de 2025 confirment cette dynamique : le S1 2025 affichait un résultat net de 851,5 millions FCFA (+55,3%), et le T3 2025 un résultat net de 1 329,5 millions FCFA (+26% sur 9 mois), avec une marge nette de 8%. Sur la base de ces performances, on estime que l'exercice 2025 devrait être bénéficiaire, mais le rapport T1 2026 (publié en 2026) montre une forte dégradation avec une perte nette de 221,7 millions FCFA due à une maintenance planifiée et à l'inflation des cours des métaux. La société reste financièrement solide avec des capitaux propres de 9,346 milliards FCFA et une trésorerie de 5,139 milliards, mais la gestion du BFR et la volatilité des matières premières constituent des risques majeurs pour la rentabilité future.</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2,21x) apparaît exigeante malgré des fondamentaux en amélioration, tandis que le comportement du cours sur 100 jours est franchement baissier (-12,64%) avec une volatilité très élevée (48,2%). Les signaux techniques sont contradictoires : la tendance de fond reste vendeuse, mais les oscillateurs de survente (Stochastique %K à 0) suggèrent un rebond imminent. Les fondamentaux, bien que solides (ROE de 15,4% en 2025), sont assombris par les résultats décevants du T1 2026 (perte de 221,7 millions FCFA) et les risques opérationnels (stocks, créances). Les prédictions IA, projetant une hausse rapide du cours vers 4 367 FCFA sous 10 jours, semblent optimistes et contredisent la tendance technique actuelle, mais pourraient refléter un scénario de rattrapage post-survente. En synthèse, la convergence entre une valorisation élevée, une tendance technique baissière et des incertitudes fondamentales à court terme nous conduit à une recommandation **CONSERVER**, avec un niveau de confiance **Moyen** et un risque global **Élevé**. L'horizon d'investissement optimal serait le **moyen terme (3-12 mois)**, en attendant une confirmation de la reprise de la production et une stabilisation des marges.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1056.00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1,485 titres</w:t>
            </w:r>
          </w:p>
        </w:tc>
        <w:tc>
          <w:tcPr>
            <w:tcW w:type="dxa" w:w="2268"/>
            <w:shd w:fill="FFF2CC" w:val="clear"/>
          </w:tcPr>
          <w:p>
            <w:r>
              <w:rPr>
                <w:b/>
                <w:color w:val="503200"/>
                <w:sz w:val="16"/>
              </w:rPr>
              <w:t xml:space="preserve">Cours actuel : </w:t>
            </w:r>
            <w:r>
              <w:rPr>
                <w:color w:val="000000"/>
                <w:sz w:val="17"/>
              </w:rPr>
              <w:t>33,000 FCFA</w:t>
            </w:r>
          </w:p>
          <w:p>
            <w:r>
              <w:rPr>
                <w:b/>
                <w:color w:val="503200"/>
                <w:sz w:val="16"/>
              </w:rPr>
              <w:t xml:space="preserve">Var. 100 jours : </w:t>
            </w:r>
            <w:r>
              <w:rPr>
                <w:b/>
                <w:color w:val="007800"/>
                <w:sz w:val="17"/>
              </w:rPr>
              <w:t>+114.98%</w:t>
            </w:r>
          </w:p>
          <w:p>
            <w:r>
              <w:rPr>
                <w:b/>
                <w:color w:val="503200"/>
                <w:sz w:val="16"/>
              </w:rPr>
              <w:t xml:space="preserve">Plus haut 100j : </w:t>
            </w:r>
            <w:r>
              <w:rPr>
                <w:color w:val="000000"/>
                <w:sz w:val="17"/>
              </w:rPr>
              <w:t>33,450 FCFA</w:t>
            </w:r>
          </w:p>
          <w:p>
            <w:r>
              <w:rPr>
                <w:b/>
                <w:color w:val="503200"/>
                <w:sz w:val="16"/>
              </w:rPr>
              <w:t xml:space="preserve">Plus bas 100j : </w:t>
            </w:r>
            <w:r>
              <w:rPr>
                <w:color w:val="000000"/>
                <w:sz w:val="17"/>
              </w:rPr>
              <w:t>15,350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21.47% (Élevée) — μ=23,873 FCFA, σ=5,125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β=0.7751 (Défensif) — Cov=0.000028, Var(idx)=0.000036, ρ=0.173,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59862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29,652</w:t>
            </w:r>
          </w:p>
        </w:tc>
        <w:tc>
          <w:tcPr>
            <w:tcW w:type="dxa" w:w="1440"/>
            <w:shd w:fill="FFDCE0" w:val="clear"/>
          </w:tcPr>
          <w:p>
            <w:r>
              <w:rPr>
                <w:b/>
                <w:sz w:val="17"/>
              </w:rPr>
              <w:t>30,525</w:t>
            </w:r>
          </w:p>
        </w:tc>
        <w:tc>
          <w:tcPr>
            <w:tcW w:type="dxa" w:w="1440"/>
            <w:shd w:fill="FFDCE0" w:val="clear"/>
          </w:tcPr>
          <w:p>
            <w:r>
              <w:rPr>
                <w:sz w:val="17"/>
              </w:rPr>
              <w:t>31,398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27,093</w:t>
            </w:r>
          </w:p>
        </w:tc>
        <w:tc>
          <w:tcPr>
            <w:tcW w:type="dxa" w:w="1440"/>
            <w:shd w:fill="FFDCE0" w:val="clear"/>
          </w:tcPr>
          <w:p>
            <w:r>
              <w:rPr>
                <w:b/>
                <w:sz w:val="17"/>
              </w:rPr>
              <w:t>28,236</w:t>
            </w:r>
          </w:p>
        </w:tc>
        <w:tc>
          <w:tcPr>
            <w:tcW w:type="dxa" w:w="1440"/>
            <w:shd w:fill="FFDCE0" w:val="clear"/>
          </w:tcPr>
          <w:p>
            <w:r>
              <w:rPr>
                <w:sz w:val="17"/>
              </w:rPr>
              <w:t>29,378</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24,824</w:t>
            </w:r>
          </w:p>
        </w:tc>
        <w:tc>
          <w:tcPr>
            <w:tcW w:type="dxa" w:w="1440"/>
            <w:shd w:fill="FFDCE0" w:val="clear"/>
          </w:tcPr>
          <w:p>
            <w:r>
              <w:rPr>
                <w:b/>
                <w:sz w:val="17"/>
              </w:rPr>
              <w:t>26,118</w:t>
            </w:r>
          </w:p>
        </w:tc>
        <w:tc>
          <w:tcPr>
            <w:tcW w:type="dxa" w:w="1440"/>
            <w:shd w:fill="FFDCE0" w:val="clear"/>
          </w:tcPr>
          <w:p>
            <w:r>
              <w:rPr>
                <w:sz w:val="17"/>
              </w:rPr>
              <w:t>27,412</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22,777</w:t>
            </w:r>
          </w:p>
        </w:tc>
        <w:tc>
          <w:tcPr>
            <w:tcW w:type="dxa" w:w="1440"/>
            <w:shd w:fill="FFDCE0" w:val="clear"/>
          </w:tcPr>
          <w:p>
            <w:r>
              <w:rPr>
                <w:b/>
                <w:sz w:val="17"/>
              </w:rPr>
              <w:t>24,159</w:t>
            </w:r>
          </w:p>
        </w:tc>
        <w:tc>
          <w:tcPr>
            <w:tcW w:type="dxa" w:w="1440"/>
            <w:shd w:fill="FFDCE0" w:val="clear"/>
          </w:tcPr>
          <w:p>
            <w:r>
              <w:rPr>
                <w:sz w:val="17"/>
              </w:rPr>
              <w:t>25,542</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20,917</w:t>
            </w:r>
          </w:p>
        </w:tc>
        <w:tc>
          <w:tcPr>
            <w:tcW w:type="dxa" w:w="1440"/>
            <w:shd w:fill="FFDCE0" w:val="clear"/>
          </w:tcPr>
          <w:p>
            <w:r>
              <w:rPr>
                <w:b/>
                <w:sz w:val="17"/>
              </w:rPr>
              <w:t>22,347</w:t>
            </w:r>
          </w:p>
        </w:tc>
        <w:tc>
          <w:tcPr>
            <w:tcW w:type="dxa" w:w="1440"/>
            <w:shd w:fill="FFDCE0" w:val="clear"/>
          </w:tcPr>
          <w:p>
            <w:r>
              <w:rPr>
                <w:sz w:val="17"/>
              </w:rPr>
              <w:t>23,777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19,222</w:t>
            </w:r>
          </w:p>
        </w:tc>
        <w:tc>
          <w:tcPr>
            <w:tcW w:type="dxa" w:w="1440"/>
            <w:shd w:fill="FFDCE0" w:val="clear"/>
          </w:tcPr>
          <w:p>
            <w:r>
              <w:rPr>
                <w:b/>
                <w:sz w:val="17"/>
              </w:rPr>
              <w:t>20,671</w:t>
            </w:r>
          </w:p>
        </w:tc>
        <w:tc>
          <w:tcPr>
            <w:tcW w:type="dxa" w:w="1440"/>
            <w:shd w:fill="FFDCE0" w:val="clear"/>
          </w:tcPr>
          <w:p>
            <w:r>
              <w:rPr>
                <w:sz w:val="17"/>
              </w:rPr>
              <w:t>22,120</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17,678</w:t>
            </w:r>
          </w:p>
        </w:tc>
        <w:tc>
          <w:tcPr>
            <w:tcW w:type="dxa" w:w="1440"/>
            <w:shd w:fill="FFDCE0" w:val="clear"/>
          </w:tcPr>
          <w:p>
            <w:r>
              <w:rPr>
                <w:b/>
                <w:sz w:val="17"/>
              </w:rPr>
              <w:t>19,126</w:t>
            </w:r>
          </w:p>
        </w:tc>
        <w:tc>
          <w:tcPr>
            <w:tcW w:type="dxa" w:w="1440"/>
            <w:shd w:fill="FFDCE0" w:val="clear"/>
          </w:tcPr>
          <w:p>
            <w:r>
              <w:rPr>
                <w:sz w:val="17"/>
              </w:rPr>
              <w:t>20,574</w:t>
            </w:r>
          </w:p>
        </w:tc>
        <w:tc>
          <w:tcPr>
            <w:tcW w:type="dxa" w:w="1440"/>
            <w:shd w:fill="FFDCE0" w:val="clear"/>
          </w:tcPr>
          <w:p>
            <w:r>
              <w:rPr>
                <w:b/>
                <w:color w:val="C00000"/>
                <w:sz w:val="17"/>
              </w:rPr>
              <w:t>-42.0%</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17,130</w:t>
            </w:r>
          </w:p>
        </w:tc>
        <w:tc>
          <w:tcPr>
            <w:tcW w:type="dxa" w:w="1440"/>
            <w:shd w:fill="FFDCE0" w:val="clear"/>
          </w:tcPr>
          <w:p>
            <w:r>
              <w:rPr>
                <w:b/>
                <w:sz w:val="17"/>
              </w:rPr>
              <w:t>18,639</w:t>
            </w:r>
          </w:p>
        </w:tc>
        <w:tc>
          <w:tcPr>
            <w:tcW w:type="dxa" w:w="1440"/>
            <w:shd w:fill="FFDCE0" w:val="clear"/>
          </w:tcPr>
          <w:p>
            <w:r>
              <w:rPr>
                <w:sz w:val="17"/>
              </w:rPr>
              <w:t>20,147</w:t>
            </w:r>
          </w:p>
        </w:tc>
        <w:tc>
          <w:tcPr>
            <w:tcW w:type="dxa" w:w="1440"/>
            <w:shd w:fill="FFDCE0" w:val="clear"/>
          </w:tcPr>
          <w:p>
            <w:r>
              <w:rPr>
                <w:b/>
                <w:color w:val="C00000"/>
                <w:sz w:val="17"/>
              </w:rPr>
              <w:t>-43.5%</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16,639</w:t>
            </w:r>
          </w:p>
        </w:tc>
        <w:tc>
          <w:tcPr>
            <w:tcW w:type="dxa" w:w="1440"/>
            <w:shd w:fill="FFDCE0" w:val="clear"/>
          </w:tcPr>
          <w:p>
            <w:r>
              <w:rPr>
                <w:b/>
                <w:sz w:val="17"/>
              </w:rPr>
              <w:t>18,201</w:t>
            </w:r>
          </w:p>
        </w:tc>
        <w:tc>
          <w:tcPr>
            <w:tcW w:type="dxa" w:w="1440"/>
            <w:shd w:fill="FFDCE0" w:val="clear"/>
          </w:tcPr>
          <w:p>
            <w:r>
              <w:rPr>
                <w:sz w:val="17"/>
              </w:rPr>
              <w:t>19,763</w:t>
            </w:r>
          </w:p>
        </w:tc>
        <w:tc>
          <w:tcPr>
            <w:tcW w:type="dxa" w:w="1440"/>
            <w:shd w:fill="FFDCE0" w:val="clear"/>
          </w:tcPr>
          <w:p>
            <w:r>
              <w:rPr>
                <w:b/>
                <w:color w:val="C00000"/>
                <w:sz w:val="17"/>
              </w:rPr>
              <w:t>-44.8%</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16,193</w:t>
            </w:r>
          </w:p>
        </w:tc>
        <w:tc>
          <w:tcPr>
            <w:tcW w:type="dxa" w:w="1440"/>
            <w:shd w:fill="FFDCE0" w:val="clear"/>
          </w:tcPr>
          <w:p>
            <w:r>
              <w:rPr>
                <w:b/>
                <w:sz w:val="17"/>
              </w:rPr>
              <w:t>17,804</w:t>
            </w:r>
          </w:p>
        </w:tc>
        <w:tc>
          <w:tcPr>
            <w:tcW w:type="dxa" w:w="1440"/>
            <w:shd w:fill="FFDCE0" w:val="clear"/>
          </w:tcPr>
          <w:p>
            <w:r>
              <w:rPr>
                <w:sz w:val="17"/>
              </w:rPr>
              <w:t>19,415</w:t>
            </w:r>
          </w:p>
        </w:tc>
        <w:tc>
          <w:tcPr>
            <w:tcW w:type="dxa" w:w="1440"/>
            <w:shd w:fill="FFDCE0" w:val="clear"/>
          </w:tcPr>
          <w:p>
            <w:r>
              <w:rPr>
                <w:b/>
                <w:color w:val="C00000"/>
                <w:sz w:val="17"/>
              </w:rPr>
              <w:t>-46.0%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CBIBF s'établit à 1 056 milliards FCFA, ce qui positionne le titre parmi les valeurs les plus lourdes de la BRVM, lui conférant un poids systémique dans l'indice. Avec un BPA de 2 047 FCFA, chaque action génère un bénéfice substantiel, justifiant un cours de 33 000 FCFA. Le PER de 16,1x se situe au-dessus de la moyenne historique de la place (~8-12x), indiquant que le marché intègre déjà des perspectives de croissance future et valorise la qualité du titre avec une prime. L'EV/EBITDA de 11,9x, bien que dans la fourchette de 10-15x, confirme une valorisation exigeante qui ne laisse que peu de marge à une contraction des bénéfices. En l'absence de données sur le P/B, l'analyse se concentre sur la capacité bénéficiaire, qui reste solide, mais le prix d'entrée actuel reflète un optimisme certain des investisseurs.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+114,98%, passant d'un plus bas de 15 350 FCFA à un plus haut de 33 450 FCFA, avant de clôturer à 33 000 FCFA, en léger repli de -0,90% sur la dernière séance. Cette tendance est fortement haussière, portée par un momentum puissant. La moyenne (23 873 FCFA) étant supérieure à la médiane (22 450 FCFA), la distribution des prix est légèrement asymétrique à gauche, suggérant que les fortes hausses récentes tirent la moyenne vers le haut. L'écart-type de 5 151 FCFA (CV de 21,6%) révèle une dispersion modérée des cours autour de la moyenne. Le kurtosis négatif (-1.168) indique une distribution platykurtique, avec moins de valeurs extrêmes que la normale, tandis que le skewness proche de zéro (-0.058) confirme une symétrie globale. La volatilité annualisée de 42,6% classe le titre comme très volatil, un niveau élevé qui implique des fluctuations de prix significatives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30 120 FCFA et MM50 à 28 349 FCFA) sont toutes deux inférieures au cours actuel de 33 000 FCFA, confirmant une configuration haussière. Le croisement de la MM20 au-dessus de la MM50 indique un momentum positif à court terme, et la tendance de fond reste résolument orientée à la hausse, justifiant la décision d'achat.</w:t>
      </w:r>
    </w:p>
    <w:p>
      <w:pPr>
        <w:spacing w:after="120" w:line="276" w:lineRule="auto"/>
      </w:pPr>
      <w:r>
        <w:t>Le cours se situe à 33 000 FCFA, proche de la borne supérieure des Bandes de Bollinger (33 795 FCFA), ce qui témoigne d'une pression acheteuse soutenue. Cependant, cette position proche de la borne supérieure peut également signaler une condition de surachat temporaire. La décision est neutre, car le titre pourrait continuer à longer la borne supérieure ou entamer un repli de consolidation.</w:t>
      </w:r>
    </w:p>
    <w:p>
      <w:pPr>
        <w:spacing w:after="120" w:line="276" w:lineRule="auto"/>
      </w:pPr>
      <w:r>
        <w:t>Le MACD (1 434,965) est nettement supérieur à son signal (1 100,838), affichant un écart positif croissant. Cette configuration indique un momentum haussier robuste qui se renforce, confirmant la vigueur de la tendance actuelle et justifiant une position acheteuse.</w:t>
      </w:r>
    </w:p>
    <w:p>
      <w:pPr>
        <w:spacing w:after="120" w:line="276" w:lineRule="auto"/>
      </w:pPr>
      <w:r>
        <w:t>Le RSI est à 80,845, un niveau très élevé, bien au-dessus du seuil de surachat de 70. Cette lecture indique que le titre est survendu à la hausse et que le potentiel de hausse immédiat pourrait être limité. Un repli technique est probable pour "respirer", d'où la décision de vente.</w:t>
      </w:r>
    </w:p>
    <w:p>
      <w:pPr>
        <w:spacing w:after="120" w:line="276" w:lineRule="auto"/>
      </w:pPr>
      <w:r>
        <w:t>Le Stochastique (%K=90,526 et %D=95,866) est également en zone de surachat extrême, avec %K sous %D, suggérant un croisement baissier potentiel à venir. Ce signal indique un essoufflement du mouvement haussier à très court terme, justifiant la décision de vente pour les traders à horizon immédiat.</w:t>
      </w:r>
    </w:p>
    <w:p>
      <w:pPr>
        <w:spacing w:after="120" w:line="276" w:lineRule="auto"/>
      </w:pPr>
      <w:r>
        <w:t>La conclusion technique est mitigée. La tendance de fond (MM, MACD) est clairement haussière, mais les oscillateurs (RSI, Stochastique) crient au surachat. Ce contraste signale qu'un repli de consolidation est probable à court terme avant la poursuite de la tendance haussière de fond. Un investisseur pourrait attendre un léger retracement pour renforcer ses positions.</w:t>
      </w:r>
    </w:p>
    <w:p>
      <w:pPr>
        <w:spacing w:after="120" w:line="276" w:lineRule="auto" w:before="240"/>
      </w:pPr>
      <w:r>
        <w:rPr>
          <w:b/>
          <w:color w:val="003366"/>
          <w:sz w:val="24"/>
        </w:rPr>
        <w:t>**PARTIE 3 : ANALYSE FONDAMENTALE (SECTION CRITIQUE)**</w:t>
      </w:r>
    </w:p>
    <w:p>
      <w:pPr>
        <w:spacing w:after="120" w:line="276" w:lineRule="auto"/>
      </w:pPr>
      <w:r>
        <w:t>En 2025, la banque affiche des résultats annuels solides avec un Produit Net Bancaire (PNB) de 138,986 milliards FCFA et un résultat net de 65,495 milliards FCFA, en progression de 36,6% par rapport à 2024. Cette performance est portée par une amélioration spectaculaire du coût du risque (-59,3%), qui ressort à 16,5 milliards FCFA, et une maîtrise des charges, avec un coefficient d'exploitation excellent de 36,4% (bien en dessous du seuil d'efficacité de 60%). La collecte de dépôts est dynamique (+14,9% à 2 015 milliards FCFA), tandis que les crédits nets progressent de 5,4% à 1 327 milliards FCFA, démontrant une capacité de transformation saine. La marge nette est élevée à 47,1% et le ROA de 2,18% est satisfaisant. Les rapports trimestriels de 2025 confirment cette trajectoire : le T1 2025 (PNB +2,8%) et le S1 2025 (PNB +8,75%) montraient déjà une reprise, mais le T3 2025 a accéléré avec un PNB de 101,3 milliards FCFA (+9,65% vs T3 2024). Sur la base de cette dynamique, le rapport T1 2026, publié récemment, confirme une accélération franche avec un PNB de 36,8 milliards FCFA (+28,5%) et un résultat net de 21,5 milliards FCFA (+22,2%), laissant présager un exercice 2026 exceptionnel. La banque est notée AA/AI avec perspective stable, et sa gouvernance s'est renforcée. Les fondamentaux sont donc très solides, avec une rentabilité en forte croissance et une gestion des risques efficace, malgré un environnement géopolitique régional incertain.</w:t>
      </w:r>
    </w:p>
    <w:p>
      <w:pPr>
        <w:spacing w:after="120" w:line="276" w:lineRule="auto" w:before="240"/>
      </w:pPr>
      <w:r>
        <w:rPr>
          <w:b/>
          <w:color w:val="003366"/>
          <w:sz w:val="24"/>
        </w:rPr>
        <w:t>**PARTIE 4 : CONCLUSION D'INVESTISSEMENT**</w:t>
      </w:r>
    </w:p>
    <w:p>
      <w:pPr>
        <w:spacing w:after="120" w:line="276" w:lineRule="auto"/>
      </w:pPr>
      <w:r>
        <w:t>La valorisation actuelle de CBIBF (PER de 16,1x) est exigeante et intègre déjà les excellentes performances passées, offrant un potentiel de hausse limité à ce niveau de prix. Le comportement du cours, avec une hausse de +115% en 100 jours et une volatilité très élevée (42,6%), indique un marché euphorique, statistiquement suracheté à court terme. Les signaux techniques sont contradictoires : la tendance de fond (MM, MACD) est haussière, mais les oscillateurs (RSI à 80,8, Stochastique à 90,5) signalent un essoufflement imminent. Les fondamentaux, eux, sont remarquablement solides, avec une croissance du résultat net de +36,6% en 2025 et une accélération au T1 2026 (+22,2%), soutenue par une gestion rigoureuse du risque et une efficacité opérationnelle de premier ordre. Les prédictions IA, qui anticipent une chute brutale du cours à 22 347 FCFA sur 10 jours, semblent refléter un scénario de correction technique sévère après une telle envolée, contredisant la tendance de fond mais confirmant les signaux de surachat. La synthèse globale suggère qu'une consolidation est non seulement probable mais saine avant la poursuite de la tendance haussière de long terme. Par conséquent, la recommandation est de **CONSERVER** le titre pour les investisseurs existants, avec un niveau de confiance **Moyen** et un risque global **Élevé** à court terme. Pour les nouveaux investisseurs, il est conseillé d'attendre un repli significatif vers la zone des 28 000-30 000 FCFA pour initier une position, avec un horizon d'investissement à **moyen terme (3-12 mois)** pour capitaliser sur la solidité fondamentale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312.87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3,659 titres</w:t>
            </w:r>
          </w:p>
        </w:tc>
        <w:tc>
          <w:tcPr>
            <w:tcW w:type="dxa" w:w="2268"/>
            <w:shd w:fill="FFF2CC" w:val="clear"/>
          </w:tcPr>
          <w:p>
            <w:r>
              <w:rPr>
                <w:b/>
                <w:color w:val="503200"/>
                <w:sz w:val="16"/>
              </w:rPr>
              <w:t xml:space="preserve">Cours actuel : </w:t>
            </w:r>
            <w:r>
              <w:rPr>
                <w:color w:val="000000"/>
                <w:sz w:val="17"/>
              </w:rPr>
              <w:t>1,725 FCFA</w:t>
            </w:r>
          </w:p>
          <w:p>
            <w:r>
              <w:rPr>
                <w:b/>
                <w:color w:val="503200"/>
                <w:sz w:val="16"/>
              </w:rPr>
              <w:t xml:space="preserve">Var. 100 jours : </w:t>
            </w:r>
            <w:r>
              <w:rPr>
                <w:b/>
                <w:color w:val="007800"/>
                <w:sz w:val="17"/>
              </w:rPr>
              <w:t>+7.81%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6.70% (Moyenne) — μ=1,615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β=0.9656 (Neutre (suit le marché)) — Cov=0.000035, Var(idx)=0.000036, ρ=0.188,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1,628</w:t>
            </w:r>
          </w:p>
        </w:tc>
        <w:tc>
          <w:tcPr>
            <w:tcW w:type="dxa" w:w="1440"/>
            <w:shd w:fill="FFDCE0" w:val="clear"/>
          </w:tcPr>
          <w:p>
            <w:r>
              <w:rPr>
                <w:b/>
                <w:sz w:val="17"/>
              </w:rPr>
              <w:t>1,686</w:t>
            </w:r>
          </w:p>
        </w:tc>
        <w:tc>
          <w:tcPr>
            <w:tcW w:type="dxa" w:w="1440"/>
            <w:shd w:fill="FFDCE0" w:val="clear"/>
          </w:tcPr>
          <w:p>
            <w:r>
              <w:rPr>
                <w:sz w:val="17"/>
              </w:rPr>
              <w:t>1,745</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1,581</w:t>
            </w:r>
          </w:p>
        </w:tc>
        <w:tc>
          <w:tcPr>
            <w:tcW w:type="dxa" w:w="1440"/>
            <w:shd w:fill="FFDCE0" w:val="clear"/>
          </w:tcPr>
          <w:p>
            <w:r>
              <w:rPr>
                <w:b/>
                <w:sz w:val="17"/>
              </w:rPr>
              <w:t>1,663</w:t>
            </w:r>
          </w:p>
        </w:tc>
        <w:tc>
          <w:tcPr>
            <w:tcW w:type="dxa" w:w="1440"/>
            <w:shd w:fill="FFDCE0" w:val="clear"/>
          </w:tcPr>
          <w:p>
            <w:r>
              <w:rPr>
                <w:sz w:val="17"/>
              </w:rPr>
              <w:t>1,744</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1,540</w:t>
            </w:r>
          </w:p>
        </w:tc>
        <w:tc>
          <w:tcPr>
            <w:tcW w:type="dxa" w:w="1440"/>
            <w:shd w:fill="FFDCE0" w:val="clear"/>
          </w:tcPr>
          <w:p>
            <w:r>
              <w:rPr>
                <w:b/>
                <w:sz w:val="17"/>
              </w:rPr>
              <w:t>1,638</w:t>
            </w:r>
          </w:p>
        </w:tc>
        <w:tc>
          <w:tcPr>
            <w:tcW w:type="dxa" w:w="1440"/>
            <w:shd w:fill="FFDCE0" w:val="clear"/>
          </w:tcPr>
          <w:p>
            <w:r>
              <w:rPr>
                <w:sz w:val="17"/>
              </w:rPr>
              <w:t>1,736</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1,501</w:t>
            </w:r>
          </w:p>
        </w:tc>
        <w:tc>
          <w:tcPr>
            <w:tcW w:type="dxa" w:w="1440"/>
            <w:shd w:fill="FFDCE0" w:val="clear"/>
          </w:tcPr>
          <w:p>
            <w:r>
              <w:rPr>
                <w:b/>
                <w:sz w:val="17"/>
              </w:rPr>
              <w:t>1,613</w:t>
            </w:r>
          </w:p>
        </w:tc>
        <w:tc>
          <w:tcPr>
            <w:tcW w:type="dxa" w:w="1440"/>
            <w:shd w:fill="FFDCE0" w:val="clear"/>
          </w:tcPr>
          <w:p>
            <w:r>
              <w:rPr>
                <w:sz w:val="17"/>
              </w:rPr>
              <w:t>1,725</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1,466</w:t>
            </w:r>
          </w:p>
        </w:tc>
        <w:tc>
          <w:tcPr>
            <w:tcW w:type="dxa" w:w="1440"/>
            <w:shd w:fill="FFDCE0" w:val="clear"/>
          </w:tcPr>
          <w:p>
            <w:r>
              <w:rPr>
                <w:b/>
                <w:sz w:val="17"/>
              </w:rPr>
              <w:t>1,589</w:t>
            </w:r>
          </w:p>
        </w:tc>
        <w:tc>
          <w:tcPr>
            <w:tcW w:type="dxa" w:w="1440"/>
            <w:shd w:fill="FFDCE0" w:val="clear"/>
          </w:tcPr>
          <w:p>
            <w:r>
              <w:rPr>
                <w:sz w:val="17"/>
              </w:rPr>
              <w:t>1,713</w:t>
            </w:r>
          </w:p>
        </w:tc>
        <w:tc>
          <w:tcPr>
            <w:tcW w:type="dxa" w:w="1440"/>
            <w:shd w:fill="FFDCE0" w:val="clear"/>
          </w:tcPr>
          <w:p>
            <w:r>
              <w:rPr>
                <w:b/>
                <w:color w:val="C00000"/>
                <w:sz w:val="17"/>
              </w:rPr>
              <w:t>-7.9%</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1,433</w:t>
            </w:r>
          </w:p>
        </w:tc>
        <w:tc>
          <w:tcPr>
            <w:tcW w:type="dxa" w:w="1440"/>
            <w:shd w:fill="FFDCE0" w:val="clear"/>
          </w:tcPr>
          <w:p>
            <w:r>
              <w:rPr>
                <w:b/>
                <w:sz w:val="17"/>
              </w:rPr>
              <w:t>1,566</w:t>
            </w:r>
          </w:p>
        </w:tc>
        <w:tc>
          <w:tcPr>
            <w:tcW w:type="dxa" w:w="1440"/>
            <w:shd w:fill="FFDCE0" w:val="clear"/>
          </w:tcPr>
          <w:p>
            <w:r>
              <w:rPr>
                <w:sz w:val="17"/>
              </w:rPr>
              <w:t>1,699</w:t>
            </w:r>
          </w:p>
        </w:tc>
        <w:tc>
          <w:tcPr>
            <w:tcW w:type="dxa" w:w="1440"/>
            <w:shd w:fill="FFDCE0" w:val="clear"/>
          </w:tcPr>
          <w:p>
            <w:r>
              <w:rPr>
                <w:b/>
                <w:color w:val="C00000"/>
                <w:sz w:val="17"/>
              </w:rPr>
              <w:t>-9.2%</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1,401</w:t>
            </w:r>
          </w:p>
        </w:tc>
        <w:tc>
          <w:tcPr>
            <w:tcW w:type="dxa" w:w="1440"/>
            <w:shd w:fill="FFDCE0" w:val="clear"/>
          </w:tcPr>
          <w:p>
            <w:r>
              <w:rPr>
                <w:b/>
                <w:sz w:val="17"/>
              </w:rPr>
              <w:t>1,543</w:t>
            </w:r>
          </w:p>
        </w:tc>
        <w:tc>
          <w:tcPr>
            <w:tcW w:type="dxa" w:w="1440"/>
            <w:shd w:fill="FFDCE0" w:val="clear"/>
          </w:tcPr>
          <w:p>
            <w:r>
              <w:rPr>
                <w:sz w:val="17"/>
              </w:rPr>
              <w:t>1,685</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1,371</w:t>
            </w:r>
          </w:p>
        </w:tc>
        <w:tc>
          <w:tcPr>
            <w:tcW w:type="dxa" w:w="1440"/>
            <w:shd w:fill="FFDCE0" w:val="clear"/>
          </w:tcPr>
          <w:p>
            <w:r>
              <w:rPr>
                <w:b/>
                <w:sz w:val="17"/>
              </w:rPr>
              <w:t>1,521</w:t>
            </w:r>
          </w:p>
        </w:tc>
        <w:tc>
          <w:tcPr>
            <w:tcW w:type="dxa" w:w="1440"/>
            <w:shd w:fill="FFDCE0" w:val="clear"/>
          </w:tcPr>
          <w:p>
            <w:r>
              <w:rPr>
                <w:sz w:val="17"/>
              </w:rPr>
              <w:t>1,670</w:t>
            </w:r>
          </w:p>
        </w:tc>
        <w:tc>
          <w:tcPr>
            <w:tcW w:type="dxa" w:w="1440"/>
            <w:shd w:fill="FFDCE0" w:val="clear"/>
          </w:tcPr>
          <w:p>
            <w:r>
              <w:rPr>
                <w:b/>
                <w:color w:val="C00000"/>
                <w:sz w:val="17"/>
              </w:rPr>
              <w:t>-11.9%</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1,343</w:t>
            </w:r>
          </w:p>
        </w:tc>
        <w:tc>
          <w:tcPr>
            <w:tcW w:type="dxa" w:w="1440"/>
            <w:shd w:fill="FFDCE0" w:val="clear"/>
          </w:tcPr>
          <w:p>
            <w:r>
              <w:rPr>
                <w:b/>
                <w:sz w:val="17"/>
              </w:rPr>
              <w:t>1,499</w:t>
            </w:r>
          </w:p>
        </w:tc>
        <w:tc>
          <w:tcPr>
            <w:tcW w:type="dxa" w:w="1440"/>
            <w:shd w:fill="FFDCE0" w:val="clear"/>
          </w:tcPr>
          <w:p>
            <w:r>
              <w:rPr>
                <w:sz w:val="17"/>
              </w:rPr>
              <w:t>1,655</w:t>
            </w:r>
          </w:p>
        </w:tc>
        <w:tc>
          <w:tcPr>
            <w:tcW w:type="dxa" w:w="1440"/>
            <w:shd w:fill="FFDCE0" w:val="clear"/>
          </w:tcPr>
          <w:p>
            <w:r>
              <w:rPr>
                <w:b/>
                <w:color w:val="C00000"/>
                <w:sz w:val="17"/>
              </w:rPr>
              <w:t>-13.1%</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1,315</w:t>
            </w:r>
          </w:p>
        </w:tc>
        <w:tc>
          <w:tcPr>
            <w:tcW w:type="dxa" w:w="1440"/>
            <w:shd w:fill="FFDCE0" w:val="clear"/>
          </w:tcPr>
          <w:p>
            <w:r>
              <w:rPr>
                <w:b/>
                <w:sz w:val="17"/>
              </w:rPr>
              <w:t>1,477</w:t>
            </w:r>
          </w:p>
        </w:tc>
        <w:tc>
          <w:tcPr>
            <w:tcW w:type="dxa" w:w="1440"/>
            <w:shd w:fill="FFDCE0" w:val="clear"/>
          </w:tcPr>
          <w:p>
            <w:r>
              <w:rPr>
                <w:sz w:val="17"/>
              </w:rPr>
              <w:t>1,639</w:t>
            </w:r>
          </w:p>
        </w:tc>
        <w:tc>
          <w:tcPr>
            <w:tcW w:type="dxa" w:w="1440"/>
            <w:shd w:fill="FFDCE0" w:val="clear"/>
          </w:tcPr>
          <w:p>
            <w:r>
              <w:rPr>
                <w:b/>
                <w:color w:val="C00000"/>
                <w:sz w:val="17"/>
              </w:rPr>
              <w:t>-14.4%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312,87 milliards FCFA positionne CFAC parmi les valeurs moyennes à grandes capitalisations de la BRVM, reflétant son statut de leader sur le marché automobile ivoirien. Avec un BPA de 26 FCFA, le titre affiche un PER de 66,7x, un niveau extrêmement élevé comparé à la moyenne historique de la BRVM (8-12x), indiquant que les investisseurs paient une prime considérable pour chaque franc de bénéfice. Le P/B de 16,08x confirme cette surévaluation relative, le marché valorisant l'action plus de 16 fois sa valeur comptable, un niveau qui traduit des attentes de croissance très ambitieuses. L'EV/EBITDA de 33,9x, bien au-delà du seuil exigeant de 15x, renforce cette lecture d'une valorisation qui intègre déjà des performances futures exceptionnelles. Ces ratios suggèrent que le marché a largement anticipé le redressement spectaculaire de l'entreprise observé en 2025,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 progressé de +7,81%, avec une légère consolidation de -0,86% lors de la dernière séance, s'établissant à 1 725 FCFA. Le titre a évolué dans une fourchette de 500 FCFA, entre un plus bas de 1 325 FCFA et un plus haut de 1 825 FCFA, démontrant une amplitude de trading significative de 37,7%. La moyenne de 1 615 FCFA et la médiane de 1 602 FCFA sont très proches, indiquant une distribution relativement symétrique des cours, ce que confirme le skewness de -0,388. L'écart-type de 109 FCFA, avec un coefficient de variation de 6,7%, révèle une dispersion modérée autour de la moyenne, tandis que le kurtosis de -0,406 (mésokurtique) suggère une distribution proche de la normale, sans risque excessif de mouvements extrêmes. La volatilité annualisée de 48,9% classe le titre dans la catégorie des valeurs à très haute volatilité, bien au-delà du seuil de 30%, ce qui implique un risque de prix substantiel pour les investisseurs malgré une tendance haussière globale sur la période.</w:t>
      </w:r>
    </w:p>
    <w:p>
      <w:pPr>
        <w:spacing w:after="120" w:line="276" w:lineRule="auto" w:before="240"/>
      </w:pPr>
      <w:r>
        <w:rPr>
          <w:b/>
          <w:color w:val="003366"/>
          <w:sz w:val="24"/>
        </w:rPr>
        <w:t>**PARTIE 2 : ANALYSE TECHNIQUE DÉTAILLÉE**</w:t>
      </w:r>
    </w:p>
    <w:p>
      <w:pPr>
        <w:spacing w:after="120" w:line="276" w:lineRule="auto"/>
      </w:pPr>
      <w:r>
        <w:t>Les Moyennes Mobiles indiquent un signal d'Achat : la MM20 à 1 702,75 FCFA et la MM50 à 1 679,5 FCFA sont toutes deux inférieures au cours actuel de 1 725 FCFA, confirmant une configuration haussière où les prix à court terme soutiennent la tendance de fond. Cette structure de moyennes mobiles ascendantes suggère que le momentum positif reste intact, avec le cours évoluant confortablement au-dessus de ses supports dynamiques.</w:t>
      </w:r>
    </w:p>
    <w:p>
      <w:pPr>
        <w:spacing w:after="120" w:line="276" w:lineRule="auto"/>
      </w:pPr>
      <w:r>
        <w:t>Les Bandes de Bollinger affichent une position Neutre : le cours à 1 725 FCFA se situe dans la partie supérieure du canal délimité par la borne inférieure à 1 594,68 FCFA et la borne supérieure à 1 810,82 FCFA. Cette position, sans contact avec les bornes, indique une volatilité modérée sans condition de surachat ou de survente, laissant une marge de manœuvre avant d'atteindre des zones extrêmes.</w:t>
      </w:r>
    </w:p>
    <w:p>
      <w:pPr>
        <w:spacing w:after="120" w:line="276" w:lineRule="auto"/>
      </w:pPr>
      <w:r>
        <w:t>Le MACD émet un signal d'Achat avec une valeur de 21,063 au-dessus de son signal à 20,196, bien que l'écart soit relativement étroit. Cette configuration positive témoigne d'un momentum haussier persistant, mais la convergence étroite entre la ligne MACD et sa ligne de signal suggère une possible consolidation à court terme si l'écart venait à se resserrer davantage.</w:t>
      </w:r>
    </w:p>
    <w:p>
      <w:pPr>
        <w:spacing w:after="120" w:line="276" w:lineRule="auto"/>
      </w:pPr>
      <w:r>
        <w:t>Le RSI à 67,606 se maintient en zone Neutre, proche du seuil de surachat de 70, sans toutefois y pénétrer. Cette lecture indique que la pression acheteuse reste soutenue mais pas encore excessive, laissant potentiellement de la place pour une poursuite de la hausse avant une éventuelle correction technique.</w:t>
      </w:r>
    </w:p>
    <w:p>
      <w:pPr>
        <w:spacing w:after="120" w:line="276" w:lineRule="auto"/>
      </w:pPr>
      <w:r>
        <w:t>Le Stochastique affiche une position Neutre avec %K à 70,37 et %D à 81,033, cette configuration montrant que %K est passé sous %D, suggérant un possible retournement baissier à très court terme. La divergence entre ces deux lignes indique un essoufflement du momentum haussier, appelant à la prudence malgré la tendance générale positive.</w:t>
      </w:r>
    </w:p>
    <w:p>
      <w:pPr>
        <w:spacing w:after="120" w:line="276" w:lineRule="auto"/>
      </w:pPr>
      <w:r>
        <w:t>La conclusion technique globale est mitigée : si les moyennes mobiles et le MACD confirment une tendance haussière sous-jacente, les indicateurs de momentum comme le RSI proche du surachat et le Stochastique en croisement baissier suggèrent un risque de consolidation à court terme. Cette divergence entre les indicateurs de tendance et de momentum appelle à une vigilance accrue, le titre pouvant connaître un repli technique avant de poursuivre son mouvement haussier.</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entreprise en transition : le chiffre d'affaires s'établit à 158,313 milliards FCFA, en recul de -12,1% par rapport à 2023, avec un résultat net de 4,693 milliards FCFA, en baisse de -26,7%. Malgré cette contraction, les ratios de rentabilité demeurent solides avec un ROE de 24,13% et un ROA de 5,52%, témoignant d'une gestion efficace des capitaux propres. Le BFR négatif de -3,482 milliards FCFA constitue un point positif majeur pour cette entreprise du secteur automobile, indiquant que le cycle d'exploitation génère du cash, avec des délais fournisseurs (81,75 jours) nettement supérieurs aux délais clients (36,64 jours). Cependant, la durée de stockage de 88,35 jours et la trésorerie nette négative de -624 millions FCFA appellent à la vigilance. Les rapports trimestriels 2025 montrent un redressement spectaculaire : le T1 2025 affiche un résultat net de 3,836 milliards FCFA (+279,7% vs T1 2024), le S1 2025 atteint 5,420 milliards FCFA (+152,7%), et le T3 2025 confirme avec 1,489 milliard FCFA (+38,1%), porté par une part de marché de 41,7%. Sur la base de ces performances trimestrielles, on estime que l'exercice 2025 devrait dépasser largement les 10 milliards FCFA de résultat net, soit plus du double de 2024, avec un chiffre d'affaires annuel projeté autour de 190-200 milliards FCFA. Le rapport du 31 décembre 2026 (analysé par GEMINI-VISION) confirme cette dynamique avec une croissance de +14,04% du CA, atteignant environ 180 milliards FCFA, portée par le dynamisme du marché automobile ivoirien. La solidité financière reste néanmoins perfectible avec une autonomie financière de 22,88%, inférieure au seuil de 30% considéré comme sain, et un ratio d'endettement de 23,07% qui demeure maîtrisé.</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l'action CFAC. La valorisation (Partie 0) apparaît extrêmement exigeante avec un PER de 66,7x et un P/B de 16,08x, intégrant des attentes de croissance très optimistes qui laissent peu de marge de sécurité. Le comportement du cours (Partie 1) montre une tendance haussière de +7,81% sur 100 jours, mais avec une volatilité annualisée de 48,9% qui implique un risque élevé, tandis que la distribution symétrique des cours suggère une certaine stabilité statistique. Les signaux techniques (Partie 2) sont partagés entre une tendance haussière confirmée par les moyennes mobiles et le MACD, et des indicateurs de momentum (RSI proche du surachat, Stochastique en croisement baissier) qui appellent à la prudence à court terme. Les fondamentaux (Partie 3) montrent un redressement spectaculaire en 2025 avec un résultat net estimé à plus du double de 2024, confirmé par les rapports trimestriels successifs, malgré une structure financière encore fragile. Les prédictions IA pour les 10 prochains jours (1 686 à 1 589 FCFA) suggèrent une correction de -7,9%, contredisant la tendance haussière récente et confirmant les signaux techniques de consolidation. Cette convergence entre les signaux techniques de court terme et les prédictions IA, contrastant avec des fondamentaux en amélioration mais une valorisation excessive, conduit à une recommandation CONSERVER avec un niveau de confiance Moyen. Le risque global est Élevé, principalement en raison de la valorisation extrême et de la volatilité importante. L'horizon d'investissement optimal serait le moyen terme (3-12 mois), permettant d'absorber une éventuelle correction technique tout en bénéficiant de l'amélioration fondamentale attendue pour l'exercice 2025.</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408.52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6,447 titres</w:t>
            </w:r>
          </w:p>
        </w:tc>
        <w:tc>
          <w:tcPr>
            <w:tcW w:type="dxa" w:w="2268"/>
            <w:shd w:fill="FFF2CC" w:val="clear"/>
          </w:tcPr>
          <w:p>
            <w:r>
              <w:rPr>
                <w:b/>
                <w:color w:val="503200"/>
                <w:sz w:val="16"/>
              </w:rPr>
              <w:t xml:space="preserve">Cours actuel : </w:t>
            </w:r>
            <w:r>
              <w:rPr>
                <w:color w:val="000000"/>
                <w:sz w:val="17"/>
              </w:rPr>
              <w:t>7,295 FCFA</w:t>
            </w:r>
          </w:p>
          <w:p>
            <w:r>
              <w:rPr>
                <w:b/>
                <w:color w:val="503200"/>
                <w:sz w:val="16"/>
              </w:rPr>
              <w:t xml:space="preserve">Var. 100 jours : </w:t>
            </w:r>
            <w:r>
              <w:rPr>
                <w:b/>
                <w:color w:val="007800"/>
                <w:sz w:val="17"/>
              </w:rPr>
              <w:t>+132.70%</w:t>
            </w:r>
          </w:p>
          <w:p>
            <w:r>
              <w:rPr>
                <w:b/>
                <w:color w:val="503200"/>
                <w:sz w:val="16"/>
              </w:rPr>
              <w:t xml:space="preserve">Plus haut 100j : </w:t>
            </w:r>
            <w:r>
              <w:rPr>
                <w:color w:val="000000"/>
                <w:sz w:val="17"/>
              </w:rPr>
              <w:t>7,295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24.36% (Élevée) — μ=4,851 FCFA, σ=1,182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β=0.9463 (Neutre (suit le marché)) — Cov=0.000034, Var(idx)=0.000036, ρ=0.179,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6,447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6,396</w:t>
            </w:r>
          </w:p>
        </w:tc>
        <w:tc>
          <w:tcPr>
            <w:tcW w:type="dxa" w:w="1440"/>
            <w:shd w:fill="FFDCE0" w:val="clear"/>
          </w:tcPr>
          <w:p>
            <w:r>
              <w:rPr>
                <w:b/>
                <w:sz w:val="17"/>
              </w:rPr>
              <w:t>6,748</w:t>
            </w:r>
          </w:p>
        </w:tc>
        <w:tc>
          <w:tcPr>
            <w:tcW w:type="dxa" w:w="1440"/>
            <w:shd w:fill="FFDCE0" w:val="clear"/>
          </w:tcPr>
          <w:p>
            <w:r>
              <w:rPr>
                <w:sz w:val="17"/>
              </w:rPr>
              <w:t>7,100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5,781</w:t>
            </w:r>
          </w:p>
        </w:tc>
        <w:tc>
          <w:tcPr>
            <w:tcW w:type="dxa" w:w="1440"/>
            <w:shd w:fill="FFDCE0" w:val="clear"/>
          </w:tcPr>
          <w:p>
            <w:r>
              <w:rPr>
                <w:b/>
                <w:sz w:val="17"/>
              </w:rPr>
              <w:t>6,242</w:t>
            </w:r>
          </w:p>
        </w:tc>
        <w:tc>
          <w:tcPr>
            <w:tcW w:type="dxa" w:w="1440"/>
            <w:shd w:fill="FFDCE0" w:val="clear"/>
          </w:tcPr>
          <w:p>
            <w:r>
              <w:rPr>
                <w:sz w:val="17"/>
              </w:rPr>
              <w:t>6,703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5,252</w:t>
            </w:r>
          </w:p>
        </w:tc>
        <w:tc>
          <w:tcPr>
            <w:tcW w:type="dxa" w:w="1440"/>
            <w:shd w:fill="FFDCE0" w:val="clear"/>
          </w:tcPr>
          <w:p>
            <w:r>
              <w:rPr>
                <w:b/>
                <w:sz w:val="17"/>
              </w:rPr>
              <w:t>5,774</w:t>
            </w:r>
          </w:p>
        </w:tc>
        <w:tc>
          <w:tcPr>
            <w:tcW w:type="dxa" w:w="1440"/>
            <w:shd w:fill="FFDCE0" w:val="clear"/>
          </w:tcPr>
          <w:p>
            <w:r>
              <w:rPr>
                <w:sz w:val="17"/>
              </w:rPr>
              <w:t>6,296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4,783</w:t>
            </w:r>
          </w:p>
        </w:tc>
        <w:tc>
          <w:tcPr>
            <w:tcW w:type="dxa" w:w="1440"/>
            <w:shd w:fill="FFDCE0" w:val="clear"/>
          </w:tcPr>
          <w:p>
            <w:r>
              <w:rPr>
                <w:b/>
                <w:sz w:val="17"/>
              </w:rPr>
              <w:t>5,341</w:t>
            </w:r>
          </w:p>
        </w:tc>
        <w:tc>
          <w:tcPr>
            <w:tcW w:type="dxa" w:w="1440"/>
            <w:shd w:fill="FFDCE0" w:val="clear"/>
          </w:tcPr>
          <w:p>
            <w:r>
              <w:rPr>
                <w:sz w:val="17"/>
              </w:rPr>
              <w:t>5,898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4,363</w:t>
            </w:r>
          </w:p>
        </w:tc>
        <w:tc>
          <w:tcPr>
            <w:tcW w:type="dxa" w:w="1440"/>
            <w:shd w:fill="FFDCE0" w:val="clear"/>
          </w:tcPr>
          <w:p>
            <w:r>
              <w:rPr>
                <w:b/>
                <w:sz w:val="17"/>
              </w:rPr>
              <w:t>4,940</w:t>
            </w:r>
          </w:p>
        </w:tc>
        <w:tc>
          <w:tcPr>
            <w:tcW w:type="dxa" w:w="1440"/>
            <w:shd w:fill="FFDCE0" w:val="clear"/>
          </w:tcPr>
          <w:p>
            <w:r>
              <w:rPr>
                <w:sz w:val="17"/>
              </w:rPr>
              <w:t>5,517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3,985</w:t>
            </w:r>
          </w:p>
        </w:tc>
        <w:tc>
          <w:tcPr>
            <w:tcW w:type="dxa" w:w="1440"/>
            <w:shd w:fill="FFDCE0" w:val="clear"/>
          </w:tcPr>
          <w:p>
            <w:r>
              <w:rPr>
                <w:b/>
                <w:sz w:val="17"/>
              </w:rPr>
              <w:t>4,570</w:t>
            </w:r>
          </w:p>
        </w:tc>
        <w:tc>
          <w:tcPr>
            <w:tcW w:type="dxa" w:w="1440"/>
            <w:shd w:fill="FFDCE0" w:val="clear"/>
          </w:tcPr>
          <w:p>
            <w:r>
              <w:rPr>
                <w:sz w:val="17"/>
              </w:rPr>
              <w:t>5,154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3,643</w:t>
            </w:r>
          </w:p>
        </w:tc>
        <w:tc>
          <w:tcPr>
            <w:tcW w:type="dxa" w:w="1440"/>
            <w:shd w:fill="FFDCE0" w:val="clear"/>
          </w:tcPr>
          <w:p>
            <w:r>
              <w:rPr>
                <w:b/>
                <w:sz w:val="17"/>
              </w:rPr>
              <w:t>4,227</w:t>
            </w:r>
          </w:p>
        </w:tc>
        <w:tc>
          <w:tcPr>
            <w:tcW w:type="dxa" w:w="1440"/>
            <w:shd w:fill="FFDCE0" w:val="clear"/>
          </w:tcPr>
          <w:p>
            <w:r>
              <w:rPr>
                <w:sz w:val="17"/>
              </w:rPr>
              <w:t>4,811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3,332</w:t>
            </w:r>
          </w:p>
        </w:tc>
        <w:tc>
          <w:tcPr>
            <w:tcW w:type="dxa" w:w="1440"/>
            <w:shd w:fill="FFDCE0" w:val="clear"/>
          </w:tcPr>
          <w:p>
            <w:r>
              <w:rPr>
                <w:b/>
                <w:sz w:val="17"/>
              </w:rPr>
              <w:t>3,910</w:t>
            </w:r>
          </w:p>
        </w:tc>
        <w:tc>
          <w:tcPr>
            <w:tcW w:type="dxa" w:w="1440"/>
            <w:shd w:fill="FFDCE0" w:val="clear"/>
          </w:tcPr>
          <w:p>
            <w:r>
              <w:rPr>
                <w:sz w:val="17"/>
              </w:rPr>
              <w:t>4,487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3,050</w:t>
            </w:r>
          </w:p>
        </w:tc>
        <w:tc>
          <w:tcPr>
            <w:tcW w:type="dxa" w:w="1440"/>
            <w:shd w:fill="FFDCE0" w:val="clear"/>
          </w:tcPr>
          <w:p>
            <w:r>
              <w:rPr>
                <w:b/>
                <w:sz w:val="17"/>
              </w:rPr>
              <w:t>3,617</w:t>
            </w:r>
          </w:p>
        </w:tc>
        <w:tc>
          <w:tcPr>
            <w:tcW w:type="dxa" w:w="1440"/>
            <w:shd w:fill="FFDCE0" w:val="clear"/>
          </w:tcPr>
          <w:p>
            <w:r>
              <w:rPr>
                <w:sz w:val="17"/>
              </w:rPr>
              <w:t>4,183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2,793</w:t>
            </w:r>
          </w:p>
        </w:tc>
        <w:tc>
          <w:tcPr>
            <w:tcW w:type="dxa" w:w="1440"/>
            <w:shd w:fill="FFDCE0" w:val="clear"/>
          </w:tcPr>
          <w:p>
            <w:r>
              <w:rPr>
                <w:b/>
                <w:sz w:val="17"/>
              </w:rPr>
              <w:t>3,345</w:t>
            </w:r>
          </w:p>
        </w:tc>
        <w:tc>
          <w:tcPr>
            <w:tcW w:type="dxa" w:w="1440"/>
            <w:shd w:fill="FFDCE0" w:val="clear"/>
          </w:tcPr>
          <w:p>
            <w:r>
              <w:rPr>
                <w:sz w:val="17"/>
              </w:rPr>
              <w:t>3,898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sur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408,52 milliards FCFA, un niveau significatif qui la positionne parmi les valeurs moyennes à grandes de la BRVM. Le BPA de 234 FCFA indique que chaque action a généré ce bénéfice sur l'exercice. Cependant, le PER de 31,1x est très élevé par rapport à la moyenne historique de la BRVM (8-12x), suggérant que les investisseurs anticipent une forte croissance future ou que le titre est surévalué à court terme. Le P/B de 11,36x confirme cette prime, le marché valorisant l'actif net à plus de onze fois sa valeur comptable, un niveau extrêmement exigeant. Enfin, l'EV/EBITDA de 16,1x, supérieur au seuil de 15x, indique que la valeur totale de l'entreprise (capitalisation + dette nette) est élevée par rapport à sa capacité opérationnelle de génération de cash (EBITDA), renforçant l'idée d'une valorisation riche qui laisse peu de marge d'erreur.</w:t>
      </w:r>
    </w:p>
    <w:p>
      <w:pPr>
        <w:spacing w:after="120" w:line="276" w:lineRule="auto"/>
      </w:pPr>
      <w:r>
        <w:t>### **PARTIE 1 : ANALYSE DU COURS — STATISTIQUES ET ÉVOLUTION (100 derniers jours)**</w:t>
      </w:r>
    </w:p>
    <w:p>
      <w:pPr>
        <w:spacing w:after="120" w:line="276" w:lineRule="auto"/>
      </w:pPr>
      <w:r>
        <w:t>Sur les 100 derniers jours, l'action CIEC a connu une progression spectaculaire de +132,70%, avec une dernière séance en hausse de +3,04% à 7 295 FCFA. Le titre a évolué dans une fourchette très large, de 3 000 FCFA (plus bas) à 7 295 FCFA (plus haut, le cours actuel), démontrant une tendance fortement haussière. La moyenne du cours sur la période (4 851 FCFA) est inférieure à la médiane (5 010 FCFA), ce qui, combiné à un skewness proche de zéro (0.023), indique une distribution des prix relativement symétrique mais avec une queue de distribution vers les extrêmes hauts. L'écart-type de 1 188 FCFA (CV de 24,5%) montre une dispersion modérée, tandis que le kurtosis de -0.722 (mésokurtique) suggère l'absence de pics de volatilité extrêmes. La volatilité annualisée de 50,4% est très élevée (&gt;30%), signe d'un titre spéculatif et risqué, dont les mouvements de prix peuvent être amples et rapides.</w:t>
      </w:r>
    </w:p>
    <w:p>
      <w:pPr>
        <w:spacing w:after="120" w:line="276" w:lineRule="auto"/>
      </w:pPr>
      <w:r>
        <w:t>### **PARTIE 2 : ANALYSE TECHNIQUE DÉTAILLÉE**</w:t>
      </w:r>
    </w:p>
    <w:p>
      <w:pPr>
        <w:spacing w:after="120" w:line="276" w:lineRule="auto"/>
      </w:pPr>
      <w:r>
        <w:t>**Moyennes Mobiles**: Le cours actuel (7 295 FCFA) est nettement au-dessus de sa MM20 (6 490,75 FCFA) et de sa MM50 (5 721,7 FCFA). Cette configuration haussière, où les moyennes sont orientées à la hausse, confirme la vigueur de la tendance. La décision d'**Achat** est justifiée par cette dynamique positive.</w:t>
      </w:r>
    </w:p>
    <w:p>
      <w:pPr>
        <w:spacing w:after="120" w:line="276" w:lineRule="auto"/>
      </w:pPr>
      <w:r>
        <w:t>**Bandes de Bollinger**: Le prix se situe à 7 295 FCFA, en dessous de la borne supérieure (7 730,67 FCFA) mais bien au-dessus de la borne inférieure (5 250,83 FCFA). L'écart entre les bornes est large, reflétant la forte volatilité. Le prix, proche de la borne supérieure, indique une pression acheteuse soutenue, mais sans être en situation de surachat extrême. La décision est **Neutre**, le prix n'ayant pas encore touché les bornes de manière décisive.</w:t>
      </w:r>
    </w:p>
    <w:p>
      <w:pPr>
        <w:spacing w:after="120" w:line="276" w:lineRule="auto"/>
      </w:pPr>
      <w:r>
        <w:t>**MACD**: La ligne MACD (405,89) est au-dessus de sa ligne de signal (389,056), avec un écart positif. Ce croisement haussier indique un momentum positif et une accélération de la tendance. La décision d'**Achat** est cohérente avec ce signal de dynamique positive.</w:t>
      </w:r>
    </w:p>
    <w:p>
      <w:pPr>
        <w:spacing w:after="120" w:line="276" w:lineRule="auto"/>
      </w:pPr>
      <w:r>
        <w:t>**RSI**: Le RSI est à 68,737, proche du seuil de surachat de 70. Il indique une forte dynamique acheteuse mais signale que le titre commence à être surchauffé à court terme. La décision **Neutre** est prudente, car une correction est possible si le RSI entre en zone de surachat.</w:t>
      </w:r>
    </w:p>
    <w:p>
      <w:pPr>
        <w:spacing w:after="120" w:line="276" w:lineRule="auto"/>
      </w:pPr>
      <w:r>
        <w:t>**Stochastique**: Le %K (100,0) est extrêmement élevé et nettement au-dessus du %D (82,721). Cette configuration indique une condition de surachat très sévère. Le croisement baissier potentiel de ces deux lignes pourrait signaler un retournement imminent. La décision de **Vente** est un signal d'alerte fort pour un repli technique à court terme.</w:t>
      </w:r>
    </w:p>
    <w:p>
      <w:pPr>
        <w:spacing w:after="120" w:line="276" w:lineRule="auto"/>
      </w:pPr>
      <w:r>
        <w:t>**Conclusion technique**: Les indicateurs de tendance (MM, MACD) sont résolument haussiers, mais les oscillateurs (RSI, Stochastique) sont en zone de surachat extrême. Cette divergence suggère que la tendance de fond reste positive, mais qu'un repli technique est de plus en plus probable à très court terme pour "respirer". La prudence est donc de mise pour un nouvel achat à ces niveaux.</w:t>
      </w:r>
    </w:p>
    <w:p>
      <w:pPr>
        <w:spacing w:after="120" w:line="276" w:lineRule="auto"/>
      </w:pPr>
      <w:r>
        <w:t>### **PARTIE 3 : ANALYSE FONDAMENTALE (SECTION CRITIQUE)**</w:t>
      </w:r>
    </w:p>
    <w:p>
      <w:pPr>
        <w:spacing w:after="120" w:line="276" w:lineRule="auto"/>
      </w:pPr>
      <w:r>
        <w:t>En 2025, la CIEC affiche des résultats financiers solides, avec un chiffre d'affaires de 302,320 milliards FCFA, en croissance de +14,8% par rapport à 2024 (263,294 milliards FCFA). Le résultat net s'établit à 13,127 milliards FCFA, en progression de +24,4% (contre 10,526 milliards en 2024). Cette performance se traduit par un ROE exceptionnel de 36,5%, bien au-dessus du seuil de 15% considéré comme excellent, et une marge nette de 4,34%. En tant qu'entreprise non bancaire, l'analyse des délais est cruciale : le délai de paiement des clients est très élevé (164 jours), ce qui représente un risque de trésorerie important, bien que partiellement compensé par un délai fournisseurs extrêmement long (970 jours) et un BFR négatif de -90,244 milliards FCFA, signe d'une gestion favorable du cycle d'exploitation. Les rapports narratifs confirment cette dynamique : le rapport du 31 décembre 2025 (analysé le 21 mai 2026) souligne la croissance des ventes d'énergie (+8,3% au niveau national) et une politique de dividende très généreuse de 234 FCFA par action, représentant 99,8% du résultat net. Le rapport du premier semestre 2025 (daté du 30 juin 2025) montrait déjà une croissance de 18,85% du CA, laissant présager une année 2025 robuste, ce qui s'est confirmé. Cependant, la structure financière est fragile avec un ratio d'endettement de 612,9% et une autonomie financière de seulement 1,78%, indiquant une forte dépendance aux dettes, principalement envers l'État concédant. Les perspectives pour 2026 sont favorables, portées par la croissance de la demande, mais le niveau d'endettement et le risque de crédit client demeurent les principaux points de vigilance.</w:t>
      </w:r>
    </w:p>
    <w:p>
      <w:pPr>
        <w:spacing w:after="120" w:line="276" w:lineRule="auto"/>
      </w:pPr>
      <w:r>
        <w:t>### **PARTIE 4 : CONCLUSION D'INVESTISSEMENT**</w:t>
      </w:r>
    </w:p>
    <w:p>
      <w:pPr>
        <w:spacing w:after="120" w:line="276" w:lineRule="auto"/>
      </w:pPr>
      <w:r>
        <w:t>La valorisation de la CIEC est extrêmement exigeante (PER de 31,1x, P/B de 11,36x), suggérant une **surévaluation** par rapport aux fondamentaux historiques du marché. Le comportement du cours est très haussier, avec une volatilité annualisée de 50,4% et des statistiques (kurtosis, skewness) indiquant une distribution normale mais un risque élevé. Les signaux techniques sont **divergents** : la tendance de fond (MM, MACD) est positive, mais les oscillateurs (RSI, Stochastique) sont en surachat extrême, signalant un risque de correction à court terme. Les fondamentaux sont solides avec une croissance de 14,8% du CA et un ROE de 36,5%, mais la structure financière est très endettée. Les prédictions IA pour les 10 prochains jours (chute de 7 295 à 4 940 FCFA) confirment ce risque de correction technique et suggèrent une convergence avec les signaux de surachat. En synthèse, la qualité fondamentale et la dynamique de croissance sont réelles, mais le prix actuel intègre des attentes très élevées. La recommandation est de **CONSERVER** pour les investisseurs déjà en portefeuille, et d'attendre un repli significatif pour les nouveaux entrants. Le niveau de confiance est **Moyen**, le risque global est **Élevé**, et l'horizon d'investissement optimal serait à **moyen terme (3-12 mois)** après une probable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963.39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3,917 titres</w:t>
            </w:r>
          </w:p>
        </w:tc>
        <w:tc>
          <w:tcPr>
            <w:tcW w:type="dxa" w:w="2268"/>
            <w:shd w:fill="FFF2CC" w:val="clear"/>
          </w:tcPr>
          <w:p>
            <w:r>
              <w:rPr>
                <w:b/>
                <w:color w:val="503200"/>
                <w:sz w:val="16"/>
              </w:rPr>
              <w:t xml:space="preserve">Cours actuel : </w:t>
            </w:r>
            <w:r>
              <w:rPr>
                <w:color w:val="000000"/>
                <w:sz w:val="17"/>
              </w:rPr>
              <w:t>17,500 FCFA</w:t>
            </w:r>
          </w:p>
          <w:p>
            <w:r>
              <w:rPr>
                <w:b/>
                <w:color w:val="503200"/>
                <w:sz w:val="16"/>
              </w:rPr>
              <w:t xml:space="preserve">Var. 100 jours : </w:t>
            </w:r>
            <w:r>
              <w:rPr>
                <w:b/>
                <w:color w:val="007800"/>
                <w:sz w:val="17"/>
              </w:rPr>
              <w:t>+12.04%</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2.71% (Faible) — μ=16,406 FCFA, σ=445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β=0.3760 (Défensif) — Cov=0.000014, Var(idx)=0.000036, ρ=0.129,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16,955</w:t>
            </w:r>
          </w:p>
        </w:tc>
        <w:tc>
          <w:tcPr>
            <w:tcW w:type="dxa" w:w="1440"/>
            <w:shd w:fill="FAFAFA" w:val="clear"/>
          </w:tcPr>
          <w:p>
            <w:r>
              <w:rPr>
                <w:b/>
                <w:sz w:val="17"/>
              </w:rPr>
              <w:t>17,379</w:t>
            </w:r>
          </w:p>
        </w:tc>
        <w:tc>
          <w:tcPr>
            <w:tcW w:type="dxa" w:w="1440"/>
            <w:shd w:fill="FAFAFA" w:val="clear"/>
          </w:tcPr>
          <w:p>
            <w:r>
              <w:rPr>
                <w:sz w:val="17"/>
              </w:rPr>
              <w:t>17,803</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16,751</w:t>
            </w:r>
          </w:p>
        </w:tc>
        <w:tc>
          <w:tcPr>
            <w:tcW w:type="dxa" w:w="1440"/>
            <w:shd w:fill="FAFAFA" w:val="clear"/>
          </w:tcPr>
          <w:p>
            <w:r>
              <w:rPr>
                <w:b/>
                <w:sz w:val="17"/>
              </w:rPr>
              <w:t>17,350</w:t>
            </w:r>
          </w:p>
        </w:tc>
        <w:tc>
          <w:tcPr>
            <w:tcW w:type="dxa" w:w="1440"/>
            <w:shd w:fill="FAFAFA" w:val="clear"/>
          </w:tcPr>
          <w:p>
            <w:r>
              <w:rPr>
                <w:sz w:val="17"/>
              </w:rPr>
              <w:t>17,949</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16,587</w:t>
            </w:r>
          </w:p>
        </w:tc>
        <w:tc>
          <w:tcPr>
            <w:tcW w:type="dxa" w:w="1440"/>
            <w:shd w:fill="FAFAFA" w:val="clear"/>
          </w:tcPr>
          <w:p>
            <w:r>
              <w:rPr>
                <w:b/>
                <w:sz w:val="17"/>
              </w:rPr>
              <w:t>17,319</w:t>
            </w:r>
          </w:p>
        </w:tc>
        <w:tc>
          <w:tcPr>
            <w:tcW w:type="dxa" w:w="1440"/>
            <w:shd w:fill="FAFAFA" w:val="clear"/>
          </w:tcPr>
          <w:p>
            <w:r>
              <w:rPr>
                <w:sz w:val="17"/>
              </w:rPr>
              <w:t>18,051</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2026-09-14</w:t>
            </w:r>
          </w:p>
        </w:tc>
        <w:tc>
          <w:tcPr>
            <w:tcW w:type="dxa" w:w="1440"/>
            <w:shd w:fill="FAFAFA" w:val="clear"/>
          </w:tcPr>
          <w:p>
            <w:r>
              <w:rPr>
                <w:sz w:val="17"/>
              </w:rPr>
              <w:t>16,448</w:t>
            </w:r>
          </w:p>
        </w:tc>
        <w:tc>
          <w:tcPr>
            <w:tcW w:type="dxa" w:w="1440"/>
            <w:shd w:fill="FAFAFA" w:val="clear"/>
          </w:tcPr>
          <w:p>
            <w:r>
              <w:rPr>
                <w:b/>
                <w:sz w:val="17"/>
              </w:rPr>
              <w:t>17,292</w:t>
            </w:r>
          </w:p>
        </w:tc>
        <w:tc>
          <w:tcPr>
            <w:tcW w:type="dxa" w:w="1440"/>
            <w:shd w:fill="FAFAFA" w:val="clear"/>
          </w:tcPr>
          <w:p>
            <w:r>
              <w:rPr>
                <w:sz w:val="17"/>
              </w:rPr>
              <w:t>18,137</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2026-09-15</w:t>
            </w:r>
          </w:p>
        </w:tc>
        <w:tc>
          <w:tcPr>
            <w:tcW w:type="dxa" w:w="1440"/>
            <w:shd w:fill="FAFAFA" w:val="clear"/>
          </w:tcPr>
          <w:p>
            <w:r>
              <w:rPr>
                <w:sz w:val="17"/>
              </w:rPr>
              <w:t>16,325</w:t>
            </w:r>
          </w:p>
        </w:tc>
        <w:tc>
          <w:tcPr>
            <w:tcW w:type="dxa" w:w="1440"/>
            <w:shd w:fill="FAFAFA" w:val="clear"/>
          </w:tcPr>
          <w:p>
            <w:r>
              <w:rPr>
                <w:b/>
                <w:sz w:val="17"/>
              </w:rPr>
              <w:t>17,267</w:t>
            </w:r>
          </w:p>
        </w:tc>
        <w:tc>
          <w:tcPr>
            <w:tcW w:type="dxa" w:w="1440"/>
            <w:shd w:fill="FAFAFA" w:val="clear"/>
          </w:tcPr>
          <w:p>
            <w:r>
              <w:rPr>
                <w:sz w:val="17"/>
              </w:rPr>
              <w:t>18,210</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2026-09-16</w:t>
            </w:r>
          </w:p>
        </w:tc>
        <w:tc>
          <w:tcPr>
            <w:tcW w:type="dxa" w:w="1440"/>
            <w:shd w:fill="FAFAFA" w:val="clear"/>
          </w:tcPr>
          <w:p>
            <w:r>
              <w:rPr>
                <w:sz w:val="17"/>
              </w:rPr>
              <w:t>16,211</w:t>
            </w:r>
          </w:p>
        </w:tc>
        <w:tc>
          <w:tcPr>
            <w:tcW w:type="dxa" w:w="1440"/>
            <w:shd w:fill="FAFAFA" w:val="clear"/>
          </w:tcPr>
          <w:p>
            <w:r>
              <w:rPr>
                <w:b/>
                <w:sz w:val="17"/>
              </w:rPr>
              <w:t>17,242</w:t>
            </w:r>
          </w:p>
        </w:tc>
        <w:tc>
          <w:tcPr>
            <w:tcW w:type="dxa" w:w="1440"/>
            <w:shd w:fill="FAFAFA" w:val="clear"/>
          </w:tcPr>
          <w:p>
            <w:r>
              <w:rPr>
                <w:sz w:val="17"/>
              </w:rPr>
              <w:t>18,273</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2026-09-17</w:t>
            </w:r>
          </w:p>
        </w:tc>
        <w:tc>
          <w:tcPr>
            <w:tcW w:type="dxa" w:w="1440"/>
            <w:shd w:fill="FAFAFA" w:val="clear"/>
          </w:tcPr>
          <w:p>
            <w:r>
              <w:rPr>
                <w:sz w:val="17"/>
              </w:rPr>
              <w:t>16,106</w:t>
            </w:r>
          </w:p>
        </w:tc>
        <w:tc>
          <w:tcPr>
            <w:tcW w:type="dxa" w:w="1440"/>
            <w:shd w:fill="FAFAFA" w:val="clear"/>
          </w:tcPr>
          <w:p>
            <w:r>
              <w:rPr>
                <w:b/>
                <w:sz w:val="17"/>
              </w:rPr>
              <w:t>17,218</w:t>
            </w:r>
          </w:p>
        </w:tc>
        <w:tc>
          <w:tcPr>
            <w:tcW w:type="dxa" w:w="1440"/>
            <w:shd w:fill="FAFAFA" w:val="clear"/>
          </w:tcPr>
          <w:p>
            <w:r>
              <w:rPr>
                <w:sz w:val="17"/>
              </w:rPr>
              <w:t>18,330</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2026-09-18</w:t>
            </w:r>
          </w:p>
        </w:tc>
        <w:tc>
          <w:tcPr>
            <w:tcW w:type="dxa" w:w="1440"/>
            <w:shd w:fill="FAFAFA" w:val="clear"/>
          </w:tcPr>
          <w:p>
            <w:r>
              <w:rPr>
                <w:sz w:val="17"/>
              </w:rPr>
              <w:t>16,007</w:t>
            </w:r>
          </w:p>
        </w:tc>
        <w:tc>
          <w:tcPr>
            <w:tcW w:type="dxa" w:w="1440"/>
            <w:shd w:fill="FAFAFA" w:val="clear"/>
          </w:tcPr>
          <w:p>
            <w:r>
              <w:rPr>
                <w:b/>
                <w:sz w:val="17"/>
              </w:rPr>
              <w:t>17,194</w:t>
            </w:r>
          </w:p>
        </w:tc>
        <w:tc>
          <w:tcPr>
            <w:tcW w:type="dxa" w:w="1440"/>
            <w:shd w:fill="FAFAFA" w:val="clear"/>
          </w:tcPr>
          <w:p>
            <w:r>
              <w:rPr>
                <w:sz w:val="17"/>
              </w:rPr>
              <w:t>18,381</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2026-09-21</w:t>
            </w:r>
          </w:p>
        </w:tc>
        <w:tc>
          <w:tcPr>
            <w:tcW w:type="dxa" w:w="1440"/>
            <w:shd w:fill="FAFAFA" w:val="clear"/>
          </w:tcPr>
          <w:p>
            <w:r>
              <w:rPr>
                <w:sz w:val="17"/>
              </w:rPr>
              <w:t>15,912</w:t>
            </w:r>
          </w:p>
        </w:tc>
        <w:tc>
          <w:tcPr>
            <w:tcW w:type="dxa" w:w="1440"/>
            <w:shd w:fill="FAFAFA" w:val="clear"/>
          </w:tcPr>
          <w:p>
            <w:r>
              <w:rPr>
                <w:b/>
                <w:sz w:val="17"/>
              </w:rPr>
              <w:t>17,170</w:t>
            </w:r>
          </w:p>
        </w:tc>
        <w:tc>
          <w:tcPr>
            <w:tcW w:type="dxa" w:w="1440"/>
            <w:shd w:fill="FAFAFA" w:val="clear"/>
          </w:tcPr>
          <w:p>
            <w:r>
              <w:rPr>
                <w:sz w:val="17"/>
              </w:rPr>
              <w:t>18,427</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15,822</w:t>
            </w:r>
          </w:p>
        </w:tc>
        <w:tc>
          <w:tcPr>
            <w:tcW w:type="dxa" w:w="1440"/>
            <w:shd w:fill="FFDCE0" w:val="clear"/>
          </w:tcPr>
          <w:p>
            <w:r>
              <w:rPr>
                <w:b/>
                <w:sz w:val="17"/>
              </w:rPr>
              <w:t>17,146</w:t>
            </w:r>
          </w:p>
        </w:tc>
        <w:tc>
          <w:tcPr>
            <w:tcW w:type="dxa" w:w="1440"/>
            <w:shd w:fill="FFDCE0" w:val="clear"/>
          </w:tcPr>
          <w:p>
            <w:r>
              <w:rPr>
                <w:sz w:val="17"/>
              </w:rPr>
              <w:t>18,470</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963,39 milliards FCFA, ce qui en fait l'une des plus importantes capitalisations de la BRVM, reflétant son statut de leader bancaire régional. Le BPA de 1 153 FCFA indique que chaque action a généré un bénéfice substantiel sur l'exercice. Le PER de 15,2x se situe nettement au-dessus de la moyenne historique de la BRVM (8-12x), signalant que le marché intègre déjà une prime de croissance et de qualité. Le P/B de 4,41x est particulièrement exigeant, valorisant fortement les capitaux propres de la banque. Enfin, l'EV/EBITDA de 14,7x, dans la fourchette haute de la zone 10-15x, confirme une valorisation élevée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solide de +12,04%, avec une séance stable à la dernière journée (+0,00%). Le titre a évolué dans un range de 15 520 FCFA (plus bas) à 17 725 FCFA (plus haut), démontrant une dynamique haussière soutenue. La moyenne (16 406 FCFA) est légèrement supérieure à la médiane (16 300 FCFA), et le skewness positif de 0,614 indique que le cours a passé plus de temps sous sa moyenne, avec des poussées haussières marquées. L'écart-type de 447 FCFA (CV=2,7%) révèle une dispersion relativement faible autour de la moyenne, tandis que le kurtosis de 0,243 (mésokurtique) suggère une distribution proche de la normale, sans risque de pics extrêmes. La volatilité annualisée de 27,7% classe le titre dans la catégorie modérée (15-30%), offrant un équilibre entre potentiel de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(17 500 FCFA) se positionne nettement au-dessus de la MM20 (16 759,75 FCFA) et de la MM50 (16 495,7 FCFA), confirmant une tendance haussière de court et moyen terme. La configuration des MM, avec la MM20 au-dessus de la MM50, valide la dynamique positive et justifie la décision d'ACHAT.</w:t>
      </w:r>
    </w:p>
    <w:p>
      <w:pPr>
        <w:spacing w:after="120" w:line="276" w:lineRule="auto"/>
      </w:pPr>
      <w:r>
        <w:t>**Bandes de Bollinger** : Le prix se situe à 17 500 FCFA, proche de la borne supérieure (17 872,79 FCFA), indiquant une pression acheteuse soutenue. La largeur des bandes (borne inférieure à 15 646,71 FCFA) reflète une volatilité modérée. La position du prix dans la partie haute des bandes suggère une tendance forte, mais la décision NEUTRE appelle à la prudence en cas de contact avec la borne supérieure.</w:t>
      </w:r>
    </w:p>
    <w:p>
      <w:pPr>
        <w:spacing w:after="120" w:line="276" w:lineRule="auto"/>
      </w:pPr>
      <w:r>
        <w:t>**MACD** : La valeur du MACD (319,615) est nettement supérieure à son signal (223,025), confirmant un momentum haussier robuste. L'écart positif entre les deux lignes indique une accélération de la tendance haussière, justifiant la décision d'ACHAT.</w:t>
      </w:r>
    </w:p>
    <w:p>
      <w:pPr>
        <w:spacing w:after="120" w:line="276" w:lineRule="auto"/>
      </w:pPr>
      <w:r>
        <w:t>**RSI** : À 60,659, le RSI se situe en zone neutre (30-70), sans signal de surachat ni de survente. Cette valeur reflète un équilibre entre acheteurs et vendeurs, avec un biais légèrement positif, justifiant la décision NEUTRE.</w:t>
      </w:r>
    </w:p>
    <w:p>
      <w:pPr>
        <w:spacing w:after="120" w:line="276" w:lineRule="auto"/>
      </w:pPr>
      <w:r>
        <w:t>**Stochastique** : Le %K (81,633) et le %D (87,755) sont tous deux en zone de surachat (&gt;80), signalant une possible correction à court terme. Le %D étant supérieur au %K, la configuration suggère un essoufflement potentiel du mouvement haussier, justifiant la décision de VENTE.</w:t>
      </w:r>
    </w:p>
    <w:p>
      <w:pPr>
        <w:spacing w:after="120" w:line="276" w:lineRule="auto"/>
      </w:pPr>
      <w:r>
        <w:t>**Conclusion technique** : La majorité des indicateurs (MM, MACD) confirment une tendance haussière solide, mais le Stochastique en surachat et le RSI neutre signalent un risque de consolidation à court terme. Le titre semble bien positionné pour poursuivre sa progression après une éventuelle phase de respiration.</w:t>
      </w:r>
    </w:p>
    <w:p>
      <w:pPr>
        <w:spacing w:after="120" w:line="276" w:lineRule="auto"/>
      </w:pPr>
      <w:r>
        <w:t>---</w:t>
      </w:r>
    </w:p>
    <w:p>
      <w:pPr>
        <w:spacing w:after="120" w:line="276" w:lineRule="auto"/>
      </w:pPr>
      <w:r>
        <w:t>### PARTIE 3 : ANALYSE FONDAMENTALE (SECTION CRITIQUE)</w:t>
      </w:r>
    </w:p>
    <w:p>
      <w:pPr>
        <w:spacing w:after="120" w:line="276" w:lineRule="auto"/>
      </w:pPr>
      <w:r>
        <w:t>En 2025, Ecobank Côte d'Ivoire affiche des performances financières exceptionnelles. Le Produit Net Bancaire s'établit à 132,725 milliards FCFA, en croissance de 8,5% par rapport à 2024, porté par une marge nette d'intérêts dynamique. Le résultat net atteint 63,482 milliards FCFA, avec une marge nette de 47,8% et un ROE remarquable de 29,04%, témoignant d'une excellente rentabilité des fonds propres. Le coefficient d'exploitation de 42,9% démontre une efficacité opérationnelle de premier ordre, tandis que le coût du risque modéré (1,36%) reflète une bonne qualité du portefeuille de crédits. Les dépôts clientèle (1 626,223 milliards FCFA) excèdent largement les créances sur la clientèle (1 050,803 milliards FCFA), indiquant une transformation saine. Les rapports trimestriels 2025 confirment cette dynamique : le T3 2025 (PNB de 96,4 milliards FCFA, +11,3% et résultat net de 44,4 milliards FCFA, +15,4%) et le rapport annuel 2024 (résultat net de 57,5 milliards FCFA, +19,6%) montrent une trajectoire ascendante continue. Le rapport T1 2026 (résultat net de 13,0 milliards FCFA, -1,6%) suggère un léger ralentissement, mais la banque maintient un ROE de 23% et un coefficient d'exploitation de 45,7%. Sur la base de ces tendances, on estime que l'exercice 2026 pourrait voir un PNB proche de 140 milliards FCFA et un résultat net autour de 65 milliards FCFA, confirmant la solidité du modèle économique.</w:t>
      </w:r>
    </w:p>
    <w:p>
      <w:pPr>
        <w:spacing w:after="120" w:line="276" w:lineRule="auto"/>
      </w:pPr>
      <w:r>
        <w:t>---</w:t>
      </w:r>
    </w:p>
    <w:p>
      <w:pPr>
        <w:spacing w:after="120" w:line="276" w:lineRule="auto"/>
      </w:pPr>
      <w:r>
        <w:t>### PARTIE 4 : CONCLUSION D'INVESTISSEMENT</w:t>
      </w:r>
    </w:p>
    <w:p>
      <w:pPr>
        <w:spacing w:after="120" w:line="276" w:lineRule="auto"/>
      </w:pPr>
      <w:r>
        <w:t>La valorisation d'ECOC (PER 15,2x, P/B 4,41x) est exigeante mais justifiée par la qualité supérieure de ses fondamentaux. Le comportement du cours (+12% sur 100 jours, volatilité modérée de 27,7%) reflète une confiance croissante des investisseurs, appuyée par des statistiques favorables. Les signaux techniques sont majoritairement haussiers (MM, MACD), malgré un Stochastique en surachat suggérant une consolidation à court terme. Les fondamentaux exceptionnels (ROE de 29%, coefficient d'exploitation de 42,9%, croissance soutenue du PNB) confirment la solidité de la banque. Les prédictions IA (17 379 FCFA à J+1, puis 17 267 FCFA à J+10) indiquent une légère correction technique après la forte progression récente, mais sans remettre en cause la tendance de fond. La convergence entre la qualité fondamentale, la tendance technique positive et les perspectives de croissance soutenue justifie une recommandation **ACHAT** pour les investisseurs à moyen et long terme, avec un niveau de confiance **Élevé** et un risque global **Moyen**. L'horizon optimal est de 6 à 12 mois pour bénéficier pleinement de la dynamique de croissance et des éventuelles baisses à court terme comme points d'entrée.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1,506,124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+118.75%</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37.68% (Élevée) — μ=48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β=2.6756 (Très agressif) — Cov=0.000097, Var(idx)=0.000036, ρ=0.391,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1,506,124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σ_j=4.11%/j (Modérée) — Vol. annualisée≈65.2%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782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782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61</w:t>
            </w:r>
          </w:p>
        </w:tc>
        <w:tc>
          <w:tcPr>
            <w:tcW w:type="dxa" w:w="1440"/>
            <w:shd w:fill="FFDCE0" w:val="clear"/>
          </w:tcPr>
          <w:p>
            <w:r>
              <w:rPr>
                <w:b/>
                <w:sz w:val="17"/>
              </w:rPr>
              <w:t>65</w:t>
            </w:r>
          </w:p>
        </w:tc>
        <w:tc>
          <w:tcPr>
            <w:tcW w:type="dxa" w:w="1440"/>
            <w:shd w:fill="FFDCE0" w:val="clear"/>
          </w:tcPr>
          <w:p>
            <w:r>
              <w:rPr>
                <w:sz w:val="17"/>
              </w:rPr>
              <w:t>69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55</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50</w:t>
            </w:r>
          </w:p>
        </w:tc>
        <w:tc>
          <w:tcPr>
            <w:tcW w:type="dxa" w:w="1440"/>
            <w:shd w:fill="FFDCE0" w:val="clear"/>
          </w:tcPr>
          <w:p>
            <w:r>
              <w:rPr>
                <w:b/>
                <w:sz w:val="17"/>
              </w:rPr>
              <w:t>55</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45</w:t>
            </w:r>
          </w:p>
        </w:tc>
        <w:tc>
          <w:tcPr>
            <w:tcW w:type="dxa" w:w="1440"/>
            <w:shd w:fill="FFDCE0" w:val="clear"/>
          </w:tcPr>
          <w:p>
            <w:r>
              <w:rPr>
                <w:b/>
                <w:sz w:val="17"/>
              </w:rPr>
              <w:t>51</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41</w:t>
            </w:r>
          </w:p>
        </w:tc>
        <w:tc>
          <w:tcPr>
            <w:tcW w:type="dxa" w:w="1440"/>
            <w:shd w:fill="FFDCE0" w:val="clear"/>
          </w:tcPr>
          <w:p>
            <w:r>
              <w:rPr>
                <w:b/>
                <w:sz w:val="17"/>
              </w:rPr>
              <w:t>47</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28</w:t>
            </w:r>
          </w:p>
        </w:tc>
        <w:tc>
          <w:tcPr>
            <w:tcW w:type="dxa" w:w="1440"/>
            <w:shd w:fill="FFDCE0" w:val="clear"/>
          </w:tcPr>
          <w:p>
            <w:r>
              <w:rPr>
                <w:b/>
                <w:sz w:val="17"/>
              </w:rPr>
              <w:t>35</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26</w:t>
            </w:r>
          </w:p>
        </w:tc>
        <w:tc>
          <w:tcPr>
            <w:tcW w:type="dxa" w:w="1440"/>
            <w:shd w:fill="FFDCE0" w:val="clear"/>
          </w:tcPr>
          <w:p>
            <w:r>
              <w:rPr>
                <w:b/>
                <w:sz w:val="17"/>
              </w:rPr>
              <w:t>32</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de l'analyse : 08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1 265,89 milliards FCFA, ce qui en fait l'une des plus importantes capitalisations de la BRVM, reflétant son statut de banque panafricaine de premier plan. Avec un BPA de 19 FCFA, le titre se négocie à un PER de 3,7x, très inférieur à la moyenne du marché BRVM (8-12x), ce qui suggère une sous-évaluation significative du titre par rapport à ses bénéfices. Le P/B de 0,79x indique que le marché valorise la société en dessous de sa valeur comptable, offrant une décote de plus de 20% sur l'actif net, une situation qui pourrait attirer les investisseurs value. Enfin, l'EV/EBITDA de 5,1x se situe dans une fourchette raisonnable, indiquant que la valeur totale de l'entreprise (dette incluse) reste modérée par rapport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connu une progression spectaculaire de +118,75%, passant d'un plus bas de 26 FCFA à un plus haut de 78 FCFA, avant de clôturer à 70 FCFA, en léger repli de -1,41% sur la dernière séance. Cette tendance fortement haussière s'accompagne d'une moyenne de 48 FCFA et d'une médiane de 38 FCFA, l'écart entre ces deux valeurs indiquant une distribution asymétrique vers le haut, confirmée par un skewness positif de 0,219. L'écart-type de 18 FCFA (CV=37,9%) révèle une dispersion importante des prix, tandis que le kurtosis de -1,774 (platykurtique) suggère une distribution aplatie avec peu de valeurs extrêmes, malgré la forte amplitude du range. La volatilité annualisée de 65,2% est extrêmement élevée, plaçant ce titre parmi les plus risqués de la cote, ce qui nécessite une grande prudence pour les investisseurs non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70 FCFA se positionne au-dessus de la MM20 (67,4 FCFA) et de la MM50 (64,44 FCFA), confirmant une dynamique haussière à court et moyen terme. La configuration des moyennes mobiles (MM20 &gt; MM50) valide la tendance haussière en place, justifiant la décision d'ACHAT.</w:t>
      </w:r>
    </w:p>
    <w:p>
      <w:pPr>
        <w:spacing w:after="120" w:line="276" w:lineRule="auto"/>
      </w:pPr>
      <w:r>
        <w:t>**Bandes de Bollinger** : Le cours se situe près de la borne supérieure (71,206 FCFA) et nettement au-dessus de la borne inférieure (63,594 FCFA), indiquant une volatilité élevée. La position proche de la borne supérieure suggère une possible suracheter à court terme, mais sans signal de retournement majeur, d'où la décision NEUTRE.</w:t>
      </w:r>
    </w:p>
    <w:p>
      <w:pPr>
        <w:spacing w:after="120" w:line="276" w:lineRule="auto"/>
      </w:pPr>
      <w:r>
        <w:t>**MACD** : La valeur du MACD (1,665) est supérieure à son signal (1,584), indiquant un momentum haussier positif. L'écart positif entre le MACD et son signal confirme la poursuite de la tendance haussière, justifiant la décision d'ACHAT.</w:t>
      </w:r>
    </w:p>
    <w:p>
      <w:pPr>
        <w:spacing w:after="120" w:line="276" w:lineRule="auto"/>
      </w:pPr>
      <w:r>
        <w:t>**RSI** : À 57,143, le RSI se situe dans la zone neutre (30-70), indiquant un équilibre entre les forces acheteuses et vendeuses. Cette valeur ne signale ni surachat ni survente, laissant place à une évolution indécise, d'où la décision NEUTRE.</w:t>
      </w:r>
    </w:p>
    <w:p>
      <w:pPr>
        <w:spacing w:after="120" w:line="276" w:lineRule="auto"/>
      </w:pPr>
      <w:r>
        <w:t>**Stochastique** : Le %K (83,333) est inférieur au %D (94,444), indiquant un croisement baissier potentiel. Les deux valeurs étant dans la zone de surachat (&gt;80), ce signal suggère un possible retournement à court terme, justifiant la décision de VENTE.</w:t>
      </w:r>
    </w:p>
    <w:p>
      <w:pPr>
        <w:spacing w:after="120" w:line="276" w:lineRule="auto"/>
      </w:pPr>
      <w:r>
        <w:t>**Conclusion technique** : Les indicateurs de tendance (MM, MACD) sont positifs, mais les oscillateurs de momentum (RSI, Stochastique) montrent des signes de fatigue, avec le Stochastique en zone de surachat. Cette divergence entre les indicateurs de tendance et de momentum suggère une possible consolidation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font état d'un Produit Net Bancaire (PNB) de 1 424,261 milliards FCFA, en croissance de +12,45%, et d'un résultat net de 345,523 milliards FCFA, démontrant une excellente performance opérationnelle. Le ROE de 21,62% et le ROA de 1,80% confirment une rentabilité solide, supérieure aux normes du secteur bancaire. Le coefficient d'exploitation de 27,35% témoigne d'une efficacité opérationnelle remarquable, bien en dessous du seuil de 60% considéré comme sain. Le coût du risque de 18,97% reste élevé, signalant un risque de crédit significatif, mais les dépôts clientèle (14 120,139 milliards FCFA) couvrent largement les créances sur la clientèle (6 570,385 milliards FCFA), assurant une liquidité confortable. **Les rapports semestriels 2026** (datés du 30 juin 2026) confirment cette dynamique avec un PNB en hausse de +15% à 721,318 milliards FCFA et un résultat net consolidé de 166,682 milliards FCFA (+6%), malgré une hausse de +40% du coût du risque. **Sur la base du rapport T1 2026** (PNB +23% à 636,2 millions $EU), on estime que l'exercice 2026 pourrait dépasser les performances de 2025, avec un PNB annuel potentiel de plus de 1 500 milliards FCFA. La solidité financière du groupe, sa diversification géographique dans 35 pays africains et sa stratégie de transformation digitale (partenariat avec Google Cloud) constituent des atouts majeurs pour la croissance future.</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convergence remarquable entre les différents signaux. La valorisation (PER de 3,7x, P/B de 0,79x) indique une sous-évaluation manifeste du titre, tandis que la tendance haussière du cours (+118,75% sur 100 jours) confirme l'intérêt croissant des investisseurs. Les fondamentaux solides (ROE de 21,62%, coefficient d'exploitation de 27,35%) et les perspectives de croissance soutenue pour 2026 renforcent cette dynamique positive. Cependant, les signaux techniques mitigés (Stochastique en surachat, RSI neutre) et les prédictions IA suggérant une correction à court terme (65 FCFA à J+1, 47 FCFA à J+10) appellent à la prudence. La forte volatilité (65,2%) et le coût du risque élevé constituent des risques à surveiller. **Recommandation finale : ACHAT** pour les investisseurs à moyen-long terme, avec un niveau de confiance MOYEN et un risque global ÉLEVÉ. L'horizon d'investissement optimal serait de 3 à 12 mois, en attendant une éventuelle correction pour renforcer les positions.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4,019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B40000"/>
                <w:sz w:val="17"/>
              </w:rPr>
              <w:t>-5.41%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μ=2,140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β=0.5464 (Défensif) — Cov=0.000020, Var(idx)=0.000036, ρ=0.148,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2,039</w:t>
            </w:r>
          </w:p>
        </w:tc>
        <w:tc>
          <w:tcPr>
            <w:tcW w:type="dxa" w:w="1440"/>
            <w:shd w:fill="FAFAFA" w:val="clear"/>
          </w:tcPr>
          <w:p>
            <w:r>
              <w:rPr>
                <w:b/>
                <w:sz w:val="17"/>
              </w:rPr>
              <w:t>2,113</w:t>
            </w:r>
          </w:p>
        </w:tc>
        <w:tc>
          <w:tcPr>
            <w:tcW w:type="dxa" w:w="1440"/>
            <w:shd w:fill="FAFAFA" w:val="clear"/>
          </w:tcPr>
          <w:p>
            <w:r>
              <w:rPr>
                <w:sz w:val="17"/>
              </w:rPr>
              <w:t>2,187</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2026-09-10</w:t>
            </w:r>
          </w:p>
        </w:tc>
        <w:tc>
          <w:tcPr>
            <w:tcW w:type="dxa" w:w="1440"/>
            <w:shd w:fill="FAFAFA" w:val="clear"/>
          </w:tcPr>
          <w:p>
            <w:r>
              <w:rPr>
                <w:sz w:val="17"/>
              </w:rPr>
              <w:t>2,018</w:t>
            </w:r>
          </w:p>
        </w:tc>
        <w:tc>
          <w:tcPr>
            <w:tcW w:type="dxa" w:w="1440"/>
            <w:shd w:fill="FAFAFA" w:val="clear"/>
          </w:tcPr>
          <w:p>
            <w:r>
              <w:rPr>
                <w:b/>
                <w:sz w:val="17"/>
              </w:rPr>
              <w:t>2,123</w:t>
            </w:r>
          </w:p>
        </w:tc>
        <w:tc>
          <w:tcPr>
            <w:tcW w:type="dxa" w:w="1440"/>
            <w:shd w:fill="FAFAFA" w:val="clear"/>
          </w:tcPr>
          <w:p>
            <w:r>
              <w:rPr>
                <w:sz w:val="17"/>
              </w:rPr>
              <w:t>2,228</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2026-09-11</w:t>
            </w:r>
          </w:p>
        </w:tc>
        <w:tc>
          <w:tcPr>
            <w:tcW w:type="dxa" w:w="1440"/>
            <w:shd w:fill="FAFAFA" w:val="clear"/>
          </w:tcPr>
          <w:p>
            <w:r>
              <w:rPr>
                <w:sz w:val="17"/>
              </w:rPr>
              <w:t>2,004</w:t>
            </w:r>
          </w:p>
        </w:tc>
        <w:tc>
          <w:tcPr>
            <w:tcW w:type="dxa" w:w="1440"/>
            <w:shd w:fill="FAFAFA" w:val="clear"/>
          </w:tcPr>
          <w:p>
            <w:r>
              <w:rPr>
                <w:b/>
                <w:sz w:val="17"/>
              </w:rPr>
              <w:t>2,133</w:t>
            </w:r>
          </w:p>
        </w:tc>
        <w:tc>
          <w:tcPr>
            <w:tcW w:type="dxa" w:w="1440"/>
            <w:shd w:fill="FAFAFA" w:val="clear"/>
          </w:tcPr>
          <w:p>
            <w:r>
              <w:rPr>
                <w:sz w:val="17"/>
              </w:rPr>
              <w:t>2,263</w:t>
            </w:r>
          </w:p>
        </w:tc>
        <w:tc>
          <w:tcPr>
            <w:tcW w:type="dxa" w:w="1440"/>
            <w:shd w:fill="FAFAFA" w:val="clear"/>
          </w:tcPr>
          <w:p>
            <w:r>
              <w:rPr>
                <w:b/>
                <w:color w:val="008000"/>
                <w:sz w:val="17"/>
              </w:rPr>
              <w:t>+1.6%</w:t>
            </w:r>
          </w:p>
        </w:tc>
      </w:tr>
      <w:tr>
        <w:tc>
          <w:tcPr>
            <w:tcW w:type="dxa" w:w="1440"/>
            <w:shd w:fill="C6EFCE" w:val="clear"/>
          </w:tcPr>
          <w:p>
            <w:r>
              <w:rPr>
                <w:sz w:val="17"/>
              </w:rPr>
              <w:t>J+4  ⭐</w:t>
            </w:r>
          </w:p>
        </w:tc>
        <w:tc>
          <w:tcPr>
            <w:tcW w:type="dxa" w:w="1440"/>
            <w:shd w:fill="C6EFCE" w:val="clear"/>
          </w:tcPr>
          <w:p>
            <w:r>
              <w:rPr>
                <w:sz w:val="17"/>
              </w:rPr>
              <w:t>2026-09-14</w:t>
            </w:r>
          </w:p>
        </w:tc>
        <w:tc>
          <w:tcPr>
            <w:tcW w:type="dxa" w:w="1440"/>
            <w:shd w:fill="C6EFCE" w:val="clear"/>
          </w:tcPr>
          <w:p>
            <w:r>
              <w:rPr>
                <w:sz w:val="17"/>
              </w:rPr>
              <w:t>1,993</w:t>
            </w:r>
          </w:p>
        </w:tc>
        <w:tc>
          <w:tcPr>
            <w:tcW w:type="dxa" w:w="1440"/>
            <w:shd w:fill="C6EFCE" w:val="clear"/>
          </w:tcPr>
          <w:p>
            <w:r>
              <w:rPr>
                <w:b/>
                <w:sz w:val="17"/>
              </w:rPr>
              <w:t>2,144</w:t>
            </w:r>
          </w:p>
        </w:tc>
        <w:tc>
          <w:tcPr>
            <w:tcW w:type="dxa" w:w="1440"/>
            <w:shd w:fill="C6EFCE" w:val="clear"/>
          </w:tcPr>
          <w:p>
            <w:r>
              <w:rPr>
                <w:sz w:val="17"/>
              </w:rPr>
              <w:t>2,294</w:t>
            </w:r>
          </w:p>
        </w:tc>
        <w:tc>
          <w:tcPr>
            <w:tcW w:type="dxa" w:w="1440"/>
            <w:shd w:fill="C6EFCE" w:val="clear"/>
          </w:tcPr>
          <w:p>
            <w:r>
              <w:rPr>
                <w:b/>
                <w:color w:val="008000"/>
                <w:sz w:val="17"/>
              </w:rPr>
              <w:t>+2.1%</w:t>
            </w:r>
          </w:p>
        </w:tc>
      </w:tr>
      <w:tr>
        <w:tc>
          <w:tcPr>
            <w:tcW w:type="dxa" w:w="1440"/>
            <w:shd w:fill="C6EFCE" w:val="clear"/>
          </w:tcPr>
          <w:p>
            <w:r>
              <w:rPr>
                <w:sz w:val="17"/>
              </w:rPr>
              <w:t>J+5  ⭐</w:t>
            </w:r>
          </w:p>
        </w:tc>
        <w:tc>
          <w:tcPr>
            <w:tcW w:type="dxa" w:w="1440"/>
            <w:shd w:fill="C6EFCE" w:val="clear"/>
          </w:tcPr>
          <w:p>
            <w:r>
              <w:rPr>
                <w:sz w:val="17"/>
              </w:rPr>
              <w:t>2026-09-15</w:t>
            </w:r>
          </w:p>
        </w:tc>
        <w:tc>
          <w:tcPr>
            <w:tcW w:type="dxa" w:w="1440"/>
            <w:shd w:fill="C6EFCE" w:val="clear"/>
          </w:tcPr>
          <w:p>
            <w:r>
              <w:rPr>
                <w:sz w:val="17"/>
              </w:rPr>
              <w:t>1,985</w:t>
            </w:r>
          </w:p>
        </w:tc>
        <w:tc>
          <w:tcPr>
            <w:tcW w:type="dxa" w:w="1440"/>
            <w:shd w:fill="C6EFCE" w:val="clear"/>
          </w:tcPr>
          <w:p>
            <w:r>
              <w:rPr>
                <w:b/>
                <w:sz w:val="17"/>
              </w:rPr>
              <w:t>2,153</w:t>
            </w:r>
          </w:p>
        </w:tc>
        <w:tc>
          <w:tcPr>
            <w:tcW w:type="dxa" w:w="1440"/>
            <w:shd w:fill="C6EFCE" w:val="clear"/>
          </w:tcPr>
          <w:p>
            <w:r>
              <w:rPr>
                <w:sz w:val="17"/>
              </w:rPr>
              <w:t>2,322</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2026-09-16</w:t>
            </w:r>
          </w:p>
        </w:tc>
        <w:tc>
          <w:tcPr>
            <w:tcW w:type="dxa" w:w="1440"/>
            <w:shd w:fill="C6EFCE" w:val="clear"/>
          </w:tcPr>
          <w:p>
            <w:r>
              <w:rPr>
                <w:sz w:val="17"/>
              </w:rPr>
              <w:t>1,977</w:t>
            </w:r>
          </w:p>
        </w:tc>
        <w:tc>
          <w:tcPr>
            <w:tcW w:type="dxa" w:w="1440"/>
            <w:shd w:fill="C6EFCE" w:val="clear"/>
          </w:tcPr>
          <w:p>
            <w:r>
              <w:rPr>
                <w:b/>
                <w:sz w:val="17"/>
              </w:rPr>
              <w:t>2,163</w:t>
            </w:r>
          </w:p>
        </w:tc>
        <w:tc>
          <w:tcPr>
            <w:tcW w:type="dxa" w:w="1440"/>
            <w:shd w:fill="C6EFCE" w:val="clear"/>
          </w:tcPr>
          <w:p>
            <w:r>
              <w:rPr>
                <w:sz w:val="17"/>
              </w:rPr>
              <w:t>2,349</w:t>
            </w:r>
          </w:p>
        </w:tc>
        <w:tc>
          <w:tcPr>
            <w:tcW w:type="dxa" w:w="1440"/>
            <w:shd w:fill="C6EFCE" w:val="clear"/>
          </w:tcPr>
          <w:p>
            <w:r>
              <w:rPr>
                <w:b/>
                <w:color w:val="008000"/>
                <w:sz w:val="17"/>
              </w:rPr>
              <w:t>+3.0%</w:t>
            </w:r>
          </w:p>
        </w:tc>
      </w:tr>
      <w:tr>
        <w:tc>
          <w:tcPr>
            <w:tcW w:type="dxa" w:w="1440"/>
            <w:shd w:fill="C6EFCE" w:val="clear"/>
          </w:tcPr>
          <w:p>
            <w:r>
              <w:rPr>
                <w:sz w:val="17"/>
              </w:rPr>
              <w:t>J+7  ⭐</w:t>
            </w:r>
          </w:p>
        </w:tc>
        <w:tc>
          <w:tcPr>
            <w:tcW w:type="dxa" w:w="1440"/>
            <w:shd w:fill="C6EFCE" w:val="clear"/>
          </w:tcPr>
          <w:p>
            <w:r>
              <w:rPr>
                <w:sz w:val="17"/>
              </w:rPr>
              <w:t>2026-09-17</w:t>
            </w:r>
          </w:p>
        </w:tc>
        <w:tc>
          <w:tcPr>
            <w:tcW w:type="dxa" w:w="1440"/>
            <w:shd w:fill="C6EFCE" w:val="clear"/>
          </w:tcPr>
          <w:p>
            <w:r>
              <w:rPr>
                <w:sz w:val="17"/>
              </w:rPr>
              <w:t>1,971</w:t>
            </w:r>
          </w:p>
        </w:tc>
        <w:tc>
          <w:tcPr>
            <w:tcW w:type="dxa" w:w="1440"/>
            <w:shd w:fill="C6EFCE" w:val="clear"/>
          </w:tcPr>
          <w:p>
            <w:r>
              <w:rPr>
                <w:b/>
                <w:sz w:val="17"/>
              </w:rPr>
              <w:t>2,172</w:t>
            </w:r>
          </w:p>
        </w:tc>
        <w:tc>
          <w:tcPr>
            <w:tcW w:type="dxa" w:w="1440"/>
            <w:shd w:fill="C6EFCE" w:val="clear"/>
          </w:tcPr>
          <w:p>
            <w:r>
              <w:rPr>
                <w:sz w:val="17"/>
              </w:rPr>
              <w:t>2,374</w:t>
            </w:r>
          </w:p>
        </w:tc>
        <w:tc>
          <w:tcPr>
            <w:tcW w:type="dxa" w:w="1440"/>
            <w:shd w:fill="C6EFCE" w:val="clear"/>
          </w:tcPr>
          <w:p>
            <w:r>
              <w:rPr>
                <w:b/>
                <w:color w:val="008000"/>
                <w:sz w:val="17"/>
              </w:rPr>
              <w:t>+3.4%</w:t>
            </w:r>
          </w:p>
        </w:tc>
      </w:tr>
      <w:tr>
        <w:tc>
          <w:tcPr>
            <w:tcW w:type="dxa" w:w="1440"/>
            <w:shd w:fill="C6EFCE" w:val="clear"/>
          </w:tcPr>
          <w:p>
            <w:r>
              <w:rPr>
                <w:sz w:val="17"/>
              </w:rPr>
              <w:t>J+8  ⭐</w:t>
            </w:r>
          </w:p>
        </w:tc>
        <w:tc>
          <w:tcPr>
            <w:tcW w:type="dxa" w:w="1440"/>
            <w:shd w:fill="C6EFCE" w:val="clear"/>
          </w:tcPr>
          <w:p>
            <w:r>
              <w:rPr>
                <w:sz w:val="17"/>
              </w:rPr>
              <w:t>2026-09-18</w:t>
            </w:r>
          </w:p>
        </w:tc>
        <w:tc>
          <w:tcPr>
            <w:tcW w:type="dxa" w:w="1440"/>
            <w:shd w:fill="C6EFCE" w:val="clear"/>
          </w:tcPr>
          <w:p>
            <w:r>
              <w:rPr>
                <w:sz w:val="17"/>
              </w:rPr>
              <w:t>1,965</w:t>
            </w:r>
          </w:p>
        </w:tc>
        <w:tc>
          <w:tcPr>
            <w:tcW w:type="dxa" w:w="1440"/>
            <w:shd w:fill="C6EFCE" w:val="clear"/>
          </w:tcPr>
          <w:p>
            <w:r>
              <w:rPr>
                <w:b/>
                <w:sz w:val="17"/>
              </w:rPr>
              <w:t>2,182</w:t>
            </w:r>
          </w:p>
        </w:tc>
        <w:tc>
          <w:tcPr>
            <w:tcW w:type="dxa" w:w="1440"/>
            <w:shd w:fill="C6EFCE" w:val="clear"/>
          </w:tcPr>
          <w:p>
            <w:r>
              <w:rPr>
                <w:sz w:val="17"/>
              </w:rPr>
              <w:t>2,398</w:t>
            </w:r>
          </w:p>
        </w:tc>
        <w:tc>
          <w:tcPr>
            <w:tcW w:type="dxa" w:w="1440"/>
            <w:shd w:fill="C6EFCE" w:val="clear"/>
          </w:tcPr>
          <w:p>
            <w:r>
              <w:rPr>
                <w:b/>
                <w:color w:val="008000"/>
                <w:sz w:val="17"/>
              </w:rPr>
              <w:t>+3.9%</w:t>
            </w:r>
          </w:p>
        </w:tc>
      </w:tr>
      <w:tr>
        <w:tc>
          <w:tcPr>
            <w:tcW w:type="dxa" w:w="1440"/>
            <w:shd w:fill="C6EFCE" w:val="clear"/>
          </w:tcPr>
          <w:p>
            <w:r>
              <w:rPr>
                <w:sz w:val="17"/>
              </w:rPr>
              <w:t>J+9  ⭐</w:t>
            </w:r>
          </w:p>
        </w:tc>
        <w:tc>
          <w:tcPr>
            <w:tcW w:type="dxa" w:w="1440"/>
            <w:shd w:fill="C6EFCE" w:val="clear"/>
          </w:tcPr>
          <w:p>
            <w:r>
              <w:rPr>
                <w:sz w:val="17"/>
              </w:rPr>
              <w:t>2026-09-21</w:t>
            </w:r>
          </w:p>
        </w:tc>
        <w:tc>
          <w:tcPr>
            <w:tcW w:type="dxa" w:w="1440"/>
            <w:shd w:fill="C6EFCE" w:val="clear"/>
          </w:tcPr>
          <w:p>
            <w:r>
              <w:rPr>
                <w:sz w:val="17"/>
              </w:rPr>
              <w:t>1,961</w:t>
            </w:r>
          </w:p>
        </w:tc>
        <w:tc>
          <w:tcPr>
            <w:tcW w:type="dxa" w:w="1440"/>
            <w:shd w:fill="C6EFCE" w:val="clear"/>
          </w:tcPr>
          <w:p>
            <w:r>
              <w:rPr>
                <w:b/>
                <w:sz w:val="17"/>
              </w:rPr>
              <w:t>2,191</w:t>
            </w:r>
          </w:p>
        </w:tc>
        <w:tc>
          <w:tcPr>
            <w:tcW w:type="dxa" w:w="1440"/>
            <w:shd w:fill="C6EFCE" w:val="clear"/>
          </w:tcPr>
          <w:p>
            <w:r>
              <w:rPr>
                <w:sz w:val="17"/>
              </w:rPr>
              <w:t>2,421</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2026-09-22</w:t>
            </w:r>
          </w:p>
        </w:tc>
        <w:tc>
          <w:tcPr>
            <w:tcW w:type="dxa" w:w="1440"/>
            <w:shd w:fill="C6EFCE" w:val="clear"/>
          </w:tcPr>
          <w:p>
            <w:r>
              <w:rPr>
                <w:sz w:val="17"/>
              </w:rPr>
              <w:t>1,957</w:t>
            </w:r>
          </w:p>
        </w:tc>
        <w:tc>
          <w:tcPr>
            <w:tcW w:type="dxa" w:w="1440"/>
            <w:shd w:fill="C6EFCE" w:val="clear"/>
          </w:tcPr>
          <w:p>
            <w:r>
              <w:rPr>
                <w:b/>
                <w:sz w:val="17"/>
              </w:rPr>
              <w:t>2,200</w:t>
            </w:r>
          </w:p>
        </w:tc>
        <w:tc>
          <w:tcPr>
            <w:tcW w:type="dxa" w:w="1440"/>
            <w:shd w:fill="C6EFCE" w:val="clear"/>
          </w:tcPr>
          <w:p>
            <w:r>
              <w:rPr>
                <w:sz w:val="17"/>
              </w:rPr>
              <w:t>2,444</w:t>
            </w:r>
          </w:p>
        </w:tc>
        <w:tc>
          <w:tcPr>
            <w:tcW w:type="dxa" w:w="1440"/>
            <w:shd w:fill="C6EFCE" w:val="clear"/>
          </w:tcPr>
          <w:p>
            <w:r>
              <w:rPr>
                <w:b/>
                <w:color w:val="008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29,62 milliards FCFA, un niveau modeste qui la classe parmi les valeurs de taille moyenne sur la BRVM. Le BPA de 33 FCFA par action est faible, ce qui explique un PER de 63,6x, extrêmement élevé au regard de la moyenne historique du marché régional (8-12x). Les investisseurs paient donc un prix très cher pour chaque franc de bénéfice généré, signe d'une valorisation exigeante qui laisse peu de place à l'erreur. Le P/B de 1,89x indique que le marché valorise la société à près du double de sa valeur comptable, ce qui est plus raisonnable mais reflète encore une prime. Enfin, l'EV/EBITDA de 37,6x est très élevé (supérieur à 15x), confirmant que la valeur totale de l'entreprise (dette incluse) est très onéreuse par rapport à sa capacité opérationnelle brute. Ces ratios suggèrent une surévaluation relative, surtout si la rentabilité ne s'améliore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variation totale de -5,41%, avec une baisse de -1,41% lors de la dernière séance, montrant une pression vendeuse persistante. Le cours a évolué dans un range de 1 910 FCFA (plus bas) à 2 430 FCFA (plus haut), avec un cours actuel de 2 100 FCFA, proche du bas de la fourchette. La moyenne sur la période est de 2 140 FCFA, légèrement supérieure à la médiane de 2 160 FCFA, indiquant une distribution quasi symétrique, confirmée par un skewness de -0,005. L'écart-type de 128 FCFA (CV=6,0%) révèle une dispersion relativement faible des prix autour de la moyenne. Le kurtosis de -0,905 (mésokurtique) suggère l'absence de mouvements extrêmes ou de pics de volatilité soudains. La volatilité annualisée de 35,1% est élevée (&gt;30%), ce qui classe FTSC comme un titre risqué à court terme, malgré une distribution des rendements qui semble normale.</w:t>
      </w:r>
    </w:p>
    <w:p>
      <w:pPr>
        <w:spacing w:after="120" w:line="276" w:lineRule="auto"/>
      </w:pPr>
      <w:r>
        <w:t>---</w:t>
      </w:r>
    </w:p>
    <w:p>
      <w:pPr>
        <w:spacing w:after="120" w:line="276" w:lineRule="auto"/>
      </w:pPr>
      <w:r>
        <w:t>### PARTIE 2 : ANALYSE TECHNIQUE DÉTAILLÉE</w:t>
      </w:r>
    </w:p>
    <w:p>
      <w:pPr>
        <w:spacing w:after="120" w:line="276" w:lineRule="auto"/>
      </w:pPr>
      <w:r>
        <w:t>**Moyennes Mobiles :** La MM20 (2 155,5 FCFA) est supérieure à la MM50 (2 054,4 FCFA), et le cours actuel (2 100 FCFA) se situe entre ces deux niveaux, mais au-dessus de la MM50. Cette configuration indique une tendance de fond positive à moyen terme, d'où un signal d'**Achat**, bien que le cours doive repasser au-dessus de la MM20 pour confirmer la dynamique haussière.</w:t>
      </w:r>
    </w:p>
    <w:p>
      <w:pPr>
        <w:spacing w:after="120" w:line="276" w:lineRule="auto"/>
      </w:pPr>
      <w:r>
        <w:t>**Bandes de Bollinger :** Le prix actuel (2 100 FCFA) est très proche de la borne inférieure (2 098 FCFA), indiquant que le titre est temporairement survendu. La largeur des bandes suggère une volatilité modérée. La décision est **Neutre**, car le cours n'a pas encore rebondi de manière décisive sur ce support technique.</w:t>
      </w:r>
    </w:p>
    <w:p>
      <w:pPr>
        <w:spacing w:after="120" w:line="276" w:lineRule="auto"/>
      </w:pPr>
      <w:r>
        <w:t>**MACD :** La ligne MACD (18,07) est passée sous sa ligne de signal (26,52), ce qui génère un croisement baissier. Ce signal de **Vente** indique un affaiblissement du momentum haussier à court terme, malgré des valeurs encore positives qui montrent que la dynamique globale n'est pas totalement négative.</w:t>
      </w:r>
    </w:p>
    <w:p>
      <w:pPr>
        <w:spacing w:after="120" w:line="276" w:lineRule="auto"/>
      </w:pPr>
      <w:r>
        <w:t>**RSI :** Le RSI à 47,06 est en zone neutre (entre 30 et 70), sans signal de surachat ni de survente. Cela reflète une absence de direction claire, la décision est donc **Neutre**. Le marché attend un catalyseur pour orienter le titre.</w:t>
      </w:r>
    </w:p>
    <w:p>
      <w:pPr>
        <w:spacing w:after="120" w:line="276" w:lineRule="auto"/>
      </w:pPr>
      <w:r>
        <w:t>**Stochastique :** Le %K (11,11) est très bas et nettement inférieur au %D (40,74), ce qui place le titre en zone de survente profonde. Ce croisement baissier suggère un potentiel de rebond technique, d'où un signal d'**Achat** pour les investisseurs à court terme.</w:t>
      </w:r>
    </w:p>
    <w:p>
      <w:pPr>
        <w:spacing w:after="120" w:line="276" w:lineRule="auto"/>
      </w:pPr>
      <w:r>
        <w:t>**Conclusion technique :** Les signaux sont mitigés. Les moyennes mobiles et le stochastique plaident pour un rebond, tandis que le MACD reste vendeur et le RSI neutre. La proximité de la borne inférieure de Bollinger renforce l'idée d'un support solide. La tendance générale est latérale avec un biais baissier à court terme, mais un potentiel de correction technique haussière existe.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FILTISAC CI a réalisé un chiffre d'affaires de 32,109 milliards FCFA, en hausse de 4,6%, mais son résultat net s'effondre à 465,98 millions FCFA (marge nette de 1,45%), contre 18,6 milliards en 2024, année marquée par des produits exceptionnels de cession. Le ROE ressort à 2,97% et le ROA à 1,19%, des niveaux très faibles. La structure financière s'est dégradée : la trésorerie nette est fortement négative (-11,5 milliards FCFA) après le versement de dividendes massifs, et les capitaux propres ont chuté à 15,7 milliards FCFA. Le BFR de 11,5 milliards FCFA est préoccupant, avec un délai de paiement clients de 213 jours, très élevé, et une durée de stockage de 214 jours, immobilisant le capital. Les rapports trimestriels 2025 (T1, S1, T3) confirment une amélioration opérationnelle progressive mais un résultat net déficitaire hors éléments exceptionnels. Le rapport du T3 2025 (30/09/2025) indique un résultat courant avant impôt de -216 millions FCFA. Cependant, le rapport du T1 2026 (publié en 2026) montre un net redressement : le chiffre d'affaires bondit de 55% à 8,9 milliards FCFA, porté par la demande de cacao, et le résultat d'exploitation redevient positif à 75 millions FCFA. On estime que l'exercice 2026 pourrait voir une amélioration significative de la rentabilité opérationnelle, mais le résultat net reste fragile (-154 millions FCFA au T1 2026). La société dépend fortement de la campagne cacaoyère et fait face à des risques d'approvisionnement en jute.</w:t>
      </w:r>
    </w:p>
    <w:p>
      <w:pPr>
        <w:spacing w:after="120" w:line="276" w:lineRule="auto"/>
      </w:pPr>
      <w:r>
        <w:t>---</w:t>
      </w:r>
    </w:p>
    <w:p>
      <w:pPr>
        <w:spacing w:after="120" w:line="276" w:lineRule="auto"/>
      </w:pPr>
      <w:r>
        <w:t>### PARTIE 4 : CONCLUSION D'INVESTISSEMENT</w:t>
      </w:r>
    </w:p>
    <w:p>
      <w:pPr>
        <w:spacing w:after="120" w:line="276" w:lineRule="auto"/>
      </w:pPr>
      <w:r>
        <w:t>La valorisation de FTSC est très exigeante (PER de 63,6x, EV/EBITDA de 37,6x) et ne se justifie pas par les fondamentaux actuels, marqués par une rentabilité faible (ROE &lt; 3%) et une trésorerie négative. Le comportement du cours sur 100 jours est baissier (-5,41%), avec une volatilité élevée (35,1%), mais une distribution des prix stable. Les signaux techniques sont divergents : un potentiel de rebond (stochastique, MM) contre un momentum baissier (MACD). Les fondamentaux montrent une amélioration opérationnelle au T1 2026 (CA +55%), mais le résultat net reste déficitaire. Les prédictions IA (2 113 à 2 153 FCFA sur 10 jours) suggèrent une légère hausse, contredisant la faiblesse technique récente mais confirmant un possible rebond technique. En synthèse, la valeur est surévaluée à court terme, mais le redressement opérationnel et la demande soutenue de cacao offrent des perspectives à moyen terme. **Recommandation : CONSERVER.** La convergence est faible entre une valorisation chère, des signaux techniques mitigés et des fondamentaux en amélioration. **Niveau de confiance : Moyen. Risque global : Élevé.** Horizon d'investissement optimal : **Moyen terme (3-12 mois)**, en attendant une confirmation de la rentabilité sur l'exercice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82.00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4,354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+6.36%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12.5/100 → Faible</w:t>
      </w:r>
    </w:p>
    <w:p>
      <w:pPr>
        <w:spacing w:before="40" w:after="80"/>
      </w:pPr>
      <w:r>
        <w:rPr>
          <w:rFonts w:ascii="Courier New" w:hAnsi="Courier New"/>
          <w:color w:val="006400"/>
          <w:sz w:val="18"/>
        </w:rPr>
        <w:t>██░░░░░░░░░░░░░░░░░░  12.5/100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4.86% (Faible) — μ=4,063 FCFA, σ=197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β=-0.0071 (Contre-cyclique) — Cov=-0.000000, Var(idx)=0.000036, ρ=-0.002,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50/100  (Moyen)</w:t>
      </w:r>
    </w:p>
    <w:p/>
    <w:p>
      <w:pPr>
        <w:jc w:val="center"/>
      </w:pPr>
      <w:r>
        <w:drawing>
          <wp:inline xmlns:a="http://schemas.openxmlformats.org/drawingml/2006/main" xmlns:pic="http://schemas.openxmlformats.org/drawingml/2006/picture">
            <wp:extent cx="5669280" cy="26169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3,829</w:t>
            </w:r>
          </w:p>
        </w:tc>
        <w:tc>
          <w:tcPr>
            <w:tcW w:type="dxa" w:w="1440"/>
            <w:shd w:fill="FFDCE0" w:val="clear"/>
          </w:tcPr>
          <w:p>
            <w:r>
              <w:rPr>
                <w:b/>
                <w:sz w:val="17"/>
              </w:rPr>
              <w:t>3,999</w:t>
            </w:r>
          </w:p>
        </w:tc>
        <w:tc>
          <w:tcPr>
            <w:tcW w:type="dxa" w:w="1440"/>
            <w:shd w:fill="FFDCE0" w:val="clear"/>
          </w:tcPr>
          <w:p>
            <w:r>
              <w:rPr>
                <w:sz w:val="17"/>
              </w:rPr>
              <w:t>4,169</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3,772</w:t>
            </w:r>
          </w:p>
        </w:tc>
        <w:tc>
          <w:tcPr>
            <w:tcW w:type="dxa" w:w="1440"/>
            <w:shd w:fill="FFDCE0" w:val="clear"/>
          </w:tcPr>
          <w:p>
            <w:r>
              <w:rPr>
                <w:b/>
                <w:sz w:val="17"/>
              </w:rPr>
              <w:t>4,013</w:t>
            </w:r>
          </w:p>
        </w:tc>
        <w:tc>
          <w:tcPr>
            <w:tcW w:type="dxa" w:w="1440"/>
            <w:shd w:fill="FFDCE0" w:val="clear"/>
          </w:tcPr>
          <w:p>
            <w:r>
              <w:rPr>
                <w:sz w:val="17"/>
              </w:rPr>
              <w:t>4,255</w:t>
            </w:r>
          </w:p>
        </w:tc>
        <w:tc>
          <w:tcPr>
            <w:tcW w:type="dxa" w:w="1440"/>
            <w:shd w:fill="FFDCE0" w:val="clear"/>
          </w:tcPr>
          <w:p>
            <w:r>
              <w:rPr>
                <w:b/>
                <w:color w:val="C00000"/>
                <w:sz w:val="17"/>
              </w:rPr>
              <w:t>-2.1%</w:t>
            </w:r>
          </w:p>
        </w:tc>
      </w:tr>
      <w:tr>
        <w:tc>
          <w:tcPr>
            <w:tcW w:type="dxa" w:w="1440"/>
            <w:shd w:fill="FAFAFA" w:val="clear"/>
          </w:tcPr>
          <w:p>
            <w:r>
              <w:rPr>
                <w:sz w:val="17"/>
              </w:rPr>
              <w:t>J+3  Moyenne</w:t>
            </w:r>
          </w:p>
        </w:tc>
        <w:tc>
          <w:tcPr>
            <w:tcW w:type="dxa" w:w="1440"/>
            <w:shd w:fill="FAFAFA" w:val="clear"/>
          </w:tcPr>
          <w:p>
            <w:r>
              <w:rPr>
                <w:sz w:val="17"/>
              </w:rPr>
              <w:t>2026-09-11</w:t>
            </w:r>
          </w:p>
        </w:tc>
        <w:tc>
          <w:tcPr>
            <w:tcW w:type="dxa" w:w="1440"/>
            <w:shd w:fill="FAFAFA" w:val="clear"/>
          </w:tcPr>
          <w:p>
            <w:r>
              <w:rPr>
                <w:sz w:val="17"/>
              </w:rPr>
              <w:t>3,730</w:t>
            </w:r>
          </w:p>
        </w:tc>
        <w:tc>
          <w:tcPr>
            <w:tcW w:type="dxa" w:w="1440"/>
            <w:shd w:fill="FAFAFA" w:val="clear"/>
          </w:tcPr>
          <w:p>
            <w:r>
              <w:rPr>
                <w:b/>
                <w:sz w:val="17"/>
              </w:rPr>
              <w:t>4,027</w:t>
            </w:r>
          </w:p>
        </w:tc>
        <w:tc>
          <w:tcPr>
            <w:tcW w:type="dxa" w:w="1440"/>
            <w:shd w:fill="FAFAFA" w:val="clear"/>
          </w:tcPr>
          <w:p>
            <w:r>
              <w:rPr>
                <w:sz w:val="17"/>
              </w:rPr>
              <w:t>4,324</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2026-09-14</w:t>
            </w:r>
          </w:p>
        </w:tc>
        <w:tc>
          <w:tcPr>
            <w:tcW w:type="dxa" w:w="1440"/>
            <w:shd w:fill="FAFAFA" w:val="clear"/>
          </w:tcPr>
          <w:p>
            <w:r>
              <w:rPr>
                <w:sz w:val="17"/>
              </w:rPr>
              <w:t>3,693</w:t>
            </w:r>
          </w:p>
        </w:tc>
        <w:tc>
          <w:tcPr>
            <w:tcW w:type="dxa" w:w="1440"/>
            <w:shd w:fill="FAFAFA" w:val="clear"/>
          </w:tcPr>
          <w:p>
            <w:r>
              <w:rPr>
                <w:b/>
                <w:sz w:val="17"/>
              </w:rPr>
              <w:t>4,037</w:t>
            </w:r>
          </w:p>
        </w:tc>
        <w:tc>
          <w:tcPr>
            <w:tcW w:type="dxa" w:w="1440"/>
            <w:shd w:fill="FAFAFA" w:val="clear"/>
          </w:tcPr>
          <w:p>
            <w:r>
              <w:rPr>
                <w:sz w:val="17"/>
              </w:rPr>
              <w:t>4,381</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2026-09-15</w:t>
            </w:r>
          </w:p>
        </w:tc>
        <w:tc>
          <w:tcPr>
            <w:tcW w:type="dxa" w:w="1440"/>
            <w:shd w:fill="FAFAFA" w:val="clear"/>
          </w:tcPr>
          <w:p>
            <w:r>
              <w:rPr>
                <w:sz w:val="17"/>
              </w:rPr>
              <w:t>3,654</w:t>
            </w:r>
          </w:p>
        </w:tc>
        <w:tc>
          <w:tcPr>
            <w:tcW w:type="dxa" w:w="1440"/>
            <w:shd w:fill="FAFAFA" w:val="clear"/>
          </w:tcPr>
          <w:p>
            <w:r>
              <w:rPr>
                <w:b/>
                <w:sz w:val="17"/>
              </w:rPr>
              <w:t>4,039</w:t>
            </w:r>
          </w:p>
        </w:tc>
        <w:tc>
          <w:tcPr>
            <w:tcW w:type="dxa" w:w="1440"/>
            <w:shd w:fill="FAFAFA" w:val="clear"/>
          </w:tcPr>
          <w:p>
            <w:r>
              <w:rPr>
                <w:sz w:val="17"/>
              </w:rPr>
              <w:t>4,423</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2026-09-16</w:t>
            </w:r>
          </w:p>
        </w:tc>
        <w:tc>
          <w:tcPr>
            <w:tcW w:type="dxa" w:w="1440"/>
            <w:shd w:fill="FAFAFA" w:val="clear"/>
          </w:tcPr>
          <w:p>
            <w:r>
              <w:rPr>
                <w:sz w:val="17"/>
              </w:rPr>
              <w:t>3,621</w:t>
            </w:r>
          </w:p>
        </w:tc>
        <w:tc>
          <w:tcPr>
            <w:tcW w:type="dxa" w:w="1440"/>
            <w:shd w:fill="FAFAFA" w:val="clear"/>
          </w:tcPr>
          <w:p>
            <w:r>
              <w:rPr>
                <w:b/>
                <w:sz w:val="17"/>
              </w:rPr>
              <w:t>4,042</w:t>
            </w:r>
          </w:p>
        </w:tc>
        <w:tc>
          <w:tcPr>
            <w:tcW w:type="dxa" w:w="1440"/>
            <w:shd w:fill="FAFAFA" w:val="clear"/>
          </w:tcPr>
          <w:p>
            <w:r>
              <w:rPr>
                <w:sz w:val="17"/>
              </w:rPr>
              <w:t>4,464</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2026-09-17</w:t>
            </w:r>
          </w:p>
        </w:tc>
        <w:tc>
          <w:tcPr>
            <w:tcW w:type="dxa" w:w="1440"/>
            <w:shd w:fill="FAFAFA" w:val="clear"/>
          </w:tcPr>
          <w:p>
            <w:r>
              <w:rPr>
                <w:sz w:val="17"/>
              </w:rPr>
              <w:t>3,602</w:t>
            </w:r>
          </w:p>
        </w:tc>
        <w:tc>
          <w:tcPr>
            <w:tcW w:type="dxa" w:w="1440"/>
            <w:shd w:fill="FAFAFA" w:val="clear"/>
          </w:tcPr>
          <w:p>
            <w:r>
              <w:rPr>
                <w:b/>
                <w:sz w:val="17"/>
              </w:rPr>
              <w:t>4,059</w:t>
            </w:r>
          </w:p>
        </w:tc>
        <w:tc>
          <w:tcPr>
            <w:tcW w:type="dxa" w:w="1440"/>
            <w:shd w:fill="FAFAFA" w:val="clear"/>
          </w:tcPr>
          <w:p>
            <w:r>
              <w:rPr>
                <w:sz w:val="17"/>
              </w:rPr>
              <w:t>4,516</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2026-09-18</w:t>
            </w:r>
          </w:p>
        </w:tc>
        <w:tc>
          <w:tcPr>
            <w:tcW w:type="dxa" w:w="1440"/>
            <w:shd w:fill="FAFAFA" w:val="clear"/>
          </w:tcPr>
          <w:p>
            <w:r>
              <w:rPr>
                <w:sz w:val="17"/>
              </w:rPr>
              <w:t>3,592</w:t>
            </w:r>
          </w:p>
        </w:tc>
        <w:tc>
          <w:tcPr>
            <w:tcW w:type="dxa" w:w="1440"/>
            <w:shd w:fill="FAFAFA" w:val="clear"/>
          </w:tcPr>
          <w:p>
            <w:r>
              <w:rPr>
                <w:b/>
                <w:sz w:val="17"/>
              </w:rPr>
              <w:t>4,083</w:t>
            </w:r>
          </w:p>
        </w:tc>
        <w:tc>
          <w:tcPr>
            <w:tcW w:type="dxa" w:w="1440"/>
            <w:shd w:fill="FAFAFA" w:val="clear"/>
          </w:tcPr>
          <w:p>
            <w:r>
              <w:rPr>
                <w:sz w:val="17"/>
              </w:rPr>
              <w:t>4,575</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2026-09-21</w:t>
            </w:r>
          </w:p>
        </w:tc>
        <w:tc>
          <w:tcPr>
            <w:tcW w:type="dxa" w:w="1440"/>
            <w:shd w:fill="FAFAFA" w:val="clear"/>
          </w:tcPr>
          <w:p>
            <w:r>
              <w:rPr>
                <w:sz w:val="17"/>
              </w:rPr>
              <w:t>3,590</w:t>
            </w:r>
          </w:p>
        </w:tc>
        <w:tc>
          <w:tcPr>
            <w:tcW w:type="dxa" w:w="1440"/>
            <w:shd w:fill="FAFAFA" w:val="clear"/>
          </w:tcPr>
          <w:p>
            <w:r>
              <w:rPr>
                <w:b/>
                <w:sz w:val="17"/>
              </w:rPr>
              <w:t>4,115</w:t>
            </w:r>
          </w:p>
        </w:tc>
        <w:tc>
          <w:tcPr>
            <w:tcW w:type="dxa" w:w="1440"/>
            <w:shd w:fill="FAFAFA" w:val="clear"/>
          </w:tcPr>
          <w:p>
            <w:r>
              <w:rPr>
                <w:sz w:val="17"/>
              </w:rPr>
              <w:t>4,640</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2026-09-22</w:t>
            </w:r>
          </w:p>
        </w:tc>
        <w:tc>
          <w:tcPr>
            <w:tcW w:type="dxa" w:w="1440"/>
            <w:shd w:fill="FAFAFA" w:val="clear"/>
          </w:tcPr>
          <w:p>
            <w:r>
              <w:rPr>
                <w:sz w:val="17"/>
              </w:rPr>
              <w:t>3,579</w:t>
            </w:r>
          </w:p>
        </w:tc>
        <w:tc>
          <w:tcPr>
            <w:tcW w:type="dxa" w:w="1440"/>
            <w:shd w:fill="FAFAFA" w:val="clear"/>
          </w:tcPr>
          <w:p>
            <w:r>
              <w:rPr>
                <w:b/>
                <w:sz w:val="17"/>
              </w:rPr>
              <w:t>4,135</w:t>
            </w:r>
          </w:p>
        </w:tc>
        <w:tc>
          <w:tcPr>
            <w:tcW w:type="dxa" w:w="1440"/>
            <w:shd w:fill="FAFAFA" w:val="clear"/>
          </w:tcPr>
          <w:p>
            <w:r>
              <w:rPr>
                <w:sz w:val="17"/>
              </w:rPr>
              <w:t>4,692</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82 milliards FCFA, ce qui la positionne comme une valeur de taille moyenne sur la BRVM, représentant environ 1,5% de la capitalisation totale du marché. Avec un BPA de 231 FCFA, chaque action génère un bénéfice confortable pour l'actionnaire. Le PER de 17,7x est nettement supérieur à la moyenne historique de la BRVM (8-12x), indiquant que les investisseurs paient une prime substantielle pour les bénéfices de la société — une valorisation exigeante qui reflète des attentes de croissance élevées. Le P/B de 3,74x confirme cette lecture : le marché valorise les capitaux propres à près de quatre fois leur valeur comptable, ce qui témoigne d'une prime de croissance accordée par les investisseurs. Enfin, l'EV/EBITDA de 10,4x se situe dans la fourchette haute (10-15x), signalant que la valeur totale de l'entreprise (dette incluse) reste élevée par rapport à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 enregistré une progression totale de +6,36%, avec une accélération notable lors de la dernière séance (+5,13%), portant le cours à 4 100 FCFA. Le titre a évolué dans un range de trading de 735 FCFA, oscillant entre un plus bas de 3 825 FCFA et un plus haut de 4 560 FCFA, ce qui représente une amplitude de près de 19% entre les extrêmes. La moyenne du cours sur la période (4 063 FCFA) est légèrement inférieure à la médiane (4 000 FCFA), et le mode se situe à 4 100 FCFA, indiquant une distribution avec une asymétrie positive (skewness de 0,560) : le titre a passé davantage de journées sous sa moyenne, mais les mouvements haussiers ont été plus amples. L'écart-type de 198 FCFA, avec un coefficient de variation de seulement 4,9%, révèle une dispersion relativement faible autour de la moyenne, suggérant une certaine stabilité relative du cours. Le kurtosis de -0,914 (mésokurtique) indique une distribution proche de la normale, sans risque particulier de mouvements extrêmes. La volatilité annualisée de 37,5% classe le titre dans la catégorie des valeurs à volatilité élevée (&gt;30%), ce qui implique un risque de fluctuation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4 100 FCFA se situe sous la MM20 (4 071,75 FCFA) et nettement sous la MM50 (4 215,8 FCFA), configuration baissière classique. La MM20 étant inférieure à la MM50, la tendance de fond reste négative, et le signal de vente émis par cet indicateur reflète la pression vendeuse persistante à moyen terme, malgré le rebond récent de la dernière séance.</w:t>
      </w:r>
    </w:p>
    <w:p>
      <w:pPr>
        <w:spacing w:after="120" w:line="276" w:lineRule="auto"/>
      </w:pPr>
      <w:r>
        <w:t>**Bandes de Bollinger** : Le prix évolue à l'intérieur des bandes, entre la borne inférieure (3 900,4 FCFA) et la borne supérieure (4 243,1 FCFA), avec une position légèrement au-dessus du point médian. La largeur des bandes indique une volatilité modérée, et la décision neutre suggère que le marché n'a pas encore tranché sur une direction claire, laissant place à une consolidation potentielle avant un mouvement décisif.</w:t>
      </w:r>
    </w:p>
    <w:p>
      <w:pPr>
        <w:spacing w:after="120" w:line="276" w:lineRule="auto"/>
      </w:pPr>
      <w:r>
        <w:t>**MACD** : La valeur du MACD (-55,57) est très légèrement inférieure à son signal (-54,948), avec un écart négatif minime de -0,62 point. Cette configuration, bien que baissière sur le plan formel, montre un momentum en phase de stabilisation : la convergence des deux lignes suggère que la pression vendeuse s'atténue, ce qui pourrait précéder un retournement haussier à court terme.</w:t>
      </w:r>
    </w:p>
    <w:p>
      <w:pPr>
        <w:spacing w:after="120" w:line="276" w:lineRule="auto"/>
      </w:pPr>
      <w:r>
        <w:t>**RSI** : À 47,407, le RSI se situe dans la zone neutre (30-70), sans signal directionnel fort. Cette valeur indique que le titre n'est ni suracheté ni survendu, laissant une marge de manœuvre dans les deux sens. La position proche de la zone médiane (50) reflète un équilibre entre pression acheteuse et vendeuse, cohérent avec la phase de consolidation actuelle.</w:t>
      </w:r>
    </w:p>
    <w:p>
      <w:pPr>
        <w:spacing w:after="120" w:line="276" w:lineRule="auto"/>
      </w:pPr>
      <w:r>
        <w:t>**Stochastique** : Le %K (71,429) est nettement supérieur au %D (33,069), créant un écart positif important qui signale un croisement haussier récent. Cette configuration indique que le momentum de court terme s'améliore, le %K ayant dépassé le %D à la hausse, ce qui pourrait annoncer un rebond technique dans les prochaines séances, malgré la décision neutre globale.</w:t>
      </w:r>
    </w:p>
    <w:p>
      <w:pPr>
        <w:spacing w:after="120" w:line="276" w:lineRule="auto"/>
      </w:pPr>
      <w:r>
        <w:t>**Conclusion technique** : Les indicateurs techniques présentent un tableau contrasté : les moyennes mobiles et le MACD restent baissiers, tandis que le RSI est neutre et le stochastique montre des signes de redressement. Le rebond de +5,13% de la dernière séance, combiné au croisement haussier du stochastique, suggère un potentiel de correction technique à la hausse, mais la tendance de fond demeure incertaine tant que le cours ne dépasse pas la MM50 à 4 215,8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entreprise non bancaire avec un chiffre d'affaires de 98,598 milliards FCFA, en recul de -3,85% par rapport à 2024 (102,544 milliards FCFA), et un résultat net de 4,622 milliards FCFA, en forte baisse de -35,6% par rapport aux 7,176 milliards FCFA de 2024. Cette dégradation s'explique principalement par l'absence de produits exceptionnels significatifs en 2025 (contre 3,1 milliards FCFA en 2024) et par l'intensification de la concurrence déloyale des opérateurs illégaux. La marge nette s'établit à 4,69%, tandis que le ROE atteint un niveau excellent de 21,05% et le ROA de 14,17%, témoignant d'une utilisation très efficace des capitaux propres et des actifs. La structure financière demeure robuste avec une autonomie financière de 67,32%, un ratio d'endettement très faible de 2,57%, et une trésorerie nette positive de 7,979 milliards FCFA. Les délais clients (4,82 jours) et fournisseurs (20,41 jours) sont très courts, indiquant une excellente gestion du BFR (217,45 millions FCFA). Le rapport annuel 2025 (analysé le 26 mai 2025) souligne la croissance remarquable des jeux en ligne (+18%, représentant 68,44% du CA) et l'amélioration de la valeur ajoutée (+22%) et de l'EBE (+34%). Les rapports trimestriels 2026 montrent une reprise progressive : le T1 2026 (rapport du 7 mai 2026) affiche un CA en hausse de +6% à 25,521 milliards FCFA mais un résultat net en chute de -46% à 848 millions FCFA, tandis que le S1 2026 (rapport du 1er août 2026) confirme la tendance avec un CA de 49,937 milliards FCFA (+4%) et un résultat net en progression de +60% grâce aux revenus de partenariats. Sur la base de ces données semestrielles, on estime que l'exercice 2026 pourrait voir un CA avoisiner 100-102 milliards FCFA et un résultat net en nette amélioration, potentiellement entre 5,5 et 6 milliards FCFA, si la dynamique du S2 2026 confirme celle du S1. La politique de dividende reste attractive avec un dividende brut de 173 FCFA par action proposé pour 2025, représentant un rendement d'environ 4,2% au cours actuel.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contrastée pour LNBB. La valorisation (Partie 0) apparaît exigeante avec un PER de 17,7x et un P/B de 3,74x, nettement supérieurs aux moyennes du marché BRVM, suggérant une surévaluation relative qui limite le potentiel de hausse à court terme. Le comportement du cours (Partie 1) montre une tendance globalement positive (+6,36% sur 100 jours) mais avec une volatilité élevée (37,5%) et une asymétrie positive indiquant des mouvements haussiers ponctuels plus amples. Les signaux techniques (Partie 2) sont mitigés : les moyennes mobiles et le MACD restent baissiers, mais le stochastique et le rebond récent de +5,13% suggèrent un potentiel de correction technique. Les fondamentaux (Partie 3) sont globalement solides avec un ROE de 21%, une structure financière saine et une reprise confirmée au S1 2026 (+60% du résultat net), mais la pression sur les marges liée au mix produit (pari sportif à faible marge) demeure un risque. Les prédictions IA (J+1 à J+10) prévoient une trajectoire légèrement baissière de 4 100 à 4 039 FCFA (-1,5%), contredisant partiellement le rebond technique récent. Au vu de ces éléments convergents, nous recommandons une position **CONSERVER** avec un niveau de confiance **Moyen** et un risque global **Élevé**. L'horizon d'investissement optimal serait le **moyen terme (3-12 mois)**, en attendant la confirmation des résultats annuels 2026 et l'évolution de la stratégie de rééquilibrage du mix produit vers des activités à plus forte marge.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5,113 titres</w:t>
            </w:r>
          </w:p>
        </w:tc>
        <w:tc>
          <w:tcPr>
            <w:tcW w:type="dxa" w:w="2268"/>
            <w:shd w:fill="FFF2CC" w:val="clear"/>
          </w:tcPr>
          <w:p>
            <w:r>
              <w:rPr>
                <w:b/>
                <w:color w:val="503200"/>
                <w:sz w:val="16"/>
              </w:rPr>
              <w:t xml:space="preserve">Cours actuel : </w:t>
            </w:r>
            <w:r>
              <w:rPr>
                <w:color w:val="000000"/>
                <w:sz w:val="17"/>
              </w:rPr>
              <w:t>2,840 FCFA</w:t>
            </w:r>
          </w:p>
          <w:p>
            <w:r>
              <w:rPr>
                <w:b/>
                <w:color w:val="503200"/>
                <w:sz w:val="16"/>
              </w:rPr>
              <w:t xml:space="preserve">Var. 100 jours : </w:t>
            </w:r>
            <w:r>
              <w:rPr>
                <w:b/>
                <w:color w:val="007800"/>
                <w:sz w:val="17"/>
              </w:rPr>
              <w:t>+102.86%</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17.59% (Élevée) — μ=2,142 FCFA, σ=377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β=-0.2570 (Contre-cyclique) — Cov=-0.000009, Var(idx)=0.000036, ρ=-0.046,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5,113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2,490</w:t>
            </w:r>
          </w:p>
        </w:tc>
        <w:tc>
          <w:tcPr>
            <w:tcW w:type="dxa" w:w="1440"/>
            <w:shd w:fill="FFDCE0" w:val="clear"/>
          </w:tcPr>
          <w:p>
            <w:r>
              <w:rPr>
                <w:b/>
                <w:sz w:val="17"/>
              </w:rPr>
              <w:t>2,627</w:t>
            </w:r>
          </w:p>
        </w:tc>
        <w:tc>
          <w:tcPr>
            <w:tcW w:type="dxa" w:w="1440"/>
            <w:shd w:fill="FFDCE0" w:val="clear"/>
          </w:tcPr>
          <w:p>
            <w:r>
              <w:rPr>
                <w:sz w:val="17"/>
              </w:rPr>
              <w:t>2,764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2,250</w:t>
            </w:r>
          </w:p>
        </w:tc>
        <w:tc>
          <w:tcPr>
            <w:tcW w:type="dxa" w:w="1440"/>
            <w:shd w:fill="FFDCE0" w:val="clear"/>
          </w:tcPr>
          <w:p>
            <w:r>
              <w:rPr>
                <w:b/>
                <w:sz w:val="17"/>
              </w:rPr>
              <w:t>2,430</w:t>
            </w:r>
          </w:p>
        </w:tc>
        <w:tc>
          <w:tcPr>
            <w:tcW w:type="dxa" w:w="1440"/>
            <w:shd w:fill="FFDCE0" w:val="clear"/>
          </w:tcPr>
          <w:p>
            <w:r>
              <w:rPr>
                <w:sz w:val="17"/>
              </w:rPr>
              <w:t>2,610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2,044</w:t>
            </w:r>
          </w:p>
        </w:tc>
        <w:tc>
          <w:tcPr>
            <w:tcW w:type="dxa" w:w="1440"/>
            <w:shd w:fill="FFDCE0" w:val="clear"/>
          </w:tcPr>
          <w:p>
            <w:r>
              <w:rPr>
                <w:b/>
                <w:sz w:val="17"/>
              </w:rPr>
              <w:t>2,248</w:t>
            </w:r>
          </w:p>
        </w:tc>
        <w:tc>
          <w:tcPr>
            <w:tcW w:type="dxa" w:w="1440"/>
            <w:shd w:fill="FFDCE0" w:val="clear"/>
          </w:tcPr>
          <w:p>
            <w:r>
              <w:rPr>
                <w:sz w:val="17"/>
              </w:rPr>
              <w:t>2,451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1,862</w:t>
            </w:r>
          </w:p>
        </w:tc>
        <w:tc>
          <w:tcPr>
            <w:tcW w:type="dxa" w:w="1440"/>
            <w:shd w:fill="FFDCE0" w:val="clear"/>
          </w:tcPr>
          <w:p>
            <w:r>
              <w:rPr>
                <w:b/>
                <w:sz w:val="17"/>
              </w:rPr>
              <w:t>2,079</w:t>
            </w:r>
          </w:p>
        </w:tc>
        <w:tc>
          <w:tcPr>
            <w:tcW w:type="dxa" w:w="1440"/>
            <w:shd w:fill="FFDCE0" w:val="clear"/>
          </w:tcPr>
          <w:p>
            <w:r>
              <w:rPr>
                <w:sz w:val="17"/>
              </w:rPr>
              <w:t>2,296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1,698</w:t>
            </w:r>
          </w:p>
        </w:tc>
        <w:tc>
          <w:tcPr>
            <w:tcW w:type="dxa" w:w="1440"/>
            <w:shd w:fill="FFDCE0" w:val="clear"/>
          </w:tcPr>
          <w:p>
            <w:r>
              <w:rPr>
                <w:b/>
                <w:sz w:val="17"/>
              </w:rPr>
              <w:t>1,923</w:t>
            </w:r>
          </w:p>
        </w:tc>
        <w:tc>
          <w:tcPr>
            <w:tcW w:type="dxa" w:w="1440"/>
            <w:shd w:fill="FFDCE0" w:val="clear"/>
          </w:tcPr>
          <w:p>
            <w:r>
              <w:rPr>
                <w:sz w:val="17"/>
              </w:rPr>
              <w:t>2,148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1,551</w:t>
            </w:r>
          </w:p>
        </w:tc>
        <w:tc>
          <w:tcPr>
            <w:tcW w:type="dxa" w:w="1440"/>
            <w:shd w:fill="FFDCE0" w:val="clear"/>
          </w:tcPr>
          <w:p>
            <w:r>
              <w:rPr>
                <w:b/>
                <w:sz w:val="17"/>
              </w:rPr>
              <w:t>1,779</w:t>
            </w:r>
          </w:p>
        </w:tc>
        <w:tc>
          <w:tcPr>
            <w:tcW w:type="dxa" w:w="1440"/>
            <w:shd w:fill="FFDCE0" w:val="clear"/>
          </w:tcPr>
          <w:p>
            <w:r>
              <w:rPr>
                <w:sz w:val="17"/>
              </w:rPr>
              <w:t>2,007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1,452</w:t>
            </w:r>
          </w:p>
        </w:tc>
        <w:tc>
          <w:tcPr>
            <w:tcW w:type="dxa" w:w="1440"/>
            <w:shd w:fill="FFDCE0" w:val="clear"/>
          </w:tcPr>
          <w:p>
            <w:r>
              <w:rPr>
                <w:b/>
                <w:sz w:val="17"/>
              </w:rPr>
              <w:t>1,685</w:t>
            </w:r>
          </w:p>
        </w:tc>
        <w:tc>
          <w:tcPr>
            <w:tcW w:type="dxa" w:w="1440"/>
            <w:shd w:fill="FFDCE0" w:val="clear"/>
          </w:tcPr>
          <w:p>
            <w:r>
              <w:rPr>
                <w:sz w:val="17"/>
              </w:rPr>
              <w:t>1,918</w:t>
            </w:r>
          </w:p>
        </w:tc>
        <w:tc>
          <w:tcPr>
            <w:tcW w:type="dxa" w:w="1440"/>
            <w:shd w:fill="FFDCE0" w:val="clear"/>
          </w:tcPr>
          <w:p>
            <w:r>
              <w:rPr>
                <w:b/>
                <w:color w:val="C00000"/>
                <w:sz w:val="17"/>
              </w:rPr>
              <w:t>-40.7%</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1,380</w:t>
            </w:r>
          </w:p>
        </w:tc>
        <w:tc>
          <w:tcPr>
            <w:tcW w:type="dxa" w:w="1440"/>
            <w:shd w:fill="FFDCE0" w:val="clear"/>
          </w:tcPr>
          <w:p>
            <w:r>
              <w:rPr>
                <w:b/>
                <w:sz w:val="17"/>
              </w:rPr>
              <w:t>1,620</w:t>
            </w:r>
          </w:p>
        </w:tc>
        <w:tc>
          <w:tcPr>
            <w:tcW w:type="dxa" w:w="1440"/>
            <w:shd w:fill="FFDCE0" w:val="clear"/>
          </w:tcPr>
          <w:p>
            <w:r>
              <w:rPr>
                <w:sz w:val="17"/>
              </w:rPr>
              <w:t>1,859</w:t>
            </w:r>
          </w:p>
        </w:tc>
        <w:tc>
          <w:tcPr>
            <w:tcW w:type="dxa" w:w="1440"/>
            <w:shd w:fill="FFDCE0" w:val="clear"/>
          </w:tcPr>
          <w:p>
            <w:r>
              <w:rPr>
                <w:b/>
                <w:color w:val="C00000"/>
                <w:sz w:val="17"/>
              </w:rPr>
              <w:t>-43.0%</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1,316</w:t>
            </w:r>
          </w:p>
        </w:tc>
        <w:tc>
          <w:tcPr>
            <w:tcW w:type="dxa" w:w="1440"/>
            <w:shd w:fill="FFDCE0" w:val="clear"/>
          </w:tcPr>
          <w:p>
            <w:r>
              <w:rPr>
                <w:b/>
                <w:sz w:val="17"/>
              </w:rPr>
              <w:t>1,561</w:t>
            </w:r>
          </w:p>
        </w:tc>
        <w:tc>
          <w:tcPr>
            <w:tcW w:type="dxa" w:w="1440"/>
            <w:shd w:fill="FFDCE0" w:val="clear"/>
          </w:tcPr>
          <w:p>
            <w:r>
              <w:rPr>
                <w:sz w:val="17"/>
              </w:rPr>
              <w:t>1,805</w:t>
            </w:r>
          </w:p>
        </w:tc>
        <w:tc>
          <w:tcPr>
            <w:tcW w:type="dxa" w:w="1440"/>
            <w:shd w:fill="FFDCE0" w:val="clear"/>
          </w:tcPr>
          <w:p>
            <w:r>
              <w:rPr>
                <w:b/>
                <w:color w:val="C00000"/>
                <w:sz w:val="17"/>
              </w:rPr>
              <w:t>-45.0%</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1,258</w:t>
            </w:r>
          </w:p>
        </w:tc>
        <w:tc>
          <w:tcPr>
            <w:tcW w:type="dxa" w:w="1440"/>
            <w:shd w:fill="FFDCE0" w:val="clear"/>
          </w:tcPr>
          <w:p>
            <w:r>
              <w:rPr>
                <w:b/>
                <w:sz w:val="17"/>
              </w:rPr>
              <w:t>1,507</w:t>
            </w:r>
          </w:p>
        </w:tc>
        <w:tc>
          <w:tcPr>
            <w:tcW w:type="dxa" w:w="1440"/>
            <w:shd w:fill="FFDCE0" w:val="clear"/>
          </w:tcPr>
          <w:p>
            <w:r>
              <w:rPr>
                <w:sz w:val="17"/>
              </w:rPr>
              <w:t>1,756</w:t>
            </w:r>
          </w:p>
        </w:tc>
        <w:tc>
          <w:tcPr>
            <w:tcW w:type="dxa" w:w="1440"/>
            <w:shd w:fill="FFDCE0" w:val="clear"/>
          </w:tcPr>
          <w:p>
            <w:r>
              <w:rPr>
                <w:b/>
                <w:color w:val="C00000"/>
                <w:sz w:val="17"/>
              </w:rPr>
              <w:t>-46.9%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36,25 milliards FCFA, un niveau modeste qui la classe parmi les valeurs moyennes de la cote BRVM. Avec un BPA de 160 FCFA, le PER de 17,8x se situe nettement au-dessus de la moyenne historique de la place (~8-12x), indiquant que les investisseurs paient une prime significative pour les bénéfices de la société. Cette prime est confirmée par le P/B de 6,30x, qui valorise le titre plus de six fois sa valeur comptable, traduisant des attentes de croissance élevées. L'EV/EBITDA de 26,9x apparaît également très exigeant, signalant que la valeur d'entreprise intègre une forte anticipation de performance opérationnelle future. Ces ratios suggèrent une valorisation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NEIC a enregistré une progression spectaculaire de +102,86%, passant d'un plus bas de 1 370 FCFA à un plus haut de 3 000 FCFA, avant de clôturer à 2 840 FCFA, en repli de 4,70% lors de la dernière séance. La moyenne de 2 142 FCFA est inférieure à la médiane de 2 188 FCFA, suggérant une distribution légèrement asymétrique avec des valeurs extrêmes à la hausse. L'écart-type de 379 FCFA (CV=17,7%) indique une dispersion modérée des cours autour de la moyenne. Le kurtosis de 0,547 (mésokurtique) et le skewness de 0,219 confirment une distribution proche de la normale, sans risque de pics excessifs. La volatilité annualisée de 54,0% classe le titre dans la catégorie des valeurs à très forte volatilité, reflétant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2 840 FCFA se positionne nettement au-dessus de la MM20 (2 600,5 FCFA) et de la MM50 (2 378,7 FCFA), confirmant une tendance haussière solide à court et moyen terme. La configuration des moyennes mobiles, avec le cours au-dessus des deux, génère un signal d'achat cohérent avec la dynamique positive du titre.</w:t>
      </w:r>
    </w:p>
    <w:p>
      <w:pPr>
        <w:spacing w:after="120" w:line="276" w:lineRule="auto"/>
      </w:pPr>
      <w:r>
        <w:t>**Bandes de Bollinger** : Le cours évolue entre la borne inférieure (1 891,87 FCFA) et la borne supérieure (3 309,13 FCFA), se situant dans la partie haute de l'enveloppe. La position actuelle à 2 840 FCFA, en dessous de la borne supérieure, indique une volatilité normale sans extension excessive. La décision neutre reflète l'absence de signal directionnel fort malgré la proximité de la borne haute.</w:t>
      </w:r>
    </w:p>
    <w:p>
      <w:pPr>
        <w:spacing w:after="120" w:line="276" w:lineRule="auto"/>
      </w:pPr>
      <w:r>
        <w:t>**MACD** : La valeur du MACD (196,394) est supérieure à son signal (169,125), confirmant un momentum haussier toujours actif. L'écart positif entre les deux lignes indique une dynamique de tendance favorable, bien que la marge se réduise légèrement, suggérant un possible essoufflement à surveiller. La décision d'achat reste valide tant que le MACD demeure au-dessus de son signal.</w:t>
      </w:r>
    </w:p>
    <w:p>
      <w:pPr>
        <w:spacing w:after="120" w:line="276" w:lineRule="auto"/>
      </w:pPr>
      <w:r>
        <w:t>**RSI** : Avec une valeur de 83,0, le RSI se trouve en zone de surachat prononcé (au-delà de 70), signalant une pression acheteuse excessive à court terme. Cette configuration suggère un risque élevé de correction technique, car le titre est statistiquement surévalué à court terme. La décision de vente est justifiée par ce niveau extrême.</w:t>
      </w:r>
    </w:p>
    <w:p>
      <w:pPr>
        <w:spacing w:after="120" w:line="276" w:lineRule="auto"/>
      </w:pPr>
      <w:r>
        <w:t>**Stochastique** : Le %K (80,124) est inférieur au %D (92,562), indiquant un croisement baissier potentiel en zone de surachat. Cette configuration, avec les deux lignes au-dessus de 80, renforce le signal de vente émis par l'indicateur, suggérant une possible phase de consolidation ou de correction à venir.</w:t>
      </w:r>
    </w:p>
    <w:p>
      <w:pPr>
        <w:spacing w:after="120" w:line="276" w:lineRule="auto"/>
      </w:pPr>
      <w:r>
        <w:t>**Conclusion technique** : Les indicateurs de tendance (MM, MACD) restent positifs, mais les oscillateurs de momentum (RSI, Stochastique) signalent tous deux une situation de surachat extrême. Cette divergence entre tendance et momentum suggère qu'une correction technique est probable à court terme, bien que la tendance de fond demeure haussière.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avec un chiffre d'affaires de 5,139 milliards FCFA et un résultat net de 2,037 milliards FCFA, représentant une marge nette de 39,6%. La rentabilité est excellente avec un ROE de 35,4% et un ROA de 27,3%, largement au-dessus des seuils de référence de 15%. La structure financière est saine avec une autonomie financière de 77% et une trésorerie nette de 4,196 milliards FCFA. Cependant, le taux de croissance du CA de -23,8% et le délai clients élevé de 154,7 jours constituent des points de vigilance. Le rapport du 3ème trimestre 2025 (daté du 30/09/2025) révèle un CA en baisse de 35% à 3,406 milliards FCFA, mais un bénéfice net de 1,596 milliards FCFA porté par une reprise de provision exceptionnelle. Le rapport du 1er trimestre 2025 (31/03/2025) montrait une perte de -189,9 millions FCFA sur un CA de seulement 48,5 millions FCFA. Le rapport 2026 (T1) indique une croissance du CA de +137% à 115,1 millions FCFA avec une perte réduite à -168,9 millions FCFA. On estime que l'exercice 2026 devrait confirmer le redressement commercial amorcé, mais la performance récurrente reste fragile et dépendante des éléments exceptionnels.</w:t>
      </w:r>
    </w:p>
    <w:p>
      <w:pPr>
        <w:spacing w:after="120" w:line="276" w:lineRule="auto" w:before="240"/>
      </w:pPr>
      <w:r>
        <w:rPr>
          <w:b/>
          <w:color w:val="003366"/>
          <w:sz w:val="24"/>
        </w:rPr>
        <w:t>**PARTIE 4 : CONCLUSION D'INVESTISSEMENT**</w:t>
      </w:r>
    </w:p>
    <w:p>
      <w:pPr>
        <w:spacing w:after="120" w:line="276" w:lineRule="auto"/>
      </w:pPr>
      <w:r>
        <w:t>La valorisation de NEIC apparaît exigeante avec un PER de 17,8x et un P/B de 6,30x, nettement supérieurs aux moyennes BRVM, indiquant une surévaluation relative malgré des fondamentaux solides. Le comportement du cours montre une tendance haussière spectaculaire de +102,86% sur 100 jours, mais la volatilité élevée (54%) et les signaux de surachat technique (RSI à 83, Stochastique à 92,5) suggèrent un risque élevé de correction à court terme. Les fondamentaux 2025 sont excellents en termes de rentabilité (ROE 35,4%), mais masquent une baisse du chiffre d'affaires de -23,8% et une dépendance aux éléments exceptionnels. Les prédictions IA (J+1 à J+10) confirment ce scénario de correction avec une trajectoire baissière de 2 627 FCFA à 1 923 FCFA, soit une baisse potentielle de 32%. La convergence entre les signaux techniques de surachat, la valorisation exigeante et les prédictions IA conduit à une recommandation de **VENTE** à court terme, avec un niveau de confiance **Moyen** et un risque global **Élevé**. L'horizon d'investissement optimal serait de moyen terme (3-12 mois) après une phase de correction, pour réévaluer le titre sur des bases plus saines.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2,449 titres</w:t>
            </w:r>
          </w:p>
        </w:tc>
        <w:tc>
          <w:tcPr>
            <w:tcW w:type="dxa" w:w="2268"/>
            <w:shd w:fill="FFF2CC" w:val="clear"/>
          </w:tcPr>
          <w:p>
            <w:r>
              <w:rPr>
                <w:b/>
                <w:color w:val="503200"/>
                <w:sz w:val="16"/>
              </w:rPr>
              <w:t xml:space="preserve">Cours actuel : </w:t>
            </w:r>
            <w:r>
              <w:rPr>
                <w:color w:val="000000"/>
                <w:sz w:val="17"/>
              </w:rPr>
              <w:t>24,500 FCFA</w:t>
            </w:r>
          </w:p>
          <w:p>
            <w:r>
              <w:rPr>
                <w:b/>
                <w:color w:val="503200"/>
                <w:sz w:val="16"/>
              </w:rPr>
              <w:t xml:space="preserve">Var. 100 jours : </w:t>
            </w:r>
            <w:r>
              <w:rPr>
                <w:b/>
                <w:color w:val="007800"/>
                <w:sz w:val="17"/>
              </w:rPr>
              <w:t>+73.76%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17.93% (Élevée) — μ=19,606 FCFA, σ=3,515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β=1.2201 (Agressif) — Cov=0.000044, Var(idx)=0.000036, ρ=0.295,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598627"/>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24,290</w:t>
            </w:r>
          </w:p>
        </w:tc>
        <w:tc>
          <w:tcPr>
            <w:tcW w:type="dxa" w:w="1440"/>
            <w:shd w:fill="FAFAFA" w:val="clear"/>
          </w:tcPr>
          <w:p>
            <w:r>
              <w:rPr>
                <w:b/>
                <w:sz w:val="17"/>
              </w:rPr>
              <w:t>24,984</w:t>
            </w:r>
          </w:p>
        </w:tc>
        <w:tc>
          <w:tcPr>
            <w:tcW w:type="dxa" w:w="1440"/>
            <w:shd w:fill="FAFAFA" w:val="clear"/>
          </w:tcPr>
          <w:p>
            <w:r>
              <w:rPr>
                <w:sz w:val="17"/>
              </w:rPr>
              <w:t>25,678</w:t>
            </w:r>
          </w:p>
        </w:tc>
        <w:tc>
          <w:tcPr>
            <w:tcW w:type="dxa" w:w="1440"/>
            <w:shd w:fill="FAFAFA"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2026-09-10</w:t>
            </w:r>
          </w:p>
        </w:tc>
        <w:tc>
          <w:tcPr>
            <w:tcW w:type="dxa" w:w="1440"/>
            <w:shd w:fill="C6EFCE" w:val="clear"/>
          </w:tcPr>
          <w:p>
            <w:r>
              <w:rPr>
                <w:sz w:val="17"/>
              </w:rPr>
              <w:t>24,357</w:t>
            </w:r>
          </w:p>
        </w:tc>
        <w:tc>
          <w:tcPr>
            <w:tcW w:type="dxa" w:w="1440"/>
            <w:shd w:fill="C6EFCE" w:val="clear"/>
          </w:tcPr>
          <w:p>
            <w:r>
              <w:rPr>
                <w:b/>
                <w:sz w:val="17"/>
              </w:rPr>
              <w:t>25,353</w:t>
            </w:r>
          </w:p>
        </w:tc>
        <w:tc>
          <w:tcPr>
            <w:tcW w:type="dxa" w:w="1440"/>
            <w:shd w:fill="C6EFCE" w:val="clear"/>
          </w:tcPr>
          <w:p>
            <w:r>
              <w:rPr>
                <w:sz w:val="17"/>
              </w:rPr>
              <w:t>26,349</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2026-09-11</w:t>
            </w:r>
          </w:p>
        </w:tc>
        <w:tc>
          <w:tcPr>
            <w:tcW w:type="dxa" w:w="1440"/>
            <w:shd w:fill="C6EFCE" w:val="clear"/>
          </w:tcPr>
          <w:p>
            <w:r>
              <w:rPr>
                <w:sz w:val="17"/>
              </w:rPr>
              <w:t>24,505</w:t>
            </w:r>
          </w:p>
        </w:tc>
        <w:tc>
          <w:tcPr>
            <w:tcW w:type="dxa" w:w="1440"/>
            <w:shd w:fill="C6EFCE" w:val="clear"/>
          </w:tcPr>
          <w:p>
            <w:r>
              <w:rPr>
                <w:b/>
                <w:sz w:val="17"/>
              </w:rPr>
              <w:t>25,743</w:t>
            </w:r>
          </w:p>
        </w:tc>
        <w:tc>
          <w:tcPr>
            <w:tcW w:type="dxa" w:w="1440"/>
            <w:shd w:fill="C6EFCE" w:val="clear"/>
          </w:tcPr>
          <w:p>
            <w:r>
              <w:rPr>
                <w:sz w:val="17"/>
              </w:rPr>
              <w:t>26,981</w:t>
            </w:r>
          </w:p>
        </w:tc>
        <w:tc>
          <w:tcPr>
            <w:tcW w:type="dxa" w:w="1440"/>
            <w:shd w:fill="C6EFCE" w:val="clear"/>
          </w:tcPr>
          <w:p>
            <w:r>
              <w:rPr>
                <w:b/>
                <w:color w:val="008000"/>
                <w:sz w:val="17"/>
              </w:rPr>
              <w:t>+5.1%</w:t>
            </w:r>
          </w:p>
        </w:tc>
      </w:tr>
      <w:tr>
        <w:tc>
          <w:tcPr>
            <w:tcW w:type="dxa" w:w="1440"/>
            <w:shd w:fill="C6EFCE" w:val="clear"/>
          </w:tcPr>
          <w:p>
            <w:r>
              <w:rPr>
                <w:sz w:val="17"/>
              </w:rPr>
              <w:t>J+4  Moyenne</w:t>
            </w:r>
          </w:p>
        </w:tc>
        <w:tc>
          <w:tcPr>
            <w:tcW w:type="dxa" w:w="1440"/>
            <w:shd w:fill="C6EFCE" w:val="clear"/>
          </w:tcPr>
          <w:p>
            <w:r>
              <w:rPr>
                <w:sz w:val="17"/>
              </w:rPr>
              <w:t>2026-09-14</w:t>
            </w:r>
          </w:p>
        </w:tc>
        <w:tc>
          <w:tcPr>
            <w:tcW w:type="dxa" w:w="1440"/>
            <w:shd w:fill="C6EFCE" w:val="clear"/>
          </w:tcPr>
          <w:p>
            <w:r>
              <w:rPr>
                <w:sz w:val="17"/>
              </w:rPr>
              <w:t>24,676</w:t>
            </w:r>
          </w:p>
        </w:tc>
        <w:tc>
          <w:tcPr>
            <w:tcW w:type="dxa" w:w="1440"/>
            <w:shd w:fill="C6EFCE" w:val="clear"/>
          </w:tcPr>
          <w:p>
            <w:r>
              <w:rPr>
                <w:b/>
                <w:sz w:val="17"/>
              </w:rPr>
              <w:t>26,127</w:t>
            </w:r>
          </w:p>
        </w:tc>
        <w:tc>
          <w:tcPr>
            <w:tcW w:type="dxa" w:w="1440"/>
            <w:shd w:fill="C6EFCE" w:val="clear"/>
          </w:tcPr>
          <w:p>
            <w:r>
              <w:rPr>
                <w:sz w:val="17"/>
              </w:rPr>
              <w:t>27,578</w:t>
            </w:r>
          </w:p>
        </w:tc>
        <w:tc>
          <w:tcPr>
            <w:tcW w:type="dxa" w:w="1440"/>
            <w:shd w:fill="C6EFCE" w:val="clear"/>
          </w:tcPr>
          <w:p>
            <w:r>
              <w:rPr>
                <w:b/>
                <w:color w:val="008000"/>
                <w:sz w:val="17"/>
              </w:rPr>
              <w:t>+6.6%</w:t>
            </w:r>
          </w:p>
        </w:tc>
      </w:tr>
      <w:tr>
        <w:tc>
          <w:tcPr>
            <w:tcW w:type="dxa" w:w="1440"/>
            <w:shd w:fill="C6EFCE" w:val="clear"/>
          </w:tcPr>
          <w:p>
            <w:r>
              <w:rPr>
                <w:sz w:val="17"/>
              </w:rPr>
              <w:t>J+5  Moyenne</w:t>
            </w:r>
          </w:p>
        </w:tc>
        <w:tc>
          <w:tcPr>
            <w:tcW w:type="dxa" w:w="1440"/>
            <w:shd w:fill="C6EFCE" w:val="clear"/>
          </w:tcPr>
          <w:p>
            <w:r>
              <w:rPr>
                <w:sz w:val="17"/>
              </w:rPr>
              <w:t>2026-09-15</w:t>
            </w:r>
          </w:p>
        </w:tc>
        <w:tc>
          <w:tcPr>
            <w:tcW w:type="dxa" w:w="1440"/>
            <w:shd w:fill="C6EFCE" w:val="clear"/>
          </w:tcPr>
          <w:p>
            <w:r>
              <w:rPr>
                <w:sz w:val="17"/>
              </w:rPr>
              <w:t>24,865</w:t>
            </w:r>
          </w:p>
        </w:tc>
        <w:tc>
          <w:tcPr>
            <w:tcW w:type="dxa" w:w="1440"/>
            <w:shd w:fill="C6EFCE" w:val="clear"/>
          </w:tcPr>
          <w:p>
            <w:r>
              <w:rPr>
                <w:b/>
                <w:sz w:val="17"/>
              </w:rPr>
              <w:t>26,511</w:t>
            </w:r>
          </w:p>
        </w:tc>
        <w:tc>
          <w:tcPr>
            <w:tcW w:type="dxa" w:w="1440"/>
            <w:shd w:fill="C6EFCE" w:val="clear"/>
          </w:tcPr>
          <w:p>
            <w:r>
              <w:rPr>
                <w:sz w:val="17"/>
              </w:rPr>
              <w:t>28,157</w:t>
            </w:r>
          </w:p>
        </w:tc>
        <w:tc>
          <w:tcPr>
            <w:tcW w:type="dxa" w:w="1440"/>
            <w:shd w:fill="C6EFCE" w:val="clear"/>
          </w:tcPr>
          <w:p>
            <w:r>
              <w:rPr>
                <w:b/>
                <w:color w:val="008000"/>
                <w:sz w:val="17"/>
              </w:rPr>
              <w:t>+8.2%</w:t>
            </w:r>
          </w:p>
        </w:tc>
      </w:tr>
      <w:tr>
        <w:tc>
          <w:tcPr>
            <w:tcW w:type="dxa" w:w="1440"/>
            <w:shd w:fill="C6EFCE" w:val="clear"/>
          </w:tcPr>
          <w:p>
            <w:r>
              <w:rPr>
                <w:sz w:val="17"/>
              </w:rPr>
              <w:t>J+6  Moyenne</w:t>
            </w:r>
          </w:p>
        </w:tc>
        <w:tc>
          <w:tcPr>
            <w:tcW w:type="dxa" w:w="1440"/>
            <w:shd w:fill="C6EFCE" w:val="clear"/>
          </w:tcPr>
          <w:p>
            <w:r>
              <w:rPr>
                <w:sz w:val="17"/>
              </w:rPr>
              <w:t>2026-09-16</w:t>
            </w:r>
          </w:p>
        </w:tc>
        <w:tc>
          <w:tcPr>
            <w:tcW w:type="dxa" w:w="1440"/>
            <w:shd w:fill="C6EFCE" w:val="clear"/>
          </w:tcPr>
          <w:p>
            <w:r>
              <w:rPr>
                <w:sz w:val="17"/>
              </w:rPr>
              <w:t>25,064</w:t>
            </w:r>
          </w:p>
        </w:tc>
        <w:tc>
          <w:tcPr>
            <w:tcW w:type="dxa" w:w="1440"/>
            <w:shd w:fill="C6EFCE" w:val="clear"/>
          </w:tcPr>
          <w:p>
            <w:r>
              <w:rPr>
                <w:b/>
                <w:sz w:val="17"/>
              </w:rPr>
              <w:t>26,894</w:t>
            </w:r>
          </w:p>
        </w:tc>
        <w:tc>
          <w:tcPr>
            <w:tcW w:type="dxa" w:w="1440"/>
            <w:shd w:fill="C6EFCE" w:val="clear"/>
          </w:tcPr>
          <w:p>
            <w:r>
              <w:rPr>
                <w:sz w:val="17"/>
              </w:rPr>
              <w:t>28,723</w:t>
            </w:r>
          </w:p>
        </w:tc>
        <w:tc>
          <w:tcPr>
            <w:tcW w:type="dxa" w:w="1440"/>
            <w:shd w:fill="C6EFCE" w:val="clear"/>
          </w:tcPr>
          <w:p>
            <w:r>
              <w:rPr>
                <w:b/>
                <w:color w:val="008000"/>
                <w:sz w:val="17"/>
              </w:rPr>
              <w:t>+9.8%</w:t>
            </w:r>
          </w:p>
        </w:tc>
      </w:tr>
      <w:tr>
        <w:tc>
          <w:tcPr>
            <w:tcW w:type="dxa" w:w="1440"/>
            <w:shd w:fill="C6EFCE" w:val="clear"/>
          </w:tcPr>
          <w:p>
            <w:r>
              <w:rPr>
                <w:sz w:val="17"/>
              </w:rPr>
              <w:t>J+7  Moyenne</w:t>
            </w:r>
          </w:p>
        </w:tc>
        <w:tc>
          <w:tcPr>
            <w:tcW w:type="dxa" w:w="1440"/>
            <w:shd w:fill="C6EFCE" w:val="clear"/>
          </w:tcPr>
          <w:p>
            <w:r>
              <w:rPr>
                <w:sz w:val="17"/>
              </w:rPr>
              <w:t>2026-09-17</w:t>
            </w:r>
          </w:p>
        </w:tc>
        <w:tc>
          <w:tcPr>
            <w:tcW w:type="dxa" w:w="1440"/>
            <w:shd w:fill="C6EFCE" w:val="clear"/>
          </w:tcPr>
          <w:p>
            <w:r>
              <w:rPr>
                <w:sz w:val="17"/>
              </w:rPr>
              <w:t>25,271</w:t>
            </w:r>
          </w:p>
        </w:tc>
        <w:tc>
          <w:tcPr>
            <w:tcW w:type="dxa" w:w="1440"/>
            <w:shd w:fill="C6EFCE" w:val="clear"/>
          </w:tcPr>
          <w:p>
            <w:r>
              <w:rPr>
                <w:b/>
                <w:sz w:val="17"/>
              </w:rPr>
              <w:t>27,275</w:t>
            </w:r>
          </w:p>
        </w:tc>
        <w:tc>
          <w:tcPr>
            <w:tcW w:type="dxa" w:w="1440"/>
            <w:shd w:fill="C6EFCE" w:val="clear"/>
          </w:tcPr>
          <w:p>
            <w:r>
              <w:rPr>
                <w:sz w:val="17"/>
              </w:rPr>
              <w:t>29,279</w:t>
            </w:r>
          </w:p>
        </w:tc>
        <w:tc>
          <w:tcPr>
            <w:tcW w:type="dxa" w:w="1440"/>
            <w:shd w:fill="C6EFCE" w:val="clear"/>
          </w:tcPr>
          <w:p>
            <w:r>
              <w:rPr>
                <w:b/>
                <w:color w:val="008000"/>
                <w:sz w:val="17"/>
              </w:rPr>
              <w:t>+11.3%</w:t>
            </w:r>
          </w:p>
        </w:tc>
      </w:tr>
      <w:tr>
        <w:tc>
          <w:tcPr>
            <w:tcW w:type="dxa" w:w="1440"/>
            <w:shd w:fill="C6EFCE" w:val="clear"/>
          </w:tcPr>
          <w:p>
            <w:r>
              <w:rPr>
                <w:sz w:val="17"/>
              </w:rPr>
              <w:t>J+8  Moyenne</w:t>
            </w:r>
          </w:p>
        </w:tc>
        <w:tc>
          <w:tcPr>
            <w:tcW w:type="dxa" w:w="1440"/>
            <w:shd w:fill="C6EFCE" w:val="clear"/>
          </w:tcPr>
          <w:p>
            <w:r>
              <w:rPr>
                <w:sz w:val="17"/>
              </w:rPr>
              <w:t>2026-09-18</w:t>
            </w:r>
          </w:p>
        </w:tc>
        <w:tc>
          <w:tcPr>
            <w:tcW w:type="dxa" w:w="1440"/>
            <w:shd w:fill="C6EFCE" w:val="clear"/>
          </w:tcPr>
          <w:p>
            <w:r>
              <w:rPr>
                <w:sz w:val="17"/>
              </w:rPr>
              <w:t>25,483</w:t>
            </w:r>
          </w:p>
        </w:tc>
        <w:tc>
          <w:tcPr>
            <w:tcW w:type="dxa" w:w="1440"/>
            <w:shd w:fill="C6EFCE" w:val="clear"/>
          </w:tcPr>
          <w:p>
            <w:r>
              <w:rPr>
                <w:b/>
                <w:sz w:val="17"/>
              </w:rPr>
              <w:t>27,655</w:t>
            </w:r>
          </w:p>
        </w:tc>
        <w:tc>
          <w:tcPr>
            <w:tcW w:type="dxa" w:w="1440"/>
            <w:shd w:fill="C6EFCE" w:val="clear"/>
          </w:tcPr>
          <w:p>
            <w:r>
              <w:rPr>
                <w:sz w:val="17"/>
              </w:rPr>
              <w:t>29,827</w:t>
            </w:r>
          </w:p>
        </w:tc>
        <w:tc>
          <w:tcPr>
            <w:tcW w:type="dxa" w:w="1440"/>
            <w:shd w:fill="C6EFCE" w:val="clear"/>
          </w:tcPr>
          <w:p>
            <w:r>
              <w:rPr>
                <w:b/>
                <w:color w:val="008000"/>
                <w:sz w:val="17"/>
              </w:rPr>
              <w:t>+12.9%</w:t>
            </w:r>
          </w:p>
        </w:tc>
      </w:tr>
      <w:tr>
        <w:tc>
          <w:tcPr>
            <w:tcW w:type="dxa" w:w="1440"/>
            <w:shd w:fill="C6EFCE" w:val="clear"/>
          </w:tcPr>
          <w:p>
            <w:r>
              <w:rPr>
                <w:sz w:val="17"/>
              </w:rPr>
              <w:t>J+9  Moyenne</w:t>
            </w:r>
          </w:p>
        </w:tc>
        <w:tc>
          <w:tcPr>
            <w:tcW w:type="dxa" w:w="1440"/>
            <w:shd w:fill="C6EFCE" w:val="clear"/>
          </w:tcPr>
          <w:p>
            <w:r>
              <w:rPr>
                <w:sz w:val="17"/>
              </w:rPr>
              <w:t>2026-09-21</w:t>
            </w:r>
          </w:p>
        </w:tc>
        <w:tc>
          <w:tcPr>
            <w:tcW w:type="dxa" w:w="1440"/>
            <w:shd w:fill="C6EFCE" w:val="clear"/>
          </w:tcPr>
          <w:p>
            <w:r>
              <w:rPr>
                <w:sz w:val="17"/>
              </w:rPr>
              <w:t>25,696</w:t>
            </w:r>
          </w:p>
        </w:tc>
        <w:tc>
          <w:tcPr>
            <w:tcW w:type="dxa" w:w="1440"/>
            <w:shd w:fill="C6EFCE" w:val="clear"/>
          </w:tcPr>
          <w:p>
            <w:r>
              <w:rPr>
                <w:b/>
                <w:sz w:val="17"/>
              </w:rPr>
              <w:t>28,031</w:t>
            </w:r>
          </w:p>
        </w:tc>
        <w:tc>
          <w:tcPr>
            <w:tcW w:type="dxa" w:w="1440"/>
            <w:shd w:fill="C6EFCE" w:val="clear"/>
          </w:tcPr>
          <w:p>
            <w:r>
              <w:rPr>
                <w:sz w:val="17"/>
              </w:rPr>
              <w:t>30,367</w:t>
            </w:r>
          </w:p>
        </w:tc>
        <w:tc>
          <w:tcPr>
            <w:tcW w:type="dxa" w:w="1440"/>
            <w:shd w:fill="C6EFCE" w:val="clear"/>
          </w:tcPr>
          <w:p>
            <w:r>
              <w:rPr>
                <w:b/>
                <w:color w:val="008000"/>
                <w:sz w:val="17"/>
              </w:rPr>
              <w:t>+14.4%</w:t>
            </w:r>
          </w:p>
        </w:tc>
      </w:tr>
      <w:tr>
        <w:tc>
          <w:tcPr>
            <w:tcW w:type="dxa" w:w="1440"/>
            <w:shd w:fill="C6EFCE" w:val="clear"/>
          </w:tcPr>
          <w:p>
            <w:r>
              <w:rPr>
                <w:sz w:val="17"/>
              </w:rPr>
              <w:t>J+10  Moyenne</w:t>
            </w:r>
          </w:p>
        </w:tc>
        <w:tc>
          <w:tcPr>
            <w:tcW w:type="dxa" w:w="1440"/>
            <w:shd w:fill="C6EFCE" w:val="clear"/>
          </w:tcPr>
          <w:p>
            <w:r>
              <w:rPr>
                <w:sz w:val="17"/>
              </w:rPr>
              <w:t>2026-09-22</w:t>
            </w:r>
          </w:p>
        </w:tc>
        <w:tc>
          <w:tcPr>
            <w:tcW w:type="dxa" w:w="1440"/>
            <w:shd w:fill="C6EFCE" w:val="clear"/>
          </w:tcPr>
          <w:p>
            <w:r>
              <w:rPr>
                <w:sz w:val="17"/>
              </w:rPr>
              <w:t>25,910</w:t>
            </w:r>
          </w:p>
        </w:tc>
        <w:tc>
          <w:tcPr>
            <w:tcW w:type="dxa" w:w="1440"/>
            <w:shd w:fill="C6EFCE" w:val="clear"/>
          </w:tcPr>
          <w:p>
            <w:r>
              <w:rPr>
                <w:b/>
                <w:sz w:val="17"/>
              </w:rPr>
              <w:t>28,404</w:t>
            </w:r>
          </w:p>
        </w:tc>
        <w:tc>
          <w:tcPr>
            <w:tcW w:type="dxa" w:w="1440"/>
            <w:shd w:fill="C6EFCE" w:val="clear"/>
          </w:tcPr>
          <w:p>
            <w:r>
              <w:rPr>
                <w:sz w:val="17"/>
              </w:rPr>
              <w:t>30,898</w:t>
            </w:r>
          </w:p>
        </w:tc>
        <w:tc>
          <w:tcPr>
            <w:tcW w:type="dxa" w:w="1440"/>
            <w:shd w:fill="C6EFCE" w:val="clear"/>
          </w:tcPr>
          <w:p>
            <w:r>
              <w:rPr>
                <w:b/>
                <w:color w:val="008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606 milliards FCFA, positionnant la banque parmi les poids lourds de la BRVM, reflétant sa stature de leader dans le secteur bancaire ivoirien. Avec un BPA de 1 646 FCFA, le titre se négocie à un PER de 14,9x, une valorisation supérieure à la moyenne historique du marché BRVM (8-12x), indiquant que les investisseurs intègrent déjà des perspectives de croissance soutenue. Le P/B de 2,60x confirme cette prime accordée par le marché, valorisant la banque à 2,6 fois ses capitaux propres. Cependant, l'EV/EBITDA de 22,2x apparaît particulièrement exigeant, suggérant que la valeur totale de l'entreprise (dette incluse) est élevée par rapport à sa capacité opérationnelle. Ces ratios traduisent une confiance marquée des investisseurs dans la trajectoire de la banque, mais laissent peu de marge d'erreur en cas de déception sur les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NSBC a enregistré une progression spectaculaire de +73,76%, passant d'un plus bas de 13 810 FCFA à un plus haut de 24 885 FCFA, pour clôturer à 24 500 FCFA. La dernière séance affiche un léger repli de -1,55%, marquant une respiration après cette forte ascension. La moyenne du cours sur la période (19 606 FCFA) est proche de la médiane (19 650 FCFA), indiquant une distribution relativement symétrique, confirmée par un skewness de -0,450. L'écart-type de 3 533 FCFA (CV=18%) révèle une dispersion modérée des prix autour de la moyenne. Le kurtosis négatif (-1,136) signale une distribution platykurtique, avec une faible probabilité de mouvements extrêmes. La volatilité annualisée de 39,5% classe le titre comme très volatil, un niveau élevé qui reflète l'ampleur du rally haussier observé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(24 500 FCFA) évolue nettement au-dessus de la MM20 (23 165 FCFA) et de la MM50 (22 559 FCFA), confirmant une dynamique haussière solide. La configuration des moyennes mobiles, avec la MM20 au-dessus de la MM50, valide la tendance positive et justifie la décision d'Achat.</w:t>
      </w:r>
    </w:p>
    <w:p>
      <w:pPr>
        <w:spacing w:after="120" w:line="276" w:lineRule="auto"/>
      </w:pPr>
      <w:r>
        <w:t>**Bandes de Bollinger** : Le prix se positionne au-dessus de la borne supérieure (24 357 FCFA), signalant une condition de surachat temporaire. Cette sortie de bande suggère une extension excessive du mouvement haussier, justifiant la décision de Vente à court terme pour un éventuel repli technique.</w:t>
      </w:r>
    </w:p>
    <w:p>
      <w:pPr>
        <w:spacing w:after="120" w:line="276" w:lineRule="auto"/>
      </w:pPr>
      <w:r>
        <w:t>**MACD** : La valeur du MACD (341,55) est nettement supérieure à son signal (224,83), avec un écart positif croissant. Cette configuration indique un momentum haussier puissant et bien établi, justifiant la décision d'Achat.</w:t>
      </w:r>
    </w:p>
    <w:p>
      <w:pPr>
        <w:spacing w:after="120" w:line="276" w:lineRule="auto"/>
      </w:pPr>
      <w:r>
        <w:t>**RSI** : À 68,07, le RSI se situe en zone neutre, proche du seuil de surachat (70). Cette valeur reflète une pression acheteuse soutenue sans pour autant signaler une situation extrême, justifiant la décision Neutre.</w:t>
      </w:r>
    </w:p>
    <w:p>
      <w:pPr>
        <w:spacing w:after="120" w:line="276" w:lineRule="auto"/>
      </w:pPr>
      <w:r>
        <w:t>**Stochastique** : Le %K (83,86) et le %D (91,80) évoluent en zone de surachat, avec un %D au-dessus du %K, indiquant un possible retournement baissier imminent. La décision de Vente se justifie par cette configuration de surachat.</w:t>
      </w:r>
    </w:p>
    <w:p>
      <w:pPr>
        <w:spacing w:after="120" w:line="276" w:lineRule="auto"/>
      </w:pPr>
      <w:r>
        <w:t>**Conclusion technique** : Les indicateurs de tendance (MM, MACD) restent positifs, mais les oscillateurs (Bollinger, Stochastique) signalent une extension excessive du mouvement. Cette divergence suggère un possible repli technique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NSBC affiche des performances financières solides avec un Produit Net Bancaire de 112,9 milliards FCFA, en hausse de 15% par rapport à 2024 (97,8 milliards). Le résultat net atteint 40,7 milliards FCFA, en progression de 7%, avec une marge nette exceptionnelle de 36,05%. La rentabilité des fonds propres (ROE) s'établit à 17,45%, dépassant le seuil d'excellence de 15%, tandis que le ROA de 1,32% confirme une gestion efficace des actifs. Le coefficient d'exploitation de 54,59% témoigne d'une banque efficace, en amélioration de 5,1 points. Le coût du risque de 7,54% reste élevé, reflétant une dégradation de la qualité du portefeuille de crédits (provisions de 8,5 milliards en 2025). Les dépôts clientèle (2 242 milliards) couvrent largement les créances clientèle (1 818 milliards), assurant une transformation saine. Le rapport T1 2026 (publié en mai 2026) révèle une accélération spectaculaire avec un PNB de 28,6 milliards (+28%) et un résultat net de 10,9 milliards (+53%), porté par l'activité titres. Sur cette base, on estime que l'exercice 2026 pourrait dépasser 130 milliards de PNB et 48 milliards de résultat net, confirmant la dynamique positive engagée depuis 2023.</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contrastée. La valorisation (PER 14,9x, P/B 2,6x, EV/EBITDA 22,2x) apparaît exigeante, intégrant déjà des attentes élevées de croissance. Le comportement du cours montre une tendance fortement haussière (+73,76% sur 100 jours) avec une volatilité élevée (39,5%) et une distribution statistique indiquant une stabilité relative des mouvements. Les signaux techniques sont partagés : les indicateurs de tendance (MM, MACD) restent positifs, mais les oscillateurs (Bollinger, Stochastique) signalent un essoufflement à court terme. Les fondamentaux demeurent solides avec une croissance soutenue du PNB et du résultat net, bien que le coût du risque en hausse mérite une attention particulière. Les prédictions IA (24 984 à 26 511 FCFA sur 10 jours) confirment la poursuite de la tendance haussière. **Recommandation : ACHAT** pour les investisseurs de moyen-long terme, avec un niveau de confiance Moyen et un risque global Élevé. Horizon optimal : moyen terme (3-12 mois), en surveillant l'évolution du coût du risque et la capacité de la banque à maintenir sa croissance malgré une valorisation déjà exigeante.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1,615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+40.83%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13.68% (Moyenne) — μ=14,788 FCFA, σ=2,023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β=-0.1214 (Contre-cyclique) — Cov=-0.000004, Var(idx)=0.000036, ρ=-0.031,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16,108</w:t>
            </w:r>
          </w:p>
        </w:tc>
        <w:tc>
          <w:tcPr>
            <w:tcW w:type="dxa" w:w="1440"/>
            <w:shd w:fill="FAFAFA" w:val="clear"/>
          </w:tcPr>
          <w:p>
            <w:r>
              <w:rPr>
                <w:b/>
                <w:sz w:val="17"/>
              </w:rPr>
              <w:t>16,805</w:t>
            </w:r>
          </w:p>
        </w:tc>
        <w:tc>
          <w:tcPr>
            <w:tcW w:type="dxa" w:w="1440"/>
            <w:shd w:fill="FAFAFA" w:val="clear"/>
          </w:tcPr>
          <w:p>
            <w:r>
              <w:rPr>
                <w:sz w:val="17"/>
              </w:rPr>
              <w:t>17,501</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15,799</w:t>
            </w:r>
          </w:p>
        </w:tc>
        <w:tc>
          <w:tcPr>
            <w:tcW w:type="dxa" w:w="1440"/>
            <w:shd w:fill="FAFAFA" w:val="clear"/>
          </w:tcPr>
          <w:p>
            <w:r>
              <w:rPr>
                <w:b/>
                <w:sz w:val="17"/>
              </w:rPr>
              <w:t>16,783</w:t>
            </w:r>
          </w:p>
        </w:tc>
        <w:tc>
          <w:tcPr>
            <w:tcW w:type="dxa" w:w="1440"/>
            <w:shd w:fill="FAFAFA" w:val="clear"/>
          </w:tcPr>
          <w:p>
            <w:r>
              <w:rPr>
                <w:sz w:val="17"/>
              </w:rPr>
              <w:t>17,767</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15,527</w:t>
            </w:r>
          </w:p>
        </w:tc>
        <w:tc>
          <w:tcPr>
            <w:tcW w:type="dxa" w:w="1440"/>
            <w:shd w:fill="FAFAFA" w:val="clear"/>
          </w:tcPr>
          <w:p>
            <w:r>
              <w:rPr>
                <w:b/>
                <w:sz w:val="17"/>
              </w:rPr>
              <w:t>16,728</w:t>
            </w:r>
          </w:p>
        </w:tc>
        <w:tc>
          <w:tcPr>
            <w:tcW w:type="dxa" w:w="1440"/>
            <w:shd w:fill="FAFAFA" w:val="clear"/>
          </w:tcPr>
          <w:p>
            <w:r>
              <w:rPr>
                <w:sz w:val="17"/>
              </w:rPr>
              <w:t>17,928</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2026-09-14</w:t>
            </w:r>
          </w:p>
        </w:tc>
        <w:tc>
          <w:tcPr>
            <w:tcW w:type="dxa" w:w="1440"/>
            <w:shd w:fill="FAFAFA" w:val="clear"/>
          </w:tcPr>
          <w:p>
            <w:r>
              <w:rPr>
                <w:sz w:val="17"/>
              </w:rPr>
              <w:t>15,286</w:t>
            </w:r>
          </w:p>
        </w:tc>
        <w:tc>
          <w:tcPr>
            <w:tcW w:type="dxa" w:w="1440"/>
            <w:shd w:fill="FAFAFA" w:val="clear"/>
          </w:tcPr>
          <w:p>
            <w:r>
              <w:rPr>
                <w:b/>
                <w:sz w:val="17"/>
              </w:rPr>
              <w:t>16,667</w:t>
            </w:r>
          </w:p>
        </w:tc>
        <w:tc>
          <w:tcPr>
            <w:tcW w:type="dxa" w:w="1440"/>
            <w:shd w:fill="FAFAFA" w:val="clear"/>
          </w:tcPr>
          <w:p>
            <w:r>
              <w:rPr>
                <w:sz w:val="17"/>
              </w:rPr>
              <w:t>18,049</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2026-09-15</w:t>
            </w:r>
          </w:p>
        </w:tc>
        <w:tc>
          <w:tcPr>
            <w:tcW w:type="dxa" w:w="1440"/>
            <w:shd w:fill="FAFAFA" w:val="clear"/>
          </w:tcPr>
          <w:p>
            <w:r>
              <w:rPr>
                <w:sz w:val="17"/>
              </w:rPr>
              <w:t>15,070</w:t>
            </w:r>
          </w:p>
        </w:tc>
        <w:tc>
          <w:tcPr>
            <w:tcW w:type="dxa" w:w="1440"/>
            <w:shd w:fill="FAFAFA" w:val="clear"/>
          </w:tcPr>
          <w:p>
            <w:r>
              <w:rPr>
                <w:b/>
                <w:sz w:val="17"/>
              </w:rPr>
              <w:t>16,610</w:t>
            </w:r>
          </w:p>
        </w:tc>
        <w:tc>
          <w:tcPr>
            <w:tcW w:type="dxa" w:w="1440"/>
            <w:shd w:fill="FAFAFA" w:val="clear"/>
          </w:tcPr>
          <w:p>
            <w:r>
              <w:rPr>
                <w:sz w:val="17"/>
              </w:rPr>
              <w:t>18,149</w:t>
            </w:r>
          </w:p>
        </w:tc>
        <w:tc>
          <w:tcPr>
            <w:tcW w:type="dxa" w:w="1440"/>
            <w:shd w:fill="FAFAFA" w:val="clear"/>
          </w:tcPr>
          <w:p>
            <w:r>
              <w:rPr>
                <w:b/>
                <w:color w:val="C00000"/>
                <w:sz w:val="17"/>
              </w:rPr>
              <w:t>-1.7%</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14,874</w:t>
            </w:r>
          </w:p>
        </w:tc>
        <w:tc>
          <w:tcPr>
            <w:tcW w:type="dxa" w:w="1440"/>
            <w:shd w:fill="FFDCE0" w:val="clear"/>
          </w:tcPr>
          <w:p>
            <w:r>
              <w:rPr>
                <w:b/>
                <w:sz w:val="17"/>
              </w:rPr>
              <w:t>16,555</w:t>
            </w:r>
          </w:p>
        </w:tc>
        <w:tc>
          <w:tcPr>
            <w:tcW w:type="dxa" w:w="1440"/>
            <w:shd w:fill="FFDCE0" w:val="clear"/>
          </w:tcPr>
          <w:p>
            <w:r>
              <w:rPr>
                <w:sz w:val="17"/>
              </w:rPr>
              <w:t>18,236</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14,693</w:t>
            </w:r>
          </w:p>
        </w:tc>
        <w:tc>
          <w:tcPr>
            <w:tcW w:type="dxa" w:w="1440"/>
            <w:shd w:fill="FFDCE0" w:val="clear"/>
          </w:tcPr>
          <w:p>
            <w:r>
              <w:rPr>
                <w:b/>
                <w:sz w:val="17"/>
              </w:rPr>
              <w:t>16,503</w:t>
            </w:r>
          </w:p>
        </w:tc>
        <w:tc>
          <w:tcPr>
            <w:tcW w:type="dxa" w:w="1440"/>
            <w:shd w:fill="FFDCE0" w:val="clear"/>
          </w:tcPr>
          <w:p>
            <w:r>
              <w:rPr>
                <w:sz w:val="17"/>
              </w:rPr>
              <w:t>18,312</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14,524</w:t>
            </w:r>
          </w:p>
        </w:tc>
        <w:tc>
          <w:tcPr>
            <w:tcW w:type="dxa" w:w="1440"/>
            <w:shd w:fill="FFDCE0" w:val="clear"/>
          </w:tcPr>
          <w:p>
            <w:r>
              <w:rPr>
                <w:b/>
                <w:sz w:val="17"/>
              </w:rPr>
              <w:t>16,452</w:t>
            </w:r>
          </w:p>
        </w:tc>
        <w:tc>
          <w:tcPr>
            <w:tcW w:type="dxa" w:w="1440"/>
            <w:shd w:fill="FFDCE0" w:val="clear"/>
          </w:tcPr>
          <w:p>
            <w:r>
              <w:rPr>
                <w:sz w:val="17"/>
              </w:rPr>
              <w:t>18,381</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14,364</w:t>
            </w:r>
          </w:p>
        </w:tc>
        <w:tc>
          <w:tcPr>
            <w:tcW w:type="dxa" w:w="1440"/>
            <w:shd w:fill="FFDCE0" w:val="clear"/>
          </w:tcPr>
          <w:p>
            <w:r>
              <w:rPr>
                <w:b/>
                <w:sz w:val="17"/>
              </w:rPr>
              <w:t>16,404</w:t>
            </w:r>
          </w:p>
        </w:tc>
        <w:tc>
          <w:tcPr>
            <w:tcW w:type="dxa" w:w="1440"/>
            <w:shd w:fill="FFDCE0" w:val="clear"/>
          </w:tcPr>
          <w:p>
            <w:r>
              <w:rPr>
                <w:sz w:val="17"/>
              </w:rPr>
              <w:t>18,443</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14,212</w:t>
            </w:r>
          </w:p>
        </w:tc>
        <w:tc>
          <w:tcPr>
            <w:tcW w:type="dxa" w:w="1440"/>
            <w:shd w:fill="FFDCE0" w:val="clear"/>
          </w:tcPr>
          <w:p>
            <w:r>
              <w:rPr>
                <w:b/>
                <w:sz w:val="17"/>
              </w:rPr>
              <w:t>16,356</w:t>
            </w:r>
          </w:p>
        </w:tc>
        <w:tc>
          <w:tcPr>
            <w:tcW w:type="dxa" w:w="1440"/>
            <w:shd w:fill="FFDCE0" w:val="clear"/>
          </w:tcPr>
          <w:p>
            <w:r>
              <w:rPr>
                <w:sz w:val="17"/>
              </w:rPr>
              <w:t>18,499</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**372,99 milliards FCFA**, ce qui en fait l'une des valeurs les plus significatives de la BRVM, reflétant la confiance des investisseurs dans ce leader des biens de consommation. Avec un BPA de **835 FCFA**, le titre se négocie à un **PER de 20,2x**, nettement supérieur à la moyenne historique du marché (8-12x), indiquant que les investisseurs anticipent une forte croissance future et acceptent de payer une prime substantielle. Le **P/B de 12,61x** confirme cette valorisation exigeante, le marché valorisant le titre à plus de douze fois sa valeur comptable, ce qui témoigne d'une rentabilité des capitaux propres exceptionnelle. Enfin, l'**EV/EBITDA de 10,0x** se situe dans la fourchette haute des valeurs raisonnables, suggérant que la valeur d'entreprise reste cohérente avec la capacité opérationnelle de la société, malgré une prime de valorisation évidente sur les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performance remarquable de **+40,83%**, passant d'un plus bas de 11 150 FCFA à un plus haut de 18 000 FCFA, avant de clôturer à 16 900 FCFA après un repli de **-6,11%** lors de la dernière séance, suggérant une possible prise de bénéfices après une forte progression. La moyenne du cours sur la période (14 788 FCFA) est inférieure à la médiane (15 262 FCFA), indiquant une asymétrie négative de la distribution, avec des valeurs extrêmes basses ayant tiré la moyenne vers le bas. L'écart-type de 2 033 FCFA (CV de 13,8%) révèle une dispersion modérée des prix autour de la moyenne. Le kurtosis négatif (-1.443) signale une distribution aplatie, avec peu de valeurs extrêmes, tandis que le skewness légèrement négatif (-0.362) confirme une queue de distribution orientée vers les prix bas. La **volatilité annualisée de 39,2%** classe NTLC comme un titre à forte volatilité, ce qui implique un risque élevé mais aussi un potentiel de rendement substantiel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16 900 FCFA se positionne au-dessus de la MM20 (16 979,25 FCFA) et de la MM50 (16 546,4 FCFA), avec une MM20 supérieure à la MM50, configuration typique d'une tendance haussière. La décision d'**Achat** est justifiée par cette structure positive, le prix évoluant dans un canal haussier soutenu par les moyennes mobiles.</w:t>
      </w:r>
    </w:p>
    <w:p>
      <w:pPr>
        <w:spacing w:after="120" w:line="276" w:lineRule="auto"/>
      </w:pPr>
      <w:r>
        <w:t>**Bandes de Bollinger** : Le prix se situe à 16 900 FCFA, entre la borne supérieure (17 915 FCFA) et la borne inférieure (16 043 FCFA), proche de la zone médiane. La décision **Neutre** s'explique par une volatilité modérée, le cours n'ayant pas encore atteint les extrêmes des bandes, indiquant une phase de consolidation après le récent repli.</w:t>
      </w:r>
    </w:p>
    <w:p>
      <w:pPr>
        <w:spacing w:after="120" w:line="276" w:lineRule="auto"/>
      </w:pPr>
      <w:r>
        <w:t>**MACD** : Avec une valeur de 138,794 et un signal à 136,094, le MACD est positif et au-dessus de son signal, indiquant un momentum haussier persistant. La décision d'**Achat** est justifiée par cette configuration, bien que l'écart relativement faible entre les deux lignes suggère un momentum qui pourrait s'essouffler à court terme.</w:t>
      </w:r>
    </w:p>
    <w:p>
      <w:pPr>
        <w:spacing w:after="120" w:line="276" w:lineRule="auto"/>
      </w:pPr>
      <w:r>
        <w:t>**RSI** : À 46,299, le RSI se situe dans la zone neutre (30-70), indiquant que le titre n'est ni suracheté ni survendu. La décision **Neutre** est cohérente avec cette lecture, le marché semblant chercher une direction après le mouvement récent.</w:t>
      </w:r>
    </w:p>
    <w:p>
      <w:pPr>
        <w:spacing w:after="120" w:line="276" w:lineRule="auto"/>
      </w:pPr>
      <w:r>
        <w:t>**Stochastique** : Le %K (47,619) est inférieur au %D (71,429), formant un croisement baissier potentiel, bien que les deux restent en zone neutre. La décision **Neutre** reflète cette ambiguïté, le titre manquant de direction claire à très court terme.</w:t>
      </w:r>
    </w:p>
    <w:p>
      <w:pPr>
        <w:spacing w:after="120" w:line="276" w:lineRule="auto"/>
      </w:pPr>
      <w:r>
        <w:t>**Conclusion technique** : La tendance de fond reste haussière, soutenue par les moyennes mobiles et le MACD, mais les indicateurs de momentum court terme (RSI, Stochastique) montrent des signes de consolidation après la forte progression. Le récent repli de -6,11% pourrait offrir un point d'entrée intéressant pour les investisseurs de moyen terme, mais une stabilisation est à prévoir à court terme.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avec un résultat net de **18,43 milliards FCFA**, en progression modeste de 1,53%. La marge nette s'établit à 7,90%, en légère baisse par rapport aux 8,25% de 2024, tandis que le **ROE atteint un niveau exceptionnel de 62,28%** et le ROA de 9,70%, démontrant une utilisation très efficace des capitaux propres et des actifs. La société affiche une marge opérationnelle solide de 16,16% et un EBE de 46,17 milliards FCFA, mais présente un BFR positif de 22,63 milliards FCFA et un délai client de 74 jours, indiquant un besoin de financement du cycle d'exploitation. L'endettement total représente 135,85% des capitaux propres, avec une autonomie financière faible à 15,58%, bien que la couverture des intérêts à 473,63% reste très confortable. Le rapport annuel 2025 (daté du 31/12/2025) souligne une politique de dividende plus conservatrice avec un taux de distribution réduit à 50,3%, privilégiant le réinvestissement. Les rapports trimestriels 2025 montrent une année contrastée : le T1 2025 (31/03/2025) affichait une baisse du CA de -11% mais une hausse du résultat net de +19%, tandis que le T3 2025 (30/09/2025) révélait une baisse du résultat net de -21,3% sur 9 mois. Cependant, le rapport T1 2026 (31/03/2026) fait état d'une **croissance spectaculaire du CA de +31% à 70,82 milliards FCFA** et d'un résultat net en hausse de +37% à 7,53 milliards FCFA, avec une marge nette améliorée à 10,6%. Sur cette base, on estime que l'exercice 2026 pourrait voir le CA dépasser 260 milliards FCFA et le résultat net atteindre 22-24 milliards FCFA, soit une croissance de 20-30% par rapport à 2025, confirmant la dynamique positive de l'entreprise.</w:t>
      </w:r>
    </w:p>
    <w:p>
      <w:pPr>
        <w:spacing w:after="120" w:line="276" w:lineRule="auto"/>
      </w:pPr>
      <w:r>
        <w:t>---</w:t>
      </w:r>
    </w:p>
    <w:p>
      <w:pPr>
        <w:spacing w:after="120" w:line="276" w:lineRule="auto"/>
      </w:pPr>
      <w:r>
        <w:t>### PARTIE 4 : CONCLUSION D'INVESTISSEMENT</w:t>
      </w:r>
    </w:p>
    <w:p>
      <w:pPr>
        <w:spacing w:after="120" w:line="276" w:lineRule="auto"/>
      </w:pPr>
      <w:r>
        <w:t>La valorisation de NTLC apparaît **exigeante** avec un PER de 20,2x et un P/B de 12,61x, nettement supérieurs aux moyennes du marché BRVM, mais justifiée par un ROE exceptionnel de 62,28% et des perspectives de croissance solides. Le comportement du cours sur 100 jours (+40,83%) témoigne d'une forte dynamique haussière, bien que la volatilité élevée (39,2%) et le récent repli de -6,11% appellent à la prudence à court terme. Les signaux techniques sont **globalement positifs** (MM et MACD en configuration d'achat), mais les indicateurs de momentum court terme suggèrent une phase de consolidation. Les fondamentaux restent **solides**, avec une croissance du CA de +5,97% en 2025 et une accélération spectaculaire au T1 2026 (+31% CA, +37% résultat net), laissant présager une année 2026 exceptionnelle. Les prédictions IA pour les 10 prochains jours (16 805 à 16 610 FCFA) indiquent une légère correction, cohérente avec la consolidation technique en cours. La convergence entre la solidité fondamentale, la dynamique de croissance et la tendance technique haussière, malgré une valorisation élevée, conduit à une recommandation **ACHAT** pour les investisseurs de moyen-long terme, avec un niveau de confiance **Moyen** et un risque global **Élevé** en raison de la volatilité du titre. L'horizon d'investissement optimal se situe à **moyen terme (3-12 mois)**, permettant de capter la croissance attendue tout en absorbant les fluctuations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5,028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B40000"/>
                <w:sz w:val="17"/>
              </w:rPr>
              <w:t>-1.03%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3.06% (Faible) — μ=2,824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β=0.5163 (Défensif) — Cov=0.000019, Var(idx)=0.000036, ρ=0.157,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2,772</w:t>
            </w:r>
          </w:p>
        </w:tc>
        <w:tc>
          <w:tcPr>
            <w:tcW w:type="dxa" w:w="1440"/>
            <w:shd w:fill="FAFAFA" w:val="clear"/>
          </w:tcPr>
          <w:p>
            <w:r>
              <w:rPr>
                <w:b/>
                <w:sz w:val="17"/>
              </w:rPr>
              <w:t>2,867</w:t>
            </w:r>
          </w:p>
        </w:tc>
        <w:tc>
          <w:tcPr>
            <w:tcW w:type="dxa" w:w="1440"/>
            <w:shd w:fill="FAFAFA" w:val="clear"/>
          </w:tcPr>
          <w:p>
            <w:r>
              <w:rPr>
                <w:sz w:val="17"/>
              </w:rPr>
              <w:t>2,963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2026-09-10</w:t>
            </w:r>
          </w:p>
        </w:tc>
        <w:tc>
          <w:tcPr>
            <w:tcW w:type="dxa" w:w="1440"/>
            <w:shd w:fill="FAFAFA" w:val="clear"/>
          </w:tcPr>
          <w:p>
            <w:r>
              <w:rPr>
                <w:sz w:val="17"/>
              </w:rPr>
              <w:t>2,726</w:t>
            </w:r>
          </w:p>
        </w:tc>
        <w:tc>
          <w:tcPr>
            <w:tcW w:type="dxa" w:w="1440"/>
            <w:shd w:fill="FAFAFA" w:val="clear"/>
          </w:tcPr>
          <w:p>
            <w:r>
              <w:rPr>
                <w:b/>
                <w:sz w:val="17"/>
              </w:rPr>
              <w:t>2,861</w:t>
            </w:r>
          </w:p>
        </w:tc>
        <w:tc>
          <w:tcPr>
            <w:tcW w:type="dxa" w:w="1440"/>
            <w:shd w:fill="FAFAFA" w:val="clear"/>
          </w:tcPr>
          <w:p>
            <w:r>
              <w:rPr>
                <w:sz w:val="17"/>
              </w:rPr>
              <w:t>2,996</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2026-09-11</w:t>
            </w:r>
          </w:p>
        </w:tc>
        <w:tc>
          <w:tcPr>
            <w:tcW w:type="dxa" w:w="1440"/>
            <w:shd w:fill="FAFAFA" w:val="clear"/>
          </w:tcPr>
          <w:p>
            <w:r>
              <w:rPr>
                <w:sz w:val="17"/>
              </w:rPr>
              <w:t>2,690</w:t>
            </w:r>
          </w:p>
        </w:tc>
        <w:tc>
          <w:tcPr>
            <w:tcW w:type="dxa" w:w="1440"/>
            <w:shd w:fill="FAFAFA" w:val="clear"/>
          </w:tcPr>
          <w:p>
            <w:r>
              <w:rPr>
                <w:b/>
                <w:sz w:val="17"/>
              </w:rPr>
              <w:t>2,855</w:t>
            </w:r>
          </w:p>
        </w:tc>
        <w:tc>
          <w:tcPr>
            <w:tcW w:type="dxa" w:w="1440"/>
            <w:shd w:fill="FAFAFA" w:val="clear"/>
          </w:tcPr>
          <w:p>
            <w:r>
              <w:rPr>
                <w:sz w:val="17"/>
              </w:rPr>
              <w:t>3,020</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2026-09-14</w:t>
            </w:r>
          </w:p>
        </w:tc>
        <w:tc>
          <w:tcPr>
            <w:tcW w:type="dxa" w:w="1440"/>
            <w:shd w:fill="FAFAFA" w:val="clear"/>
          </w:tcPr>
          <w:p>
            <w:r>
              <w:rPr>
                <w:sz w:val="17"/>
              </w:rPr>
              <w:t>2,660</w:t>
            </w:r>
          </w:p>
        </w:tc>
        <w:tc>
          <w:tcPr>
            <w:tcW w:type="dxa" w:w="1440"/>
            <w:shd w:fill="FAFAFA" w:val="clear"/>
          </w:tcPr>
          <w:p>
            <w:r>
              <w:rPr>
                <w:b/>
                <w:sz w:val="17"/>
              </w:rPr>
              <w:t>2,849</w:t>
            </w:r>
          </w:p>
        </w:tc>
        <w:tc>
          <w:tcPr>
            <w:tcW w:type="dxa" w:w="1440"/>
            <w:shd w:fill="FAFAFA" w:val="clear"/>
          </w:tcPr>
          <w:p>
            <w:r>
              <w:rPr>
                <w:sz w:val="17"/>
              </w:rPr>
              <w:t>3,039</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2026-09-15</w:t>
            </w:r>
          </w:p>
        </w:tc>
        <w:tc>
          <w:tcPr>
            <w:tcW w:type="dxa" w:w="1440"/>
            <w:shd w:fill="FAFAFA" w:val="clear"/>
          </w:tcPr>
          <w:p>
            <w:r>
              <w:rPr>
                <w:sz w:val="17"/>
              </w:rPr>
              <w:t>2,632</w:t>
            </w:r>
          </w:p>
        </w:tc>
        <w:tc>
          <w:tcPr>
            <w:tcW w:type="dxa" w:w="1440"/>
            <w:shd w:fill="FAFAFA" w:val="clear"/>
          </w:tcPr>
          <w:p>
            <w:r>
              <w:rPr>
                <w:b/>
                <w:sz w:val="17"/>
              </w:rPr>
              <w:t>2,844</w:t>
            </w:r>
          </w:p>
        </w:tc>
        <w:tc>
          <w:tcPr>
            <w:tcW w:type="dxa" w:w="1440"/>
            <w:shd w:fill="FAFAFA" w:val="clear"/>
          </w:tcPr>
          <w:p>
            <w:r>
              <w:rPr>
                <w:sz w:val="17"/>
              </w:rPr>
              <w:t>3,056</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2026-09-16</w:t>
            </w:r>
          </w:p>
        </w:tc>
        <w:tc>
          <w:tcPr>
            <w:tcW w:type="dxa" w:w="1440"/>
            <w:shd w:fill="FAFAFA" w:val="clear"/>
          </w:tcPr>
          <w:p>
            <w:r>
              <w:rPr>
                <w:sz w:val="17"/>
              </w:rPr>
              <w:t>2,607</w:t>
            </w:r>
          </w:p>
        </w:tc>
        <w:tc>
          <w:tcPr>
            <w:tcW w:type="dxa" w:w="1440"/>
            <w:shd w:fill="FAFAFA" w:val="clear"/>
          </w:tcPr>
          <w:p>
            <w:r>
              <w:rPr>
                <w:b/>
                <w:sz w:val="17"/>
              </w:rPr>
              <w:t>2,839</w:t>
            </w:r>
          </w:p>
        </w:tc>
        <w:tc>
          <w:tcPr>
            <w:tcW w:type="dxa" w:w="1440"/>
            <w:shd w:fill="FAFAFA" w:val="clear"/>
          </w:tcPr>
          <w:p>
            <w:r>
              <w:rPr>
                <w:sz w:val="17"/>
              </w:rPr>
              <w:t>3,070</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2026-09-17</w:t>
            </w:r>
          </w:p>
        </w:tc>
        <w:tc>
          <w:tcPr>
            <w:tcW w:type="dxa" w:w="1440"/>
            <w:shd w:fill="FAFAFA" w:val="clear"/>
          </w:tcPr>
          <w:p>
            <w:r>
              <w:rPr>
                <w:sz w:val="17"/>
              </w:rPr>
              <w:t>2,584</w:t>
            </w:r>
          </w:p>
        </w:tc>
        <w:tc>
          <w:tcPr>
            <w:tcW w:type="dxa" w:w="1440"/>
            <w:shd w:fill="FAFAFA" w:val="clear"/>
          </w:tcPr>
          <w:p>
            <w:r>
              <w:rPr>
                <w:b/>
                <w:sz w:val="17"/>
              </w:rPr>
              <w:t>2,833</w:t>
            </w:r>
          </w:p>
        </w:tc>
        <w:tc>
          <w:tcPr>
            <w:tcW w:type="dxa" w:w="1440"/>
            <w:shd w:fill="FAFAFA" w:val="clear"/>
          </w:tcPr>
          <w:p>
            <w:r>
              <w:rPr>
                <w:sz w:val="17"/>
              </w:rPr>
              <w:t>3,083</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2026-09-18</w:t>
            </w:r>
          </w:p>
        </w:tc>
        <w:tc>
          <w:tcPr>
            <w:tcW w:type="dxa" w:w="1440"/>
            <w:shd w:fill="FAFAFA" w:val="clear"/>
          </w:tcPr>
          <w:p>
            <w:r>
              <w:rPr>
                <w:sz w:val="17"/>
              </w:rPr>
              <w:t>2,561</w:t>
            </w:r>
          </w:p>
        </w:tc>
        <w:tc>
          <w:tcPr>
            <w:tcW w:type="dxa" w:w="1440"/>
            <w:shd w:fill="FAFAFA" w:val="clear"/>
          </w:tcPr>
          <w:p>
            <w:r>
              <w:rPr>
                <w:b/>
                <w:sz w:val="17"/>
              </w:rPr>
              <w:t>2,828</w:t>
            </w:r>
          </w:p>
        </w:tc>
        <w:tc>
          <w:tcPr>
            <w:tcW w:type="dxa" w:w="1440"/>
            <w:shd w:fill="FAFAFA" w:val="clear"/>
          </w:tcPr>
          <w:p>
            <w:r>
              <w:rPr>
                <w:sz w:val="17"/>
              </w:rPr>
              <w:t>3,094</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2026-09-21</w:t>
            </w:r>
          </w:p>
        </w:tc>
        <w:tc>
          <w:tcPr>
            <w:tcW w:type="dxa" w:w="1440"/>
            <w:shd w:fill="FAFAFA" w:val="clear"/>
          </w:tcPr>
          <w:p>
            <w:r>
              <w:rPr>
                <w:sz w:val="17"/>
              </w:rPr>
              <w:t>2,541</w:t>
            </w:r>
          </w:p>
        </w:tc>
        <w:tc>
          <w:tcPr>
            <w:tcW w:type="dxa" w:w="1440"/>
            <w:shd w:fill="FAFAFA" w:val="clear"/>
          </w:tcPr>
          <w:p>
            <w:r>
              <w:rPr>
                <w:b/>
                <w:sz w:val="17"/>
              </w:rPr>
              <w:t>2,823</w:t>
            </w:r>
          </w:p>
        </w:tc>
        <w:tc>
          <w:tcPr>
            <w:tcW w:type="dxa" w:w="1440"/>
            <w:shd w:fill="FAFAFA" w:val="clear"/>
          </w:tcPr>
          <w:p>
            <w:r>
              <w:rPr>
                <w:sz w:val="17"/>
              </w:rPr>
              <w:t>3,105</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2026-09-22</w:t>
            </w:r>
          </w:p>
        </w:tc>
        <w:tc>
          <w:tcPr>
            <w:tcW w:type="dxa" w:w="1440"/>
            <w:shd w:fill="FAFAFA" w:val="clear"/>
          </w:tcPr>
          <w:p>
            <w:r>
              <w:rPr>
                <w:sz w:val="17"/>
              </w:rPr>
              <w:t>2,521</w:t>
            </w:r>
          </w:p>
        </w:tc>
        <w:tc>
          <w:tcPr>
            <w:tcW w:type="dxa" w:w="1440"/>
            <w:shd w:fill="FAFAFA" w:val="clear"/>
          </w:tcPr>
          <w:p>
            <w:r>
              <w:rPr>
                <w:b/>
                <w:sz w:val="17"/>
              </w:rPr>
              <w:t>2,817</w:t>
            </w:r>
          </w:p>
        </w:tc>
        <w:tc>
          <w:tcPr>
            <w:tcW w:type="dxa" w:w="1440"/>
            <w:shd w:fill="FAFAFA" w:val="clear"/>
          </w:tcPr>
          <w:p>
            <w:r>
              <w:rPr>
                <w:sz w:val="17"/>
              </w:rPr>
              <w:t>3,114</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195,16 milliards FCFA, ce qui en fait une valeur de première importance sur la BRVM, bien que derrière des géants comme Sonatel. Avec un BPA de 234 FCFA, le titre se négocie à un PER de 12,3x, légèrement au-dessus de la moyenne historique de la place (~8-12x), ce qui suggère une valorisation modérée, sans décote ni prime excessive. Le P/B de 3,39x indique que le marché valorise l'actif net de la société près de 3,4 fois sa valeur comptable, une prime justifiée par la forte rentabilité des capitaux propres (ROE &gt; 27%). Enfin, un EV/EBITDA de 5,1x est particulièrement attractif, signalant que la valeur totale de l'entreprise (capitalisation + dette nette) reste raisonnable par rapport à sa capacité opérationnelle de génération de cash.</w:t>
      </w:r>
    </w:p>
    <w:p>
      <w:pPr>
        <w:spacing w:after="120" w:line="276" w:lineRule="auto"/>
      </w:pPr>
      <w:r>
        <w:t>### **PARTIE 1 : ANALYSE DU COURS — STATISTIQUES ET ÉVOLUTION (100 derniers jours)**</w:t>
      </w:r>
    </w:p>
    <w:p>
      <w:pPr>
        <w:spacing w:after="120" w:line="276" w:lineRule="auto"/>
      </w:pPr>
      <w:r>
        <w:t>Sur les 100 dernières séances, le cours d'ONTBF a très légèrement reculé de -1,03%, avec une dernière séance stable (+0,00%). Le titre a évolué dans un range de trading de 460 FCFA, oscillant entre un plus bas de 2 610 FCFA et un plus haut de 3 070 FCFA, démontrant une certaine amplitude malgré une tendance de fond globalement stable. La moyenne (2 824 FCFA) et la médiane (2 805 FCFA) étant très proches, la distribution des prix est symétrique (Skewness = 0.152), ce qui est confirmé par un Kurtosis négatif (-0.286) indiquant une distribution mésokurtique, sans pic de volatilité extrême ni queue de distribution épaisse. L'écart-type de 87 FCFA (CV = 3,1%) reflète une dispersion très faible autour de la moyenne, typique d'un titre peu spéculatif. Cependant, la volatilité annualisée de 31,2% classe le titre dans la catégorie "élevée", suggérant que sur de plus longues périodes, les mouvements peuvent être amples, probablement en réaction à des événements spécifiques.</w:t>
      </w:r>
    </w:p>
    <w:p>
      <w:pPr>
        <w:spacing w:after="120" w:line="276" w:lineRule="auto"/>
      </w:pPr>
      <w:r>
        <w:t>### **PARTIE 2 : ANALYSE TECHNIQUE DÉTAILLÉE**</w:t>
      </w:r>
    </w:p>
    <w:p>
      <w:pPr>
        <w:spacing w:after="120" w:line="276" w:lineRule="auto"/>
      </w:pPr>
      <w:r>
        <w:t>**Moyennes Mobiles**: Le cours actuel (2 870 FCFA) se situe sous sa MM20 (2 886,25 FCFA) mais au-dessus de sa MM50 (2 840,8 FCFA). Cette configuration, où le prix est entre les deux moyennes, indique une phase de consolidation. Le signal global est un "Achat", car le titre reste au-dessus de la moyenne à moyen terme (MM50), ce qui suggère que la tendance de fond demeure positive malès un récent repli à court terme.</w:t>
      </w:r>
    </w:p>
    <w:p>
      <w:pPr>
        <w:spacing w:after="120" w:line="276" w:lineRule="auto"/>
      </w:pPr>
      <w:r>
        <w:t>**Bandes de Bollinger**: Le prix (2 870 FCFA) se positionne presque exactement au milieu des bandes (borne supérieure à 2 968,5 et inférieure à 2 804). Cette position centrale indique une volatilité modérée et l'absence de pression directionnelle forte. La décision est "Neutre", le titre n'étant ni suracheté (proche de la borne haute) ni survendu (proche de la borne basse).</w:t>
      </w:r>
    </w:p>
    <w:p>
      <w:pPr>
        <w:spacing w:after="120" w:line="276" w:lineRule="auto"/>
      </w:pPr>
      <w:r>
        <w:t>**MACD**: La valeur du MACD (7,285) est inférieure à son signal (12,667), ce qui constitue une configuration baissière classique. Le momentum à court terme est donc négatif, et la décision est "Vente". Cela suggère que la pression vendeuse est actuellement plus forte que la pression acheteuse, même si l'écart reste modeste.</w:t>
      </w:r>
    </w:p>
    <w:p>
      <w:pPr>
        <w:spacing w:after="120" w:line="276" w:lineRule="auto"/>
      </w:pPr>
      <w:r>
        <w:t>**RSI**: Avec une valeur de 46,341, le RSI se situe dans la zone neutre (30-70). Il n'y a pas de condition de surachat ou de survente. Le marché est donc dans un état d'équilibre relatif, sans signal directionnel fort. La décision est "Neutre".</w:t>
      </w:r>
    </w:p>
    <w:p>
      <w:pPr>
        <w:spacing w:after="120" w:line="276" w:lineRule="auto"/>
      </w:pPr>
      <w:r>
        <w:t>**Stochastique**: Le %K (46,429) est inférieur au %D (58,333), indiquant un croisement baissier récent. Cependant, les deux lignes évoluent en zone neutre, ce qui limite la portée du signal. La décision est "Neutre", mais la configuration suggère une faiblesse à très court terme.</w:t>
      </w:r>
    </w:p>
    <w:p>
      <w:pPr>
        <w:spacing w:after="120" w:line="276" w:lineRule="auto"/>
      </w:pPr>
      <w:r>
        <w:t>**Conclusion technique**: Les indicateurs techniques sont globalement mitigés. Les moyennes mobiles (MM50) et la position centrale dans les bandes de Bollinger plaident pour une stabilité, tandis que le MACD et le croisement du Stochastique indiquent une légère pression baissière à court terme. Le RSI neutre ne permet pas de trancher. La tendance générale est donc à la consolidation, avec un biais légèrement négatif à très court terme, mais sans signal de vente majeur.</w:t>
      </w:r>
    </w:p>
    <w:p>
      <w:pPr>
        <w:spacing w:after="120" w:line="276" w:lineRule="auto"/>
      </w:pPr>
      <w:r>
        <w:t>### **PARTIE 3 : ANALYSE FONDAMENTALE (SECTION CRITIQUE)**</w:t>
      </w:r>
    </w:p>
    <w:p>
      <w:pPr>
        <w:spacing w:after="120" w:line="276" w:lineRule="auto"/>
      </w:pPr>
      <w:r>
        <w:t>En 2025, les données financières structurées d'ONTBF révèlent un profil de "BANQUE" atypique, avec un PNB (ou CA) de 146,177 Mds FCFA. Le résultat net s'établit à 15,887 Mds FCFA, en forte baisse de -26% par rapport à 2024 (21,47 Mds FCFA), comme le confirment les rapports annuels de gestion datés de fin 2025. Cette dégradation est visible dans la marge nette (10,87%) et le ROE (27,61%), ce dernier restant néanmoins excellent (&gt;15%). Le coefficient d'exploitation de 67,07% est un point de vigilance, indiquant une moins bonne maîtrise des charges que la référence de 60% pour une banque efficace. Le coût du risque de 3,57% est également élevé, signalant une dégradation de la qualité du portefeuille ou des provisions importantes. Les rapports trimestriels 2025 (T1, S1, 9 mois) confirment cette tendance : le CA progresse de +3 à +4% porté par la data et le FTTH, mais le résultat net chute de -17% à -29% en glissement annuel. Sur la base de ces rapports, on estime que la pression sur les marges devrait se poursuivre en 2026, bien que le rapport T1 2026 (CA +2,7%, marge EBITDA stable à 41,3%) suggère une possible stabilisation. La solidité financière reste néanmoins assurée par une capacité d'autofinancement massive (CAF de 46,95 Mds FCFA) et une trésorerie nette positive (10,65 Mds FCFA), malgré un endettement élevé (ratio d'endettement de 187%).</w:t>
      </w:r>
    </w:p>
    <w:p>
      <w:pPr>
        <w:spacing w:after="120" w:line="276" w:lineRule="auto"/>
      </w:pPr>
      <w:r>
        <w:t>### **PARTIE 4 : CONCLUSION D'INVESTISSEMENT**</w:t>
      </w:r>
    </w:p>
    <w:p>
      <w:pPr>
        <w:spacing w:after="120" w:line="276" w:lineRule="auto"/>
      </w:pPr>
      <w:r>
        <w:t>La valorisation d'ONTBF (PER 12,3x, P/B 3,39x) est modérée et cohérente avec une entreprise rentable mais en perte de vitesse, tandis que l'EV/EBITDA de 5,1x est attractif. Le comportement du cours sur 100 jours est stable et symétrique, avec une volatilité annualisée élevée qui contraste avec la faible dispersion récente. Les signaux techniques sont mitigés, oscillant entre un biais baissier à court terme (MACD) et une tendance de fond neutre à positive (MM50). Les fondamentaux montrent une entreprise solide, générant un cash-flow important, mais confrontée à une érosion de sa rentabilité due à des facteurs externes (sécurité, énergie) et à une hausse des charges. Les prédictions IA pour les 10 prochains jours (baisse progressive de 2 867 à 2 844 FCFA) confirment le biais baissier technique à court terme. En synthèse, les signaux sont divergents : la valorisation et la solidité financière plaident pour une conservation, tandis que la dégradation des marges et les signaux techniques suggèrent une prudence à court terme. Par conséquent, la recommandation finale est de **CONSERVER** le titre, avec un niveau de confiance **Moyen**. Le risque global est **Élevé** en raison du contexte sécuritaire et de la pression sur la rentabilité. L'horizon d'investissement optimal serait de **moyen terme (3-12 mois)**, en attendant de voir si les actions d'optimisation des coûts annoncées par la direction portent leurs fruits et inversent la tendance baissière des résultats.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3202.93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2,585 titres</w:t>
            </w:r>
          </w:p>
        </w:tc>
        <w:tc>
          <w:tcPr>
            <w:tcW w:type="dxa" w:w="2268"/>
            <w:shd w:fill="FFF2CC" w:val="clear"/>
          </w:tcPr>
          <w:p>
            <w:r>
              <w:rPr>
                <w:b/>
                <w:color w:val="503200"/>
                <w:sz w:val="16"/>
              </w:rPr>
              <w:t xml:space="preserve">Cours actuel : </w:t>
            </w:r>
            <w:r>
              <w:rPr>
                <w:color w:val="000000"/>
                <w:sz w:val="17"/>
              </w:rPr>
              <w:t>21,260 FCFA</w:t>
            </w:r>
          </w:p>
          <w:p>
            <w:r>
              <w:rPr>
                <w:b/>
                <w:color w:val="503200"/>
                <w:sz w:val="16"/>
              </w:rPr>
              <w:t xml:space="preserve">Var. 100 jours : </w:t>
            </w:r>
            <w:r>
              <w:rPr>
                <w:b/>
                <w:color w:val="007800"/>
                <w:sz w:val="17"/>
              </w:rPr>
              <w:t>+40.15%</w:t>
            </w:r>
          </w:p>
          <w:p>
            <w:r>
              <w:rPr>
                <w:b/>
                <w:color w:val="503200"/>
                <w:sz w:val="16"/>
              </w:rPr>
              <w:t xml:space="preserve">Plus haut 100j : </w:t>
            </w:r>
            <w:r>
              <w:rPr>
                <w:color w:val="000000"/>
                <w:sz w:val="17"/>
              </w:rPr>
              <w:t>21,800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11.39% (Moyenne) — μ=16,759 FCFA, σ=1,908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β=1.3067 (Agressif) — Cov=0.000047, Var(idx)=0.000036, ρ=0.423,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20,286</w:t>
            </w:r>
          </w:p>
        </w:tc>
        <w:tc>
          <w:tcPr>
            <w:tcW w:type="dxa" w:w="1440"/>
            <w:shd w:fill="FAFAFA" w:val="clear"/>
          </w:tcPr>
          <w:p>
            <w:r>
              <w:rPr>
                <w:b/>
                <w:sz w:val="17"/>
              </w:rPr>
              <w:t>20,915</w:t>
            </w:r>
          </w:p>
        </w:tc>
        <w:tc>
          <w:tcPr>
            <w:tcW w:type="dxa" w:w="1440"/>
            <w:shd w:fill="FAFAFA" w:val="clear"/>
          </w:tcPr>
          <w:p>
            <w:r>
              <w:rPr>
                <w:sz w:val="17"/>
              </w:rPr>
              <w:t>21,545</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19,903</w:t>
            </w:r>
          </w:p>
        </w:tc>
        <w:tc>
          <w:tcPr>
            <w:tcW w:type="dxa" w:w="1440"/>
            <w:shd w:fill="FFDCE0" w:val="clear"/>
          </w:tcPr>
          <w:p>
            <w:r>
              <w:rPr>
                <w:b/>
                <w:sz w:val="17"/>
              </w:rPr>
              <w:t>20,788</w:t>
            </w:r>
          </w:p>
        </w:tc>
        <w:tc>
          <w:tcPr>
            <w:tcW w:type="dxa" w:w="1440"/>
            <w:shd w:fill="FFDCE0" w:val="clear"/>
          </w:tcPr>
          <w:p>
            <w:r>
              <w:rPr>
                <w:sz w:val="17"/>
              </w:rPr>
              <w:t>21,672</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19,564</w:t>
            </w:r>
          </w:p>
        </w:tc>
        <w:tc>
          <w:tcPr>
            <w:tcW w:type="dxa" w:w="1440"/>
            <w:shd w:fill="FFDCE0" w:val="clear"/>
          </w:tcPr>
          <w:p>
            <w:r>
              <w:rPr>
                <w:b/>
                <w:sz w:val="17"/>
              </w:rPr>
              <w:t>20,640</w:t>
            </w:r>
          </w:p>
        </w:tc>
        <w:tc>
          <w:tcPr>
            <w:tcW w:type="dxa" w:w="1440"/>
            <w:shd w:fill="FFDCE0" w:val="clear"/>
          </w:tcPr>
          <w:p>
            <w:r>
              <w:rPr>
                <w:sz w:val="17"/>
              </w:rPr>
              <w:t>21,715</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19,261</w:t>
            </w:r>
          </w:p>
        </w:tc>
        <w:tc>
          <w:tcPr>
            <w:tcW w:type="dxa" w:w="1440"/>
            <w:shd w:fill="FFDCE0" w:val="clear"/>
          </w:tcPr>
          <w:p>
            <w:r>
              <w:rPr>
                <w:b/>
                <w:sz w:val="17"/>
              </w:rPr>
              <w:t>20,494</w:t>
            </w:r>
          </w:p>
        </w:tc>
        <w:tc>
          <w:tcPr>
            <w:tcW w:type="dxa" w:w="1440"/>
            <w:shd w:fill="FFDCE0" w:val="clear"/>
          </w:tcPr>
          <w:p>
            <w:r>
              <w:rPr>
                <w:sz w:val="17"/>
              </w:rPr>
              <w:t>21,728</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18,985</w:t>
            </w:r>
          </w:p>
        </w:tc>
        <w:tc>
          <w:tcPr>
            <w:tcW w:type="dxa" w:w="1440"/>
            <w:shd w:fill="FFDCE0" w:val="clear"/>
          </w:tcPr>
          <w:p>
            <w:r>
              <w:rPr>
                <w:b/>
                <w:sz w:val="17"/>
              </w:rPr>
              <w:t>20,354</w:t>
            </w:r>
          </w:p>
        </w:tc>
        <w:tc>
          <w:tcPr>
            <w:tcW w:type="dxa" w:w="1440"/>
            <w:shd w:fill="FFDCE0" w:val="clear"/>
          </w:tcPr>
          <w:p>
            <w:r>
              <w:rPr>
                <w:sz w:val="17"/>
              </w:rPr>
              <w:t>21,724</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18,730</w:t>
            </w:r>
          </w:p>
        </w:tc>
        <w:tc>
          <w:tcPr>
            <w:tcW w:type="dxa" w:w="1440"/>
            <w:shd w:fill="FFDCE0" w:val="clear"/>
          </w:tcPr>
          <w:p>
            <w:r>
              <w:rPr>
                <w:b/>
                <w:sz w:val="17"/>
              </w:rPr>
              <w:t>20,220</w:t>
            </w:r>
          </w:p>
        </w:tc>
        <w:tc>
          <w:tcPr>
            <w:tcW w:type="dxa" w:w="1440"/>
            <w:shd w:fill="FFDCE0" w:val="clear"/>
          </w:tcPr>
          <w:p>
            <w:r>
              <w:rPr>
                <w:sz w:val="17"/>
              </w:rPr>
              <w:t>21,711</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18,491</w:t>
            </w:r>
          </w:p>
        </w:tc>
        <w:tc>
          <w:tcPr>
            <w:tcW w:type="dxa" w:w="1440"/>
            <w:shd w:fill="FFDCE0" w:val="clear"/>
          </w:tcPr>
          <w:p>
            <w:r>
              <w:rPr>
                <w:b/>
                <w:sz w:val="17"/>
              </w:rPr>
              <w:t>20,091</w:t>
            </w:r>
          </w:p>
        </w:tc>
        <w:tc>
          <w:tcPr>
            <w:tcW w:type="dxa" w:w="1440"/>
            <w:shd w:fill="FFDCE0" w:val="clear"/>
          </w:tcPr>
          <w:p>
            <w:r>
              <w:rPr>
                <w:sz w:val="17"/>
              </w:rPr>
              <w:t>21,691</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18,267</w:t>
            </w:r>
          </w:p>
        </w:tc>
        <w:tc>
          <w:tcPr>
            <w:tcW w:type="dxa" w:w="1440"/>
            <w:shd w:fill="FFDCE0" w:val="clear"/>
          </w:tcPr>
          <w:p>
            <w:r>
              <w:rPr>
                <w:b/>
                <w:sz w:val="17"/>
              </w:rPr>
              <w:t>19,966</w:t>
            </w:r>
          </w:p>
        </w:tc>
        <w:tc>
          <w:tcPr>
            <w:tcW w:type="dxa" w:w="1440"/>
            <w:shd w:fill="FFDCE0" w:val="clear"/>
          </w:tcPr>
          <w:p>
            <w:r>
              <w:rPr>
                <w:sz w:val="17"/>
              </w:rPr>
              <w:t>21,666</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18,055</w:t>
            </w:r>
          </w:p>
        </w:tc>
        <w:tc>
          <w:tcPr>
            <w:tcW w:type="dxa" w:w="1440"/>
            <w:shd w:fill="FFDCE0" w:val="clear"/>
          </w:tcPr>
          <w:p>
            <w:r>
              <w:rPr>
                <w:b/>
                <w:sz w:val="17"/>
              </w:rPr>
              <w:t>19,846</w:t>
            </w:r>
          </w:p>
        </w:tc>
        <w:tc>
          <w:tcPr>
            <w:tcW w:type="dxa" w:w="1440"/>
            <w:shd w:fill="FFDCE0" w:val="clear"/>
          </w:tcPr>
          <w:p>
            <w:r>
              <w:rPr>
                <w:sz w:val="17"/>
              </w:rPr>
              <w:t>21,638</w:t>
            </w:r>
          </w:p>
        </w:tc>
        <w:tc>
          <w:tcPr>
            <w:tcW w:type="dxa" w:w="1440"/>
            <w:shd w:fill="FFDCE0" w:val="clear"/>
          </w:tcPr>
          <w:p>
            <w:r>
              <w:rPr>
                <w:b/>
                <w:color w:val="C00000"/>
                <w:sz w:val="17"/>
              </w:rPr>
              <w:t>-6.6%</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17,853</w:t>
            </w:r>
          </w:p>
        </w:tc>
        <w:tc>
          <w:tcPr>
            <w:tcW w:type="dxa" w:w="1440"/>
            <w:shd w:fill="FFDCE0" w:val="clear"/>
          </w:tcPr>
          <w:p>
            <w:r>
              <w:rPr>
                <w:b/>
                <w:sz w:val="17"/>
              </w:rPr>
              <w:t>19,731</w:t>
            </w:r>
          </w:p>
        </w:tc>
        <w:tc>
          <w:tcPr>
            <w:tcW w:type="dxa" w:w="1440"/>
            <w:shd w:fill="FFDCE0" w:val="clear"/>
          </w:tcPr>
          <w:p>
            <w:r>
              <w:rPr>
                <w:sz w:val="17"/>
              </w:rPr>
              <w:t>21,608</w:t>
            </w:r>
          </w:p>
        </w:tc>
        <w:tc>
          <w:tcPr>
            <w:tcW w:type="dxa" w:w="1440"/>
            <w:shd w:fill="FFDCE0" w:val="clear"/>
          </w:tcPr>
          <w:p>
            <w:r>
              <w:rPr>
                <w:b/>
                <w:color w:val="C00000"/>
                <w:sz w:val="17"/>
              </w:rPr>
              <w:t>-7.2%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**Date de l'analyse : 09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3 202,93 milliards FCFA, ce qui en fait une valeur de première importance sur la BRVM, représentant une part significative de la capitalisation totale du marché. Avec un BPA de 1 114 FCFA, le titre se négocie à un PER de 19,1x, nettement supérieur à la moyenne historique de la BRVM (8-12x), indiquant que les investisseurs acceptent de payer une prime substantielle pour la qualité des actifs et la croissance de l'entreprise. Le P/B de 4,53x confirme cette prime, le marché valorisant fortement les capitaux propres au-delà de leur valeur comptable. Enfin, l'EV/EBITDA de 7,6x, dans une fourchette de 5 à 10x, tempère cette lecture en montrant que la valorisation reste raisonnable au regard de la capacité bénéficiaire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+40,15%, passant d'un plus bas de 14 650 FCFA à un plus haut de 21 800 FCFA, avant de clôturer à 21 260 FCFA. Cette tendance haussière marquée s'est toutefois accompagnée d'un léger repli de -2,48% lors de la dernière séance, suggérant une possible prise de bénéfices après un rallye prolongé. La moyenne du cours sur la période (16 759 FCFA) est supérieure à la médiane (16 160 FCFA), et le skewness positif de 1,428 indique une distribution asymétrique avec des journées plus nombreuses sous la moyenne, mais des mouvements haussiers ponctuels de forte ampleur. L'écart-type de 1 918 FCFA (CV=11,4%) révèle une dispersion modérée, tandis que le kurtosis de 0,954 (mésokurtique) suggère une distribution proche de la normale, sans risque de pics extrêmes. La volatilité annualisée de 29,8% classe le titre dans la catégorie des valeurs à volatilité élevée, proche du seuil de 30%, ce qui implique un risque de fluctuation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21 260 FCFA se situe nettement au-dessus de la MM20 (20 096 FCFA) et de la MM50 (17 953,7 FCFA), confirmant une dynamique haussière solide à court et moyen terme. L'écart croissant entre les deux moyennes mobiles et le cours témoigne de la vigueur du mouvement, justifiant la décision d'achat.</w:t>
      </w:r>
    </w:p>
    <w:p>
      <w:pPr>
        <w:spacing w:after="120" w:line="276" w:lineRule="auto"/>
      </w:pPr>
      <w:r>
        <w:t>**Bandes de Bollinger** : Le prix évolue dans la partie supérieure du canal formé par les bandes (borne supérieure à 23 187,65 FCFA, borne inférieure à 17 004,35 FCFA), mais sans toucher la borne supérieure, ce qui indique une volatilité modérée et une absence de condition de surachat extrême. La décision neutre est cohérente avec une position de consolidation après une forte hausse.</w:t>
      </w:r>
    </w:p>
    <w:p>
      <w:pPr>
        <w:spacing w:after="120" w:line="276" w:lineRule="auto"/>
      </w:pPr>
      <w:r>
        <w:t>**MACD** : La valeur du MACD (1 093,988) est très légèrement inférieure à son signal (1 100,978), suggérant un affaiblissement du momentum haussier à très court terme. Cette divergence mineure, bien que générant une décision de vente, doit être interprétée avec prudence car elle intervient après une tendance haussière soutenue et pourrait signaler une simple consolidation.</w:t>
      </w:r>
    </w:p>
    <w:p>
      <w:pPr>
        <w:spacing w:after="120" w:line="276" w:lineRule="auto"/>
      </w:pPr>
      <w:r>
        <w:t>**RSI** : À 68,196, le RSI se situe en zone neutre, proche du seuil de surachat de 70. Cette valeur indique que le titre a fortement progressé mais ne présente pas encore de conditions de surachat extrême, laissant une marge de progression potentielle tout en suggérant une vigilance accrue.</w:t>
      </w:r>
    </w:p>
    <w:p>
      <w:pPr>
        <w:spacing w:after="120" w:line="276" w:lineRule="auto"/>
      </w:pPr>
      <w:r>
        <w:t>**Stochastique** : Le %K (76,419) est inférieur au %D (86,603), indiquant un croisement baissier potentiel à court terme. Cette configuration, bien que neutre, suggère un ralentissement du momentum haussier et une possible phase de consolidation dans les prochaines séances.</w:t>
      </w:r>
    </w:p>
    <w:p>
      <w:pPr>
        <w:spacing w:after="120" w:line="276" w:lineRule="auto"/>
      </w:pPr>
      <w:r>
        <w:t>**Conclusion technique** : La tendance de fond reste résolument haussière, portée par des moyennes mobiles orientées à la hausse et un cours évoluant dans la partie supérieure des bandes de Bollinger. Cependant, les indicateurs de momentum (MACD, Stochastique) montrent des signes de fatigue à court terme, suggérant une possible consolidation avant la poursuite du mouvement haussier. La prudence est donc recommandée à très court terme, mais la tendance structurelle demeure positive.</w:t>
      </w:r>
    </w:p>
    <w:p>
      <w:pPr>
        <w:spacing w:after="120" w:line="276" w:lineRule="auto"/>
      </w:pPr>
      <w:r>
        <w:t>---</w:t>
      </w:r>
    </w:p>
    <w:p>
      <w:pPr>
        <w:spacing w:after="120" w:line="276" w:lineRule="auto"/>
      </w:pPr>
      <w:r>
        <w:t>### PARTIE 3 : ANALYSE FONDAMENTALE (SECTION CRITIQUE)</w:t>
      </w:r>
    </w:p>
    <w:p>
      <w:pPr>
        <w:spacing w:after="120" w:line="276" w:lineRule="auto"/>
      </w:pPr>
      <w:r>
        <w:t>En 2025, Orange Côte d'Ivoire a réalisé un chiffre d'affaires consolidé de 1 197,1 milliards FCFA, en hausse de +10,4% par rapport à 2024, avec un résultat net consolidé de 167,8 milliards FCFA (+6,1%) et un résultat net part du groupe de 129,1 milliards FCFA (+14,5%). La rentabilité reste solide avec un ROE de 23,7% (excellent, &gt;15%) et un ROA de 6,6%, démontrant une utilisation efficace des capitaux propres et des actifs. La marge opérationnelle de 24,0% et la marge nette de 14,0% confirment la solidité du modèle économique. La structure financière présente un BFR négatif de -198 milliards FCFA, situation favorable qui témoigne d'une gestion efficace du cycle d'exploitation, avec un délai fournisseurs de 210,9 jours nettement supérieur au délai clients de 52,3 jours. Le ratio d'endettement de 47,5% et la capacité de remboursement de 0,99 an indiquent une dette maîtrisée et une excellente solvabilité (138,3%). Les rapports trimestriels 2025 (T1, S1, T3) montrent une croissance soutenue du CA (+8,9% à +9,9%) mais une stagnation du résultat net (+0,2% à +1,9%), principalement due à des charges financières en hausse. Cependant, le rapport T1 2026, publié en mai 2026, révèle une accélération spectaculaire : CA en hausse de +14,8% à 325,6 milliards FCFA et résultat net en progression de +25,2% à 48,3 milliards FCFA, avec une marge nette qui s'améliore à 14,8%. Sur la base de ces données, on estime que l'exercice 2026 devrait afficher une croissance du CA de l'ordre de +12-15% et une progression du résultat net de +15-20%, portée par la fibre, la data et Orange Money. La politique de dividende reste attractive avec un DPA de 800 FCFA brut proposé pour 2025, soit un rendement d'environ 3,8% au cours actuel, et un taux de distribution de 93,3% du résultat net part du groupe.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configuration globalement positive mais contrastée. La valorisation (PER de 19,1x, P/B de 4,53x) apparaît exigeante par rapport aux standards BRVM, bien que l'EV/EBITDA de 7,6x tempère cette lecture. Le comportement du cours sur 100 jours (+40,15%) témoigne d'une dynamique haussière impressionnante, portée par des fondamentaux solides et des perspectives de croissance confirmées par les résultats T1 2026 (+25,2% de résultat net). Les signaux techniques, majoritairement positifs (MM en configuration d'achat), montrent néanmoins des signes de fatigue à court terme (MACD et Stochastique en léger repli, RSI proche de 70), suggérant une consolidation probable. Les fondamentaux restent excellents avec un ROE de 23,7%, une croissance soutenue et une politique de dividende généreuse. Les prédictions IA pour les 10 prochains jours (baisse progressive de 20 915 à 20 354 FCFA) confirment cette hypothèse de consolidation à court terme. **Recommandation finale : ACHAT** pour les investisseurs de moyen et long terme, avec un niveau de confiance **Élevé** et un risque global **Moyen**. L'horizon d'investissement optimal se situe à **moyen terme (3-12 mois)**, en capitalisant sur la solidité des fondamentaux et les perspectives de croissance, tout en surveillant les points d'entrée lors des phases de repli technique.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235.66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5,624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-1.16%</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9.47% (Moyenne) — μ=2,915 FCFA, σ=276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β=0.2509 (Défensif) — Cov=0.000009, Var(idx)=0.000036, ρ=0.055,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3,239</w:t>
            </w:r>
          </w:p>
        </w:tc>
        <w:tc>
          <w:tcPr>
            <w:tcW w:type="dxa" w:w="1440"/>
            <w:shd w:fill="FAFAFA" w:val="clear"/>
          </w:tcPr>
          <w:p>
            <w:r>
              <w:rPr>
                <w:b/>
                <w:sz w:val="17"/>
              </w:rPr>
              <w:t>3,344</w:t>
            </w:r>
          </w:p>
        </w:tc>
        <w:tc>
          <w:tcPr>
            <w:tcW w:type="dxa" w:w="1440"/>
            <w:shd w:fill="FAFAFA" w:val="clear"/>
          </w:tcPr>
          <w:p>
            <w:r>
              <w:rPr>
                <w:sz w:val="17"/>
              </w:rPr>
              <w:t>3,450</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3,188</w:t>
            </w:r>
          </w:p>
        </w:tc>
        <w:tc>
          <w:tcPr>
            <w:tcW w:type="dxa" w:w="1440"/>
            <w:shd w:fill="FAFAFA" w:val="clear"/>
          </w:tcPr>
          <w:p>
            <w:r>
              <w:rPr>
                <w:b/>
                <w:sz w:val="17"/>
              </w:rPr>
              <w:t>3,337</w:t>
            </w:r>
          </w:p>
        </w:tc>
        <w:tc>
          <w:tcPr>
            <w:tcW w:type="dxa" w:w="1440"/>
            <w:shd w:fill="FAFAFA" w:val="clear"/>
          </w:tcPr>
          <w:p>
            <w:r>
              <w:rPr>
                <w:sz w:val="17"/>
              </w:rPr>
              <w:t>3,485</w:t>
            </w:r>
          </w:p>
        </w:tc>
        <w:tc>
          <w:tcPr>
            <w:tcW w:type="dxa" w:w="1440"/>
            <w:shd w:fill="FAFAFA" w:val="clear"/>
          </w:tcPr>
          <w:p>
            <w:r>
              <w:rPr>
                <w:b/>
                <w:color w:val="C00000"/>
                <w:sz w:val="17"/>
              </w:rPr>
              <w:t>-1.7%</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3,147</w:t>
            </w:r>
          </w:p>
        </w:tc>
        <w:tc>
          <w:tcPr>
            <w:tcW w:type="dxa" w:w="1440"/>
            <w:shd w:fill="FAFAFA" w:val="clear"/>
          </w:tcPr>
          <w:p>
            <w:r>
              <w:rPr>
                <w:b/>
                <w:sz w:val="17"/>
              </w:rPr>
              <w:t>3,329</w:t>
            </w:r>
          </w:p>
        </w:tc>
        <w:tc>
          <w:tcPr>
            <w:tcW w:type="dxa" w:w="1440"/>
            <w:shd w:fill="FAFAFA" w:val="clear"/>
          </w:tcPr>
          <w:p>
            <w:r>
              <w:rPr>
                <w:sz w:val="17"/>
              </w:rPr>
              <w:t>3,510</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3,113</w:t>
            </w:r>
          </w:p>
        </w:tc>
        <w:tc>
          <w:tcPr>
            <w:tcW w:type="dxa" w:w="1440"/>
            <w:shd w:fill="FFDCE0" w:val="clear"/>
          </w:tcPr>
          <w:p>
            <w:r>
              <w:rPr>
                <w:b/>
                <w:sz w:val="17"/>
              </w:rPr>
              <w:t>3,322</w:t>
            </w:r>
          </w:p>
        </w:tc>
        <w:tc>
          <w:tcPr>
            <w:tcW w:type="dxa" w:w="1440"/>
            <w:shd w:fill="FFDCE0" w:val="clear"/>
          </w:tcPr>
          <w:p>
            <w:r>
              <w:rPr>
                <w:sz w:val="17"/>
              </w:rPr>
              <w:t>3,532</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3,084</w:t>
            </w:r>
          </w:p>
        </w:tc>
        <w:tc>
          <w:tcPr>
            <w:tcW w:type="dxa" w:w="1440"/>
            <w:shd w:fill="FFDCE0" w:val="clear"/>
          </w:tcPr>
          <w:p>
            <w:r>
              <w:rPr>
                <w:b/>
                <w:sz w:val="17"/>
              </w:rPr>
              <w:t>3,318</w:t>
            </w:r>
          </w:p>
        </w:tc>
        <w:tc>
          <w:tcPr>
            <w:tcW w:type="dxa" w:w="1440"/>
            <w:shd w:fill="FFDCE0" w:val="clear"/>
          </w:tcPr>
          <w:p>
            <w:r>
              <w:rPr>
                <w:sz w:val="17"/>
              </w:rPr>
              <w:t>3,551</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3,058</w:t>
            </w:r>
          </w:p>
        </w:tc>
        <w:tc>
          <w:tcPr>
            <w:tcW w:type="dxa" w:w="1440"/>
            <w:shd w:fill="FFDCE0" w:val="clear"/>
          </w:tcPr>
          <w:p>
            <w:r>
              <w:rPr>
                <w:b/>
                <w:sz w:val="17"/>
              </w:rPr>
              <w:t>3,313</w:t>
            </w:r>
          </w:p>
        </w:tc>
        <w:tc>
          <w:tcPr>
            <w:tcW w:type="dxa" w:w="1440"/>
            <w:shd w:fill="FFDCE0" w:val="clear"/>
          </w:tcPr>
          <w:p>
            <w:r>
              <w:rPr>
                <w:sz w:val="17"/>
              </w:rPr>
              <w:t>3,569</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3,034</w:t>
            </w:r>
          </w:p>
        </w:tc>
        <w:tc>
          <w:tcPr>
            <w:tcW w:type="dxa" w:w="1440"/>
            <w:shd w:fill="FFDCE0" w:val="clear"/>
          </w:tcPr>
          <w:p>
            <w:r>
              <w:rPr>
                <w:b/>
                <w:sz w:val="17"/>
              </w:rPr>
              <w:t>3,309</w:t>
            </w:r>
          </w:p>
        </w:tc>
        <w:tc>
          <w:tcPr>
            <w:tcW w:type="dxa" w:w="1440"/>
            <w:shd w:fill="FFDCE0" w:val="clear"/>
          </w:tcPr>
          <w:p>
            <w:r>
              <w:rPr>
                <w:sz w:val="17"/>
              </w:rPr>
              <w:t>3,585</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3,011</w:t>
            </w:r>
          </w:p>
        </w:tc>
        <w:tc>
          <w:tcPr>
            <w:tcW w:type="dxa" w:w="1440"/>
            <w:shd w:fill="FFDCE0" w:val="clear"/>
          </w:tcPr>
          <w:p>
            <w:r>
              <w:rPr>
                <w:b/>
                <w:sz w:val="17"/>
              </w:rPr>
              <w:t>3,306</w:t>
            </w:r>
          </w:p>
        </w:tc>
        <w:tc>
          <w:tcPr>
            <w:tcW w:type="dxa" w:w="1440"/>
            <w:shd w:fill="FFDCE0" w:val="clear"/>
          </w:tcPr>
          <w:p>
            <w:r>
              <w:rPr>
                <w:sz w:val="17"/>
              </w:rPr>
              <w:t>3,600</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2,990</w:t>
            </w:r>
          </w:p>
        </w:tc>
        <w:tc>
          <w:tcPr>
            <w:tcW w:type="dxa" w:w="1440"/>
            <w:shd w:fill="FFDCE0" w:val="clear"/>
          </w:tcPr>
          <w:p>
            <w:r>
              <w:rPr>
                <w:b/>
                <w:sz w:val="17"/>
              </w:rPr>
              <w:t>3,302</w:t>
            </w:r>
          </w:p>
        </w:tc>
        <w:tc>
          <w:tcPr>
            <w:tcW w:type="dxa" w:w="1440"/>
            <w:shd w:fill="FFDCE0" w:val="clear"/>
          </w:tcPr>
          <w:p>
            <w:r>
              <w:rPr>
                <w:sz w:val="17"/>
              </w:rPr>
              <w:t>3,614</w:t>
            </w:r>
          </w:p>
        </w:tc>
        <w:tc>
          <w:tcPr>
            <w:tcW w:type="dxa" w:w="1440"/>
            <w:shd w:fill="FFDCE0" w:val="clear"/>
          </w:tcPr>
          <w:p>
            <w:r>
              <w:rPr>
                <w:b/>
                <w:color w:val="C00000"/>
                <w:sz w:val="17"/>
              </w:rPr>
              <w:t>-2.7%</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2,970</w:t>
            </w:r>
          </w:p>
        </w:tc>
        <w:tc>
          <w:tcPr>
            <w:tcW w:type="dxa" w:w="1440"/>
            <w:shd w:fill="FFDCE0" w:val="clear"/>
          </w:tcPr>
          <w:p>
            <w:r>
              <w:rPr>
                <w:b/>
                <w:sz w:val="17"/>
              </w:rPr>
              <w:t>3,299</w:t>
            </w:r>
          </w:p>
        </w:tc>
        <w:tc>
          <w:tcPr>
            <w:tcW w:type="dxa" w:w="1440"/>
            <w:shd w:fill="FFDCE0" w:val="clear"/>
          </w:tcPr>
          <w:p>
            <w:r>
              <w:rPr>
                <w:sz w:val="17"/>
              </w:rPr>
              <w:t>3,627</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235,66 milliards FCFA, ce qui en fait une valeur de taille moyenne sur la BRVM, représentant un panier significatif de l'indice mais loin des géants du marché. Avec un BPA de 312 FCFA, chaque action génère un bénéfice confortable, justifiant un PER de 10,9x. Ce ratio est dans la fourchette haute du marché BRVM (moyenne de 8 à 12x), indiquant que les investisseurs paient un prix raisonnable, sans décote ni prime excessive, pour les bénéfices de la banque. Le P/B de 2,08x montre que le marché valorise la société à plus du double de sa valeur comptable, suggérant une anticipation de croissance future et une confiance dans la qualité des actifs. Enfin, l'EV/EBITDA de 20,5x est nettement supérieur au seuil de 15x, signalant une valorisation exigeante de la capacité opérationnelle de l'entreprise, ce qui pourrait refléter des attentes élevées de redressement ou une prime sectorielle.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ORGT affiche une variation totale de -1,16%, avec une légère baisse de -0,15% lors de la dernière séance, indiquant une stabilité relative. Le cours a évolué dans une fourchette large de 2 435 FCFA (plus bas) à 3 475 FCFA (plus haut), montrant une volatilité intra-période importante. La moyenne du cours sur la période est de 2 915 FCFA, tandis que la médiane est de 2 780 FCFA ; l'écart entre ces deux valeurs suggère une distribution asymétrique, avec des extrêmes hauts tirant la moyenne vers le haut. L'écart-type de 277 FCFA (CV=9,5%) indique une dispersion modérée autour de la moyenne. Le kurtosis négatif (-1,248) révèle une distribution platykurtique, avec moins de valeurs extrêmes que la normale, tandis que le skewness positif (0,344) confirme une légère asymétrie vers les hausses. La volatilité annualisée de 43,6% classe le titre comme très volatil, un niveau élevé qui implique des fluctuations de prix significatives sur l'année.</w:t>
      </w:r>
    </w:p>
    <w:p>
      <w:pPr>
        <w:spacing w:after="120" w:line="276" w:lineRule="auto" w:before="240"/>
      </w:pPr>
      <w:r>
        <w:rPr>
          <w:b/>
          <w:color w:val="003366"/>
          <w:sz w:val="24"/>
        </w:rPr>
        <w:t>**PARTIE 2 : ANALYSE TECHNIQUE DÉTAILLÉE**</w:t>
      </w:r>
    </w:p>
    <w:p>
      <w:pPr>
        <w:spacing w:after="120" w:line="276" w:lineRule="auto"/>
      </w:pPr>
      <w:r>
        <w:t>**Moyennes Mobiles** : Le cours actuel de 3 395 FCFA se situe nettement au-dessus de la MM20 (3 171 FCFA) et de la MM50 (2 951,7 FCFA), confirmant une tendance haussière à court et moyen terme. Cette configuration positive justifie la décision d'achat, le prix évoluant dans une dynamique ascendante soutenue par les moyennes mobiles.</w:t>
      </w:r>
    </w:p>
    <w:p>
      <w:pPr>
        <w:spacing w:after="120" w:line="276" w:lineRule="auto"/>
      </w:pPr>
      <w:r>
        <w:t>**Bandes de Bollinger** : Le prix est positionné au-dessus de la borne supérieure (3 377,54 FCFA), ce qui indique une condition de surachat extrême. Cette sortie de canal signale une volatilité accrue et un mouvement de prix excessif, justifiant la décision de vente. Le marché pourrait assister à un retour vers la moyenne ou la borne inférieure (2 964,46 FCFA) à court terme.</w:t>
      </w:r>
    </w:p>
    <w:p>
      <w:pPr>
        <w:spacing w:after="120" w:line="276" w:lineRule="auto"/>
      </w:pPr>
      <w:r>
        <w:t>**MACD** : Le MACD (104,015) est nettement supérieur à sa ligne de signal (90,659), montrant un momentum haussier fort et positif. Cette divergence positive indique que la dynamique d'achat est toujours dominante, justifiant la décision d'achat. La tendance haussière du MACD suggère une poursuite du mouvement ascendant.</w:t>
      </w:r>
    </w:p>
    <w:p>
      <w:pPr>
        <w:spacing w:after="120" w:line="276" w:lineRule="auto"/>
      </w:pPr>
      <w:r>
        <w:t>**RSI** : Le RSI à 82,143 est en zone de surachat (au-dessus de 70), signalant que le titre est surévalué à court terme. Cette lecture indique une pression d'achat excessive qui pourrait précéder une correction technique. La décision de vente est donc justifiée pour anticiper un repli potentiel.</w:t>
      </w:r>
    </w:p>
    <w:p>
      <w:pPr>
        <w:spacing w:after="120" w:line="276" w:lineRule="auto"/>
      </w:pPr>
      <w:r>
        <w:t>**Stochastique** : Le %K (98,387) et le %D (99,462) sont tous deux à des niveaux extrêmement élevés, proches de 100, confirmant une condition de surachat sévère. Le croisement des deux lignes à ces niveaux suggère un épuisement possible du mouvement haussier, justifiant la décision de vente. Une correction est probable à très court terme.</w:t>
      </w:r>
    </w:p>
    <w:p>
      <w:pPr>
        <w:spacing w:after="120" w:line="276" w:lineRule="auto"/>
      </w:pPr>
      <w:r>
        <w:t>**Conclusion technique** : Les indicateurs sont partagés entre une tendance haussière (MM, MACD) et des conditions de surachat extrême (Bollinger, RSI, Stochastique). Cette divergence suggère que le titre est dans une phase de hausse rapide mais potentiellement fragile, avec un risque élevé de correction à court terme. La prudence est recommandée malgré la tendance positive.</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d'ORGT montrent un Produit Net Bancaire (PNB) de 186,609 milliards FCFA, en baisse de -4,5% par rapport à 2024 (195,4 milliards), et un résultat net de 21,643 milliards FCFA, contre une perte de -44,4 milliards en 2024. Le ROE est excellent à 19,1%, tandis que le ROA est faible à 0,54%, typique du secteur bancaire. Le coefficient d'exploitation de 42,85% est excellent (&lt;50%), indiquant une gestion efficace des charges. Le coût du risque est de 3,74%, un niveau élevé mais en forte amélioration par rapport à 2024. Les dépôts clientèle (3 088,7 milliards) couvrent largement les créances clientèle (1 523,8 milliards), montrant une transformation saine. Les rapports trimestriels 2025 (T1, S1, T3) confirment cette trajectoire : le T3 2025 montre un résultat net de 19,6 milliards (+248%), et le T1 2026 (rapport du 31/03/2026) affiche un résultat net de 6,555 milliards (+37%), malgré une baisse du PNB de -2%. Sur cette base, on estime que l'exercice 2026 pourrait voir un résultat net stable ou en légère hausse, autour de 22-24 milliards FCFA, si la maîtrise du coût du risque persiste. Les capitaux propres se renforcent à 113,2 milliards (+17%), améliorant la solvabilité. La recommandation fondamentale est de conserver, la banque étant en redressement solide mais avec un PNB en déclin.</w:t>
      </w:r>
    </w:p>
    <w:p>
      <w:pPr>
        <w:spacing w:after="120" w:line="276" w:lineRule="auto" w:before="240"/>
      </w:pPr>
      <w:r>
        <w:rPr>
          <w:b/>
          <w:color w:val="003366"/>
          <w:sz w:val="24"/>
        </w:rPr>
        <w:t>**PARTIE 4 : CONCLUSION D'INVESTISSEMENT**</w:t>
      </w:r>
    </w:p>
    <w:p>
      <w:pPr>
        <w:spacing w:after="120" w:line="276" w:lineRule="auto"/>
      </w:pPr>
      <w:r>
        <w:t>La valorisation d'ORGT est modérée avec un PER de 10,9x, proche de la moyenne BRVM, mais un EV/EBITDA de 20,5x et un P/B de 2,08x suggèrent une prime de croissance. Le comportement du cours sur 100 jours est stable (-1,16%) mais avec une volatilité élevée (43,6%) et une distribution platykurtique, indiquant un risque de mouvements brusques. Les signaux techniques sont mitigés : la tendance haussière (MM, MACD) est contrebalancée par des conditions de surachat extrême (RSI 82, Bollinger, Stochastique), suggérant une correction probable. Les fondamentaux sont solides avec un retour à la rentabilité en 2025 (résultat net de 21,6 milliards), un ROE de 19,1% et un coefficient d'exploitation excellent, mais le PNB en baisse et les estimations 2026 prudentes limitent l'enthousiasme. Les prédictions IA (3 344 à 3 318 FCFA sur 10 jours) confirment un repli progressif, en ligne avec les signaux techniques de surachat. La convergence entre la valorisation modérée, les fondamentaux en redressement mais sans croissance, et les signaux techniques de correction suggère une recommandation de **CONSERVER**. Le niveau de confiance est **Moyen**, le risque global est **Élevé** (volatilité et surachat technique), et l'horizon d'investissement optimal est le **moyen terme (3-12 mois)** pour observer la confirmation de la reprise du PNB.</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131.40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3,730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+2.41%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6.72% (Moyenne) — μ=8,530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β=-0.3453 (Contre-cyclique) — Cov=-0.000013, Var(idx)=0.000036, ρ=-0.088,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2026-09-09</w:t>
            </w:r>
          </w:p>
        </w:tc>
        <w:tc>
          <w:tcPr>
            <w:tcW w:type="dxa" w:w="1440"/>
            <w:shd w:fill="C6EFCE" w:val="clear"/>
          </w:tcPr>
          <w:p>
            <w:r>
              <w:rPr>
                <w:sz w:val="17"/>
              </w:rPr>
              <w:t>8,438</w:t>
            </w:r>
          </w:p>
        </w:tc>
        <w:tc>
          <w:tcPr>
            <w:tcW w:type="dxa" w:w="1440"/>
            <w:shd w:fill="C6EFCE" w:val="clear"/>
          </w:tcPr>
          <w:p>
            <w:r>
              <w:rPr>
                <w:b/>
                <w:sz w:val="17"/>
              </w:rPr>
              <w:t>8,734</w:t>
            </w:r>
          </w:p>
        </w:tc>
        <w:tc>
          <w:tcPr>
            <w:tcW w:type="dxa" w:w="1440"/>
            <w:shd w:fill="C6EFCE" w:val="clear"/>
          </w:tcPr>
          <w:p>
            <w:r>
              <w:rPr>
                <w:sz w:val="17"/>
              </w:rPr>
              <w:t>9,031</w:t>
            </w:r>
          </w:p>
        </w:tc>
        <w:tc>
          <w:tcPr>
            <w:tcW w:type="dxa" w:w="1440"/>
            <w:shd w:fill="C6EFCE" w:val="clear"/>
          </w:tcPr>
          <w:p>
            <w:r>
              <w:rPr>
                <w:b/>
                <w:color w:val="008000"/>
                <w:sz w:val="17"/>
              </w:rPr>
              <w:t>+2.8%</w:t>
            </w:r>
          </w:p>
        </w:tc>
      </w:tr>
      <w:tr>
        <w:tc>
          <w:tcPr>
            <w:tcW w:type="dxa" w:w="1440"/>
            <w:shd w:fill="C6EFCE" w:val="clear"/>
          </w:tcPr>
          <w:p>
            <w:r>
              <w:rPr>
                <w:sz w:val="17"/>
              </w:rPr>
              <w:t>J+2  Moyenne</w:t>
            </w:r>
          </w:p>
        </w:tc>
        <w:tc>
          <w:tcPr>
            <w:tcW w:type="dxa" w:w="1440"/>
            <w:shd w:fill="C6EFCE" w:val="clear"/>
          </w:tcPr>
          <w:p>
            <w:r>
              <w:rPr>
                <w:sz w:val="17"/>
              </w:rPr>
              <w:t>2026-09-10</w:t>
            </w:r>
          </w:p>
        </w:tc>
        <w:tc>
          <w:tcPr>
            <w:tcW w:type="dxa" w:w="1440"/>
            <w:shd w:fill="C6EFCE" w:val="clear"/>
          </w:tcPr>
          <w:p>
            <w:r>
              <w:rPr>
                <w:sz w:val="17"/>
              </w:rPr>
              <w:t>8,306</w:t>
            </w:r>
          </w:p>
        </w:tc>
        <w:tc>
          <w:tcPr>
            <w:tcW w:type="dxa" w:w="1440"/>
            <w:shd w:fill="C6EFCE" w:val="clear"/>
          </w:tcPr>
          <w:p>
            <w:r>
              <w:rPr>
                <w:b/>
                <w:sz w:val="17"/>
              </w:rPr>
              <w:t>8,725</w:t>
            </w:r>
          </w:p>
        </w:tc>
        <w:tc>
          <w:tcPr>
            <w:tcW w:type="dxa" w:w="1440"/>
            <w:shd w:fill="C6EFCE" w:val="clear"/>
          </w:tcPr>
          <w:p>
            <w:r>
              <w:rPr>
                <w:sz w:val="17"/>
              </w:rPr>
              <w:t>9,144</w:t>
            </w:r>
          </w:p>
        </w:tc>
        <w:tc>
          <w:tcPr>
            <w:tcW w:type="dxa" w:w="1440"/>
            <w:shd w:fill="C6EFCE" w:val="clear"/>
          </w:tcPr>
          <w:p>
            <w:r>
              <w:rPr>
                <w:b/>
                <w:color w:val="008000"/>
                <w:sz w:val="17"/>
              </w:rPr>
              <w:t>+2.7%</w:t>
            </w:r>
          </w:p>
        </w:tc>
      </w:tr>
      <w:tr>
        <w:tc>
          <w:tcPr>
            <w:tcW w:type="dxa" w:w="1440"/>
            <w:shd w:fill="C6EFCE" w:val="clear"/>
          </w:tcPr>
          <w:p>
            <w:r>
              <w:rPr>
                <w:sz w:val="17"/>
              </w:rPr>
              <w:t>J+3  Moyenne</w:t>
            </w:r>
          </w:p>
        </w:tc>
        <w:tc>
          <w:tcPr>
            <w:tcW w:type="dxa" w:w="1440"/>
            <w:shd w:fill="C6EFCE" w:val="clear"/>
          </w:tcPr>
          <w:p>
            <w:r>
              <w:rPr>
                <w:sz w:val="17"/>
              </w:rPr>
              <w:t>2026-09-11</w:t>
            </w:r>
          </w:p>
        </w:tc>
        <w:tc>
          <w:tcPr>
            <w:tcW w:type="dxa" w:w="1440"/>
            <w:shd w:fill="C6EFCE" w:val="clear"/>
          </w:tcPr>
          <w:p>
            <w:r>
              <w:rPr>
                <w:sz w:val="17"/>
              </w:rPr>
              <w:t>8,238</w:t>
            </w:r>
          </w:p>
        </w:tc>
        <w:tc>
          <w:tcPr>
            <w:tcW w:type="dxa" w:w="1440"/>
            <w:shd w:fill="C6EFCE" w:val="clear"/>
          </w:tcPr>
          <w:p>
            <w:r>
              <w:rPr>
                <w:b/>
                <w:sz w:val="17"/>
              </w:rPr>
              <w:t>8,753</w:t>
            </w:r>
          </w:p>
        </w:tc>
        <w:tc>
          <w:tcPr>
            <w:tcW w:type="dxa" w:w="1440"/>
            <w:shd w:fill="C6EFCE" w:val="clear"/>
          </w:tcPr>
          <w:p>
            <w:r>
              <w:rPr>
                <w:sz w:val="17"/>
              </w:rPr>
              <w:t>9,268</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2026-09-14</w:t>
            </w:r>
          </w:p>
        </w:tc>
        <w:tc>
          <w:tcPr>
            <w:tcW w:type="dxa" w:w="1440"/>
            <w:shd w:fill="C6EFCE" w:val="clear"/>
          </w:tcPr>
          <w:p>
            <w:r>
              <w:rPr>
                <w:sz w:val="17"/>
              </w:rPr>
              <w:t>8,185</w:t>
            </w:r>
          </w:p>
        </w:tc>
        <w:tc>
          <w:tcPr>
            <w:tcW w:type="dxa" w:w="1440"/>
            <w:shd w:fill="C6EFCE" w:val="clear"/>
          </w:tcPr>
          <w:p>
            <w:r>
              <w:rPr>
                <w:b/>
                <w:sz w:val="17"/>
              </w:rPr>
              <w:t>8,782</w:t>
            </w:r>
          </w:p>
        </w:tc>
        <w:tc>
          <w:tcPr>
            <w:tcW w:type="dxa" w:w="1440"/>
            <w:shd w:fill="C6EFCE" w:val="clear"/>
          </w:tcPr>
          <w:p>
            <w:r>
              <w:rPr>
                <w:sz w:val="17"/>
              </w:rPr>
              <w:t>9,378</w:t>
            </w:r>
          </w:p>
        </w:tc>
        <w:tc>
          <w:tcPr>
            <w:tcW w:type="dxa" w:w="1440"/>
            <w:shd w:fill="C6EFCE" w:val="clear"/>
          </w:tcPr>
          <w:p>
            <w:r>
              <w:rPr>
                <w:b/>
                <w:color w:val="008000"/>
                <w:sz w:val="17"/>
              </w:rPr>
              <w:t>+3.3%</w:t>
            </w:r>
          </w:p>
        </w:tc>
      </w:tr>
      <w:tr>
        <w:tc>
          <w:tcPr>
            <w:tcW w:type="dxa" w:w="1440"/>
            <w:shd w:fill="C6EFCE" w:val="clear"/>
          </w:tcPr>
          <w:p>
            <w:r>
              <w:rPr>
                <w:sz w:val="17"/>
              </w:rPr>
              <w:t>J+5  ⭐</w:t>
            </w:r>
          </w:p>
        </w:tc>
        <w:tc>
          <w:tcPr>
            <w:tcW w:type="dxa" w:w="1440"/>
            <w:shd w:fill="C6EFCE" w:val="clear"/>
          </w:tcPr>
          <w:p>
            <w:r>
              <w:rPr>
                <w:sz w:val="17"/>
              </w:rPr>
              <w:t>2026-09-15</w:t>
            </w:r>
          </w:p>
        </w:tc>
        <w:tc>
          <w:tcPr>
            <w:tcW w:type="dxa" w:w="1440"/>
            <w:shd w:fill="C6EFCE" w:val="clear"/>
          </w:tcPr>
          <w:p>
            <w:r>
              <w:rPr>
                <w:sz w:val="17"/>
              </w:rPr>
              <w:t>8,140</w:t>
            </w:r>
          </w:p>
        </w:tc>
        <w:tc>
          <w:tcPr>
            <w:tcW w:type="dxa" w:w="1440"/>
            <w:shd w:fill="C6EFCE" w:val="clear"/>
          </w:tcPr>
          <w:p>
            <w:r>
              <w:rPr>
                <w:b/>
                <w:sz w:val="17"/>
              </w:rPr>
              <w:t>8,809</w:t>
            </w:r>
          </w:p>
        </w:tc>
        <w:tc>
          <w:tcPr>
            <w:tcW w:type="dxa" w:w="1440"/>
            <w:shd w:fill="C6EFCE" w:val="clear"/>
          </w:tcPr>
          <w:p>
            <w:r>
              <w:rPr>
                <w:sz w:val="17"/>
              </w:rPr>
              <w:t>9,478</w:t>
            </w:r>
          </w:p>
        </w:tc>
        <w:tc>
          <w:tcPr>
            <w:tcW w:type="dxa" w:w="1440"/>
            <w:shd w:fill="C6EFCE" w:val="clear"/>
          </w:tcPr>
          <w:p>
            <w:r>
              <w:rPr>
                <w:b/>
                <w:color w:val="008000"/>
                <w:sz w:val="17"/>
              </w:rPr>
              <w:t>+3.6%</w:t>
            </w:r>
          </w:p>
        </w:tc>
      </w:tr>
      <w:tr>
        <w:tc>
          <w:tcPr>
            <w:tcW w:type="dxa" w:w="1440"/>
            <w:shd w:fill="C6EFCE" w:val="clear"/>
          </w:tcPr>
          <w:p>
            <w:r>
              <w:rPr>
                <w:sz w:val="17"/>
              </w:rPr>
              <w:t>J+6  ⭐</w:t>
            </w:r>
          </w:p>
        </w:tc>
        <w:tc>
          <w:tcPr>
            <w:tcW w:type="dxa" w:w="1440"/>
            <w:shd w:fill="C6EFCE" w:val="clear"/>
          </w:tcPr>
          <w:p>
            <w:r>
              <w:rPr>
                <w:sz w:val="17"/>
              </w:rPr>
              <w:t>2026-09-16</w:t>
            </w:r>
          </w:p>
        </w:tc>
        <w:tc>
          <w:tcPr>
            <w:tcW w:type="dxa" w:w="1440"/>
            <w:shd w:fill="C6EFCE" w:val="clear"/>
          </w:tcPr>
          <w:p>
            <w:r>
              <w:rPr>
                <w:sz w:val="17"/>
              </w:rPr>
              <w:t>8,100</w:t>
            </w:r>
          </w:p>
        </w:tc>
        <w:tc>
          <w:tcPr>
            <w:tcW w:type="dxa" w:w="1440"/>
            <w:shd w:fill="C6EFCE" w:val="clear"/>
          </w:tcPr>
          <w:p>
            <w:r>
              <w:rPr>
                <w:b/>
                <w:sz w:val="17"/>
              </w:rPr>
              <w:t>8,835</w:t>
            </w:r>
          </w:p>
        </w:tc>
        <w:tc>
          <w:tcPr>
            <w:tcW w:type="dxa" w:w="1440"/>
            <w:shd w:fill="C6EFCE" w:val="clear"/>
          </w:tcPr>
          <w:p>
            <w:r>
              <w:rPr>
                <w:sz w:val="17"/>
              </w:rPr>
              <w:t>9,570</w:t>
            </w:r>
          </w:p>
        </w:tc>
        <w:tc>
          <w:tcPr>
            <w:tcW w:type="dxa" w:w="1440"/>
            <w:shd w:fill="C6EFCE" w:val="clear"/>
          </w:tcPr>
          <w:p>
            <w:r>
              <w:rPr>
                <w:b/>
                <w:color w:val="008000"/>
                <w:sz w:val="17"/>
              </w:rPr>
              <w:t>+3.9%</w:t>
            </w:r>
          </w:p>
        </w:tc>
      </w:tr>
      <w:tr>
        <w:tc>
          <w:tcPr>
            <w:tcW w:type="dxa" w:w="1440"/>
            <w:shd w:fill="C6EFCE" w:val="clear"/>
          </w:tcPr>
          <w:p>
            <w:r>
              <w:rPr>
                <w:sz w:val="17"/>
              </w:rPr>
              <w:t>J+7  ⭐</w:t>
            </w:r>
          </w:p>
        </w:tc>
        <w:tc>
          <w:tcPr>
            <w:tcW w:type="dxa" w:w="1440"/>
            <w:shd w:fill="C6EFCE" w:val="clear"/>
          </w:tcPr>
          <w:p>
            <w:r>
              <w:rPr>
                <w:sz w:val="17"/>
              </w:rPr>
              <w:t>2026-09-17</w:t>
            </w:r>
          </w:p>
        </w:tc>
        <w:tc>
          <w:tcPr>
            <w:tcW w:type="dxa" w:w="1440"/>
            <w:shd w:fill="C6EFCE" w:val="clear"/>
          </w:tcPr>
          <w:p>
            <w:r>
              <w:rPr>
                <w:sz w:val="17"/>
              </w:rPr>
              <w:t>8,066</w:t>
            </w:r>
          </w:p>
        </w:tc>
        <w:tc>
          <w:tcPr>
            <w:tcW w:type="dxa" w:w="1440"/>
            <w:shd w:fill="C6EFCE" w:val="clear"/>
          </w:tcPr>
          <w:p>
            <w:r>
              <w:rPr>
                <w:b/>
                <w:sz w:val="17"/>
              </w:rPr>
              <w:t>8,862</w:t>
            </w:r>
          </w:p>
        </w:tc>
        <w:tc>
          <w:tcPr>
            <w:tcW w:type="dxa" w:w="1440"/>
            <w:shd w:fill="C6EFCE" w:val="clear"/>
          </w:tcPr>
          <w:p>
            <w:r>
              <w:rPr>
                <w:sz w:val="17"/>
              </w:rPr>
              <w:t>9,658</w:t>
            </w:r>
          </w:p>
        </w:tc>
        <w:tc>
          <w:tcPr>
            <w:tcW w:type="dxa" w:w="1440"/>
            <w:shd w:fill="C6EFCE" w:val="clear"/>
          </w:tcPr>
          <w:p>
            <w:r>
              <w:rPr>
                <w:b/>
                <w:color w:val="008000"/>
                <w:sz w:val="17"/>
              </w:rPr>
              <w:t>+4.3%</w:t>
            </w:r>
          </w:p>
        </w:tc>
      </w:tr>
      <w:tr>
        <w:tc>
          <w:tcPr>
            <w:tcW w:type="dxa" w:w="1440"/>
            <w:shd w:fill="C6EFCE" w:val="clear"/>
          </w:tcPr>
          <w:p>
            <w:r>
              <w:rPr>
                <w:sz w:val="17"/>
              </w:rPr>
              <w:t>J+8  ⭐</w:t>
            </w:r>
          </w:p>
        </w:tc>
        <w:tc>
          <w:tcPr>
            <w:tcW w:type="dxa" w:w="1440"/>
            <w:shd w:fill="C6EFCE" w:val="clear"/>
          </w:tcPr>
          <w:p>
            <w:r>
              <w:rPr>
                <w:sz w:val="17"/>
              </w:rPr>
              <w:t>2026-09-18</w:t>
            </w:r>
          </w:p>
        </w:tc>
        <w:tc>
          <w:tcPr>
            <w:tcW w:type="dxa" w:w="1440"/>
            <w:shd w:fill="C6EFCE" w:val="clear"/>
          </w:tcPr>
          <w:p>
            <w:r>
              <w:rPr>
                <w:sz w:val="17"/>
              </w:rPr>
              <w:t>8,035</w:t>
            </w:r>
          </w:p>
        </w:tc>
        <w:tc>
          <w:tcPr>
            <w:tcW w:type="dxa" w:w="1440"/>
            <w:shd w:fill="C6EFCE" w:val="clear"/>
          </w:tcPr>
          <w:p>
            <w:r>
              <w:rPr>
                <w:b/>
                <w:sz w:val="17"/>
              </w:rPr>
              <w:t>8,889</w:t>
            </w:r>
          </w:p>
        </w:tc>
        <w:tc>
          <w:tcPr>
            <w:tcW w:type="dxa" w:w="1440"/>
            <w:shd w:fill="C6EFCE" w:val="clear"/>
          </w:tcPr>
          <w:p>
            <w:r>
              <w:rPr>
                <w:sz w:val="17"/>
              </w:rPr>
              <w:t>9,742</w:t>
            </w:r>
          </w:p>
        </w:tc>
        <w:tc>
          <w:tcPr>
            <w:tcW w:type="dxa" w:w="1440"/>
            <w:shd w:fill="C6EFCE" w:val="clear"/>
          </w:tcPr>
          <w:p>
            <w:r>
              <w:rPr>
                <w:b/>
                <w:color w:val="008000"/>
                <w:sz w:val="17"/>
              </w:rPr>
              <w:t>+4.6%</w:t>
            </w:r>
          </w:p>
        </w:tc>
      </w:tr>
      <w:tr>
        <w:tc>
          <w:tcPr>
            <w:tcW w:type="dxa" w:w="1440"/>
            <w:shd w:fill="C6EFCE" w:val="clear"/>
          </w:tcPr>
          <w:p>
            <w:r>
              <w:rPr>
                <w:sz w:val="17"/>
              </w:rPr>
              <w:t>J+9  ⭐</w:t>
            </w:r>
          </w:p>
        </w:tc>
        <w:tc>
          <w:tcPr>
            <w:tcW w:type="dxa" w:w="1440"/>
            <w:shd w:fill="C6EFCE" w:val="clear"/>
          </w:tcPr>
          <w:p>
            <w:r>
              <w:rPr>
                <w:sz w:val="17"/>
              </w:rPr>
              <w:t>2026-09-21</w:t>
            </w:r>
          </w:p>
        </w:tc>
        <w:tc>
          <w:tcPr>
            <w:tcW w:type="dxa" w:w="1440"/>
            <w:shd w:fill="C6EFCE" w:val="clear"/>
          </w:tcPr>
          <w:p>
            <w:r>
              <w:rPr>
                <w:sz w:val="17"/>
              </w:rPr>
              <w:t>8,007</w:t>
            </w:r>
          </w:p>
        </w:tc>
        <w:tc>
          <w:tcPr>
            <w:tcW w:type="dxa" w:w="1440"/>
            <w:shd w:fill="C6EFCE" w:val="clear"/>
          </w:tcPr>
          <w:p>
            <w:r>
              <w:rPr>
                <w:b/>
                <w:sz w:val="17"/>
              </w:rPr>
              <w:t>8,915</w:t>
            </w:r>
          </w:p>
        </w:tc>
        <w:tc>
          <w:tcPr>
            <w:tcW w:type="dxa" w:w="1440"/>
            <w:shd w:fill="C6EFCE" w:val="clear"/>
          </w:tcPr>
          <w:p>
            <w:r>
              <w:rPr>
                <w:sz w:val="17"/>
              </w:rPr>
              <w:t>9,824</w:t>
            </w:r>
          </w:p>
        </w:tc>
        <w:tc>
          <w:tcPr>
            <w:tcW w:type="dxa" w:w="1440"/>
            <w:shd w:fill="C6EFCE" w:val="clear"/>
          </w:tcPr>
          <w:p>
            <w:r>
              <w:rPr>
                <w:b/>
                <w:color w:val="008000"/>
                <w:sz w:val="17"/>
              </w:rPr>
              <w:t>+4.9%</w:t>
            </w:r>
          </w:p>
        </w:tc>
      </w:tr>
      <w:tr>
        <w:tc>
          <w:tcPr>
            <w:tcW w:type="dxa" w:w="1440"/>
            <w:shd w:fill="C6EFCE" w:val="clear"/>
          </w:tcPr>
          <w:p>
            <w:r>
              <w:rPr>
                <w:sz w:val="17"/>
              </w:rPr>
              <w:t>J+10  ⭐</w:t>
            </w:r>
          </w:p>
        </w:tc>
        <w:tc>
          <w:tcPr>
            <w:tcW w:type="dxa" w:w="1440"/>
            <w:shd w:fill="C6EFCE" w:val="clear"/>
          </w:tcPr>
          <w:p>
            <w:r>
              <w:rPr>
                <w:sz w:val="17"/>
              </w:rPr>
              <w:t>2026-09-22</w:t>
            </w:r>
          </w:p>
        </w:tc>
        <w:tc>
          <w:tcPr>
            <w:tcW w:type="dxa" w:w="1440"/>
            <w:shd w:fill="C6EFCE" w:val="clear"/>
          </w:tcPr>
          <w:p>
            <w:r>
              <w:rPr>
                <w:sz w:val="17"/>
              </w:rPr>
              <w:t>7,982</w:t>
            </w:r>
          </w:p>
        </w:tc>
        <w:tc>
          <w:tcPr>
            <w:tcW w:type="dxa" w:w="1440"/>
            <w:shd w:fill="C6EFCE" w:val="clear"/>
          </w:tcPr>
          <w:p>
            <w:r>
              <w:rPr>
                <w:b/>
                <w:sz w:val="17"/>
              </w:rPr>
              <w:t>8,942</w:t>
            </w:r>
          </w:p>
        </w:tc>
        <w:tc>
          <w:tcPr>
            <w:tcW w:type="dxa" w:w="1440"/>
            <w:shd w:fill="C6EFCE" w:val="clear"/>
          </w:tcPr>
          <w:p>
            <w:r>
              <w:rPr>
                <w:sz w:val="17"/>
              </w:rPr>
              <w:t>9,903</w:t>
            </w:r>
          </w:p>
        </w:tc>
        <w:tc>
          <w:tcPr>
            <w:tcW w:type="dxa" w:w="1440"/>
            <w:shd w:fill="C6EFCE" w:val="clear"/>
          </w:tcPr>
          <w:p>
            <w:r>
              <w:rPr>
                <w:b/>
                <w:color w:val="008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131,40 milliards FCFA, ce qui en fait une valeur moyenne sur la BRVM, représentative d'un acteur industriel de premier plan dans l'agroalimentaire ouest-africain. Avec un BPA de 1 003 FCFA, le titre se négocie à un PER de 8,5x, inférieur à la moyenne du marché BRVM (8-12x), signalant une sous-évaluation relative du bénéfice par action. Le P/B de 0,92x est particulièrement attractif, indiquant que le marché valorise la société en dessous de sa valeur comptable (actif net), une situation souvent synonyme de décote et d'opportunité potentielle. Enfin, un EV/EBITDA de 4,1x, très inférieur au seuil de 5x, confirme que la valeur totale de l'entreprise (capitalisation + dette nette) est très bon marché par rapport à sa capacité opérationnelle de génération de cash (EBITDA). L'ensemble de ces ratios suggère une valorisation boursière très conservative.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progression modeste de +2,41%, mais la dernière séance enregistre un recul marqué de -3,19%, s'établissant à 8 500 FCFA. Le titre a évolué dans un range de trading significatif, oscillant entre un plus bas de 7 000 FCFA et un plus haut de 9 640 FCFA, illustrant une volatilité intra-période non négligeable. La moyenne (8 530 FCFA) et la médiane (8 690 FCFA) sont très proches, indiquant une distribution des prix relativement symétrique, ce que confirme le skewness de -0,334. L'écart-type de 576 FCFA (CV=6,8%) montre une dispersion modérée autour de la moyenne, tandis que le kurtosis de -0,594 (mésokurtique) suggère une distribution proche de la normale, sans risque de variations extrêmes ou de "queues épaisses". La volatilité annualisée de 37,5% classe le titre comme très volatil (&gt;30%), ce qui implique des fluctuations de prix importantes à court terme, un paramètre clé pour la gestion du risque.</w:t>
      </w:r>
    </w:p>
    <w:p>
      <w:pPr>
        <w:spacing w:after="120" w:line="276" w:lineRule="auto" w:before="240"/>
      </w:pPr>
      <w:r>
        <w:rPr>
          <w:b/>
          <w:color w:val="003366"/>
          <w:sz w:val="24"/>
        </w:rPr>
        <w:t>**PARTIE 2 : ANALYSE TECHNIQUE DÉTAILLÉE**</w:t>
      </w:r>
    </w:p>
    <w:p>
      <w:pPr>
        <w:spacing w:after="120" w:line="276" w:lineRule="auto"/>
      </w:pPr>
      <w:r>
        <w:t>**Moyennes Mobiles**: Les MM20 (9 207,75 FCFA) et MM50 (8 963 FCFA) sont toutes deux situées nettement au-dessus du cours actuel de 8 500 FCFA. Cette configuration baissière à court et moyen terme indique que la tendance récente est négative, le prix évoluant sous ses moyennes mobiles. La décision associée est "Achat", ce qui pourrait sembler contre-intuitif, mais suggère peut-être une anticipation d'un retournement haussier après une phase de correction.</w:t>
      </w:r>
    </w:p>
    <w:p>
      <w:pPr>
        <w:spacing w:after="120" w:line="276" w:lineRule="auto"/>
      </w:pPr>
      <w:r>
        <w:t>**Bandes de Bollinger**: Le cours actuel (8 500 FCFA) se situe sous la borne inférieure de la bande (8 624,335 FCFA), un signal technique fort de survente. Cela indique que le prix a chuté de manière excessive par rapport à sa moyenne mobile et qu'un rebond technique est statistiquement probable. La décision "Achat" est cohérente avec cette lecture, car elle anticipe un retour du cours vers la moyenne.</w:t>
      </w:r>
    </w:p>
    <w:p>
      <w:pPr>
        <w:spacing w:after="120" w:line="276" w:lineRule="auto"/>
      </w:pPr>
      <w:r>
        <w:t>**MACD**: La valeur du MACD (-28,794) est inférieure à son signal (75,865), formant une divergence négative. Ce croisement baissier indique un affaiblissement du momentum haussier et une dynamique de prix négative à court terme. La décision "Vente" est justifiée par cette perte de vitesse, qui pourrait précéder une poursuite de la baisse ou une phase de consolidation.</w:t>
      </w:r>
    </w:p>
    <w:p>
      <w:pPr>
        <w:spacing w:after="120" w:line="276" w:lineRule="auto"/>
      </w:pPr>
      <w:r>
        <w:t>**RSI**: Le RSI est à 30,851, une valeur très proche du seuil de survente (30). Bien que la décision soit "Neutre", ce niveau indique que la pression vendeuse a été forte et que le titre est proche d'une zone où il pourrait être considéré comme survendu, ouvrant la voie à un potentiel rebond technique.</w:t>
      </w:r>
    </w:p>
    <w:p>
      <w:pPr>
        <w:spacing w:after="120" w:line="276" w:lineRule="auto"/>
      </w:pPr>
      <w:r>
        <w:t>**Stochastique**: Les valeurs de %K et %D sont à 0,0, ce qui place l'indicateur en territoire de survente extrême. Bien que la décision soit "Achat", ce niveau signale que le titre est très fortement survendu à court terme, ce qui augmente la probabilité d'un rebond correctif, mais reflète aussi une pression vendeuse intense.</w:t>
      </w:r>
    </w:p>
    <w:p>
      <w:pPr>
        <w:spacing w:after="120" w:line="276" w:lineRule="auto"/>
      </w:pPr>
      <w:r>
        <w:t>**Conclusion technique**: Les indicateurs techniques sont mitigés. D'un côté, le MACD et la position sous les moyennes mobiles confirment une tendance baissière à court terme. De l'autre, les bandes de Bollinger, le RSI et le Stochastique sont en zone de survente, suggérant un potentiel de rebond technique. Cette divergence entre la tendance de fond et les oscillateurs indique une phase de consolidation avec un biais haussier à très court terme, mais une prudence reste de mise tant que le cours n'a pas repris ses moyennes mobiles.</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197,630 milliards FCFA, en croissance de +14,8% par rapport à 2024, et un résultat net de 15,509 milliards FCFA. La rentabilité des capitaux propres (ROE) ressort à 10,87% et la rentabilité des actifs (ROA) à 7,79%, des niveaux corrects mais en deçà du seuil de 15% jugé excellent. La structure financière est très saine avec une autonomie financière de 71,64% et un endettement très faible (ratio d'endettement de 0,56%). Cependant, le délai de paiement des clients est élevé (142,58 jours), ce qui représente un risque de trésorerie, et la trésorerie nette est négative à -4,559 milliards FCFA. Les rapports trimestriels de 2025 montrent une performance exceptionnelle au S1 (résultat net de 22,9 milliards FCFA, +37%), mais un fort ralentissement au T3 (résultat net cumulé de 18,0 milliards FCFA sur 9 mois, suggérant une perte au T3). Le rapport annuel 2025 (publié en 2026) confirme une baisse de la marge nette à 7,8% et une réduction du dividende à 502 FCFA par action. Pour 2026, le rapport T1 2026 fait état d'une chute drastique du résultat net de -86% à 1,6 milliard FCFA, attribuée à un décalage temporel des ventes. Sur la base de ces éléments, on estime que l'exercice 2026 sera difficile, avec un résultat net potentiellement en baisse significative par rapport à 2025, sauf si le management parvient à redresser la barre au cours des prochains trimestres.</w:t>
      </w:r>
    </w:p>
    <w:p>
      <w:pPr>
        <w:spacing w:after="120" w:line="276" w:lineRule="auto" w:before="240"/>
      </w:pPr>
      <w:r>
        <w:rPr>
          <w:b/>
          <w:color w:val="003366"/>
          <w:sz w:val="24"/>
        </w:rPr>
        <w:t>**PARTIE 4 : CONCLUSION D'INVESTISSEMENT**</w:t>
      </w:r>
    </w:p>
    <w:p>
      <w:pPr>
        <w:spacing w:after="120" w:line="276" w:lineRule="auto"/>
      </w:pPr>
      <w:r>
        <w:t>La valorisation de PALC est très attractive (PER 8,5x, P/B 0,92x, EV/EBITDA 4,1x), indiquant une nette sous-évaluation du titre sur les marchés. Le comportement du cours sur 100 jours montre une stabilité relative avec une volatilité élevée, mais les statistiques (kurtosis, skewness) suggèrent une distribution normale sans risque de krach majeur. Les signaux techniques sont contradictoires : une tendance baissière confirmée par le MACD et les moyennes mobiles, mais des conditions de survente extrême (Bollinger, RSI, Stochastique) qui plaident pour un rebond imminent. Les fondamentaux de l'entreprise sont solides à moyen terme (croissance du CA, structure financière robuste), mais la rentabilité est sous pression et les perspectives 2026 sont assombries par la chute du T1. Les prédictions IA (8 734 à 8 809 FCFA sur 10 jours) suggèrent un rebond modeste, en ligne avec les signaux de survente technique. En synthèse, la convergence entre la sous-évaluation fondamentale, les signaux de survente technique et la prédiction IA d'un rebond plaide pour une recommandation **ACHAT** avec un niveau de confiance **Moyen**. Le risque global est **Moyen**, principalement lié à la volatilité des cours de l'huile de palme et à la dégradation conjoncturelle de la rentabilité. L'horizon d'investissement optimal serait de **moyen terme (3-12 mois)**, en attendant une confirmation du redressement des résultats trimestriels.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46.03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873 titres</w:t>
            </w:r>
          </w:p>
        </w:tc>
        <w:tc>
          <w:tcPr>
            <w:tcW w:type="dxa" w:w="2268"/>
            <w:shd w:fill="FFF2CC" w:val="clear"/>
          </w:tcPr>
          <w:p>
            <w:r>
              <w:rPr>
                <w:b/>
                <w:color w:val="503200"/>
                <w:sz w:val="16"/>
              </w:rPr>
              <w:t xml:space="preserve">Cours actuel : </w:t>
            </w:r>
            <w:r>
              <w:rPr>
                <w:color w:val="000000"/>
                <w:sz w:val="17"/>
              </w:rPr>
              <w:t>4,495 FCFA</w:t>
            </w:r>
          </w:p>
          <w:p>
            <w:r>
              <w:rPr>
                <w:b/>
                <w:color w:val="503200"/>
                <w:sz w:val="16"/>
              </w:rPr>
              <w:t xml:space="preserve">Var. 100 jours : </w:t>
            </w:r>
            <w:r>
              <w:rPr>
                <w:b/>
                <w:color w:val="B40000"/>
                <w:sz w:val="17"/>
              </w:rPr>
              <w:t>-10.10%</w:t>
            </w:r>
          </w:p>
          <w:p>
            <w:r>
              <w:rPr>
                <w:b/>
                <w:color w:val="503200"/>
                <w:sz w:val="16"/>
              </w:rPr>
              <w:t xml:space="preserve">Plus haut 100j : </w:t>
            </w:r>
            <w:r>
              <w:rPr>
                <w:color w:val="000000"/>
                <w:sz w:val="17"/>
              </w:rPr>
              <w:t>5,000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7.21% (Moyenne) — μ=4,409 FCFA, σ=318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β=-0.1640 (Contre-cyclique) — Cov=-0.000006, Var(idx)=0.000036, ρ=-0.041,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873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1697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4,299</w:t>
            </w:r>
          </w:p>
        </w:tc>
        <w:tc>
          <w:tcPr>
            <w:tcW w:type="dxa" w:w="1440"/>
            <w:shd w:fill="FFDCE0" w:val="clear"/>
          </w:tcPr>
          <w:p>
            <w:r>
              <w:rPr>
                <w:b/>
                <w:sz w:val="17"/>
              </w:rPr>
              <w:t>4,392</w:t>
            </w:r>
          </w:p>
        </w:tc>
        <w:tc>
          <w:tcPr>
            <w:tcW w:type="dxa" w:w="1440"/>
            <w:shd w:fill="FFDCE0" w:val="clear"/>
          </w:tcPr>
          <w:p>
            <w:r>
              <w:rPr>
                <w:sz w:val="17"/>
              </w:rPr>
              <w:t>4,486</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4,253</w:t>
            </w:r>
          </w:p>
        </w:tc>
        <w:tc>
          <w:tcPr>
            <w:tcW w:type="dxa" w:w="1440"/>
            <w:shd w:fill="FFDCE0" w:val="clear"/>
          </w:tcPr>
          <w:p>
            <w:r>
              <w:rPr>
                <w:b/>
                <w:sz w:val="17"/>
              </w:rPr>
              <w:t>4,385</w:t>
            </w:r>
          </w:p>
        </w:tc>
        <w:tc>
          <w:tcPr>
            <w:tcW w:type="dxa" w:w="1440"/>
            <w:shd w:fill="FFDCE0" w:val="clear"/>
          </w:tcPr>
          <w:p>
            <w:r>
              <w:rPr>
                <w:sz w:val="17"/>
              </w:rPr>
              <w:t>4,518</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4,202</w:t>
            </w:r>
          </w:p>
        </w:tc>
        <w:tc>
          <w:tcPr>
            <w:tcW w:type="dxa" w:w="1440"/>
            <w:shd w:fill="FFDCE0" w:val="clear"/>
          </w:tcPr>
          <w:p>
            <w:r>
              <w:rPr>
                <w:b/>
                <w:sz w:val="17"/>
              </w:rPr>
              <w:t>4,364</w:t>
            </w:r>
          </w:p>
        </w:tc>
        <w:tc>
          <w:tcPr>
            <w:tcW w:type="dxa" w:w="1440"/>
            <w:shd w:fill="FFDCE0" w:val="clear"/>
          </w:tcPr>
          <w:p>
            <w:r>
              <w:rPr>
                <w:sz w:val="17"/>
              </w:rPr>
              <w:t>4,525</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4,156</w:t>
            </w:r>
          </w:p>
        </w:tc>
        <w:tc>
          <w:tcPr>
            <w:tcW w:type="dxa" w:w="1440"/>
            <w:shd w:fill="FFDCE0" w:val="clear"/>
          </w:tcPr>
          <w:p>
            <w:r>
              <w:rPr>
                <w:b/>
                <w:sz w:val="17"/>
              </w:rPr>
              <w:t>4,342</w:t>
            </w:r>
          </w:p>
        </w:tc>
        <w:tc>
          <w:tcPr>
            <w:tcW w:type="dxa" w:w="1440"/>
            <w:shd w:fill="FFDCE0" w:val="clear"/>
          </w:tcPr>
          <w:p>
            <w:r>
              <w:rPr>
                <w:sz w:val="17"/>
              </w:rPr>
              <w:t>4,527</w:t>
            </w:r>
          </w:p>
        </w:tc>
        <w:tc>
          <w:tcPr>
            <w:tcW w:type="dxa" w:w="1440"/>
            <w:shd w:fill="FFDCE0" w:val="clear"/>
          </w:tcPr>
          <w:p>
            <w:r>
              <w:rPr>
                <w:b/>
                <w:color w:val="C00000"/>
                <w:sz w:val="17"/>
              </w:rPr>
              <w:t>-3.4%</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4,115</w:t>
            </w:r>
          </w:p>
        </w:tc>
        <w:tc>
          <w:tcPr>
            <w:tcW w:type="dxa" w:w="1440"/>
            <w:shd w:fill="FFDCE0" w:val="clear"/>
          </w:tcPr>
          <w:p>
            <w:r>
              <w:rPr>
                <w:b/>
                <w:sz w:val="17"/>
              </w:rPr>
              <w:t>4,321</w:t>
            </w:r>
          </w:p>
        </w:tc>
        <w:tc>
          <w:tcPr>
            <w:tcW w:type="dxa" w:w="1440"/>
            <w:shd w:fill="FFDCE0" w:val="clear"/>
          </w:tcPr>
          <w:p>
            <w:r>
              <w:rPr>
                <w:sz w:val="17"/>
              </w:rPr>
              <w:t>4,527</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4,076</w:t>
            </w:r>
          </w:p>
        </w:tc>
        <w:tc>
          <w:tcPr>
            <w:tcW w:type="dxa" w:w="1440"/>
            <w:shd w:fill="FFDCE0" w:val="clear"/>
          </w:tcPr>
          <w:p>
            <w:r>
              <w:rPr>
                <w:b/>
                <w:sz w:val="17"/>
              </w:rPr>
              <w:t>4,301</w:t>
            </w:r>
          </w:p>
        </w:tc>
        <w:tc>
          <w:tcPr>
            <w:tcW w:type="dxa" w:w="1440"/>
            <w:shd w:fill="FFDCE0" w:val="clear"/>
          </w:tcPr>
          <w:p>
            <w:r>
              <w:rPr>
                <w:sz w:val="17"/>
              </w:rPr>
              <w:t>4,526</w:t>
            </w:r>
          </w:p>
        </w:tc>
        <w:tc>
          <w:tcPr>
            <w:tcW w:type="dxa" w:w="1440"/>
            <w:shd w:fill="FFDCE0" w:val="clear"/>
          </w:tcPr>
          <w:p>
            <w:r>
              <w:rPr>
                <w:b/>
                <w:color w:val="C00000"/>
                <w:sz w:val="17"/>
              </w:rPr>
              <w:t>-4.3%</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4,040</w:t>
            </w:r>
          </w:p>
        </w:tc>
        <w:tc>
          <w:tcPr>
            <w:tcW w:type="dxa" w:w="1440"/>
            <w:shd w:fill="FFDCE0" w:val="clear"/>
          </w:tcPr>
          <w:p>
            <w:r>
              <w:rPr>
                <w:b/>
                <w:sz w:val="17"/>
              </w:rPr>
              <w:t>4,282</w:t>
            </w:r>
          </w:p>
        </w:tc>
        <w:tc>
          <w:tcPr>
            <w:tcW w:type="dxa" w:w="1440"/>
            <w:shd w:fill="FFDCE0" w:val="clear"/>
          </w:tcPr>
          <w:p>
            <w:r>
              <w:rPr>
                <w:sz w:val="17"/>
              </w:rPr>
              <w:t>4,524</w:t>
            </w:r>
          </w:p>
        </w:tc>
        <w:tc>
          <w:tcPr>
            <w:tcW w:type="dxa" w:w="1440"/>
            <w:shd w:fill="FFDCE0" w:val="clear"/>
          </w:tcPr>
          <w:p>
            <w:r>
              <w:rPr>
                <w:b/>
                <w:color w:val="C00000"/>
                <w:sz w:val="17"/>
              </w:rPr>
              <w:t>-4.7%</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4,005</w:t>
            </w:r>
          </w:p>
        </w:tc>
        <w:tc>
          <w:tcPr>
            <w:tcW w:type="dxa" w:w="1440"/>
            <w:shd w:fill="FFDCE0" w:val="clear"/>
          </w:tcPr>
          <w:p>
            <w:r>
              <w:rPr>
                <w:b/>
                <w:sz w:val="17"/>
              </w:rPr>
              <w:t>4,263</w:t>
            </w:r>
          </w:p>
        </w:tc>
        <w:tc>
          <w:tcPr>
            <w:tcW w:type="dxa" w:w="1440"/>
            <w:shd w:fill="FFDCE0" w:val="clear"/>
          </w:tcPr>
          <w:p>
            <w:r>
              <w:rPr>
                <w:sz w:val="17"/>
              </w:rPr>
              <w:t>4,520</w:t>
            </w:r>
          </w:p>
        </w:tc>
        <w:tc>
          <w:tcPr>
            <w:tcW w:type="dxa" w:w="1440"/>
            <w:shd w:fill="FFDCE0" w:val="clear"/>
          </w:tcPr>
          <w:p>
            <w:r>
              <w:rPr>
                <w:b/>
                <w:color w:val="C00000"/>
                <w:sz w:val="17"/>
              </w:rPr>
              <w:t>-5.2%</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3,972</w:t>
            </w:r>
          </w:p>
        </w:tc>
        <w:tc>
          <w:tcPr>
            <w:tcW w:type="dxa" w:w="1440"/>
            <w:shd w:fill="FFDCE0" w:val="clear"/>
          </w:tcPr>
          <w:p>
            <w:r>
              <w:rPr>
                <w:b/>
                <w:sz w:val="17"/>
              </w:rPr>
              <w:t>4,244</w:t>
            </w:r>
          </w:p>
        </w:tc>
        <w:tc>
          <w:tcPr>
            <w:tcW w:type="dxa" w:w="1440"/>
            <w:shd w:fill="FFDCE0" w:val="clear"/>
          </w:tcPr>
          <w:p>
            <w:r>
              <w:rPr>
                <w:sz w:val="17"/>
              </w:rPr>
              <w:t>4,516</w:t>
            </w:r>
          </w:p>
        </w:tc>
        <w:tc>
          <w:tcPr>
            <w:tcW w:type="dxa" w:w="1440"/>
            <w:shd w:fill="FFDCE0" w:val="clear"/>
          </w:tcPr>
          <w:p>
            <w:r>
              <w:rPr>
                <w:b/>
                <w:color w:val="C00000"/>
                <w:sz w:val="17"/>
              </w:rPr>
              <w:t>-5.6%</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3,941</w:t>
            </w:r>
          </w:p>
        </w:tc>
        <w:tc>
          <w:tcPr>
            <w:tcW w:type="dxa" w:w="1440"/>
            <w:shd w:fill="FFDCE0" w:val="clear"/>
          </w:tcPr>
          <w:p>
            <w:r>
              <w:rPr>
                <w:b/>
                <w:sz w:val="17"/>
              </w:rPr>
              <w:t>4,226</w:t>
            </w:r>
          </w:p>
        </w:tc>
        <w:tc>
          <w:tcPr>
            <w:tcW w:type="dxa" w:w="1440"/>
            <w:shd w:fill="FFDCE0" w:val="clear"/>
          </w:tcPr>
          <w:p>
            <w:r>
              <w:rPr>
                <w:sz w:val="17"/>
              </w:rPr>
              <w:t>4,511</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**Date de l'analyse : 09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46,03 milliards FCFA, un niveau significatif qui la positionne parmi les valeurs moyennes de la cote de la BRVM. Avec un BPA de 231 FCFA, le titre se négocie à un PER de 19,4x, nettement supérieur à la moyenne historique du marché (8-12x). Cette décote de valorisation indique que les investisseurs paient une prime substantielle pour la croissance anticipée, ce qui pourrait limiter le potentiel de hausse à court terme. Le P/B de 3,99x confirme cette prime, le marché valorisant l'actif net comptable près de quatre fois au-dessus de sa valeur, une situation typique des sociétés bénéficiant d'une forte croissance attendue. Enfin, l'EV/EBITDA de 9,9x se situe dans la fourchette haute des valeurs raisonnables (5-10x), suggérant que la valeur d'entreprise reste globalement cohérente avec sa capacité opérationnelle, malgré des ratios boursiers exigeants.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10,10%, bien que la dernière séance montre un rebond de +3,33% à 4 495 FCFA. Le titre a évolué dans une fourchette de 3 620 à 5 000 FCFA, illustrant une volatilité intraday marquée. La moyenne (4 409 FCFA) étant inférieure à la médiane (4 470 FCFA), on observe une asymétrie négative (skewness de -0,844), signifiant que les jours de baisse ont été plus fréquents mais que les rares fortes hausses ont tiré le cours vers le haut. L'écart-type de 320 FCFA (CV de 7,2%) indique une dispersion modérée autour de la moyenne. Le kurtosis de 0,578 (mésokurtique) suggère une distribution proche de la normale, sans risque de variations extrêmes. La volatilité annualisée de 38,8% classe le titre comme très volatil, un niveau élevé qui reflète une incertitude persistante sur le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(4 495 FCFA) se situe en dessous de la MM20 (4 448,5 FCFA) et de la MM50 (4 480,1 FCFA), indiquant une tendance baissière à court et moyen terme. La décision de "Vente" est justifiée par cette configuration, le prix n'ayant pas réussi à se maintenir au-dessus de ses moyennes mobiles, signe d'un momentum négatif persistant.</w:t>
      </w:r>
    </w:p>
    <w:p>
      <w:pPr>
        <w:spacing w:after="120" w:line="276" w:lineRule="auto"/>
      </w:pPr>
      <w:r>
        <w:t>**Bandes de Bollinger** : Le prix évolue entre la borne inférieure (4 332,5 FCFA) et la borne supérieure (4 564,5 FCFA), avec une position médiane. La décision "Neutre" reflète une volatilité modérée, sans signal de surachat ni de survente. Le cours semble chercher une direction après une phase de consolidation.</w:t>
      </w:r>
    </w:p>
    <w:p>
      <w:pPr>
        <w:spacing w:after="120" w:line="276" w:lineRule="auto"/>
      </w:pPr>
      <w:r>
        <w:t>**MACD** : La valeur du MACD (-15,0) est inférieure à son signal (-9,431), confirmant une dynamique baissière. Cette divergence négative indique que la pression vendeuse reste dominante, justifiant la décision de "Vente". Le momentum n'a pas encore montré de signe de retournement.</w:t>
      </w:r>
    </w:p>
    <w:p>
      <w:pPr>
        <w:spacing w:after="120" w:line="276" w:lineRule="auto"/>
      </w:pPr>
      <w:r>
        <w:t>**RSI** : À 57,377, le RSI se situe en zone neutre, indiquant un équilibre entre acheteurs et vendeurs. La décision "Neutre" est cohérente, le titre n'étant ni suracheté ni survendu. Cette valeur suggère une marge de manœuvre avant d'atteindre des zones extrêmes.</w:t>
      </w:r>
    </w:p>
    <w:p>
      <w:pPr>
        <w:spacing w:after="120" w:line="276" w:lineRule="auto"/>
      </w:pPr>
      <w:r>
        <w:t>**Stochastique** : Le %K (72,5) est nettement supérieur au %D (24,167), indiquant un croisement haussier potentiel. Cependant, la décision "Neutre" suggère que ce signal n'est pas encore suffisamment fort pour confirmer un retournement durable. La prudence reste de mise.</w:t>
      </w:r>
    </w:p>
    <w:p>
      <w:pPr>
        <w:spacing w:after="120" w:line="276" w:lineRule="auto"/>
      </w:pPr>
      <w:r>
        <w:t>**Conclusion technique** : Les indicateurs sont partagés entre des signaux de vente (MM, MACD) et des positions neutres (Bollinger, RSI, Stochastique). La tendance globale reste baissière à court terme, mais l'absence de signaux extrêmes laisse entrevoir une possible stabilisation. Une confirmation haussière serait nécessaire pour inverser la dynamique.</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hausse de 9,5% par rapport à 2024 (74,45 milliards), selon les données structurées. Le résultat net s'établit à 2,367 milliards FCFA, stable par rapport à 2024 (2,35 milliards), avec une marge nette de 2,92%. La rentabilité des fonds propres (ROE) atteint 20,53%, un niveau excellent (&gt;15%), tandis que le ROA est de 4,95%. Cependant, la structure financière révèle des tensions : le BFR est élevé à 11,267 milliards FCFA, avec un délai de stockage de 150 jours et un délai client de 46 jours, contre un délai fournisseur de 103 jours. L'endettement total représente 314,86% des capitaux propres, et la trésorerie nette est négative à -4,092 milliards FCFA. Le rapport du 1er semestre 2025 (daté du 30/06/2025) montre une performance exceptionnelle avec un CA en hausse de 15,1% et un résultat net multiplié par 28, mais la direction anticipe un ralentissement au S2 en raison du contexte électoral. Le rapport annuel 2025 (daté du 31/12/2025) confirme une croissance solide du CA mais une marge nette modeste, avec un dividende proposé de 209 FCFA par action. Sur la base du S1 2025, on estime que l'exercice 2026 pourrait voir une croissance modérée du CA, mais la pression sur les marges et le BFR restent des défis majeurs.</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3,99x) suggère une surévaluation relative par rapport au marché BRVM, malgré une croissance du CA solide. Le comportement du cours sur 100 jours (-10,10%) et la volatilité élevée (38,8%) indiquent une tendance baissière préoccupante, renforcée par les signaux techniques de vente (MM, MACD). Les fondamentaux montrent une entreprise rentable (ROE de 20,53%) mais avec des tensions de trésorerie et un BFR élevé, tandis que les perspectives 2026 restent incertaines. Les prédictions IA (4 392 à 4 321 FCFA sur 10 jours) confirment une trajectoire baissière à court terme, en ligne avec les signaux techniques. La convergence des signaux baissiers (technique, prédiction IA) avec une valorisation exigeante justifie une recommandation **CONSERVER** avec une confiance **Moyenne**. Le risque global est **Élevé** en raison de la volatilité et de l'incertitude politique. L'horizon d'investissement optimal serait de **moyen terme (3-12 mois)**, en attendant une clarification de la politique de dividende et une amélioration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45.43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8,441 titres</w:t>
            </w:r>
          </w:p>
        </w:tc>
        <w:tc>
          <w:tcPr>
            <w:tcW w:type="dxa" w:w="2268"/>
            <w:shd w:fill="FFF2CC" w:val="clear"/>
          </w:tcPr>
          <w:p>
            <w:r>
              <w:rPr>
                <w:b/>
                <w:color w:val="503200"/>
                <w:sz w:val="16"/>
              </w:rPr>
              <w:t xml:space="preserve">Cours actuel : </w:t>
            </w:r>
            <w:r>
              <w:rPr>
                <w:color w:val="000000"/>
                <w:sz w:val="17"/>
              </w:rPr>
              <w:t>5,595 FCFA</w:t>
            </w:r>
          </w:p>
          <w:p>
            <w:r>
              <w:rPr>
                <w:b/>
                <w:color w:val="503200"/>
                <w:sz w:val="16"/>
              </w:rPr>
              <w:t xml:space="preserve">Var. 100 jours : </w:t>
            </w:r>
            <w:r>
              <w:rPr>
                <w:b/>
                <w:color w:val="B40000"/>
                <w:sz w:val="17"/>
              </w:rPr>
              <w:t>-18.26%</w:t>
            </w:r>
          </w:p>
          <w:p>
            <w:r>
              <w:rPr>
                <w:b/>
                <w:color w:val="503200"/>
                <w:sz w:val="16"/>
              </w:rPr>
              <w:t xml:space="preserve">Plus haut 100j : </w:t>
            </w:r>
            <w:r>
              <w:rPr>
                <w:color w:val="000000"/>
                <w:sz w:val="17"/>
              </w:rPr>
              <w:t>6,845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18.52% (Élevée) — μ=4,644 FCFA, σ=860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β=0.2374 (Défensif) — Cov=0.000009, Var(idx)=0.000036, ρ=0.028,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4,850</w:t>
            </w:r>
          </w:p>
        </w:tc>
        <w:tc>
          <w:tcPr>
            <w:tcW w:type="dxa" w:w="1440"/>
            <w:shd w:fill="FFDCE0" w:val="clear"/>
          </w:tcPr>
          <w:p>
            <w:r>
              <w:rPr>
                <w:b/>
                <w:sz w:val="17"/>
              </w:rPr>
              <w:t>5,175</w:t>
            </w:r>
          </w:p>
        </w:tc>
        <w:tc>
          <w:tcPr>
            <w:tcW w:type="dxa" w:w="1440"/>
            <w:shd w:fill="FFDCE0" w:val="clear"/>
          </w:tcPr>
          <w:p>
            <w:r>
              <w:rPr>
                <w:sz w:val="17"/>
              </w:rPr>
              <w:t>5,501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4,362</w:t>
            </w:r>
          </w:p>
        </w:tc>
        <w:tc>
          <w:tcPr>
            <w:tcW w:type="dxa" w:w="1440"/>
            <w:shd w:fill="FFDCE0" w:val="clear"/>
          </w:tcPr>
          <w:p>
            <w:r>
              <w:rPr>
                <w:b/>
                <w:sz w:val="17"/>
              </w:rPr>
              <w:t>4,787</w:t>
            </w:r>
          </w:p>
        </w:tc>
        <w:tc>
          <w:tcPr>
            <w:tcW w:type="dxa" w:w="1440"/>
            <w:shd w:fill="FFDCE0" w:val="clear"/>
          </w:tcPr>
          <w:p>
            <w:r>
              <w:rPr>
                <w:sz w:val="17"/>
              </w:rPr>
              <w:t>5,213</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3,946</w:t>
            </w:r>
          </w:p>
        </w:tc>
        <w:tc>
          <w:tcPr>
            <w:tcW w:type="dxa" w:w="1440"/>
            <w:shd w:fill="FFDCE0" w:val="clear"/>
          </w:tcPr>
          <w:p>
            <w:r>
              <w:rPr>
                <w:b/>
                <w:sz w:val="17"/>
              </w:rPr>
              <w:t>4,428</w:t>
            </w:r>
          </w:p>
        </w:tc>
        <w:tc>
          <w:tcPr>
            <w:tcW w:type="dxa" w:w="1440"/>
            <w:shd w:fill="FFDCE0" w:val="clear"/>
          </w:tcPr>
          <w:p>
            <w:r>
              <w:rPr>
                <w:sz w:val="17"/>
              </w:rPr>
              <w:t>4,910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3,581</w:t>
            </w:r>
          </w:p>
        </w:tc>
        <w:tc>
          <w:tcPr>
            <w:tcW w:type="dxa" w:w="1440"/>
            <w:shd w:fill="FFDCE0" w:val="clear"/>
          </w:tcPr>
          <w:p>
            <w:r>
              <w:rPr>
                <w:b/>
                <w:sz w:val="17"/>
              </w:rPr>
              <w:t>4,096</w:t>
            </w:r>
          </w:p>
        </w:tc>
        <w:tc>
          <w:tcPr>
            <w:tcW w:type="dxa" w:w="1440"/>
            <w:shd w:fill="FFDCE0" w:val="clear"/>
          </w:tcPr>
          <w:p>
            <w:r>
              <w:rPr>
                <w:sz w:val="17"/>
              </w:rPr>
              <w:t>4,611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3,256</w:t>
            </w:r>
          </w:p>
        </w:tc>
        <w:tc>
          <w:tcPr>
            <w:tcW w:type="dxa" w:w="1440"/>
            <w:shd w:fill="FFDCE0" w:val="clear"/>
          </w:tcPr>
          <w:p>
            <w:r>
              <w:rPr>
                <w:b/>
                <w:sz w:val="17"/>
              </w:rPr>
              <w:t>3,789</w:t>
            </w:r>
          </w:p>
        </w:tc>
        <w:tc>
          <w:tcPr>
            <w:tcW w:type="dxa" w:w="1440"/>
            <w:shd w:fill="FFDCE0" w:val="clear"/>
          </w:tcPr>
          <w:p>
            <w:r>
              <w:rPr>
                <w:sz w:val="17"/>
              </w:rPr>
              <w:t>4,321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2,965</w:t>
            </w:r>
          </w:p>
        </w:tc>
        <w:tc>
          <w:tcPr>
            <w:tcW w:type="dxa" w:w="1440"/>
            <w:shd w:fill="FFDCE0" w:val="clear"/>
          </w:tcPr>
          <w:p>
            <w:r>
              <w:rPr>
                <w:b/>
                <w:sz w:val="17"/>
              </w:rPr>
              <w:t>3,505</w:t>
            </w:r>
          </w:p>
        </w:tc>
        <w:tc>
          <w:tcPr>
            <w:tcW w:type="dxa" w:w="1440"/>
            <w:shd w:fill="FFDCE0" w:val="clear"/>
          </w:tcPr>
          <w:p>
            <w:r>
              <w:rPr>
                <w:sz w:val="17"/>
              </w:rPr>
              <w:t>4,044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2,703</w:t>
            </w:r>
          </w:p>
        </w:tc>
        <w:tc>
          <w:tcPr>
            <w:tcW w:type="dxa" w:w="1440"/>
            <w:shd w:fill="FFDCE0" w:val="clear"/>
          </w:tcPr>
          <w:p>
            <w:r>
              <w:rPr>
                <w:b/>
                <w:sz w:val="17"/>
              </w:rPr>
              <w:t>3,242</w:t>
            </w:r>
          </w:p>
        </w:tc>
        <w:tc>
          <w:tcPr>
            <w:tcW w:type="dxa" w:w="1440"/>
            <w:shd w:fill="FFDCE0" w:val="clear"/>
          </w:tcPr>
          <w:p>
            <w:r>
              <w:rPr>
                <w:sz w:val="17"/>
              </w:rPr>
              <w:t>3,781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2,466</w:t>
            </w:r>
          </w:p>
        </w:tc>
        <w:tc>
          <w:tcPr>
            <w:tcW w:type="dxa" w:w="1440"/>
            <w:shd w:fill="FFDCE0" w:val="clear"/>
          </w:tcPr>
          <w:p>
            <w:r>
              <w:rPr>
                <w:b/>
                <w:sz w:val="17"/>
              </w:rPr>
              <w:t>2,999</w:t>
            </w:r>
          </w:p>
        </w:tc>
        <w:tc>
          <w:tcPr>
            <w:tcW w:type="dxa" w:w="1440"/>
            <w:shd w:fill="FFDCE0" w:val="clear"/>
          </w:tcPr>
          <w:p>
            <w:r>
              <w:rPr>
                <w:sz w:val="17"/>
              </w:rPr>
              <w:t>3,532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2,251</w:t>
            </w:r>
          </w:p>
        </w:tc>
        <w:tc>
          <w:tcPr>
            <w:tcW w:type="dxa" w:w="1440"/>
            <w:shd w:fill="FFDCE0" w:val="clear"/>
          </w:tcPr>
          <w:p>
            <w:r>
              <w:rPr>
                <w:b/>
                <w:sz w:val="17"/>
              </w:rPr>
              <w:t>2,774</w:t>
            </w:r>
          </w:p>
        </w:tc>
        <w:tc>
          <w:tcPr>
            <w:tcW w:type="dxa" w:w="1440"/>
            <w:shd w:fill="FFDCE0" w:val="clear"/>
          </w:tcPr>
          <w:p>
            <w:r>
              <w:rPr>
                <w:sz w:val="17"/>
              </w:rPr>
              <w:t>3,297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2,056</w:t>
            </w:r>
          </w:p>
        </w:tc>
        <w:tc>
          <w:tcPr>
            <w:tcW w:type="dxa" w:w="1440"/>
            <w:shd w:fill="FFDCE0" w:val="clear"/>
          </w:tcPr>
          <w:p>
            <w:r>
              <w:rPr>
                <w:b/>
                <w:sz w:val="17"/>
              </w:rPr>
              <w:t>2,566</w:t>
            </w:r>
          </w:p>
        </w:tc>
        <w:tc>
          <w:tcPr>
            <w:tcW w:type="dxa" w:w="1440"/>
            <w:shd w:fill="FFDCE0" w:val="clear"/>
          </w:tcPr>
          <w:p>
            <w:r>
              <w:rPr>
                <w:sz w:val="17"/>
              </w:rPr>
              <w:t>3,076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45,43 milliards FCFA, un niveau modeste dans l'écosystème de la BRVM, reflétant la taille encore limitée de cet établissement financier spécialisé dans le crédit à la consommation et automobile. Avec un BPA de 86 FCFA, le titre affiche un PER de 64,8x, extrêmement élevé par rapport à la moyenne du marché BRVM (8-12x), ce qui signifie que les investisseurs paient une prime considérable pour chaque franc de bénéfice généré. Le P/B de 7,68x confirme cette surévaluation relative, le marché valorisant le titre près de huit fois sa valeur comptable, tandis que l'EV/EBITDA de 80,5x témoigne d'une valorisation très exigeante par rapport à la capacité opérationnelle de l'entreprise. Ces ratios traduisent des anticipations de croissance très fortes qui devront se matérialiser pour justifier de tels niveaux de prix.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SAFC a enregistré une variation totale de -18,26%, avec une chute particulièrement brutale de -7,29% lors de la dernière séance, portant le cours à 5 595 FCFA. Le titre a évolué dans une fourchette très large, entre un plus bas de 3 340 FCFA et un plus haut de 6 845 FCFA, illustrant une volatilité extrême et des mouvements directionnels marqués. La moyenne du cours sur la période s'établit à 4 644 FCFA, légèrement supérieure à la médiane de 4 505 FCFA, indiquant une distribution relativement symétrique, confirmée par un skewness de 0,445. L'écart-type de 864 FCFA représente un coefficient de variation de 18,6%, témoignant d'une dispersion modérée autour de la moyenne, tandis que le kurtosis de -0,937 suggère une distribution mésokurtique, proche de la normale, sans risque particulier de pics extrêmes. La volatilité annualisée de 82,2% classe le titre dans la catégorie des valeurs à très haute volatilité, bien au-delà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Les moyennes mobiles indiquent une décision d'achat, avec une MM20 à 5 741,75 FCFA et une MM50 à 5 102,7 FCFA. Le cours actuel de 5 595 FCFA se situe sous la MM20 mais au-dessus de la MM50, suggérant une tendance de fond positive à moyen terme malgré un repli récent à court terme. La configuration des MM20 au-dessus des MM50 témoigne d'un momentum haussier persistant sur la période analysée.</w:t>
      </w:r>
    </w:p>
    <w:p>
      <w:pPr>
        <w:spacing w:after="120" w:line="276" w:lineRule="auto"/>
      </w:pPr>
      <w:r>
        <w:t>Les bandes de Bollinger présentent une décision neutre, avec le cours à 5 595 FCFA positionné entre la borne supérieure de 6 364,25 FCFA et la borne inférieure de 5 119,25 FCFA. Cette position médiane dans les bandes indique une volatilité modérée sans signal directionnel fort, le titre n'étant ni en situation de surachat ni de survente extrême.</w:t>
      </w:r>
    </w:p>
    <w:p>
      <w:pPr>
        <w:spacing w:after="120" w:line="276" w:lineRule="auto"/>
      </w:pPr>
      <w:r>
        <w:t>Le MACD affiche une décision de vente, avec une valeur de 243,07 inférieure à son signal de 288,01. Cette divergence négative suggère un affaiblissement du momentum haussier, les investisseurs commençant à prendre leurs bénéfices après la récente appréciation du titre.</w:t>
      </w:r>
    </w:p>
    <w:p>
      <w:pPr>
        <w:spacing w:after="120" w:line="276" w:lineRule="auto"/>
      </w:pPr>
      <w:r>
        <w:t>Le RSI s'établit à 49,59, une valeur neutre qui place le titre dans la zone médiane de 30-70, sans signal de surachat ni de survente. Cette lecture indique que le marché n'est pas encore dans une phase d'épuisement, laissant une marge de manœuvre dans les deux sens.</w:t>
      </w:r>
    </w:p>
    <w:p>
      <w:pPr>
        <w:spacing w:after="120" w:line="276" w:lineRule="auto"/>
      </w:pPr>
      <w:r>
        <w:t>L'indicateur stochastique affiche une décision d'achat avec un %K à 0,0 et un %D à 50,0, suggérant un croisement haussier potentiel en préparation. Cette configuration, combinée aux autres indicateurs, pourrait signaler un rebond technique à court terme.</w:t>
      </w:r>
    </w:p>
    <w:p>
      <w:pPr>
        <w:spacing w:after="120" w:line="276" w:lineRule="auto"/>
      </w:pPr>
      <w:r>
        <w:t>La convergence des signaux techniques est mitigée : les moyennes mobiles et le stochastique penchent vers l'achat, tandis que le MACD suggère une vente, et les bandes de Bollinger ainsi que le RSI restent neutres. Cette divergence indique une phase de consolidation incertaine, où le titre pourrait évoluer latéralement avant de trouver une direction claire.</w:t>
      </w:r>
    </w:p>
    <w:p>
      <w:pPr>
        <w:spacing w:after="120" w:line="276" w:lineRule="auto" w:before="240"/>
      </w:pPr>
      <w:r>
        <w:rPr>
          <w:b/>
          <w:color w:val="003366"/>
          <w:sz w:val="24"/>
        </w:rPr>
        <w:t>**PARTIE 3 : ANALYSE FONDAMENTALE (SECTION CRITIQUE)**</w:t>
      </w:r>
    </w:p>
    <w:p>
      <w:pPr>
        <w:spacing w:after="120" w:line="276" w:lineRule="auto"/>
      </w:pPr>
      <w:r>
        <w:t>En 2025, SAFC a réalisé un Produit Net Bancaire de 5,735 milliards FCFA, en hausse spectaculaire de 44,1% par rapport à 2024 (3,980 milliards FCFA), avec un résultat net redevenu positif à 701 millions FCFA après huit années consécutives de pertes. Le coefficient d'exploitation de 77,63% reste élevé, indiquant une efficacité opérationnelle encore insuffisante par rapport à la norme de 60% pour une banque performante, tandis que le coût du risque de 6,57% demeure significatif, reflétant un portefeuille de crédits encore fragile. Le ROE de 11,85% et le ROA de 0,88% montrent une rentabilité en amélioration mais encore modeste, avec une autonomie financière limitée à 7,44% et une dépendance financière de 92,56% qui expose l'établissement à des risques de liquidité. Les rapports trimestriels 2026 confirment cette dynamique positive : au T1 2026, le PNB progresse de 29% à 1,395 milliard FCFA avec un résultat net de 151 millions FCFA, tandis qu'au S1 2026, le PNB atteint 2,907 milliards FCFA (+37%) et le résultat net bondit à 731 millions FCFA (+231%), avec une marge nette de 25,1% et un ratio de solvabilité globale de 12,93%. Sur la base de ces performances semestrielles, on estime que l'exercice 2026 pourrait dépasser largement les résultats de 2025, avec un PNB annuel potentiel de 5,8 à 6 milliards FCFA et un résultat net de 1,4 à 1,5 milliard FCFA, sous réserve du maintien de la qualité du portefeuille et de la maîtrise du coût du risque. L'augmentation de capital de 1,5 milliard FCFA réalisée en avril 2026 avec un DPS de 1 615 FCFA renforce les fonds propres et soutient la stratégie de croissance du nouvel actionnaire CREDAF Group.</w:t>
      </w:r>
    </w:p>
    <w:p>
      <w:pPr>
        <w:spacing w:after="120" w:line="276" w:lineRule="auto" w:before="240"/>
      </w:pPr>
      <w:r>
        <w:rPr>
          <w:b/>
          <w:color w:val="003366"/>
          <w:sz w:val="24"/>
        </w:rPr>
        <w:t>**PARTIE 4 : CONCLUSION D'INVESTISSEMENT**</w:t>
      </w:r>
    </w:p>
    <w:p>
      <w:pPr>
        <w:spacing w:after="120" w:line="276" w:lineRule="auto"/>
      </w:pPr>
      <w:r>
        <w:t>La valorisation de SAFC apparaît extrêmement exigeante avec un PER de 64,8x, un P/B de 7,68x et un EV/EBITDA de 80,5x, traduisant des anticipations de croissance très optimistes qui contrastent avec la chute récente du cours de -18,26% sur 100 jours et une volatilité annualisée de 82,2%. Les signaux techniques sont mitigés, oscillant entre achat (MM, stochastique) et vente (MACD), reflétant une phase de consolidation incertaine. Les fondamentaux montrent néanmoins un redressement spectaculaire depuis l'arrivée de CREDAF Group, avec un retour à la rentabilité en 2025 et une accélération en 2026, mais la structure financière reste fragile avec une dépendance élevée aux dettes interbancaires et un coût du risque encore significatif. Les prédictions IA pour les 10 prochains jours indiquent une poursuite de la baisse, avec un cours projeté à 3 789 FCFA, soit une dépréciation supplémentaire de 32%, ce qui contredit les signaux techniques d'achat et suggère une correction profonde en cours. La recommandation finale est **VENTE** avec un niveau de confiance **Moyen** et un risque global **Élevé**, l'horizon d'investissement optimal étant le court terme (&lt;3 mois) pour les investisseurs cherchant à limiter leur exposition, tandis que les investisseurs à long terme pourraient considérer un réinvestissement après la stabilisation du cours et la confirmation de la solidité financière de l'établissement.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68.60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11,139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+75.00%</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μ=3,038 FCFA, σ=604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β=0.2456 (Défensif) — Cov=0.000009, Var(idx)=0.000036, ρ=0.044,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3,115</w:t>
            </w:r>
          </w:p>
        </w:tc>
        <w:tc>
          <w:tcPr>
            <w:tcW w:type="dxa" w:w="1440"/>
            <w:shd w:fill="FFDCE0" w:val="clear"/>
          </w:tcPr>
          <w:p>
            <w:r>
              <w:rPr>
                <w:b/>
                <w:sz w:val="17"/>
              </w:rPr>
              <w:t>3,238</w:t>
            </w:r>
          </w:p>
        </w:tc>
        <w:tc>
          <w:tcPr>
            <w:tcW w:type="dxa" w:w="1440"/>
            <w:shd w:fill="FFDCE0" w:val="clear"/>
          </w:tcPr>
          <w:p>
            <w:r>
              <w:rPr>
                <w:sz w:val="17"/>
              </w:rPr>
              <w:t>3,360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2,835</w:t>
            </w:r>
          </w:p>
        </w:tc>
        <w:tc>
          <w:tcPr>
            <w:tcW w:type="dxa" w:w="1440"/>
            <w:shd w:fill="FFDCE0" w:val="clear"/>
          </w:tcPr>
          <w:p>
            <w:r>
              <w:rPr>
                <w:b/>
                <w:sz w:val="17"/>
              </w:rPr>
              <w:t>2,995</w:t>
            </w:r>
          </w:p>
        </w:tc>
        <w:tc>
          <w:tcPr>
            <w:tcW w:type="dxa" w:w="1440"/>
            <w:shd w:fill="FFDCE0" w:val="clear"/>
          </w:tcPr>
          <w:p>
            <w:r>
              <w:rPr>
                <w:sz w:val="17"/>
              </w:rPr>
              <w:t>3,154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2,589</w:t>
            </w:r>
          </w:p>
        </w:tc>
        <w:tc>
          <w:tcPr>
            <w:tcW w:type="dxa" w:w="1440"/>
            <w:shd w:fill="FFDCE0" w:val="clear"/>
          </w:tcPr>
          <w:p>
            <w:r>
              <w:rPr>
                <w:b/>
                <w:sz w:val="17"/>
              </w:rPr>
              <w:t>2,770</w:t>
            </w:r>
          </w:p>
        </w:tc>
        <w:tc>
          <w:tcPr>
            <w:tcW w:type="dxa" w:w="1440"/>
            <w:shd w:fill="FFDCE0" w:val="clear"/>
          </w:tcPr>
          <w:p>
            <w:r>
              <w:rPr>
                <w:sz w:val="17"/>
              </w:rPr>
              <w:t>2,951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2,369</w:t>
            </w:r>
          </w:p>
        </w:tc>
        <w:tc>
          <w:tcPr>
            <w:tcW w:type="dxa" w:w="1440"/>
            <w:shd w:fill="FFDCE0" w:val="clear"/>
          </w:tcPr>
          <w:p>
            <w:r>
              <w:rPr>
                <w:b/>
                <w:sz w:val="17"/>
              </w:rPr>
              <w:t>2,562</w:t>
            </w:r>
          </w:p>
        </w:tc>
        <w:tc>
          <w:tcPr>
            <w:tcW w:type="dxa" w:w="1440"/>
            <w:shd w:fill="FFDCE0" w:val="clear"/>
          </w:tcPr>
          <w:p>
            <w:r>
              <w:rPr>
                <w:sz w:val="17"/>
              </w:rPr>
              <w:t>2,756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2,170</w:t>
            </w:r>
          </w:p>
        </w:tc>
        <w:tc>
          <w:tcPr>
            <w:tcW w:type="dxa" w:w="1440"/>
            <w:shd w:fill="FFDCE0" w:val="clear"/>
          </w:tcPr>
          <w:p>
            <w:r>
              <w:rPr>
                <w:b/>
                <w:sz w:val="17"/>
              </w:rPr>
              <w:t>2,370</w:t>
            </w:r>
          </w:p>
        </w:tc>
        <w:tc>
          <w:tcPr>
            <w:tcW w:type="dxa" w:w="1440"/>
            <w:shd w:fill="FFDCE0" w:val="clear"/>
          </w:tcPr>
          <w:p>
            <w:r>
              <w:rPr>
                <w:sz w:val="17"/>
              </w:rPr>
              <w:t>2,570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1,990</w:t>
            </w:r>
          </w:p>
        </w:tc>
        <w:tc>
          <w:tcPr>
            <w:tcW w:type="dxa" w:w="1440"/>
            <w:shd w:fill="FFDCE0" w:val="clear"/>
          </w:tcPr>
          <w:p>
            <w:r>
              <w:rPr>
                <w:b/>
                <w:sz w:val="17"/>
              </w:rPr>
              <w:t>2,192</w:t>
            </w:r>
          </w:p>
        </w:tc>
        <w:tc>
          <w:tcPr>
            <w:tcW w:type="dxa" w:w="1440"/>
            <w:shd w:fill="FFDCE0" w:val="clear"/>
          </w:tcPr>
          <w:p>
            <w:r>
              <w:rPr>
                <w:sz w:val="17"/>
              </w:rPr>
              <w:t>2,395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1,826</w:t>
            </w:r>
          </w:p>
        </w:tc>
        <w:tc>
          <w:tcPr>
            <w:tcW w:type="dxa" w:w="1440"/>
            <w:shd w:fill="FFDCE0" w:val="clear"/>
          </w:tcPr>
          <w:p>
            <w:r>
              <w:rPr>
                <w:b/>
                <w:sz w:val="17"/>
              </w:rPr>
              <w:t>2,028</w:t>
            </w:r>
          </w:p>
        </w:tc>
        <w:tc>
          <w:tcPr>
            <w:tcW w:type="dxa" w:w="1440"/>
            <w:shd w:fill="FFDCE0" w:val="clear"/>
          </w:tcPr>
          <w:p>
            <w:r>
              <w:rPr>
                <w:sz w:val="17"/>
              </w:rPr>
              <w:t>2,230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1,676</w:t>
            </w:r>
          </w:p>
        </w:tc>
        <w:tc>
          <w:tcPr>
            <w:tcW w:type="dxa" w:w="1440"/>
            <w:shd w:fill="FFDCE0" w:val="clear"/>
          </w:tcPr>
          <w:p>
            <w:r>
              <w:rPr>
                <w:b/>
                <w:sz w:val="17"/>
              </w:rPr>
              <w:t>1,876</w:t>
            </w:r>
          </w:p>
        </w:tc>
        <w:tc>
          <w:tcPr>
            <w:tcW w:type="dxa" w:w="1440"/>
            <w:shd w:fill="FFDCE0" w:val="clear"/>
          </w:tcPr>
          <w:p>
            <w:r>
              <w:rPr>
                <w:sz w:val="17"/>
              </w:rPr>
              <w:t>2,076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1,539</w:t>
            </w:r>
          </w:p>
        </w:tc>
        <w:tc>
          <w:tcPr>
            <w:tcW w:type="dxa" w:w="1440"/>
            <w:shd w:fill="FFDCE0" w:val="clear"/>
          </w:tcPr>
          <w:p>
            <w:r>
              <w:rPr>
                <w:b/>
                <w:sz w:val="17"/>
              </w:rPr>
              <w:t>1,735</w:t>
            </w:r>
          </w:p>
        </w:tc>
        <w:tc>
          <w:tcPr>
            <w:tcW w:type="dxa" w:w="1440"/>
            <w:shd w:fill="FFDCE0" w:val="clear"/>
          </w:tcPr>
          <w:p>
            <w:r>
              <w:rPr>
                <w:sz w:val="17"/>
              </w:rPr>
              <w:t>1,932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1,414</w:t>
            </w:r>
          </w:p>
        </w:tc>
        <w:tc>
          <w:tcPr>
            <w:tcW w:type="dxa" w:w="1440"/>
            <w:shd w:fill="FFDCE0" w:val="clear"/>
          </w:tcPr>
          <w:p>
            <w:r>
              <w:rPr>
                <w:b/>
                <w:sz w:val="17"/>
              </w:rPr>
              <w:t>1,605</w:t>
            </w:r>
          </w:p>
        </w:tc>
        <w:tc>
          <w:tcPr>
            <w:tcW w:type="dxa" w:w="1440"/>
            <w:shd w:fill="FFDCE0" w:val="clear"/>
          </w:tcPr>
          <w:p>
            <w:r>
              <w:rPr>
                <w:sz w:val="17"/>
              </w:rPr>
              <w:t>1,796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68,60 milliards FCFA, un niveau significatif sur la BRVM qui positionne le titre parmi les valeurs moyennes du marché. Le BPA est négatif à -406 FCFA, reflétant la perte nette de l'exercice 2025, ce qui rend le PER non significatif à -8,6x ; les investisseurs ne peuvent donc pas valoriser le titre sur la base de ses bénéfices actuels. Le P/B de 3,98x indique que le marché valorise l'action près de 4 fois sa valeur comptable, traduisant une prime de croissance accordée par les investisseurs malgré les difficultés financières. L'EV/EBITDA de 10,8x se situe dans la fourchette de 10-15x, ce qui représente une valorisation élevée compte tenu de la capacité opérationnelle de l'entreprise. Ces ratios suggèrent que le marché intègre un potentiel de redressement futur, mais la valorisation actuelle apparaît généreuse au regard des fondamentaux dégradés.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+75,00%, passant d'un plus bas de 1 990 FCFA à un plus haut de 3 920 FCFA, avec un cours actuel de 3 500 FCFA et une variation nulle lors de la dernière séance. La moyenne du cours sur la période s'établit à 3 038 FCFA, tandis que la médiane est plus élevée à 3 238 FCFA, indiquant une asymétrie négative confirmée par le skewness de -0,555, ce qui signifie que le titre a passé davantage de journées au-dessus de sa moyenne. L'écart-type de 607 FCFA représente un coefficient de variation de 20,0%, témoignant d'une dispersion modérée des cours autour de la moyenne. Le kurtosis en excès de -1,156 révèle une distribution platykurtique, c'est-à-dire aplatie avec une faible concentration des valeurs extrêmes, réduisant le risque de variations brutales. La volatilité annualisée de 53,4% classe le titre comme très volatil, bien au-dessus du seuil de 30%, ce qui implique un risque élevé pour les investisseurs malgré la tendance haussière marquée.</w:t>
      </w:r>
    </w:p>
    <w:p>
      <w:pPr>
        <w:spacing w:after="120" w:line="276" w:lineRule="auto" w:before="240"/>
      </w:pPr>
      <w:r>
        <w:rPr>
          <w:b/>
          <w:color w:val="003366"/>
          <w:sz w:val="24"/>
        </w:rPr>
        <w:t>**PARTIE 2 : ANALYSE TECHNIQUE DÉTAILLÉE**</w:t>
      </w:r>
    </w:p>
    <w:p>
      <w:pPr>
        <w:spacing w:after="120" w:line="276" w:lineRule="auto"/>
      </w:pPr>
      <w:r>
        <w:t>**Moyennes Mobiles** : La MM20 s'établit à 3 521,5 FCFA et la MM50 à 3 552,6 FCFA, toutes deux au-dessus du cours actuel de 3 500 FCFA. Cette configuration baissière indique que le prix évolue sous ses moyennes mobiles, signalant une perte de dynamique haussière à court et moyen terme. La décision de Vente est justifiée par cette position relative défavorable du cours, qui suggère une possible poursuite du mouvement correctif.</w:t>
      </w:r>
    </w:p>
    <w:p>
      <w:pPr>
        <w:spacing w:after="120" w:line="276" w:lineRule="auto"/>
      </w:pPr>
      <w:r>
        <w:t>**Bandes de Bollinger** : Le cours à 3 500 FCFA se positionne entre la borne supérieure à 3 750,275 FCFA et la borne inférieure à 3 292,725 FCFA, proche de la zone médiane. Cette position neutre indique une volatilité modérée sans pression directionnelle forte. La décision Neutre reflète l'absence de signal clair d'achat ou de vente, le titre n'ayant pas touché les bornes extrêmes qui généreraient des signaux de retournement.</w:t>
      </w:r>
    </w:p>
    <w:p>
      <w:pPr>
        <w:spacing w:after="120" w:line="276" w:lineRule="auto"/>
      </w:pPr>
      <w:r>
        <w:t>**MACD** : La valeur du MACD à -0,391 est supérieure à son signal à -2,195, formant un croisement haussier qui suggère un momentum positif en cours de formation. Cette divergence positive indique que la dynamique baissière s'atténue et qu'un potentiel de rebond se dessine. La décision Achat se fonde sur ce croisement du MACD au-dessus de sa ligne de signal, signe précurseur d'un retournement haussier.</w:t>
      </w:r>
    </w:p>
    <w:p>
      <w:pPr>
        <w:spacing w:after="120" w:line="276" w:lineRule="auto"/>
      </w:pPr>
      <w:r>
        <w:t>**RSI** : L'indice de force relative s'établit à 45,255, se situant dans la zone neutre comprise entre 30 et 70. Cette valeur indique un équilibre entre les pressions acheteuses et vendeuses, sans condition de surachat ni de survente. La décision Neutre est cohérente avec cette lecture, le RSI n'émettant aucun signal directionnel fort à ce stade.</w:t>
      </w:r>
    </w:p>
    <w:p>
      <w:pPr>
        <w:spacing w:after="120" w:line="276" w:lineRule="auto"/>
      </w:pPr>
      <w:r>
        <w:t>**Stochastique** : Le %K à 54,545 est inférieur au %D à 62,424, formant une configuration baissière potentielle. Le croisement du %K sous le %D suggère un affaiblissement du momentum haussier à court terme. La décision Neutre s'explique par le positionnement des deux lignes en zone médiane, sans franchissement des seuils critiques de surachat ou de survente.</w:t>
      </w:r>
    </w:p>
    <w:p>
      <w:pPr>
        <w:spacing w:after="120" w:line="276" w:lineRule="auto"/>
      </w:pPr>
      <w:r>
        <w:t>**Conclusion technique** : La synthèse des indicateurs techniques révèle des signaux contradictoires, avec une décision de Vente émanant des moyennes mobiles, un signal d'Achat du MACD, et des positions Neutres pour les bandes de Bollinger, le RSI et le stochastique. Cette configuration traduit une phase d'incertitude où le titre cherche sa direction après une forte progression. La prudence s'impose, le cours évoluant sous ses moyennes mobiles tandis que le MACD suggère un potentiel de rebond technique.</w:t>
      </w:r>
    </w:p>
    <w:p>
      <w:pPr>
        <w:spacing w:after="120" w:line="276" w:lineRule="auto" w:before="240"/>
      </w:pPr>
      <w:r>
        <w:rPr>
          <w:b/>
          <w:color w:val="003366"/>
          <w:sz w:val="24"/>
        </w:rPr>
        <w:t>**PARTIE 3 : ANALYSE FONDAMENTALE (SECTION CRITIQUE)**</w:t>
      </w:r>
    </w:p>
    <w:p>
      <w:pPr>
        <w:spacing w:after="120" w:line="276" w:lineRule="auto"/>
      </w:pPr>
      <w:r>
        <w:t>En 2025, la SCRC présente des états financiers annuels très dégradés : le chiffre d'affaires s'établit à 80,569 milliards FCFA, en recul de 7,6% par rapport à 2024, tandis que le résultat net est une perte massive de 7,954 milliards FCFA contre un bénéfice de 2,474 milliards en 2024. Les ratios de rentabilité confirment cette dégradation avec un ROE de -46,13% et un ROA de -5,08%, traduisant une destruction de valeur pour les actionnaires. La structure financière est préoccupante avec un ratio d'endettement de 88,98%, une autonomie financière faible à 11,02% et une capacité de remboursement de 11,21 années, indiquant une dépendance critique aux créanciers. Le BFR s'établit à 6,529 milliards FCFA avec un délai fournisseurs très étendu à 366 jours, ce qui compense partiellement un délai clients de 12 jours et une durée de stockage de 361 jours. Les rapports financiers de 2025, analysés par Deepseek et Mistral, convergent vers une recommandation de Vente, soulignant l'explosion du coût de l'endettement financier qui a quadruplé à 6,79 milliards FCFA et l'endettement long terme multiplié par 2,7 à 64,5 milliards FCFA. Le rapport du premier semestre 2025, daté du 30 juin 2025, faisait déjà état d'une perte nette de 6,71 milliards FCFA, tandis que le rapport du premier trimestre 2025 montrait un bénéfice de 3,21 milliards FCFA, illustrant la forte détérioration au cours de l'année. Les perspectives pour 2026 restent préoccupantes, la société devant impérativement restructurer sa dette et améliorer sa rentabilité opérationnelle pour éviter une défaillance financière.</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pour l'action SCRC. La valorisation boursière apparaît surévaluée avec un P/B de 3,98x et un EV/EBITDA de 10,8x malgré des pertes nettes de 7,95 milliards FCFA, tandis que le comportement du cours montre une hausse spectaculaire de 75% sur 100 jours, mais avec une volatilité annualisée très élevée de 53,4% et une distribution platykurtique indiquant une faible concentration des variations. Les signaux techniques sont mitigés, oscillant entre vente (moyennes mobiles), achat (MACD) et neutralité (Bollinger, RSI, stochastique), reflétant une phase d'indécision après la forte progression. Les fondamentaux sont très dégradés avec une perte massive, un endettement critique et une rentabilité négative, malgré des investissements importants qui pourraient soutenir un redressement à moyen terme. Les prédictions IA pour les 10 prochains jours ouvrables indiquent une trajectoire baissière marquée, avec un cours projeté à 2 370 FCFA contre 3 500 FCFA actuellement, soit une chute potentielle de 32%. Cette projection contredit la tendance haussière récente et suggère un retournement imminent. Sur la base de cette analyse, la recommandation finale est **VENTE FORTE**, avec un niveau de confiance Élevé, un risque global Élevé et un horizon d'investissement optimal à court terme (moins de 3 mois) pour les investisseurs souhaitant se positionner, ou une sortie immédiate pour ceux détenant déjà le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123.30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1,198 titres</w:t>
            </w:r>
          </w:p>
        </w:tc>
        <w:tc>
          <w:tcPr>
            <w:tcW w:type="dxa" w:w="2268"/>
            <w:shd w:fill="FFF2CC" w:val="clear"/>
          </w:tcPr>
          <w:p>
            <w:r>
              <w:rPr>
                <w:b/>
                <w:color w:val="503200"/>
                <w:sz w:val="16"/>
              </w:rPr>
              <w:t xml:space="preserve">Cours actuel : </w:t>
            </w:r>
            <w:r>
              <w:rPr>
                <w:color w:val="000000"/>
                <w:sz w:val="17"/>
              </w:rPr>
              <w:t>13,700 FCFA</w:t>
            </w:r>
          </w:p>
          <w:p>
            <w:r>
              <w:rPr>
                <w:b/>
                <w:color w:val="503200"/>
                <w:sz w:val="16"/>
              </w:rPr>
              <w:t xml:space="preserve">Var. 100 jours : </w:t>
            </w:r>
            <w:r>
              <w:rPr>
                <w:b/>
                <w:color w:val="007800"/>
                <w:sz w:val="17"/>
              </w:rPr>
              <w:t>+91.61%</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15.15% (Élevée) — μ=11,088 FCFA, σ=1,680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β=0.0772 (Défensif) — Cov=0.000003, Var(idx)=0.000036, ρ=0.020,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59862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12,562</w:t>
            </w:r>
          </w:p>
        </w:tc>
        <w:tc>
          <w:tcPr>
            <w:tcW w:type="dxa" w:w="1440"/>
            <w:shd w:fill="FFDCE0" w:val="clear"/>
          </w:tcPr>
          <w:p>
            <w:r>
              <w:rPr>
                <w:b/>
                <w:sz w:val="17"/>
              </w:rPr>
              <w:t>12,971</w:t>
            </w:r>
          </w:p>
        </w:tc>
        <w:tc>
          <w:tcPr>
            <w:tcW w:type="dxa" w:w="1440"/>
            <w:shd w:fill="FFDCE0" w:val="clear"/>
          </w:tcPr>
          <w:p>
            <w:r>
              <w:rPr>
                <w:sz w:val="17"/>
              </w:rPr>
              <w:t>13,379</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12,160</w:t>
            </w:r>
          </w:p>
        </w:tc>
        <w:tc>
          <w:tcPr>
            <w:tcW w:type="dxa" w:w="1440"/>
            <w:shd w:fill="FFDCE0" w:val="clear"/>
          </w:tcPr>
          <w:p>
            <w:r>
              <w:rPr>
                <w:b/>
                <w:sz w:val="17"/>
              </w:rPr>
              <w:t>12,727</w:t>
            </w:r>
          </w:p>
        </w:tc>
        <w:tc>
          <w:tcPr>
            <w:tcW w:type="dxa" w:w="1440"/>
            <w:shd w:fill="FFDCE0" w:val="clear"/>
          </w:tcPr>
          <w:p>
            <w:r>
              <w:rPr>
                <w:sz w:val="17"/>
              </w:rPr>
              <w:t>13,294</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11,826</w:t>
            </w:r>
          </w:p>
        </w:tc>
        <w:tc>
          <w:tcPr>
            <w:tcW w:type="dxa" w:w="1440"/>
            <w:shd w:fill="FFDCE0" w:val="clear"/>
          </w:tcPr>
          <w:p>
            <w:r>
              <w:rPr>
                <w:b/>
                <w:sz w:val="17"/>
              </w:rPr>
              <w:t>12,509</w:t>
            </w:r>
          </w:p>
        </w:tc>
        <w:tc>
          <w:tcPr>
            <w:tcW w:type="dxa" w:w="1440"/>
            <w:shd w:fill="FFDCE0" w:val="clear"/>
          </w:tcPr>
          <w:p>
            <w:r>
              <w:rPr>
                <w:sz w:val="17"/>
              </w:rPr>
              <w:t>13,191</w:t>
            </w:r>
          </w:p>
        </w:tc>
        <w:tc>
          <w:tcPr>
            <w:tcW w:type="dxa" w:w="1440"/>
            <w:shd w:fill="FFDCE0" w:val="clear"/>
          </w:tcPr>
          <w:p>
            <w:r>
              <w:rPr>
                <w:b/>
                <w:color w:val="C00000"/>
                <w:sz w:val="17"/>
              </w:rPr>
              <w:t>-8.7%</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11,541</w:t>
            </w:r>
          </w:p>
        </w:tc>
        <w:tc>
          <w:tcPr>
            <w:tcW w:type="dxa" w:w="1440"/>
            <w:shd w:fill="FFDCE0" w:val="clear"/>
          </w:tcPr>
          <w:p>
            <w:r>
              <w:rPr>
                <w:b/>
                <w:sz w:val="17"/>
              </w:rPr>
              <w:t>12,317</w:t>
            </w:r>
          </w:p>
        </w:tc>
        <w:tc>
          <w:tcPr>
            <w:tcW w:type="dxa" w:w="1440"/>
            <w:shd w:fill="FFDCE0" w:val="clear"/>
          </w:tcPr>
          <w:p>
            <w:r>
              <w:rPr>
                <w:sz w:val="17"/>
              </w:rPr>
              <w:t>13,093</w:t>
            </w:r>
          </w:p>
        </w:tc>
        <w:tc>
          <w:tcPr>
            <w:tcW w:type="dxa" w:w="1440"/>
            <w:shd w:fill="FFDCE0" w:val="clear"/>
          </w:tcPr>
          <w:p>
            <w:r>
              <w:rPr>
                <w:b/>
                <w:color w:val="C00000"/>
                <w:sz w:val="17"/>
              </w:rPr>
              <w:t>-10.1%</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11,289</w:t>
            </w:r>
          </w:p>
        </w:tc>
        <w:tc>
          <w:tcPr>
            <w:tcW w:type="dxa" w:w="1440"/>
            <w:shd w:fill="FFDCE0" w:val="clear"/>
          </w:tcPr>
          <w:p>
            <w:r>
              <w:rPr>
                <w:b/>
                <w:sz w:val="17"/>
              </w:rPr>
              <w:t>12,145</w:t>
            </w:r>
          </w:p>
        </w:tc>
        <w:tc>
          <w:tcPr>
            <w:tcW w:type="dxa" w:w="1440"/>
            <w:shd w:fill="FFDCE0" w:val="clear"/>
          </w:tcPr>
          <w:p>
            <w:r>
              <w:rPr>
                <w:sz w:val="17"/>
              </w:rPr>
              <w:t>13,000</w:t>
            </w:r>
          </w:p>
        </w:tc>
        <w:tc>
          <w:tcPr>
            <w:tcW w:type="dxa" w:w="1440"/>
            <w:shd w:fill="FFDCE0" w:val="clear"/>
          </w:tcPr>
          <w:p>
            <w:r>
              <w:rPr>
                <w:b/>
                <w:color w:val="C00000"/>
                <w:sz w:val="17"/>
              </w:rPr>
              <w:t>-11.4%</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11,065</w:t>
            </w:r>
          </w:p>
        </w:tc>
        <w:tc>
          <w:tcPr>
            <w:tcW w:type="dxa" w:w="1440"/>
            <w:shd w:fill="FFDCE0" w:val="clear"/>
          </w:tcPr>
          <w:p>
            <w:r>
              <w:rPr>
                <w:b/>
                <w:sz w:val="17"/>
              </w:rPr>
              <w:t>11,990</w:t>
            </w:r>
          </w:p>
        </w:tc>
        <w:tc>
          <w:tcPr>
            <w:tcW w:type="dxa" w:w="1440"/>
            <w:shd w:fill="FFDCE0" w:val="clear"/>
          </w:tcPr>
          <w:p>
            <w:r>
              <w:rPr>
                <w:sz w:val="17"/>
              </w:rPr>
              <w:t>12,916</w:t>
            </w:r>
          </w:p>
        </w:tc>
        <w:tc>
          <w:tcPr>
            <w:tcW w:type="dxa" w:w="1440"/>
            <w:shd w:fill="FFDCE0" w:val="clear"/>
          </w:tcPr>
          <w:p>
            <w:r>
              <w:rPr>
                <w:b/>
                <w:color w:val="C00000"/>
                <w:sz w:val="17"/>
              </w:rPr>
              <w:t>-12.5%</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10,863</w:t>
            </w:r>
          </w:p>
        </w:tc>
        <w:tc>
          <w:tcPr>
            <w:tcW w:type="dxa" w:w="1440"/>
            <w:shd w:fill="FFDCE0" w:val="clear"/>
          </w:tcPr>
          <w:p>
            <w:r>
              <w:rPr>
                <w:b/>
                <w:sz w:val="17"/>
              </w:rPr>
              <w:t>11,851</w:t>
            </w:r>
          </w:p>
        </w:tc>
        <w:tc>
          <w:tcPr>
            <w:tcW w:type="dxa" w:w="1440"/>
            <w:shd w:fill="FFDCE0" w:val="clear"/>
          </w:tcPr>
          <w:p>
            <w:r>
              <w:rPr>
                <w:sz w:val="17"/>
              </w:rPr>
              <w:t>12,839</w:t>
            </w:r>
          </w:p>
        </w:tc>
        <w:tc>
          <w:tcPr>
            <w:tcW w:type="dxa" w:w="1440"/>
            <w:shd w:fill="FFDCE0" w:val="clear"/>
          </w:tcPr>
          <w:p>
            <w:r>
              <w:rPr>
                <w:b/>
                <w:color w:val="C00000"/>
                <w:sz w:val="17"/>
              </w:rPr>
              <w:t>-13.5%</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10,678</w:t>
            </w:r>
          </w:p>
        </w:tc>
        <w:tc>
          <w:tcPr>
            <w:tcW w:type="dxa" w:w="1440"/>
            <w:shd w:fill="FFDCE0" w:val="clear"/>
          </w:tcPr>
          <w:p>
            <w:r>
              <w:rPr>
                <w:b/>
                <w:sz w:val="17"/>
              </w:rPr>
              <w:t>11,723</w:t>
            </w:r>
          </w:p>
        </w:tc>
        <w:tc>
          <w:tcPr>
            <w:tcW w:type="dxa" w:w="1440"/>
            <w:shd w:fill="FFDCE0" w:val="clear"/>
          </w:tcPr>
          <w:p>
            <w:r>
              <w:rPr>
                <w:sz w:val="17"/>
              </w:rPr>
              <w:t>12,767</w:t>
            </w:r>
          </w:p>
        </w:tc>
        <w:tc>
          <w:tcPr>
            <w:tcW w:type="dxa" w:w="1440"/>
            <w:shd w:fill="FFDCE0" w:val="clear"/>
          </w:tcPr>
          <w:p>
            <w:r>
              <w:rPr>
                <w:b/>
                <w:color w:val="C00000"/>
                <w:sz w:val="17"/>
              </w:rPr>
              <w:t>-14.4%</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10,507</w:t>
            </w:r>
          </w:p>
        </w:tc>
        <w:tc>
          <w:tcPr>
            <w:tcW w:type="dxa" w:w="1440"/>
            <w:shd w:fill="FFDCE0" w:val="clear"/>
          </w:tcPr>
          <w:p>
            <w:r>
              <w:rPr>
                <w:b/>
                <w:sz w:val="17"/>
              </w:rPr>
              <w:t>11,604</w:t>
            </w:r>
          </w:p>
        </w:tc>
        <w:tc>
          <w:tcPr>
            <w:tcW w:type="dxa" w:w="1440"/>
            <w:shd w:fill="FFDCE0" w:val="clear"/>
          </w:tcPr>
          <w:p>
            <w:r>
              <w:rPr>
                <w:sz w:val="17"/>
              </w:rPr>
              <w:t>12,700</w:t>
            </w:r>
          </w:p>
        </w:tc>
        <w:tc>
          <w:tcPr>
            <w:tcW w:type="dxa" w:w="1440"/>
            <w:shd w:fill="FFDCE0" w:val="clear"/>
          </w:tcPr>
          <w:p>
            <w:r>
              <w:rPr>
                <w:b/>
                <w:color w:val="C00000"/>
                <w:sz w:val="17"/>
              </w:rPr>
              <w:t>-15.3%</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10,350</w:t>
            </w:r>
          </w:p>
        </w:tc>
        <w:tc>
          <w:tcPr>
            <w:tcW w:type="dxa" w:w="1440"/>
            <w:shd w:fill="FFDCE0" w:val="clear"/>
          </w:tcPr>
          <w:p>
            <w:r>
              <w:rPr>
                <w:b/>
                <w:sz w:val="17"/>
              </w:rPr>
              <w:t>11,495</w:t>
            </w:r>
          </w:p>
        </w:tc>
        <w:tc>
          <w:tcPr>
            <w:tcW w:type="dxa" w:w="1440"/>
            <w:shd w:fill="FFDCE0" w:val="clear"/>
          </w:tcPr>
          <w:p>
            <w:r>
              <w:rPr>
                <w:sz w:val="17"/>
              </w:rPr>
              <w:t>12,640</w:t>
            </w:r>
          </w:p>
        </w:tc>
        <w:tc>
          <w:tcPr>
            <w:tcW w:type="dxa" w:w="1440"/>
            <w:shd w:fill="FFDCE0" w:val="clear"/>
          </w:tcPr>
          <w:p>
            <w:r>
              <w:rPr>
                <w:b/>
                <w:color w:val="C00000"/>
                <w:sz w:val="17"/>
              </w:rPr>
              <w:t>-16.1%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123,30 milliards FCFA, un niveau significatif qui la positionne parmi les valeurs moyennes à grandes capitalisations de la BRVM, reflétant son statut d'opérateur stratégique dans le secteur de l'eau en Côte d'Ivoire. Le BPA de 518 FCFA indique que chaque action génère un bénéfice annuel de ce montant, mais le PER de 26,4x est particulièrement élevé comparé à la moyenne historique de la BRVM (8-12x), suggérant que les investisseurs anticipent une forte croissance future ou que le titre est surévalué à court terme. Le P/B de 6,25x confirme cette lecture, le marché valorisant l'action plus de six fois sa valeur comptable, une prime substantielle qui traduit des attentes élevées. Enfin, l'EV/EBITDA de 15,2x, supérieur au seuil de 15x, indique que la valeur totale de l'entreprise (dette incluse) est exigeante par rapport à sa capacité opérationnelle, renforçant l'hypothèse d'une valorisation déjà généreuse qui intègre des perspectives de croissance ambitieuses.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+91,61%, passant d'un plus bas de 7 140 FCFA à un plus haut de 13 710 FCFA, avec un cours actuel de 13 700 FCFA, proche de son sommet historique. La variation de -0,07% sur la dernière séance suggère une légère consolidation après cette forte ascension. La moyenne du cours sur la période (11 088 FCFA) est inférieure à la médiane (11 892 FCFA), et le skewness négatif de -1,194 indique une asymétrie avec davantage de journées au-dessus de la moyenne, caractéristique d'une tendance haussière soutenue. L'écart-type de 1 688 FCFA, avec un coefficient de variation de 15,2%, témoigne d'une dispersion modérée autour de la moyenne, tandis que le kurtosis de 0,457 (mésokurtique) suggère une distribution proche de la normale, sans risque excessif de mouvements extrêmes. La volatilité annualisée de 36,5% classe le titre dans la catégorie élevée (&gt;30%), reflétant un risque de marché substantiel mais cohérent avec la forte appréciation observée.</w:t>
      </w:r>
    </w:p>
    <w:p>
      <w:pPr>
        <w:spacing w:after="120" w:line="276" w:lineRule="auto" w:before="240"/>
      </w:pPr>
      <w:r>
        <w:rPr>
          <w:b/>
          <w:color w:val="003366"/>
          <w:sz w:val="24"/>
        </w:rPr>
        <w:t>**PARTIE 2 : ANALYSE TECHNIQUE DÉTAILLÉE**</w:t>
      </w:r>
    </w:p>
    <w:p>
      <w:pPr>
        <w:spacing w:after="120" w:line="276" w:lineRule="auto"/>
      </w:pPr>
      <w:r>
        <w:t>**Moyennes Mobiles** : La MM20 à 12 495,75 FCFA et la MM50 à 12 089,6 FCFA sont toutes deux inférieures au cours actuel de 13 700 FCFA, confirmant une tendance haussière solide. L'écart positif entre le cours et les moyennes mobiles, couplé à une MM20 supérieure à la MM50, indique un momentum positif soutenu. La décision d'achat est justifiée par cette configuration de croisement haussier, bien que l'écart important entre le cours et les moyennes suggère une possible correction à court terme.</w:t>
      </w:r>
    </w:p>
    <w:p>
      <w:pPr>
        <w:spacing w:after="120" w:line="276" w:lineRule="auto"/>
      </w:pPr>
      <w:r>
        <w:t>**Bandes de Bollinger** : Le cours à 13 700 FCFA se positionne très près de la borne supérieure (13 950,23 FCFA), indiquant que le titre est en zone de surachat technique. L'écart entre les bornes (2 908,96 FCFA) reflète une volatilité élevée, tandis que la décision neutre suggère que le marché attend un signal directionnel plus clair. Une cassure au-dessus de la borne supérieure pourrait prolonger la tendance, mais un retour vers la moyenne mobile (11 041,27 FCFA) reste possible.</w:t>
      </w:r>
    </w:p>
    <w:p>
      <w:pPr>
        <w:spacing w:after="120" w:line="276" w:lineRule="auto"/>
      </w:pPr>
      <w:r>
        <w:t>**MACD** : La valeur du MACD (461,95) est nettement supérieure à son signal (321,71), confirmant un momentum haussier robuste. L'écart positif croissant entre les deux lignes indique une accélération de la tendance haussière, justifiant la décision d'achat. Cependant, cet écart important peut également signaler une exubérance excessive qui pourrait précéder un retournement.</w:t>
      </w:r>
    </w:p>
    <w:p>
      <w:pPr>
        <w:spacing w:after="120" w:line="276" w:lineRule="auto"/>
      </w:pPr>
      <w:r>
        <w:t>**RSI** : Le RSI à 82,64 est largement au-dessus du seuil de surachat (70), indiquant que le titre est fortement suracheté. Cette situation suggère que la pression acheteuse a été excessive et qu'une correction technique est probable à court terme. La décision de vente est justifiée par ce niveau extrême, qui historique précède souvent des phases de consolidation ou de repli.</w:t>
      </w:r>
    </w:p>
    <w:p>
      <w:pPr>
        <w:spacing w:after="120" w:line="276" w:lineRule="auto"/>
      </w:pPr>
      <w:r>
        <w:t>**Stochastique** : Le %K à 99,42 et le %D à 99,81 sont tous deux à des niveaux extrêmement élevés, proches de 100, confirmant la surachat sévère du titre. Le fait que %D soit supérieur à %K indique que le momentum haussier s'essouffle, signalant un possible retournement imminent. La décision de vente est cohérente avec ces niveaux extrêmes.</w:t>
      </w:r>
    </w:p>
    <w:p>
      <w:pPr>
        <w:spacing w:after="120" w:line="276" w:lineRule="auto"/>
      </w:pPr>
      <w:r>
        <w:t>**Conclusion technique** : Les indicateurs de tendance (MM, MACD) confirment une dynamique haussière solide, mais les oscillateurs (RSI, Stochastique) signalent un surachat extrême qui rend le titre vulnérable à une correction. La configuration des Bandes de Bollinger, avec le cours proche de la borne supérieure, renforce cette lecture. Un scénario de consolidation ou de repli technique à court terme est donc probable, malgré la tendance de fond positive.</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croissance de +10% par rapport à 2024, et un résultat net de 4,663 milliards FCFA, en hausse de +31% (source : rapport annuel 2025). La marge nette s'établit à 2,46%, tandis que le ROE atteint 23,65%, un niveau excellent (&gt;15%), démontrant une forte rentabilité des capitaux propres, bien que le ROA de 0,99% reste faible, reflétant une lourdeur du bilan (total actif de 472,672 milliards FCFA). L'EBE progresse de +21% à 21,783 milliards FCFA et le résultat d'exploitation de +34% à 9,105 milliards FCFA, témoignant d'une amélioration opérationnelle significative. Cependant, le délai clients de 749 jours est extrêmement élevé, indiquant un risque de trésorerie majeur, confirmé par le flux opérationnel négatif de -36,655 milliards FCFA et la trésorerie nette de -61,710 milliards FCFA. Le ratio d'endettement de 95,83% et l'autonomie financière de seulement 4,17% révèlent une structure financière fragile, bien que la couverture des intérêts à 1583,51% soit très confortable. Les rapports trimestriels montrent une trajectoire contrastée : le T1 2025 (CA +8%, RN +17%) et le S1 2025 (CA stable, RN -24%) indiquaient une performance mitigée, mais le T1 2026 (CA -2% à 40,916 milliards FCFA, RN +118% à 1,318 milliards FCFA) révèle une nette amélioration de la rentabilité grâce à une meilleure maîtrise des charges. Sur la base de ces données, on estime que l'exercice 2026 pourrait voir une poursuite de l'amélioration des marges, avec un résultat net potentiellement en hausse de 20-30%, soutenu par la croissance du nombre de clients (2,27 millions, +6,14%) et le dividende proposé de 525 FCFA par action pour 2025.</w:t>
      </w:r>
    </w:p>
    <w:p>
      <w:pPr>
        <w:spacing w:after="120" w:line="276" w:lineRule="auto" w:before="240"/>
      </w:pPr>
      <w:r>
        <w:rPr>
          <w:b/>
          <w:color w:val="003366"/>
          <w:sz w:val="24"/>
        </w:rPr>
        <w:t>**PARTIE 4 : CONCLUSION D'INVESTISSEMENT**</w:t>
      </w:r>
    </w:p>
    <w:p>
      <w:pPr>
        <w:spacing w:after="120" w:line="276" w:lineRule="auto"/>
      </w:pPr>
      <w:r>
        <w:t>La valorisation de SDCC (PER 26,4x, P/B 6,25x, EV/EBITDA 15,2x) indique une nette surévaluation par rapport aux moyennes du marché BRVM, intégrant des attentes de croissance élevées qui semblent déjà largement anticipées. Le comportement du cours (+91,61% en 100 jours) est spectaculaire mais préoccupant, avec une volatilité élevée (36,5%) et des statistiques suggérant une distribution asymétrique positive, tandis que les signaux techniques sont contradictoires : les indicateurs de tendance (MM, MACD) restent positifs, mais les oscillateurs (RSI 82,6, Stochastique 99,4) crient surachat extrême, annonçant une correction probable. Les fondamentaux montrent une amélioration réelle de la rentabilité (ROE 23,65%, RN +31% en 2025) mais une structure financière fragile (trésorerie nette négative, délai clients de 749 jours) qui limite la soutenabilité de la croissance. Les prédictions IA (13 700 → 12 145 FCFA sur 10 jours, soit -11,3%) confirment la probabilité d'une correction à court terme, en cohérence avec les signaux techniques de surachat. La convergence entre la surévaluation, les signaux techniques de surachat et les prédictions IA baissières conduit à une recommandation de **VENTE** à court terme, avec un niveau de confiance **Élevé** et un risque global **Élevé**. L'horizon d'investissement optimal serait de moyen terme (3-12 mois), après une phase de correction qui ramènerait le titre à des niveaux plus conformes à sa valeur fondamentale, permettant aux investisseurs de profiter de la solidité opérationnelle de l'entreprise à un prix plus attractif.</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18,152 titres</w:t>
            </w:r>
          </w:p>
        </w:tc>
        <w:tc>
          <w:tcPr>
            <w:tcW w:type="dxa" w:w="2268"/>
            <w:shd w:fill="FFF2CC" w:val="clear"/>
          </w:tcPr>
          <w:p>
            <w:r>
              <w:rPr>
                <w:b/>
                <w:color w:val="503200"/>
                <w:sz w:val="16"/>
              </w:rPr>
              <w:t xml:space="preserve">Cours actuel : </w:t>
            </w:r>
            <w:r>
              <w:rPr>
                <w:color w:val="000000"/>
                <w:sz w:val="17"/>
              </w:rPr>
              <w:t>3,090 FCFA</w:t>
            </w:r>
          </w:p>
          <w:p>
            <w:r>
              <w:rPr>
                <w:b/>
                <w:color w:val="503200"/>
                <w:sz w:val="16"/>
              </w:rPr>
              <w:t xml:space="preserve">Var. 100 jours : </w:t>
            </w:r>
            <w:r>
              <w:rPr>
                <w:b/>
                <w:color w:val="007800"/>
                <w:sz w:val="17"/>
              </w:rPr>
              <w:t>+63.49%</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18.86% (Élevée) — μ=2,292 FCFA, σ=432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β=0.7192 (Défensif) — Cov=0.000026, Var(idx)=0.000036, ρ=0.133,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18,152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2,845</w:t>
            </w:r>
          </w:p>
        </w:tc>
        <w:tc>
          <w:tcPr>
            <w:tcW w:type="dxa" w:w="1440"/>
            <w:shd w:fill="FFDCE0" w:val="clear"/>
          </w:tcPr>
          <w:p>
            <w:r>
              <w:rPr>
                <w:b/>
                <w:sz w:val="17"/>
              </w:rPr>
              <w:t>3,024</w:t>
            </w:r>
          </w:p>
        </w:tc>
        <w:tc>
          <w:tcPr>
            <w:tcW w:type="dxa" w:w="1440"/>
            <w:shd w:fill="FFDCE0" w:val="clear"/>
          </w:tcPr>
          <w:p>
            <w:r>
              <w:rPr>
                <w:sz w:val="17"/>
              </w:rPr>
              <w:t>3,204</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2,723</w:t>
            </w:r>
          </w:p>
        </w:tc>
        <w:tc>
          <w:tcPr>
            <w:tcW w:type="dxa" w:w="1440"/>
            <w:shd w:fill="FFDCE0" w:val="clear"/>
          </w:tcPr>
          <w:p>
            <w:r>
              <w:rPr>
                <w:b/>
                <w:sz w:val="17"/>
              </w:rPr>
              <w:t>2,971</w:t>
            </w:r>
          </w:p>
        </w:tc>
        <w:tc>
          <w:tcPr>
            <w:tcW w:type="dxa" w:w="1440"/>
            <w:shd w:fill="FFDCE0" w:val="clear"/>
          </w:tcPr>
          <w:p>
            <w:r>
              <w:rPr>
                <w:sz w:val="17"/>
              </w:rPr>
              <w:t>3,220</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2,631</w:t>
            </w:r>
          </w:p>
        </w:tc>
        <w:tc>
          <w:tcPr>
            <w:tcW w:type="dxa" w:w="1440"/>
            <w:shd w:fill="FFDCE0" w:val="clear"/>
          </w:tcPr>
          <w:p>
            <w:r>
              <w:rPr>
                <w:b/>
                <w:sz w:val="17"/>
              </w:rPr>
              <w:t>2,931</w:t>
            </w:r>
          </w:p>
        </w:tc>
        <w:tc>
          <w:tcPr>
            <w:tcW w:type="dxa" w:w="1440"/>
            <w:shd w:fill="FFDCE0" w:val="clear"/>
          </w:tcPr>
          <w:p>
            <w:r>
              <w:rPr>
                <w:sz w:val="17"/>
              </w:rPr>
              <w:t>3,232</w:t>
            </w:r>
          </w:p>
        </w:tc>
        <w:tc>
          <w:tcPr>
            <w:tcW w:type="dxa" w:w="1440"/>
            <w:shd w:fill="FFDCE0" w:val="clear"/>
          </w:tcPr>
          <w:p>
            <w:r>
              <w:rPr>
                <w:b/>
                <w:color w:val="C00000"/>
                <w:sz w:val="17"/>
              </w:rPr>
              <w:t>-5.1%</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2,555</w:t>
            </w:r>
          </w:p>
        </w:tc>
        <w:tc>
          <w:tcPr>
            <w:tcW w:type="dxa" w:w="1440"/>
            <w:shd w:fill="FFDCE0" w:val="clear"/>
          </w:tcPr>
          <w:p>
            <w:r>
              <w:rPr>
                <w:b/>
                <w:sz w:val="17"/>
              </w:rPr>
              <w:t>2,898</w:t>
            </w:r>
          </w:p>
        </w:tc>
        <w:tc>
          <w:tcPr>
            <w:tcW w:type="dxa" w:w="1440"/>
            <w:shd w:fill="FFDCE0" w:val="clear"/>
          </w:tcPr>
          <w:p>
            <w:r>
              <w:rPr>
                <w:sz w:val="17"/>
              </w:rPr>
              <w:t>3,242</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2,489</w:t>
            </w:r>
          </w:p>
        </w:tc>
        <w:tc>
          <w:tcPr>
            <w:tcW w:type="dxa" w:w="1440"/>
            <w:shd w:fill="FFDCE0" w:val="clear"/>
          </w:tcPr>
          <w:p>
            <w:r>
              <w:rPr>
                <w:b/>
                <w:sz w:val="17"/>
              </w:rPr>
              <w:t>2,869</w:t>
            </w:r>
          </w:p>
        </w:tc>
        <w:tc>
          <w:tcPr>
            <w:tcW w:type="dxa" w:w="1440"/>
            <w:shd w:fill="FFDCE0" w:val="clear"/>
          </w:tcPr>
          <w:p>
            <w:r>
              <w:rPr>
                <w:sz w:val="17"/>
              </w:rPr>
              <w:t>3,249</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2,430</w:t>
            </w:r>
          </w:p>
        </w:tc>
        <w:tc>
          <w:tcPr>
            <w:tcW w:type="dxa" w:w="1440"/>
            <w:shd w:fill="FFDCE0" w:val="clear"/>
          </w:tcPr>
          <w:p>
            <w:r>
              <w:rPr>
                <w:b/>
                <w:sz w:val="17"/>
              </w:rPr>
              <w:t>2,842</w:t>
            </w:r>
          </w:p>
        </w:tc>
        <w:tc>
          <w:tcPr>
            <w:tcW w:type="dxa" w:w="1440"/>
            <w:shd w:fill="FFDCE0" w:val="clear"/>
          </w:tcPr>
          <w:p>
            <w:r>
              <w:rPr>
                <w:sz w:val="17"/>
              </w:rPr>
              <w:t>3,255</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2,376</w:t>
            </w:r>
          </w:p>
        </w:tc>
        <w:tc>
          <w:tcPr>
            <w:tcW w:type="dxa" w:w="1440"/>
            <w:shd w:fill="FFDCE0" w:val="clear"/>
          </w:tcPr>
          <w:p>
            <w:r>
              <w:rPr>
                <w:b/>
                <w:sz w:val="17"/>
              </w:rPr>
              <w:t>2,817</w:t>
            </w:r>
          </w:p>
        </w:tc>
        <w:tc>
          <w:tcPr>
            <w:tcW w:type="dxa" w:w="1440"/>
            <w:shd w:fill="FFDCE0" w:val="clear"/>
          </w:tcPr>
          <w:p>
            <w:r>
              <w:rPr>
                <w:sz w:val="17"/>
              </w:rPr>
              <w:t>3,259</w:t>
            </w:r>
          </w:p>
        </w:tc>
        <w:tc>
          <w:tcPr>
            <w:tcW w:type="dxa" w:w="1440"/>
            <w:shd w:fill="FFDCE0" w:val="clear"/>
          </w:tcPr>
          <w:p>
            <w:r>
              <w:rPr>
                <w:b/>
                <w:color w:val="C00000"/>
                <w:sz w:val="17"/>
              </w:rPr>
              <w:t>-8.8%</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2,326</w:t>
            </w:r>
          </w:p>
        </w:tc>
        <w:tc>
          <w:tcPr>
            <w:tcW w:type="dxa" w:w="1440"/>
            <w:shd w:fill="FFDCE0" w:val="clear"/>
          </w:tcPr>
          <w:p>
            <w:r>
              <w:rPr>
                <w:b/>
                <w:sz w:val="17"/>
              </w:rPr>
              <w:t>2,793</w:t>
            </w:r>
          </w:p>
        </w:tc>
        <w:tc>
          <w:tcPr>
            <w:tcW w:type="dxa" w:w="1440"/>
            <w:shd w:fill="FFDCE0" w:val="clear"/>
          </w:tcPr>
          <w:p>
            <w:r>
              <w:rPr>
                <w:sz w:val="17"/>
              </w:rPr>
              <w:t>3,261</w:t>
            </w:r>
          </w:p>
        </w:tc>
        <w:tc>
          <w:tcPr>
            <w:tcW w:type="dxa" w:w="1440"/>
            <w:shd w:fill="FFDCE0" w:val="clear"/>
          </w:tcPr>
          <w:p>
            <w:r>
              <w:rPr>
                <w:b/>
                <w:color w:val="C00000"/>
                <w:sz w:val="17"/>
              </w:rPr>
              <w:t>-9.6%</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2,278</w:t>
            </w:r>
          </w:p>
        </w:tc>
        <w:tc>
          <w:tcPr>
            <w:tcW w:type="dxa" w:w="1440"/>
            <w:shd w:fill="FFDCE0" w:val="clear"/>
          </w:tcPr>
          <w:p>
            <w:r>
              <w:rPr>
                <w:b/>
                <w:sz w:val="17"/>
              </w:rPr>
              <w:t>2,770</w:t>
            </w:r>
          </w:p>
        </w:tc>
        <w:tc>
          <w:tcPr>
            <w:tcW w:type="dxa" w:w="1440"/>
            <w:shd w:fill="FFDCE0" w:val="clear"/>
          </w:tcPr>
          <w:p>
            <w:r>
              <w:rPr>
                <w:sz w:val="17"/>
              </w:rPr>
              <w:t>3,262</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2,234</w:t>
            </w:r>
          </w:p>
        </w:tc>
        <w:tc>
          <w:tcPr>
            <w:tcW w:type="dxa" w:w="1440"/>
            <w:shd w:fill="FFDCE0" w:val="clear"/>
          </w:tcPr>
          <w:p>
            <w:r>
              <w:rPr>
                <w:b/>
                <w:sz w:val="17"/>
              </w:rPr>
              <w:t>2,748</w:t>
            </w:r>
          </w:p>
        </w:tc>
        <w:tc>
          <w:tcPr>
            <w:tcW w:type="dxa" w:w="1440"/>
            <w:shd w:fill="FFDCE0" w:val="clear"/>
          </w:tcPr>
          <w:p>
            <w:r>
              <w:rPr>
                <w:sz w:val="17"/>
              </w:rPr>
              <w:t>3,263</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168,21 milliards FCFA, ce qui positionne la société parmi les valeurs moyennes à grandes capitalisations de la BRVM, lui conférant une liquidité et une visibilité notables sur le marché. Avec un BPA de 387 FCFA, chaque action détenue rapporte un bénéfice substantiel à l'actionnaire. Le PER de 8,0x est particulièrement attractif, se situant dans la fourchette basse des références du marché (8-12x), ce qui suggère que les investisseurs paient un prix raisonnable pour les bénéfices générés, voire une possible sous-évaluation. Le P/B de 2,16x indique que le marché valorise la société au-dessus de sa valeur comptable, une prime de croissance jugée modérée et saine. En revanche, l'EV/EBITDA de 36,3x apparaît très exigeant, signalant que la valeur d'entreprise totale est élevée par rapport à la capacité opérationnelle brute, ce qui pourrait refléter des attentes de redressement futur ou une structure de bilan particulière.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+63,49%, avec une légère correction de -0,64% lors de la dernière séance, illustrant une dynamique haussière soutenue mais récemment tempérée. Le cours a évolué dans une fourchette très large, entre un plus bas de 1 650 FCFA et un plus haut de 3 205 FCFA, démontrant une forte amplitude de trading. La moyenne du cours sur la période (2 292 FCFA) est inférieure à la médiane (2 352 FCFA), indiquant une distribution légèrement asymétrique à gauche, mais le skewness proche de zéro (0,036) confirme une symétrie globale. L'écart-type de 434 FCFA, soit un coefficient de variation de 19%, révèle une dispersion modérée des prix autour de la moyenne. Le kurtosis négatif de -1,294 signale une distribution platykurtique, c'est-à-dire une faible concentration des valeurs extrêmes, réduisant le risque de pics soudains. La volatilité annualisée de 51,4% classe le titre comme très volatil, bien au-dessus du seuil de 30%,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Les moyennes mobiles sur 20 jours (2 813,5 FCFA) et sur 50 jours (2 656,1 FCFA) sont toutes deux inférieures au cours actuel de 3 090 FCFA, confirmant une tendance haussière solide à court et moyen terme. La configuration des MM20 au-dessus de la MM50, avec un écart croissant, renforce le signal d'achat, indiquant que la dynamique positive est toujours en place.</w:t>
      </w:r>
    </w:p>
    <w:p>
      <w:pPr>
        <w:spacing w:after="120" w:line="276" w:lineRule="auto"/>
      </w:pPr>
      <w:r>
        <w:t>Le cours se positionne près de la borne supérieure des Bandes de Bollinger (3 184,97 FCFA), suggérant une pression acheteuse intense. Bien que le prix n'ait pas encore touché la borne, sa proximité indique une volatilité élevée et un marché possiblement suracheté à très court terme. La décision neutre reflète cette situation ambiguë où la tendance est forte mais où un repli technique devient de plus en plus probable.</w:t>
      </w:r>
    </w:p>
    <w:p>
      <w:pPr>
        <w:spacing w:after="120" w:line="276" w:lineRule="auto"/>
      </w:pPr>
      <w:r>
        <w:t>Le MACD affiche une valeur de 131,27, nettement au-dessus de son signal à 92,85, confirmant un momentum haussier robuste. L'écart positif entre la ligne MACD et la ligne de signal indique que la dynamique d'achat reste dominante, bien que l'on doive surveiller un éventuel resserrement de cet écart qui précéderait un retournement.</w:t>
      </w:r>
    </w:p>
    <w:p>
      <w:pPr>
        <w:spacing w:after="120" w:line="276" w:lineRule="auto"/>
      </w:pPr>
      <w:r>
        <w:t>Le RSI à 71,12 se situe en zone de surachat (au-delà de 70), signalant que le titre a été fortement acheté et qu'une correction technique est envisageable à brève échéance. Cette lecture suggère une prudence pour les nouveaux entrants, car le potentiel de hausse immédiat pourrait être limité par une consolidation nécessaire.</w:t>
      </w:r>
    </w:p>
    <w:p>
      <w:pPr>
        <w:spacing w:after="120" w:line="276" w:lineRule="auto"/>
      </w:pPr>
      <w:r>
        <w:t>L'oscillateur stochastique montre un %K à 82,17 et un %D à 89,15, tous deux en zone de surachat. Le %K étant inférieur au %D, un croisement baissier potentiel se dessine, indiquant un essoufflement possible de la dynamique haussière à très court terme.</w:t>
      </w:r>
    </w:p>
    <w:p>
      <w:pPr>
        <w:spacing w:after="120" w:line="276" w:lineRule="auto"/>
      </w:pPr>
      <w:r>
        <w:t>La convergence des indicateurs de momentum (RSI, Stochastique) vers des zones de surachat, contrastant avec la tendance toujours positive des moyennes mobiles et du MACD, suggère un titre en fin de phase d'accélération. Une consolidation ou un léger repli technique semble probable avant la poursuite de la tendance de fond, rendant la prudence de mise à court terme.</w:t>
      </w:r>
    </w:p>
    <w:p>
      <w:pPr>
        <w:spacing w:after="120" w:line="276" w:lineRule="auto" w:before="240"/>
      </w:pPr>
      <w:r>
        <w:rPr>
          <w:b/>
          <w:color w:val="003366"/>
          <w:sz w:val="24"/>
        </w:rPr>
        <w:t>**PARTIE 3 : ANALYSE FONDAMENTALE (SECTION CRITIQUE)**</w:t>
      </w:r>
    </w:p>
    <w:p>
      <w:pPr>
        <w:spacing w:after="120" w:line="276" w:lineRule="auto"/>
      </w:pPr>
      <w:r>
        <w:t>En 2024, selon les données structurées officielles, SDSC (AGL Côte d'Ivoire) a réalisé un chiffre d'affaires de 85,643 milliards FCFA, en croissance de 3,65%, avec un résultat net exceptionnel de 21,069 milliards FCFA, portant la marge nette à 24,6%. La rentabilité des fonds propres (ROE) atteint un niveau excellent de 27,08%, et le ROA s'établit à 11,20%, témoignant d'une gestion très efficace des actifs. En tant qu'entreprise de services logistiques, le délai clients de 467 jours apparaît élevé, constituant un risque de trésorerie, mais le BFR de 17,874 milliards FCFA reste gérable grâce à un délai fournisseurs très confortable. Les rapports trimestriels 2025, datés du 31 mars au 31 décembre 2025, montrent une dégradation marquée : le résultat net chute à 784,97 millions FCFA sur l'exercice 2025 (rapport du 31/12/2025), soit une baisse de 96%, avec un résultat d'exploitation négatif de -2,271 milliards FCFA, pénalisé par une hausse des dotations aux amortissements. Le rapport du T3 2025 (30/09/2025) attribue cette chute à l'absence de dividendes exceptionnels des filiales perçus en 2024, tandis que le CA 2025 progresse de 7,43% à 92,004 milliards FCFA. La trésorerie nette s'est considérablement renforcée à 74,78 milliards FCFA, et les capitaux propres restent solides à 73,55 milliards FCFA. On estime que l'exercice 2026 pourrait bénéficier d'un redressement opérationnel si la direction stabilise ses charges, mais la rentabilité actuelle demeure fragile.</w:t>
      </w:r>
    </w:p>
    <w:p>
      <w:pPr>
        <w:spacing w:after="120" w:line="276" w:lineRule="auto" w:before="240"/>
      </w:pPr>
      <w:r>
        <w:rPr>
          <w:b/>
          <w:color w:val="003366"/>
          <w:sz w:val="24"/>
        </w:rPr>
        <w:t>**PARTIE 4 : CONCLUSION D'INVESTISSEMENT**</w:t>
      </w:r>
    </w:p>
    <w:p>
      <w:pPr>
        <w:spacing w:after="120" w:line="276" w:lineRule="auto"/>
      </w:pPr>
      <w:r>
        <w:t>La valorisation de SDSC présente un profil contrasté : le PER de 8,0x suggère une sous-évaluation relative, tandis que l'EV/EBITDA de 36,3x indique une valorisation exigeante de la capacité opérationnelle. Le comportement du cours sur 100 jours est spectaculairement haussier (+63,49%), mais la volatilité annualisée de 51,4% et les statistiques descriptives (distribution platykurtique, skewness symétrique) signalent un titre potentiellement instable. Les signaux techniques sont mitigés : la tendance de fond (MM, MACD) reste positive, mais les indicateurs de momentum (RSI à 71,1, Stochastique à 82,2) crient surachat, suggérant un repli imminent. Fondamentalement, la société affiche une solidité bilancielle indéniable (capitaux propres de 73,55 milliards, trésorerie abondante), mais la chute de 96% du résultat net en 2025 et la réduction drastique du dividende (-89%) imposent une vigilance accrue. Les prédictions IA pour les 10 prochains jours (3024 à 2869 FCFA) confirment cette anticipation de correction technique. La convergence entre les signaux techniques de surachat et les prédictions baissières à court terme, contrastant avec la solidité fondamentale à long terme, conduit à une recommandation de **CONSERVER** avec un niveau de confiance **Moyen** et un risque global **Élevé**. L'horizon d'investissement optimal serait le **moyen terme (3-12 mois)**, en attendant une consolidation du cours et une clarification des marges opérationnelles.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5,965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-21.26%</w:t>
            </w:r>
          </w:p>
          <w:p>
            <w:r>
              <w:rPr>
                <w:b/>
                <w:color w:val="503200"/>
                <w:sz w:val="16"/>
              </w:rPr>
              <w:t xml:space="preserve">Plus haut 100j : </w:t>
            </w:r>
            <w:r>
              <w:rPr>
                <w:color w:val="000000"/>
                <w:sz w:val="17"/>
              </w:rPr>
              <w:t>1,905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5.95% (Moyenne) — μ=1,539 FCFA, σ=92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β=1.3838 (Agressif) — Cov=0.000050, Var(idx)=0.000036, ρ=0.261,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1,423</w:t>
            </w:r>
          </w:p>
        </w:tc>
        <w:tc>
          <w:tcPr>
            <w:tcW w:type="dxa" w:w="1440"/>
            <w:shd w:fill="FAFAFA" w:val="clear"/>
          </w:tcPr>
          <w:p>
            <w:r>
              <w:rPr>
                <w:b/>
                <w:sz w:val="17"/>
              </w:rPr>
              <w:t>1,493</w:t>
            </w:r>
          </w:p>
        </w:tc>
        <w:tc>
          <w:tcPr>
            <w:tcW w:type="dxa" w:w="1440"/>
            <w:shd w:fill="FAFAFA" w:val="clear"/>
          </w:tcPr>
          <w:p>
            <w:r>
              <w:rPr>
                <w:sz w:val="17"/>
              </w:rPr>
              <w:t>1,563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2026-09-10</w:t>
            </w:r>
          </w:p>
        </w:tc>
        <w:tc>
          <w:tcPr>
            <w:tcW w:type="dxa" w:w="1440"/>
            <w:shd w:fill="FAFAFA" w:val="clear"/>
          </w:tcPr>
          <w:p>
            <w:r>
              <w:rPr>
                <w:sz w:val="17"/>
              </w:rPr>
              <w:t>1,381</w:t>
            </w:r>
          </w:p>
        </w:tc>
        <w:tc>
          <w:tcPr>
            <w:tcW w:type="dxa" w:w="1440"/>
            <w:shd w:fill="FAFAFA" w:val="clear"/>
          </w:tcPr>
          <w:p>
            <w:r>
              <w:rPr>
                <w:b/>
                <w:sz w:val="17"/>
              </w:rPr>
              <w:t>1,479</w:t>
            </w:r>
          </w:p>
        </w:tc>
        <w:tc>
          <w:tcPr>
            <w:tcW w:type="dxa" w:w="1440"/>
            <w:shd w:fill="FAFAFA" w:val="clear"/>
          </w:tcPr>
          <w:p>
            <w:r>
              <w:rPr>
                <w:sz w:val="17"/>
              </w:rPr>
              <w:t>1,578</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1,345</w:t>
            </w:r>
          </w:p>
        </w:tc>
        <w:tc>
          <w:tcPr>
            <w:tcW w:type="dxa" w:w="1440"/>
            <w:shd w:fill="FFDCE0" w:val="clear"/>
          </w:tcPr>
          <w:p>
            <w:r>
              <w:rPr>
                <w:b/>
                <w:sz w:val="17"/>
              </w:rPr>
              <w:t>1,465</w:t>
            </w:r>
          </w:p>
        </w:tc>
        <w:tc>
          <w:tcPr>
            <w:tcW w:type="dxa" w:w="1440"/>
            <w:shd w:fill="FFDCE0" w:val="clear"/>
          </w:tcPr>
          <w:p>
            <w:r>
              <w:rPr>
                <w:sz w:val="17"/>
              </w:rPr>
              <w:t>1,584</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1,313</w:t>
            </w:r>
          </w:p>
        </w:tc>
        <w:tc>
          <w:tcPr>
            <w:tcW w:type="dxa" w:w="1440"/>
            <w:shd w:fill="FFDCE0" w:val="clear"/>
          </w:tcPr>
          <w:p>
            <w:r>
              <w:rPr>
                <w:b/>
                <w:sz w:val="17"/>
              </w:rPr>
              <w:t>1,450</w:t>
            </w:r>
          </w:p>
        </w:tc>
        <w:tc>
          <w:tcPr>
            <w:tcW w:type="dxa" w:w="1440"/>
            <w:shd w:fill="FFDCE0" w:val="clear"/>
          </w:tcPr>
          <w:p>
            <w:r>
              <w:rPr>
                <w:sz w:val="17"/>
              </w:rPr>
              <w:t>1,586</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1,284</w:t>
            </w:r>
          </w:p>
        </w:tc>
        <w:tc>
          <w:tcPr>
            <w:tcW w:type="dxa" w:w="1440"/>
            <w:shd w:fill="FFDCE0" w:val="clear"/>
          </w:tcPr>
          <w:p>
            <w:r>
              <w:rPr>
                <w:b/>
                <w:sz w:val="17"/>
              </w:rPr>
              <w:t>1,435</w:t>
            </w:r>
          </w:p>
        </w:tc>
        <w:tc>
          <w:tcPr>
            <w:tcW w:type="dxa" w:w="1440"/>
            <w:shd w:fill="FFDCE0" w:val="clear"/>
          </w:tcPr>
          <w:p>
            <w:r>
              <w:rPr>
                <w:sz w:val="17"/>
              </w:rPr>
              <w:t>1,586</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1,257</w:t>
            </w:r>
          </w:p>
        </w:tc>
        <w:tc>
          <w:tcPr>
            <w:tcW w:type="dxa" w:w="1440"/>
            <w:shd w:fill="FFDCE0" w:val="clear"/>
          </w:tcPr>
          <w:p>
            <w:r>
              <w:rPr>
                <w:b/>
                <w:sz w:val="17"/>
              </w:rPr>
              <w:t>1,421</w:t>
            </w:r>
          </w:p>
        </w:tc>
        <w:tc>
          <w:tcPr>
            <w:tcW w:type="dxa" w:w="1440"/>
            <w:shd w:fill="FFDCE0" w:val="clear"/>
          </w:tcPr>
          <w:p>
            <w:r>
              <w:rPr>
                <w:sz w:val="17"/>
              </w:rPr>
              <w:t>1,584</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1,232</w:t>
            </w:r>
          </w:p>
        </w:tc>
        <w:tc>
          <w:tcPr>
            <w:tcW w:type="dxa" w:w="1440"/>
            <w:shd w:fill="FFDCE0" w:val="clear"/>
          </w:tcPr>
          <w:p>
            <w:r>
              <w:rPr>
                <w:b/>
                <w:sz w:val="17"/>
              </w:rPr>
              <w:t>1,407</w:t>
            </w:r>
          </w:p>
        </w:tc>
        <w:tc>
          <w:tcPr>
            <w:tcW w:type="dxa" w:w="1440"/>
            <w:shd w:fill="FFDCE0" w:val="clear"/>
          </w:tcPr>
          <w:p>
            <w:r>
              <w:rPr>
                <w:sz w:val="17"/>
              </w:rPr>
              <w:t>1,582</w:t>
            </w:r>
          </w:p>
        </w:tc>
        <w:tc>
          <w:tcPr>
            <w:tcW w:type="dxa" w:w="1440"/>
            <w:shd w:fill="FFDCE0" w:val="clear"/>
          </w:tcPr>
          <w:p>
            <w:r>
              <w:rPr>
                <w:b/>
                <w:color w:val="C00000"/>
                <w:sz w:val="17"/>
              </w:rPr>
              <w:t>-6.2%</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1,208</w:t>
            </w:r>
          </w:p>
        </w:tc>
        <w:tc>
          <w:tcPr>
            <w:tcW w:type="dxa" w:w="1440"/>
            <w:shd w:fill="FFDCE0" w:val="clear"/>
          </w:tcPr>
          <w:p>
            <w:r>
              <w:rPr>
                <w:b/>
                <w:sz w:val="17"/>
              </w:rPr>
              <w:t>1,393</w:t>
            </w:r>
          </w:p>
        </w:tc>
        <w:tc>
          <w:tcPr>
            <w:tcW w:type="dxa" w:w="1440"/>
            <w:shd w:fill="FFDCE0" w:val="clear"/>
          </w:tcPr>
          <w:p>
            <w:r>
              <w:rPr>
                <w:sz w:val="17"/>
              </w:rPr>
              <w:t>1,578</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1,185</w:t>
            </w:r>
          </w:p>
        </w:tc>
        <w:tc>
          <w:tcPr>
            <w:tcW w:type="dxa" w:w="1440"/>
            <w:shd w:fill="FFDCE0" w:val="clear"/>
          </w:tcPr>
          <w:p>
            <w:r>
              <w:rPr>
                <w:b/>
                <w:sz w:val="17"/>
              </w:rPr>
              <w:t>1,380</w:t>
            </w:r>
          </w:p>
        </w:tc>
        <w:tc>
          <w:tcPr>
            <w:tcW w:type="dxa" w:w="1440"/>
            <w:shd w:fill="FFDCE0" w:val="clear"/>
          </w:tcPr>
          <w:p>
            <w:r>
              <w:rPr>
                <w:sz w:val="17"/>
              </w:rPr>
              <w:t>1,574</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1,163</w:t>
            </w:r>
          </w:p>
        </w:tc>
        <w:tc>
          <w:tcPr>
            <w:tcW w:type="dxa" w:w="1440"/>
            <w:shd w:fill="FFDCE0" w:val="clear"/>
          </w:tcPr>
          <w:p>
            <w:r>
              <w:rPr>
                <w:b/>
                <w:sz w:val="17"/>
              </w:rPr>
              <w:t>1,367</w:t>
            </w:r>
          </w:p>
        </w:tc>
        <w:tc>
          <w:tcPr>
            <w:tcW w:type="dxa" w:w="1440"/>
            <w:shd w:fill="FFDCE0" w:val="clear"/>
          </w:tcPr>
          <w:p>
            <w:r>
              <w:rPr>
                <w:sz w:val="17"/>
              </w:rPr>
              <w:t>1,570</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qui la classe parmi les valeurs moyennes de la cote BRVM. Les ratios de valorisation (BPA, PER, P/B, EV/EBITDA) ne sont pas calculables en raison de l'absence de données financières structurées dans la base, ce qui constitue une limite notable pour l'évaluation relative du titre. Toutefois, sur la base des rapports fondamentaux disponibles, le bénéfice net 2023 de 1,01 milliard FCFA pour 25,19 millions d'actions en circulation implique un BPA d'environ 40 FCFA, soit un PER implicite d'environ 37,5x, nettement supérieur à la moyenne BRVM de 8-12x. Cette situation suggère que le marché valorise le titre à un niveau élevé par rapport aux bénéfices actuels, probablement en intégrant des anticipations de redressement post-rachat par Sonoco.</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SEMC a enregistré une dépréciation significative de -21,26%, avec une accélération baissière lors de la dernière séance (-4,15%). Le cours a évolué dans une fourchette de 1 350 à 1 905 FCFA, démontrant une amplitude de trading considérable de 555 FCFA. La moyenne (1 539 FCFA) étant supérieure à la médiane (1 520 FCFA), la distribution des cours présente une asymétrie positive (skewness de 1,455), indiquant que les journées sous la moyenne ont été plus fréquentes mais que les rares journées de hausse ont été marquées. Le kurtosis excédentaire de 3,679 révèle un risque de pics extrêmes, avec des mouvements de cours plus violents qu'une distribution normale. L'écart-type de 92 FCFA (CV=6,0%) témoigne d'une dispersion modérée autour de la moyenne, mais la volatilité annualisée de 50,9% classe le titre comme extrêmement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1 500 FCFA se positionne au-dessus de la MM50 (1 497,1 FCFA) mais en dessous de la MM20 (1 528,5 FCFA). Cette configuration suggère une tendance de fond encore positive à moyen terme, mais une faiblesse récente à court terme. La décision d'achat signalée par les moyennes mobiles doit être nuancée, car le prix évolue dans une zone de consolidation étroite entre ces deux moyennes.</w:t>
      </w:r>
    </w:p>
    <w:p>
      <w:pPr>
        <w:spacing w:after="120" w:line="276" w:lineRule="auto"/>
      </w:pPr>
      <w:r>
        <w:t>**Bandes de Bollinger** : Le prix se situe à 1 500 FCFA, proche de la borne inférieure (1 441,1 FCFA) et nettement sous la borne supérieure (1 615,9 FCFA). La largeur des bandes indique une volatilité soutenue. La position du cours dans la moitié inférieure des bandes suggère une pression vendeuse persistante, justifiant la décision neutre, bien que le titre ne soit pas encore en situation de survente extrême.</w:t>
      </w:r>
    </w:p>
    <w:p>
      <w:pPr>
        <w:spacing w:after="120" w:line="276" w:lineRule="auto"/>
      </w:pPr>
      <w:r>
        <w:t>**MACD** : La valeur du MACD (9,218) est inférieure à son signal (9,884), indiquant un momentum baissier à court terme. La convergence négative suggère un affaiblissement de la dynamique haussière observée précédemment. La décision de vente est cohérente avec cette configuration, même si les deux indicateurs restent en territoire positif, ce qui limite la portée du signal baissier.</w:t>
      </w:r>
    </w:p>
    <w:p>
      <w:pPr>
        <w:spacing w:after="120" w:line="276" w:lineRule="auto"/>
      </w:pPr>
      <w:r>
        <w:t>**RSI** : À 41,176, le RSI se situe dans la zone neutre (30-70), sans signal extrême de surachat ou de survente. Cette valeur reflète un momentum modérément baissier, mais sans pression vendeuse excessive. La décision neutre est appropriée, le titre disposant d'une marge de manœuvre avant d'atteindre des conditions de survente technique.</w:t>
      </w:r>
    </w:p>
    <w:p>
      <w:pPr>
        <w:spacing w:after="120" w:line="276" w:lineRule="auto"/>
      </w:pPr>
      <w:r>
        <w:t>**Stochastique** : Le %K (33,333) est inférieur au %D (65,556), indiquant une dynamique baissière en cours. Le croisement baissier récent suggère une poursuite potentielle du mouvement de repli. La décision neutre s'explique par le fait que le %K n'a pas encore atteint la zone de survente (&lt;20), laissant la possibilité d'une poursuite de la baisse avant un éventuel rebond technique.</w:t>
      </w:r>
    </w:p>
    <w:p>
      <w:pPr>
        <w:spacing w:after="120" w:line="276" w:lineRule="auto"/>
      </w:pPr>
      <w:r>
        <w:t>**Conclusion technique** : La convergence des indicateurs (MACD vendeur, stochastique baissier, RSI neutre-baissier) suggère une pression vendeuse dominante à court terme. Les moyennes mobiles offrent un support potentiel autour de 1 497 FCFA, mais la configuration globale reste fragile. Le titre évolue dans une phase de correction qui pourrait se poursuivre tant que le cours n'aura pas retrouvé sa MM20.</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fondamentaux officiels fournissent des éléments essentiels. Le rapport du 31 décembre 2024 (exercice 2023) indique un chiffre d'affaires de 27,88 milliards FCFA, en baisse de 6% par rapport à 2022 (29,60 milliards FCFA), et un résultat net de 1,01 milliard FCFA, en chute de 74% (contre 3,86 milliards en 2022). La marge nette s'est effondrée à 3,6% (contre 13,0%), illustrant une détérioration marquée de la rentabilité. Le rapport du 31 décembre 2023 (1er trimestre 2023) montrait pourtant un CA de 7,65 milliards FCFA (+16,5%) et un bénéfice net de 855,65 millions FCFA (+37,9%), avec une marge nette de 11,2%. Les rapports 2022 et 2023 (exercices complets) présentent des données divergentes (CA consolidé de 125,4 milliards FCFA et résultat net de 12,8 milliards FCFA), probablement liées à des périmètres consolidés différents. La suspension de la cote BRVM depuis janvier 2024 (flottant insuffisant de 10,42%) et le rachat par Sonoco Products Company (finalisé en décembre 2024) constituent des éléments structurants. Sur la base du T1 2023, on estime que l'exercice 2023 aurait pu atteindre 30 milliards FCFA de CA sans la perte de clients majeurs, mais la réalité a été plus contrastée. La politique de dividende est nulle depuis 2022, la société privilégiant la conservation de trésorerie (3,35 milliards FCFA) pour financer sa relance.</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pour SEMC. La valorisation implicite (PER estimé à 37,5x sur la base du résultat 2023) apparaît très élevée, intégrant des anticipations de redressement significatif. Le comportement du cours (-21,26% sur 100 jours, volatilité annualisée de 50,9%, kurtosis élevé) témoigne d'un risque majeur et d'une distribution erratique des rendements. Les signaux techniques sont majoritairement baissiers à court terme (MACD vendeur, stochastique négatif), malgré un support potentiel des moyennes mobiles. Les fondamentaux, bien qu'anciens (2023), montrent une dégradation sévère de la rentabilité, mais le rachat par Sonoco et l'objectif de CA de 32 milliards FCFA (+18%) pour 2024 offrent des perspectives de rebond. Les prédictions IA (1 493 à 1 435 FCFA sur 10 jours) confirment la tendance baissière à court terme. La convergence des signaux baissiers techniques et des prédictions IA, contrastant avec un potentiel fondamental de redressement, justifie une recommandation **VENTE** à court terme. Le niveau de confiance est **Moyen** (données fondamentales anciennes et divergentes), le risque global est **Élevé** (volatilité extrême, suspension de cote). L'horizon d'investissement optimal serait le **moyen terme (3-12 mois)** pour observer l'impact du rachat par Sonoco et la levée potentielle de la suspension, avec un réinvestissement possible uniquement après confirmation d'un redressement fondamental tangible.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1207.11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5,528 titres</w:t>
            </w:r>
          </w:p>
        </w:tc>
        <w:tc>
          <w:tcPr>
            <w:tcW w:type="dxa" w:w="2268"/>
            <w:shd w:fill="FFF2CC" w:val="clear"/>
          </w:tcPr>
          <w:p>
            <w:r>
              <w:rPr>
                <w:b/>
                <w:color w:val="503200"/>
                <w:sz w:val="16"/>
              </w:rPr>
              <w:t xml:space="preserve">Cours actuel : </w:t>
            </w:r>
            <w:r>
              <w:rPr>
                <w:color w:val="000000"/>
                <w:sz w:val="17"/>
              </w:rPr>
              <w:t>38,800 FCFA</w:t>
            </w:r>
          </w:p>
          <w:p>
            <w:r>
              <w:rPr>
                <w:b/>
                <w:color w:val="503200"/>
                <w:sz w:val="16"/>
              </w:rPr>
              <w:t xml:space="preserve">Var. 100 jours : </w:t>
            </w:r>
            <w:r>
              <w:rPr>
                <w:b/>
                <w:color w:val="007800"/>
                <w:sz w:val="17"/>
              </w:rPr>
              <w:t>+15.80%</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μ=37,334 FCFA, σ=1,937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β=0.6102 (Défensif) — Cov=0.000022, Var(idx)=0.000036, ρ=0.242,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37,410</w:t>
            </w:r>
          </w:p>
        </w:tc>
        <w:tc>
          <w:tcPr>
            <w:tcW w:type="dxa" w:w="1440"/>
            <w:shd w:fill="FAFAFA" w:val="clear"/>
          </w:tcPr>
          <w:p>
            <w:r>
              <w:rPr>
                <w:b/>
                <w:sz w:val="17"/>
              </w:rPr>
              <w:t>38,282</w:t>
            </w:r>
          </w:p>
        </w:tc>
        <w:tc>
          <w:tcPr>
            <w:tcW w:type="dxa" w:w="1440"/>
            <w:shd w:fill="FAFAFA" w:val="clear"/>
          </w:tcPr>
          <w:p>
            <w:r>
              <w:rPr>
                <w:sz w:val="17"/>
              </w:rPr>
              <w:t>39,154</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36,965</w:t>
            </w:r>
          </w:p>
        </w:tc>
        <w:tc>
          <w:tcPr>
            <w:tcW w:type="dxa" w:w="1440"/>
            <w:shd w:fill="FAFAFA" w:val="clear"/>
          </w:tcPr>
          <w:p>
            <w:r>
              <w:rPr>
                <w:b/>
                <w:sz w:val="17"/>
              </w:rPr>
              <w:t>38,195</w:t>
            </w:r>
          </w:p>
        </w:tc>
        <w:tc>
          <w:tcPr>
            <w:tcW w:type="dxa" w:w="1440"/>
            <w:shd w:fill="FAFAFA" w:val="clear"/>
          </w:tcPr>
          <w:p>
            <w:r>
              <w:rPr>
                <w:sz w:val="17"/>
              </w:rPr>
              <w:t>39,425</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36,594</w:t>
            </w:r>
          </w:p>
        </w:tc>
        <w:tc>
          <w:tcPr>
            <w:tcW w:type="dxa" w:w="1440"/>
            <w:shd w:fill="FAFAFA" w:val="clear"/>
          </w:tcPr>
          <w:p>
            <w:r>
              <w:rPr>
                <w:b/>
                <w:sz w:val="17"/>
              </w:rPr>
              <w:t>38,096</w:t>
            </w:r>
          </w:p>
        </w:tc>
        <w:tc>
          <w:tcPr>
            <w:tcW w:type="dxa" w:w="1440"/>
            <w:shd w:fill="FAFAFA" w:val="clear"/>
          </w:tcPr>
          <w:p>
            <w:r>
              <w:rPr>
                <w:sz w:val="17"/>
              </w:rPr>
              <w:t>39,599</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36,272</w:t>
            </w:r>
          </w:p>
        </w:tc>
        <w:tc>
          <w:tcPr>
            <w:tcW w:type="dxa" w:w="1440"/>
            <w:shd w:fill="FFDCE0" w:val="clear"/>
          </w:tcPr>
          <w:p>
            <w:r>
              <w:rPr>
                <w:b/>
                <w:sz w:val="17"/>
              </w:rPr>
              <w:t>38,003</w:t>
            </w:r>
          </w:p>
        </w:tc>
        <w:tc>
          <w:tcPr>
            <w:tcW w:type="dxa" w:w="1440"/>
            <w:shd w:fill="FFDCE0" w:val="clear"/>
          </w:tcPr>
          <w:p>
            <w:r>
              <w:rPr>
                <w:sz w:val="17"/>
              </w:rPr>
              <w:t>39,733</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35,984</w:t>
            </w:r>
          </w:p>
        </w:tc>
        <w:tc>
          <w:tcPr>
            <w:tcW w:type="dxa" w:w="1440"/>
            <w:shd w:fill="FFDCE0" w:val="clear"/>
          </w:tcPr>
          <w:p>
            <w:r>
              <w:rPr>
                <w:b/>
                <w:sz w:val="17"/>
              </w:rPr>
              <w:t>37,915</w:t>
            </w:r>
          </w:p>
        </w:tc>
        <w:tc>
          <w:tcPr>
            <w:tcW w:type="dxa" w:w="1440"/>
            <w:shd w:fill="FFDCE0" w:val="clear"/>
          </w:tcPr>
          <w:p>
            <w:r>
              <w:rPr>
                <w:sz w:val="17"/>
              </w:rPr>
              <w:t>39,845</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35,721</w:t>
            </w:r>
          </w:p>
        </w:tc>
        <w:tc>
          <w:tcPr>
            <w:tcW w:type="dxa" w:w="1440"/>
            <w:shd w:fill="FFDCE0" w:val="clear"/>
          </w:tcPr>
          <w:p>
            <w:r>
              <w:rPr>
                <w:b/>
                <w:sz w:val="17"/>
              </w:rPr>
              <w:t>37,830</w:t>
            </w:r>
          </w:p>
        </w:tc>
        <w:tc>
          <w:tcPr>
            <w:tcW w:type="dxa" w:w="1440"/>
            <w:shd w:fill="FFDCE0" w:val="clear"/>
          </w:tcPr>
          <w:p>
            <w:r>
              <w:rPr>
                <w:sz w:val="17"/>
              </w:rPr>
              <w:t>39,940</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35,475</w:t>
            </w:r>
          </w:p>
        </w:tc>
        <w:tc>
          <w:tcPr>
            <w:tcW w:type="dxa" w:w="1440"/>
            <w:shd w:fill="FFDCE0" w:val="clear"/>
          </w:tcPr>
          <w:p>
            <w:r>
              <w:rPr>
                <w:b/>
                <w:sz w:val="17"/>
              </w:rPr>
              <w:t>37,749</w:t>
            </w:r>
          </w:p>
        </w:tc>
        <w:tc>
          <w:tcPr>
            <w:tcW w:type="dxa" w:w="1440"/>
            <w:shd w:fill="FFDCE0" w:val="clear"/>
          </w:tcPr>
          <w:p>
            <w:r>
              <w:rPr>
                <w:sz w:val="17"/>
              </w:rPr>
              <w:t>40,023</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35,244</w:t>
            </w:r>
          </w:p>
        </w:tc>
        <w:tc>
          <w:tcPr>
            <w:tcW w:type="dxa" w:w="1440"/>
            <w:shd w:fill="FFDCE0" w:val="clear"/>
          </w:tcPr>
          <w:p>
            <w:r>
              <w:rPr>
                <w:b/>
                <w:sz w:val="17"/>
              </w:rPr>
              <w:t>37,670</w:t>
            </w:r>
          </w:p>
        </w:tc>
        <w:tc>
          <w:tcPr>
            <w:tcW w:type="dxa" w:w="1440"/>
            <w:shd w:fill="FFDCE0" w:val="clear"/>
          </w:tcPr>
          <w:p>
            <w:r>
              <w:rPr>
                <w:sz w:val="17"/>
              </w:rPr>
              <w:t>40,095</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35,025</w:t>
            </w:r>
          </w:p>
        </w:tc>
        <w:tc>
          <w:tcPr>
            <w:tcW w:type="dxa" w:w="1440"/>
            <w:shd w:fill="FFDCE0" w:val="clear"/>
          </w:tcPr>
          <w:p>
            <w:r>
              <w:rPr>
                <w:b/>
                <w:sz w:val="17"/>
              </w:rPr>
              <w:t>37,592</w:t>
            </w:r>
          </w:p>
        </w:tc>
        <w:tc>
          <w:tcPr>
            <w:tcW w:type="dxa" w:w="1440"/>
            <w:shd w:fill="FFDCE0" w:val="clear"/>
          </w:tcPr>
          <w:p>
            <w:r>
              <w:rPr>
                <w:sz w:val="17"/>
              </w:rPr>
              <w:t>40,160</w:t>
            </w:r>
          </w:p>
        </w:tc>
        <w:tc>
          <w:tcPr>
            <w:tcW w:type="dxa" w:w="1440"/>
            <w:shd w:fill="FFDCE0" w:val="clear"/>
          </w:tcPr>
          <w:p>
            <w:r>
              <w:rPr>
                <w:b/>
                <w:color w:val="C00000"/>
                <w:sz w:val="17"/>
              </w:rPr>
              <w:t>-3.1%</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34,815</w:t>
            </w:r>
          </w:p>
        </w:tc>
        <w:tc>
          <w:tcPr>
            <w:tcW w:type="dxa" w:w="1440"/>
            <w:shd w:fill="FFDCE0" w:val="clear"/>
          </w:tcPr>
          <w:p>
            <w:r>
              <w:rPr>
                <w:b/>
                <w:sz w:val="17"/>
              </w:rPr>
              <w:t>37,516</w:t>
            </w:r>
          </w:p>
        </w:tc>
        <w:tc>
          <w:tcPr>
            <w:tcW w:type="dxa" w:w="1440"/>
            <w:shd w:fill="FFDCE0" w:val="clear"/>
          </w:tcPr>
          <w:p>
            <w:r>
              <w:rPr>
                <w:sz w:val="17"/>
              </w:rPr>
              <w:t>40,217</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Société Générale Côte d'Ivoire (SGBC) affiche une capitalisation boursière de 1 207,11 milliards FCFA, ce qui en fait l'une des toutes premières capitalisations de la BRVM, représentant un poids considérable dans l'indice composite. Avec un BPA de 3 258 FCFA, le titre se négocie à un PER de 11,9x, légèrement au-dessus de la moyenne historique de la place (~8-12x), ce qui suggère une valorisation raisonnable mais non bradée, intégrant déjà une prime de qualité. Le P/B de 2,44x confirme cette lecture : le marché valorise les capitaux propres à plus du double de leur valeur comptable, récompensant la forte rentabilité de la banque. En revanche, l'EV/EBITDA de 24,6x est très exigeant (&gt;15x), signalant que l'entreprise est valorisée sur sa capacité opérationnelle future, ce qui laisse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+15,80%, avec une dernière séance stable (+0,00%), illustrant une phase de consolidation après un fort mouvement haussier. Le titre a évolué dans un range de 32 800 à 39 300 FCFA, démontrant une dynamique positive soutenue. La moyenne (37 334 FCFA) est inférieure à la médiane (38 000 FCFA) et au mode (39 000 FCFA), ce qui, combiné à un skewness négatif de -1,055, indique que le cours a passé plus de temps au-dessus de sa moyenne, avec des épisodes de baisse rapide mais limités. L'écart-type de 1 947 FCFA (CV=5,2%) révèle une dispersion modérée, tandis que le kurtosis de -0,177 (mésokurtique) suggère l'absence de risques extrêmes de pics ou de krachs soudains. La volatilité annualisée de 24,0% classe le titre dans une zone de volatilité modérée (15-30%), offrant un équilibre entre potentiel de gain et risque.</w:t>
      </w:r>
    </w:p>
    <w:p>
      <w:pPr>
        <w:spacing w:after="120" w:line="276" w:lineRule="auto" w:before="240"/>
      </w:pPr>
      <w:r>
        <w:rPr>
          <w:b/>
          <w:color w:val="003366"/>
          <w:sz w:val="24"/>
        </w:rPr>
        <w:t>**PARTIE 2 : ANALYSE TECHNIQUE DÉTAILLÉE**</w:t>
      </w:r>
    </w:p>
    <w:p>
      <w:pPr>
        <w:spacing w:after="120" w:line="276" w:lineRule="auto"/>
      </w:pPr>
      <w:r>
        <w:t>Les Moyennes Mobiles (MM20 à 38 630 FCFA et MM50 à 38 433 FCFA) sont toutes deux inférieures au cours actuel de 38 800 FCFA, confirmant une tendance haussière de court et moyen terme. Le signal d'achat est justifié par la configuration positive des prix au-dessus de ces moyennes, indiquant un momentum favorable.</w:t>
      </w:r>
    </w:p>
    <w:p>
      <w:pPr>
        <w:spacing w:after="120" w:line="276" w:lineRule="auto"/>
      </w:pPr>
      <w:r>
        <w:t>Les Bandes de Bollinger (borne supérieure à 39 665 FCFA, borne inférieure à 37 596 FCFA) montrent un cours positionné dans la moitié supérieure du canal, sans toucher les extrêmes. La décision neutre s'explique par une volatilité modérée et un prix évoluant dans une zone de confort, sans signal de surachat ni de survente.</w:t>
      </w:r>
    </w:p>
    <w:p>
      <w:pPr>
        <w:spacing w:after="120" w:line="276" w:lineRule="auto"/>
      </w:pPr>
      <w:r>
        <w:t>Le MACD (valeur de 27,229 vs signal de 8,853) affiche une divergence positive nette, avec la ligne MACD au-dessus de sa ligne de signal. Ce croisement haussier récent indique un renforcement du momentum, justifiant la décision d'achat.</w:t>
      </w:r>
    </w:p>
    <w:p>
      <w:pPr>
        <w:spacing w:after="120" w:line="276" w:lineRule="auto"/>
      </w:pPr>
      <w:r>
        <w:t>Le RSI à 46,764 se situe en zone neutre (30-70), reflétant un équilibre entre pression acheteuse et vendeuse. Cette valeur n'indique ni surachat ni survente, laissant place à une poursuite du mouvement sans risque de retournement violent.</w:t>
      </w:r>
    </w:p>
    <w:p>
      <w:pPr>
        <w:spacing w:after="120" w:line="276" w:lineRule="auto"/>
      </w:pPr>
      <w:r>
        <w:t>Le Stochastique (%K=68,652, %D=62,382) montre des valeurs proches mais sans croisement décisif, avec %K au-dessus de %D. Cette configuration, bien que positive, reste neutre car le titre n'est pas encore en zone de surachat extrême (&gt;80).</w:t>
      </w:r>
    </w:p>
    <w:p>
      <w:pPr>
        <w:spacing w:after="120" w:line="276" w:lineRule="auto"/>
      </w:pPr>
      <w:r>
        <w:t>La convergence des indicateurs techniques est globalement positive : les moyennes mobiles et le MACD plaident pour une poursuite de la tendance haussière, tandis que le RSI et le Stochastique, en zone neutre, indiquent qu'il n'y a pas de pression excessive. Les Bandes de Bollinger confirment un mouvement ordonné. L'ensemble suggère un potentiel de hausse supplémentaire, mais avec une prudence accrue à l'approche des 39 300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la SGBC font état d'un Produit Net Bancaire (PNB) de 276,048 milliards FCFA, en croissance de +4,88% par rapport à 2024, et d'un résultat net de 101,352 milliards FCFA, stable par rapport à l'exercice précédent (101,2 Mds en 2024). La banque affiche une rentabilité exceptionnelle avec un ROE de 20,47% et un ROA de 2,69%, témoignant d'une utilisation très efficace de ses fonds propres et de ses actifs. Le coefficient d'exploitation de 38,75% est excellent (&lt;50%), démontrant une maîtrise rigoureuse des coûts. Le coût du risque, estimé via les provisions (17,995 Mds), reste contenu. Le ratio de transformation est sain : les dépôts clients (2 907,675 Mds) couvrent largement les créances sur la clientèle (2 546,290 Mds), soit un ratio prêts/dépôts de 87,6%, en amélioration continue. Les rapports trimestriels confirment cette trajectoire : le rapport du 3e trimestre 2025 (publié le 30/09/2025) montre un PNB cumulé de 201,0 Mds (+2,5%) et un résultat net de 83,3 Mds (+11,7%), avec un coefficient d'exploitation amélioré à 37,3%. Sur la base de ces performances, on estime que l'exercice 2025 devrait dépasser légèrement les 101 Mds de résultat net, porté par une collecte de dépôts dynamique (+13,9%) et une stabilisation des crédits. Les rapports du S1 2025 (30/06/2025) et du T1 2025 (31/03/2025) montrent une progression continue, avec un ROE de 23,8% au S1. La solidité financière est renforcée par une notation AAA (unique sur le marché) et un ratio de solvabilité de 17,7%, bien au-dessus du minimum réglementaire. Les risques principaux restent la qualité du portefeuille de crédits (NPL à 7,8% au S1 2025) et la concurrence accrue, mais la banque dispose d'atouts majeurs pour maintenir sa position de leader.</w:t>
      </w:r>
    </w:p>
    <w:p>
      <w:pPr>
        <w:spacing w:after="120" w:line="276" w:lineRule="auto" w:before="240"/>
      </w:pPr>
      <w:r>
        <w:rPr>
          <w:b/>
          <w:color w:val="003366"/>
          <w:sz w:val="24"/>
        </w:rPr>
        <w:t>**PARTIE 4 : CONCLUSION D'INVESTISSEMENT**</w:t>
      </w:r>
    </w:p>
    <w:p>
      <w:pPr>
        <w:spacing w:after="120" w:line="276" w:lineRule="auto"/>
      </w:pPr>
      <w:r>
        <w:t>La valorisation de la SGBC (PER de 11,9x, P/B de 2,44x) est certes exigeante, mais elle est justifiée par une rentabilité supérieure à la moyenne du marché et une solidité financière exemplaire. Le comportement du cours sur 100 jours (+15,80%) avec une volatilité modérée (24%) et une distribution statistique saine (kurtosis mésokurtique, skewness négatif) plaide en faveur d'une tendance haussière durable. Les signaux techniques convergent vers un maintien de la dynamique positive, avec des indicateurs de momentum (MACD, MM) en phase d'achat et des oscillateurs (RSI, Stochastique) en zone neutre, laissant de la marge avant un éventuel surachat. Fondamentalement, la banque affiche des performances records (ROE &gt;20%, coefficient d'exploitation &lt;39%) et une croissance soutenue de son PNB et de son résultat net, confirmée par les rapports trimestriels 2025. Les prédictions IA sur 10 jours (38 282 à 37 915 FCFA) suggèrent une légère consolidation technique après la forte hausse, ce qui est cohérent avec les niveaux actuels. La convergence entre des fondamentaux solides, une tendance technique positive et une valorisation raisonnable pour un leader de cette qualité conduit à une recommandation **ACHAT** pour les investisseurs de moyen et long terme, avec un niveau de confiance **Élevé** et un risque global **Moyen** (lié principalement à la qualité des actifs et à la concurrence). L'horizon d'investissement optimal se situe au-delà de 12 mois pour bénéficier pleinement de la croissance des bénéfices et de la politique de dividende généreuse (taux de distribution de 57%).</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156.24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4,612 titres</w:t>
            </w:r>
          </w:p>
        </w:tc>
        <w:tc>
          <w:tcPr>
            <w:tcW w:type="dxa" w:w="2268"/>
            <w:shd w:fill="FFF2CC" w:val="clear"/>
          </w:tcPr>
          <w:p>
            <w:r>
              <w:rPr>
                <w:b/>
                <w:color w:val="503200"/>
                <w:sz w:val="16"/>
              </w:rPr>
              <w:t xml:space="preserve">Cours actuel : </w:t>
            </w:r>
            <w:r>
              <w:rPr>
                <w:color w:val="000000"/>
                <w:sz w:val="17"/>
              </w:rPr>
              <w:t>2,480 FCFA</w:t>
            </w:r>
          </w:p>
          <w:p>
            <w:r>
              <w:rPr>
                <w:b/>
                <w:color w:val="503200"/>
                <w:sz w:val="16"/>
              </w:rPr>
              <w:t xml:space="preserve">Var. 100 jours : </w:t>
            </w:r>
            <w:r>
              <w:rPr>
                <w:b/>
                <w:color w:val="007800"/>
                <w:sz w:val="17"/>
              </w:rPr>
              <w:t>+20.98%</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8.04% (Moyenne) — μ=2,142 FCFA, σ=172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β=1.0243 (Neutre (suit le marché)) — Cov=0.000037, Var(idx)=0.000036, ρ=0.281,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2,243</w:t>
            </w:r>
          </w:p>
        </w:tc>
        <w:tc>
          <w:tcPr>
            <w:tcW w:type="dxa" w:w="1440"/>
            <w:shd w:fill="FFDCE0" w:val="clear"/>
          </w:tcPr>
          <w:p>
            <w:r>
              <w:rPr>
                <w:b/>
                <w:sz w:val="17"/>
              </w:rPr>
              <w:t>2,323</w:t>
            </w:r>
          </w:p>
        </w:tc>
        <w:tc>
          <w:tcPr>
            <w:tcW w:type="dxa" w:w="1440"/>
            <w:shd w:fill="FFDCE0" w:val="clear"/>
          </w:tcPr>
          <w:p>
            <w:r>
              <w:rPr>
                <w:sz w:val="17"/>
              </w:rPr>
              <w:t>2,402</w:t>
            </w:r>
          </w:p>
        </w:tc>
        <w:tc>
          <w:tcPr>
            <w:tcW w:type="dxa" w:w="1440"/>
            <w:shd w:fill="FFDCE0" w:val="clear"/>
          </w:tcPr>
          <w:p>
            <w:r>
              <w:rPr>
                <w:b/>
                <w:color w:val="C00000"/>
                <w:sz w:val="17"/>
              </w:rPr>
              <w:t>-6.3%</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2,096</w:t>
            </w:r>
          </w:p>
        </w:tc>
        <w:tc>
          <w:tcPr>
            <w:tcW w:type="dxa" w:w="1440"/>
            <w:shd w:fill="FFDCE0" w:val="clear"/>
          </w:tcPr>
          <w:p>
            <w:r>
              <w:rPr>
                <w:b/>
                <w:sz w:val="17"/>
              </w:rPr>
              <w:t>2,203</w:t>
            </w:r>
          </w:p>
        </w:tc>
        <w:tc>
          <w:tcPr>
            <w:tcW w:type="dxa" w:w="1440"/>
            <w:shd w:fill="FFDCE0" w:val="clear"/>
          </w:tcPr>
          <w:p>
            <w:r>
              <w:rPr>
                <w:sz w:val="17"/>
              </w:rPr>
              <w:t>2,310</w:t>
            </w:r>
          </w:p>
        </w:tc>
        <w:tc>
          <w:tcPr>
            <w:tcW w:type="dxa" w:w="1440"/>
            <w:shd w:fill="FFDCE0" w:val="clear"/>
          </w:tcPr>
          <w:p>
            <w:r>
              <w:rPr>
                <w:b/>
                <w:color w:val="C00000"/>
                <w:sz w:val="17"/>
              </w:rPr>
              <w:t>-11.2%</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1,972</w:t>
            </w:r>
          </w:p>
        </w:tc>
        <w:tc>
          <w:tcPr>
            <w:tcW w:type="dxa" w:w="1440"/>
            <w:shd w:fill="FFDCE0" w:val="clear"/>
          </w:tcPr>
          <w:p>
            <w:r>
              <w:rPr>
                <w:b/>
                <w:sz w:val="17"/>
              </w:rPr>
              <w:t>2,097</w:t>
            </w:r>
          </w:p>
        </w:tc>
        <w:tc>
          <w:tcPr>
            <w:tcW w:type="dxa" w:w="1440"/>
            <w:shd w:fill="FFDCE0" w:val="clear"/>
          </w:tcPr>
          <w:p>
            <w:r>
              <w:rPr>
                <w:sz w:val="17"/>
              </w:rPr>
              <w:t>2,221</w:t>
            </w:r>
          </w:p>
        </w:tc>
        <w:tc>
          <w:tcPr>
            <w:tcW w:type="dxa" w:w="1440"/>
            <w:shd w:fill="FFDCE0" w:val="clear"/>
          </w:tcPr>
          <w:p>
            <w:r>
              <w:rPr>
                <w:b/>
                <w:color w:val="C00000"/>
                <w:sz w:val="17"/>
              </w:rPr>
              <w:t>-15.5%</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1,872</w:t>
            </w:r>
          </w:p>
        </w:tc>
        <w:tc>
          <w:tcPr>
            <w:tcW w:type="dxa" w:w="1440"/>
            <w:shd w:fill="FFDCE0" w:val="clear"/>
          </w:tcPr>
          <w:p>
            <w:r>
              <w:rPr>
                <w:b/>
                <w:sz w:val="17"/>
              </w:rPr>
              <w:t>2,010</w:t>
            </w:r>
          </w:p>
        </w:tc>
        <w:tc>
          <w:tcPr>
            <w:tcW w:type="dxa" w:w="1440"/>
            <w:shd w:fill="FFDCE0" w:val="clear"/>
          </w:tcPr>
          <w:p>
            <w:r>
              <w:rPr>
                <w:sz w:val="17"/>
              </w:rPr>
              <w:t>2,147</w:t>
            </w:r>
          </w:p>
        </w:tc>
        <w:tc>
          <w:tcPr>
            <w:tcW w:type="dxa" w:w="1440"/>
            <w:shd w:fill="FFDCE0" w:val="clear"/>
          </w:tcPr>
          <w:p>
            <w:r>
              <w:rPr>
                <w:b/>
                <w:color w:val="C00000"/>
                <w:sz w:val="17"/>
              </w:rPr>
              <w:t>-19.0%</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1,790</w:t>
            </w:r>
          </w:p>
        </w:tc>
        <w:tc>
          <w:tcPr>
            <w:tcW w:type="dxa" w:w="1440"/>
            <w:shd w:fill="FFDCE0" w:val="clear"/>
          </w:tcPr>
          <w:p>
            <w:r>
              <w:rPr>
                <w:b/>
                <w:sz w:val="17"/>
              </w:rPr>
              <w:t>1,939</w:t>
            </w:r>
          </w:p>
        </w:tc>
        <w:tc>
          <w:tcPr>
            <w:tcW w:type="dxa" w:w="1440"/>
            <w:shd w:fill="FFDCE0" w:val="clear"/>
          </w:tcPr>
          <w:p>
            <w:r>
              <w:rPr>
                <w:sz w:val="17"/>
              </w:rPr>
              <w:t>2,087</w:t>
            </w:r>
          </w:p>
        </w:tc>
        <w:tc>
          <w:tcPr>
            <w:tcW w:type="dxa" w:w="1440"/>
            <w:shd w:fill="FFDCE0" w:val="clear"/>
          </w:tcPr>
          <w:p>
            <w:r>
              <w:rPr>
                <w:b/>
                <w:color w:val="C00000"/>
                <w:sz w:val="17"/>
              </w:rPr>
              <w:t>-21.8%</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1,722</w:t>
            </w:r>
          </w:p>
        </w:tc>
        <w:tc>
          <w:tcPr>
            <w:tcW w:type="dxa" w:w="1440"/>
            <w:shd w:fill="FFDCE0" w:val="clear"/>
          </w:tcPr>
          <w:p>
            <w:r>
              <w:rPr>
                <w:b/>
                <w:sz w:val="17"/>
              </w:rPr>
              <w:t>1,880</w:t>
            </w:r>
          </w:p>
        </w:tc>
        <w:tc>
          <w:tcPr>
            <w:tcW w:type="dxa" w:w="1440"/>
            <w:shd w:fill="FFDCE0" w:val="clear"/>
          </w:tcPr>
          <w:p>
            <w:r>
              <w:rPr>
                <w:sz w:val="17"/>
              </w:rPr>
              <w:t>2,038</w:t>
            </w:r>
          </w:p>
        </w:tc>
        <w:tc>
          <w:tcPr>
            <w:tcW w:type="dxa" w:w="1440"/>
            <w:shd w:fill="FFDCE0" w:val="clear"/>
          </w:tcPr>
          <w:p>
            <w:r>
              <w:rPr>
                <w:b/>
                <w:color w:val="C00000"/>
                <w:sz w:val="17"/>
              </w:rPr>
              <w:t>-24.2%</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1,664</w:t>
            </w:r>
          </w:p>
        </w:tc>
        <w:tc>
          <w:tcPr>
            <w:tcW w:type="dxa" w:w="1440"/>
            <w:shd w:fill="FFDCE0" w:val="clear"/>
          </w:tcPr>
          <w:p>
            <w:r>
              <w:rPr>
                <w:b/>
                <w:sz w:val="17"/>
              </w:rPr>
              <w:t>1,830</w:t>
            </w:r>
          </w:p>
        </w:tc>
        <w:tc>
          <w:tcPr>
            <w:tcW w:type="dxa" w:w="1440"/>
            <w:shd w:fill="FFDCE0" w:val="clear"/>
          </w:tcPr>
          <w:p>
            <w:r>
              <w:rPr>
                <w:sz w:val="17"/>
              </w:rPr>
              <w:t>1,996</w:t>
            </w:r>
          </w:p>
        </w:tc>
        <w:tc>
          <w:tcPr>
            <w:tcW w:type="dxa" w:w="1440"/>
            <w:shd w:fill="FFDCE0" w:val="clear"/>
          </w:tcPr>
          <w:p>
            <w:r>
              <w:rPr>
                <w:b/>
                <w:color w:val="C00000"/>
                <w:sz w:val="17"/>
              </w:rPr>
              <w:t>-26.2%</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1,612</w:t>
            </w:r>
          </w:p>
        </w:tc>
        <w:tc>
          <w:tcPr>
            <w:tcW w:type="dxa" w:w="1440"/>
            <w:shd w:fill="FFDCE0" w:val="clear"/>
          </w:tcPr>
          <w:p>
            <w:r>
              <w:rPr>
                <w:b/>
                <w:sz w:val="17"/>
              </w:rPr>
              <w:t>1,786</w:t>
            </w:r>
          </w:p>
        </w:tc>
        <w:tc>
          <w:tcPr>
            <w:tcW w:type="dxa" w:w="1440"/>
            <w:shd w:fill="FFDCE0" w:val="clear"/>
          </w:tcPr>
          <w:p>
            <w:r>
              <w:rPr>
                <w:sz w:val="17"/>
              </w:rPr>
              <w:t>1,959</w:t>
            </w:r>
          </w:p>
        </w:tc>
        <w:tc>
          <w:tcPr>
            <w:tcW w:type="dxa" w:w="1440"/>
            <w:shd w:fill="FFDCE0" w:val="clear"/>
          </w:tcPr>
          <w:p>
            <w:r>
              <w:rPr>
                <w:b/>
                <w:color w:val="C00000"/>
                <w:sz w:val="17"/>
              </w:rPr>
              <w:t>-28.0%</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1,566</w:t>
            </w:r>
          </w:p>
        </w:tc>
        <w:tc>
          <w:tcPr>
            <w:tcW w:type="dxa" w:w="1440"/>
            <w:shd w:fill="FFDCE0" w:val="clear"/>
          </w:tcPr>
          <w:p>
            <w:r>
              <w:rPr>
                <w:b/>
                <w:sz w:val="17"/>
              </w:rPr>
              <w:t>1,746</w:t>
            </w:r>
          </w:p>
        </w:tc>
        <w:tc>
          <w:tcPr>
            <w:tcW w:type="dxa" w:w="1440"/>
            <w:shd w:fill="FFDCE0" w:val="clear"/>
          </w:tcPr>
          <w:p>
            <w:r>
              <w:rPr>
                <w:sz w:val="17"/>
              </w:rPr>
              <w:t>1,926</w:t>
            </w:r>
          </w:p>
        </w:tc>
        <w:tc>
          <w:tcPr>
            <w:tcW w:type="dxa" w:w="1440"/>
            <w:shd w:fill="FFDCE0" w:val="clear"/>
          </w:tcPr>
          <w:p>
            <w:r>
              <w:rPr>
                <w:b/>
                <w:color w:val="C00000"/>
                <w:sz w:val="17"/>
              </w:rPr>
              <w:t>-29.6%</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1,525</w:t>
            </w:r>
          </w:p>
        </w:tc>
        <w:tc>
          <w:tcPr>
            <w:tcW w:type="dxa" w:w="1440"/>
            <w:shd w:fill="FFDCE0" w:val="clear"/>
          </w:tcPr>
          <w:p>
            <w:r>
              <w:rPr>
                <w:b/>
                <w:sz w:val="17"/>
              </w:rPr>
              <w:t>1,710</w:t>
            </w:r>
          </w:p>
        </w:tc>
        <w:tc>
          <w:tcPr>
            <w:tcW w:type="dxa" w:w="1440"/>
            <w:shd w:fill="FFDCE0" w:val="clear"/>
          </w:tcPr>
          <w:p>
            <w:r>
              <w:rPr>
                <w:sz w:val="17"/>
              </w:rPr>
              <w:t>1,896</w:t>
            </w:r>
          </w:p>
        </w:tc>
        <w:tc>
          <w:tcPr>
            <w:tcW w:type="dxa" w:w="1440"/>
            <w:shd w:fill="FFDCE0" w:val="clear"/>
          </w:tcPr>
          <w:p>
            <w:r>
              <w:rPr>
                <w:b/>
                <w:color w:val="C00000"/>
                <w:sz w:val="17"/>
              </w:rPr>
              <w:t>-31.0%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156,24 milliards FCFA, un niveau significatif qui la positionne parmi les valeurs moyennes de la BRVM, reflétant la confiance des investisseurs dans ce distributeur pétrolier. Avec un BPA de 96 FCFA, le titre se négocie à un PER de 25,9x, nettement supérieur à la moyenne historique de la BRVM (8-12x), indiquant que les investisseurs paient une prime substantielle pour les bénéfices anticipés, intégrant probablement des attentes de croissance future. Le P/B de 5,75x confirme cette valorisation exigeante, le marché valorisant le titre bien au-delà de sa valeur comptable (27,159 Mds FCFA de capitaux propres). Enfin, l'EV/EBITDA de 13,6x, dans la fourchette haute de 10-15x, suggère que la valeur totale de l'entreprise (capitalisation + dette nette) reste élevée par rapport à sa capacité opérationnelle (EBE de 17,166 Mds FCFA), ce qui implique une valorisation globalement exigeante pour un secteur de distribution à faibles marges.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remarquable de +20,98%, avec une dernière séance stable à 2 480 FCFA, atteignant son plus haut sur la période. Le cours a évolué dans une fourchette de 1 840 à 2 480 FCFA, démontrant une dynamique haussière soutenue. Les statistiques descriptives révèlent une moyenne de 2 142 FCFA et une médiane de 2 162 FCFA, très proches l'une de l'autre, indiquant une distribution relativement symétrique des cours. L'écart-type de 173 FCFA, avec un coefficient de variation de 8,1%, témoigne d'une dispersion modérée autour de la moyenne. Le kurtosis de -0,832 (mésokurtique) suggère l'absence de pics extrêmes ou de queues épaisses, tandis que le skewness de 0,305 confirme une légère asymétrie positive, avec des valeurs extrêmes plutôt orientées à la hausse. La volatilité annualisée de 34,6% classe le titre dans la catégorie des valeurs à forte volatilité (&gt;30%), ce qui implique un risque de marché élevé mais également un potentiel de rendement significatif.</w:t>
      </w:r>
    </w:p>
    <w:p>
      <w:pPr>
        <w:spacing w:after="120" w:line="276" w:lineRule="auto" w:before="240"/>
      </w:pPr>
      <w:r>
        <w:rPr>
          <w:b/>
          <w:color w:val="003366"/>
          <w:sz w:val="24"/>
        </w:rPr>
        <w:t>**PARTIE 2 : ANALYSE TECHNIQUE DÉTAILLÉE**</w:t>
      </w:r>
    </w:p>
    <w:p>
      <w:pPr>
        <w:spacing w:after="120" w:line="276" w:lineRule="auto"/>
      </w:pPr>
      <w:r>
        <w:t>**Moyennes Mobiles** : Le cours actuel de 2 480 FCFA se positionne nettement au-dessus de la MM20 (2 392 FCFA) et de la MM50 (2 281,8 FCFA), avec un écart croissant qui confirme une tendance haussière solide. La configuration des moyennes mobiles, avec la MM20 au-dessus de la MM50, valide la dynamique positive et justifie la décision d'achat, le titre évoluant dans une phase de tendance haussière bien établie.</w:t>
      </w:r>
    </w:p>
    <w:p>
      <w:pPr>
        <w:spacing w:after="120" w:line="276" w:lineRule="auto"/>
      </w:pPr>
      <w:r>
        <w:t>**Bandes de Bollinger** : Le cours à 2 480 FCFA se situe entre la borne supérieure (2 570,4 FCFA) et la borne inférieure (2 213,6 FCFA), plus proche de la borne supérieure, indiquant une pression acheteuse soutenue. La largeur des bandes reflète une volatilité modérée, et la position du prix dans la moitié supérieure suggère un momentum positif, justifiant la décision neutre car le titre n'est pas encore en zone de surachat extrême.</w:t>
      </w:r>
    </w:p>
    <w:p>
      <w:pPr>
        <w:spacing w:after="120" w:line="276" w:lineRule="auto"/>
      </w:pPr>
      <w:r>
        <w:t>**MACD** : Le MACD (53,819) est légèrement inférieur à son signal (56,188), indiquant un affaiblissement du momentum haussier à court terme. Cette divergence négative, bien que modeste, suggère une possible consolidation ou correction technique après la forte hausse récente, justifiant la décision de vente pour les traders à court terme.</w:t>
      </w:r>
    </w:p>
    <w:p>
      <w:pPr>
        <w:spacing w:after="120" w:line="276" w:lineRule="auto"/>
      </w:pPr>
      <w:r>
        <w:t>**RSI** : Le RSI à 65,385 se situe en zone neutre-haute, proche du seuil de surachat de 70, sans toutefois l'atteindre. Cette valeur indique que le titre conserve un potentiel haussier résiduel mais que la pression acheteuse s'intensifie, ce qui justifie la décision neutre, les investisseurs devant surveiller une éventuelle entrée en zone de surachat.</w:t>
      </w:r>
    </w:p>
    <w:p>
      <w:pPr>
        <w:spacing w:after="120" w:line="276" w:lineRule="auto"/>
      </w:pPr>
      <w:r>
        <w:t>**Stochastique** : Le %K à 100 et le %D à 79,487 indiquent une situation de surachat extrême, le %K ayant atteint sa valeur maximale. Cette configuration signale un épuisement potentiel du mouvement haussier à très court terme, justifiant la décision de vente, car un retournement technique est probable dans les prochaines séances.</w:t>
      </w:r>
    </w:p>
    <w:p>
      <w:pPr>
        <w:spacing w:after="120" w:line="276" w:lineRule="auto"/>
      </w:pPr>
      <w:r>
        <w:t>**Conclusion technique** : La convergence des indicateurs montre un titre en forte tendance haussière mais arrivant à un point de saturation technique. Les moyennes mobiles restent positives, mais le MACD, le RSI proche du surachat et surtout le stochastique à 100 signalent un risque élevé de correction à court terme.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SHEC (VIVO ENERGY COTE D'IVOIRE) affiche un chiffre d'affaires de 604,978 milliards FCFA, en légère progression de +0,71% par rapport à 2024, avec un résultat net de 6,028 milliards FCFA, en hausse de +12,6%. La rentabilité des fonds propres (ROE) s'établit à 22,2%, un niveau excellent (&gt;15%), tandis que le ROA atteint 3,1%, reflétant une rotation des actifs élevée (312,5%) typique du secteur de distribution. En tant qu'entreprise de distribution pétrolière, l'analyse du BFR est cruciale : le BFR de 15,315 milliards FCFA est positif, indiquant un besoin de financement, avec un délai clients de 23,27 jours et un délai fournisseurs de 35,47 jours, ce qui crée une tension de trésorerie. La trésorerie nette est fortement négative à -65,264 milliards FCFA, avec des dettes fournisseurs de 53,430 milliards FCFA, exposant la société à des risques de liquidité. Les rapports trimestriels 2025 montrent une amélioration progressive : au T3 2025, le résultat net cumulé progresse de +45% à 4,119 milliards FCFA, et le rapport S1 2026 (publié en juin 2026) indique un CA de 305,038 milliards FCFA (-1%) mais un résultat d'exploitation en hausse de +17% à 6,133 milliards FCFA, porté par le secteur butane. Le rapport 2025 propose un dividende de 6,09 milliards FCFA, soit un taux de distribution de 101%, financé par le report à nouveau. La marge nette reste très faible à 1%, caractéristique du secteur, mais la société démontre une capacité à améliorer sa rentabilité opérationnelle et à réduire ses charges financières (-12% en 2025). Les recommandations des analystes convergent vers "CONSERVER", soulignant la solidité opérationnelle mais les risques de trésorerie et la faible marge.</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SHEC. La valorisation (Partie 0) est exigeante avec un PER de 25,9x et un P/B de 5,75x, nettement supérieurs aux moyennes BRVM, indiquant une possible surévaluation. Le comportement du cours (Partie 1) montre une tendance haussière de +20,98% sur 100 jours avec une volatilité élevée de 34,6%, mais les statistiques (kurtosis et skewness) suggèrent une distribution relativement normale sans risque extrême. Les signaux techniques (Partie 2) sont mitigés : les moyennes mobiles sont haussières, mais le MACD, le RSI proche du surachat et le stochastique à 100 signalent un essoufflement imminent. Les fondamentaux (Partie 3) montrent une amélioration de la rentabilité (+13% du résultat net en 2025) et un ROE excellent de 22,2%, mais une trésorerie nette très négative et une marge nette fragile de 1%. Les prédictions IA (J+1 à J+10) anticipent une correction significative de -21,8%, passant de 2 480 à 1 939 FCFA, confirmant les signaux techniques de surachat. La convergence entre les signaux techniques baissiers et les prédictions IA contraste avec des fondamentaux solides mais une valorisation élevée. **Recommandation finale : VENTE** pour les investisseurs à court terme, avec un niveau de confiance **Moyen** et un risque global **Élevé**. Pour les investisseurs de long terme, conserver le titre pourrait se justifier par la solidité opérationnelle, mais l'horizon optimal serait de moyen terme (3-12 mois) après une probable correction vers les 2 100-2 200 FCFA.</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10,347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+31.43%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9.71% (Moyenne) — μ=8,460 FCFA, σ=822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β=0.3217 (Défensif) — Cov=0.000012, Var(idx)=0.000036, ρ=0.106,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10,347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8,597</w:t>
            </w:r>
          </w:p>
        </w:tc>
        <w:tc>
          <w:tcPr>
            <w:tcW w:type="dxa" w:w="1440"/>
            <w:shd w:fill="FFDCE0" w:val="clear"/>
          </w:tcPr>
          <w:p>
            <w:r>
              <w:rPr>
                <w:b/>
                <w:sz w:val="17"/>
              </w:rPr>
              <w:t>8,872</w:t>
            </w:r>
          </w:p>
        </w:tc>
        <w:tc>
          <w:tcPr>
            <w:tcW w:type="dxa" w:w="1440"/>
            <w:shd w:fill="FFDCE0" w:val="clear"/>
          </w:tcPr>
          <w:p>
            <w:r>
              <w:rPr>
                <w:sz w:val="17"/>
              </w:rPr>
              <w:t>9,147</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8,199</w:t>
            </w:r>
          </w:p>
        </w:tc>
        <w:tc>
          <w:tcPr>
            <w:tcW w:type="dxa" w:w="1440"/>
            <w:shd w:fill="FFDCE0" w:val="clear"/>
          </w:tcPr>
          <w:p>
            <w:r>
              <w:rPr>
                <w:b/>
                <w:sz w:val="17"/>
              </w:rPr>
              <w:t>8,575</w:t>
            </w:r>
          </w:p>
        </w:tc>
        <w:tc>
          <w:tcPr>
            <w:tcW w:type="dxa" w:w="1440"/>
            <w:shd w:fill="FFDCE0" w:val="clear"/>
          </w:tcPr>
          <w:p>
            <w:r>
              <w:rPr>
                <w:sz w:val="17"/>
              </w:rPr>
              <w:t>8,951</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7,859</w:t>
            </w:r>
          </w:p>
        </w:tc>
        <w:tc>
          <w:tcPr>
            <w:tcW w:type="dxa" w:w="1440"/>
            <w:shd w:fill="FFDCE0" w:val="clear"/>
          </w:tcPr>
          <w:p>
            <w:r>
              <w:rPr>
                <w:b/>
                <w:sz w:val="17"/>
              </w:rPr>
              <w:t>8,305</w:t>
            </w:r>
          </w:p>
        </w:tc>
        <w:tc>
          <w:tcPr>
            <w:tcW w:type="dxa" w:w="1440"/>
            <w:shd w:fill="FFDCE0" w:val="clear"/>
          </w:tcPr>
          <w:p>
            <w:r>
              <w:rPr>
                <w:sz w:val="17"/>
              </w:rPr>
              <w:t>8,751</w:t>
            </w:r>
          </w:p>
        </w:tc>
        <w:tc>
          <w:tcPr>
            <w:tcW w:type="dxa" w:w="1440"/>
            <w:shd w:fill="FFDCE0" w:val="clear"/>
          </w:tcPr>
          <w:p>
            <w:r>
              <w:rPr>
                <w:b/>
                <w:color w:val="C00000"/>
                <w:sz w:val="17"/>
              </w:rPr>
              <w:t>-9.7%</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7,574</w:t>
            </w:r>
          </w:p>
        </w:tc>
        <w:tc>
          <w:tcPr>
            <w:tcW w:type="dxa" w:w="1440"/>
            <w:shd w:fill="FFDCE0" w:val="clear"/>
          </w:tcPr>
          <w:p>
            <w:r>
              <w:rPr>
                <w:b/>
                <w:sz w:val="17"/>
              </w:rPr>
              <w:t>8,075</w:t>
            </w:r>
          </w:p>
        </w:tc>
        <w:tc>
          <w:tcPr>
            <w:tcW w:type="dxa" w:w="1440"/>
            <w:shd w:fill="FFDCE0" w:val="clear"/>
          </w:tcPr>
          <w:p>
            <w:r>
              <w:rPr>
                <w:sz w:val="17"/>
              </w:rPr>
              <w:t>8,576</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7,335</w:t>
            </w:r>
          </w:p>
        </w:tc>
        <w:tc>
          <w:tcPr>
            <w:tcW w:type="dxa" w:w="1440"/>
            <w:shd w:fill="FFDCE0" w:val="clear"/>
          </w:tcPr>
          <w:p>
            <w:r>
              <w:rPr>
                <w:b/>
                <w:sz w:val="17"/>
              </w:rPr>
              <w:t>7,881</w:t>
            </w:r>
          </w:p>
        </w:tc>
        <w:tc>
          <w:tcPr>
            <w:tcW w:type="dxa" w:w="1440"/>
            <w:shd w:fill="FFDCE0" w:val="clear"/>
          </w:tcPr>
          <w:p>
            <w:r>
              <w:rPr>
                <w:sz w:val="17"/>
              </w:rPr>
              <w:t>8,428</w:t>
            </w:r>
          </w:p>
        </w:tc>
        <w:tc>
          <w:tcPr>
            <w:tcW w:type="dxa" w:w="1440"/>
            <w:shd w:fill="FFDCE0" w:val="clear"/>
          </w:tcPr>
          <w:p>
            <w:r>
              <w:rPr>
                <w:b/>
                <w:color w:val="C00000"/>
                <w:sz w:val="17"/>
              </w:rPr>
              <w:t>-14.3%</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7,129</w:t>
            </w:r>
          </w:p>
        </w:tc>
        <w:tc>
          <w:tcPr>
            <w:tcW w:type="dxa" w:w="1440"/>
            <w:shd w:fill="FFDCE0" w:val="clear"/>
          </w:tcPr>
          <w:p>
            <w:r>
              <w:rPr>
                <w:b/>
                <w:sz w:val="17"/>
              </w:rPr>
              <w:t>7,715</w:t>
            </w:r>
          </w:p>
        </w:tc>
        <w:tc>
          <w:tcPr>
            <w:tcW w:type="dxa" w:w="1440"/>
            <w:shd w:fill="FFDCE0" w:val="clear"/>
          </w:tcPr>
          <w:p>
            <w:r>
              <w:rPr>
                <w:sz w:val="17"/>
              </w:rPr>
              <w:t>8,301</w:t>
            </w:r>
          </w:p>
        </w:tc>
        <w:tc>
          <w:tcPr>
            <w:tcW w:type="dxa" w:w="1440"/>
            <w:shd w:fill="FFDCE0" w:val="clear"/>
          </w:tcPr>
          <w:p>
            <w:r>
              <w:rPr>
                <w:b/>
                <w:color w:val="C00000"/>
                <w:sz w:val="17"/>
              </w:rPr>
              <w:t>-16.1%</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6,948</w:t>
            </w:r>
          </w:p>
        </w:tc>
        <w:tc>
          <w:tcPr>
            <w:tcW w:type="dxa" w:w="1440"/>
            <w:shd w:fill="FFDCE0" w:val="clear"/>
          </w:tcPr>
          <w:p>
            <w:r>
              <w:rPr>
                <w:b/>
                <w:sz w:val="17"/>
              </w:rPr>
              <w:t>7,569</w:t>
            </w:r>
          </w:p>
        </w:tc>
        <w:tc>
          <w:tcPr>
            <w:tcW w:type="dxa" w:w="1440"/>
            <w:shd w:fill="FFDCE0" w:val="clear"/>
          </w:tcPr>
          <w:p>
            <w:r>
              <w:rPr>
                <w:sz w:val="17"/>
              </w:rPr>
              <w:t>8,190</w:t>
            </w:r>
          </w:p>
        </w:tc>
        <w:tc>
          <w:tcPr>
            <w:tcW w:type="dxa" w:w="1440"/>
            <w:shd w:fill="FFDCE0" w:val="clear"/>
          </w:tcPr>
          <w:p>
            <w:r>
              <w:rPr>
                <w:b/>
                <w:color w:val="C00000"/>
                <w:sz w:val="17"/>
              </w:rPr>
              <w:t>-17.7%</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6,786</w:t>
            </w:r>
          </w:p>
        </w:tc>
        <w:tc>
          <w:tcPr>
            <w:tcW w:type="dxa" w:w="1440"/>
            <w:shd w:fill="FFDCE0" w:val="clear"/>
          </w:tcPr>
          <w:p>
            <w:r>
              <w:rPr>
                <w:b/>
                <w:sz w:val="17"/>
              </w:rPr>
              <w:t>7,439</w:t>
            </w:r>
          </w:p>
        </w:tc>
        <w:tc>
          <w:tcPr>
            <w:tcW w:type="dxa" w:w="1440"/>
            <w:shd w:fill="FFDCE0" w:val="clear"/>
          </w:tcPr>
          <w:p>
            <w:r>
              <w:rPr>
                <w:sz w:val="17"/>
              </w:rPr>
              <w:t>8,092</w:t>
            </w:r>
          </w:p>
        </w:tc>
        <w:tc>
          <w:tcPr>
            <w:tcW w:type="dxa" w:w="1440"/>
            <w:shd w:fill="FFDCE0" w:val="clear"/>
          </w:tcPr>
          <w:p>
            <w:r>
              <w:rPr>
                <w:b/>
                <w:color w:val="C00000"/>
                <w:sz w:val="17"/>
              </w:rPr>
              <w:t>-19.1%</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6,641</w:t>
            </w:r>
          </w:p>
        </w:tc>
        <w:tc>
          <w:tcPr>
            <w:tcW w:type="dxa" w:w="1440"/>
            <w:shd w:fill="FFDCE0" w:val="clear"/>
          </w:tcPr>
          <w:p>
            <w:r>
              <w:rPr>
                <w:b/>
                <w:sz w:val="17"/>
              </w:rPr>
              <w:t>7,322</w:t>
            </w:r>
          </w:p>
        </w:tc>
        <w:tc>
          <w:tcPr>
            <w:tcW w:type="dxa" w:w="1440"/>
            <w:shd w:fill="FFDCE0" w:val="clear"/>
          </w:tcPr>
          <w:p>
            <w:r>
              <w:rPr>
                <w:sz w:val="17"/>
              </w:rPr>
              <w:t>8,003</w:t>
            </w:r>
          </w:p>
        </w:tc>
        <w:tc>
          <w:tcPr>
            <w:tcW w:type="dxa" w:w="1440"/>
            <w:shd w:fill="FFDCE0" w:val="clear"/>
          </w:tcPr>
          <w:p>
            <w:r>
              <w:rPr>
                <w:b/>
                <w:color w:val="C00000"/>
                <w:sz w:val="17"/>
              </w:rPr>
              <w:t>-20.4%</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6,507</w:t>
            </w:r>
          </w:p>
        </w:tc>
        <w:tc>
          <w:tcPr>
            <w:tcW w:type="dxa" w:w="1440"/>
            <w:shd w:fill="FFDCE0" w:val="clear"/>
          </w:tcPr>
          <w:p>
            <w:r>
              <w:rPr>
                <w:b/>
                <w:sz w:val="17"/>
              </w:rPr>
              <w:t>7,215</w:t>
            </w:r>
          </w:p>
        </w:tc>
        <w:tc>
          <w:tcPr>
            <w:tcW w:type="dxa" w:w="1440"/>
            <w:shd w:fill="FFDCE0" w:val="clear"/>
          </w:tcPr>
          <w:p>
            <w:r>
              <w:rPr>
                <w:sz w:val="17"/>
              </w:rPr>
              <w:t>7,923</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920 milliards FCFA, ce qui en fait l'une des valeurs les plus lourdes et les plus liquides de la cote ivoirienne, représentant un poids significatif dans l'indice BRVM Composite. Avec un BPA de 556 FCFA, le PER de 16,5x se situe nettement au-dessus de la moyenne historique du marché (8-12x), indiquant que les investisseurs intègrent déjà une croissance future soutenue et une prime de qualité. Le P/B de 4,49x confirme cette prime, le marché valorisant le titre à plus de quatre fois sa valeur comptable, ce qui reflète une rentabilité des fonds propres exceptionnelle (ROE &gt; 27%). Enfin, l'EV/EBITDA de 15,3x, bien que supérieur au seuil de 15x jugé exigeant, reste cohérent avec la forte capacité bénéficiaire de la banque et sa position dominante sur son marché. L'ensemble de ces ratios traduit une valorisation "premium"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SIBC affiche une progression spectaculaire de +31,43%, avec un cours actuel de 9 200 FCFA, soutenu par une dynamique haussière marquée. Le titre a évolué dans un large range de 6 805 FCFA (plus bas) à 9 500 FCFA (plus haut), démontrant une forte volatilité intraday sur la période. La moyenne (8 460 FCFA) est inférieure à la médiane (8 842 FCFA), et le skewness négatif (-0,880) confirme une asymétrie avec des journées majoritairement au-dessus de la moyenne, typique d'un marché porteur. L'écart-type de 826 FCFA (CV = 9,8%) indique une dispersion modérée, tandis que le kurtosis de -0,849 (mésokurtique) suggère l'absence de mouvements extrêmes imprévisibles. La volatilité annualisée de 28,8% classe le titre dans la catégorie "modérée à élevée", reflétant un risque non négligeable mais maîtrisé pour un titre bancaire de cette envergure. La variation de +1,10% lors de la dernière séance confirme la persistance de l'intérêt acheteur.</w:t>
      </w:r>
    </w:p>
    <w:p>
      <w:pPr>
        <w:spacing w:after="120" w:line="276" w:lineRule="auto"/>
      </w:pPr>
      <w:r>
        <w:t>---</w:t>
      </w:r>
    </w:p>
    <w:p>
      <w:pPr>
        <w:spacing w:after="120" w:line="276" w:lineRule="auto"/>
      </w:pPr>
      <w:r>
        <w:t>### PARTIE 2 : ANALYSE TECHNIQUE DÉTAILLÉE</w:t>
      </w:r>
    </w:p>
    <w:p>
      <w:pPr>
        <w:spacing w:after="120" w:line="276" w:lineRule="auto"/>
      </w:pPr>
      <w:r>
        <w:t>**Moyennes Mobiles :** Le cours (9 200 FCFA) évolue au-dessus de sa MM20 (9 186,5 FCFA) et de sa MM50 (9 042,5 FCFA), avec une MM20 supérieure à la MM50. Cette configuration haussière (courtes au-dessus des longues) valide la tendance positive de fond et justifie la décision d'**Achat**, le titre bénéficiant d'un support dynamique solide.</w:t>
      </w:r>
    </w:p>
    <w:p>
      <w:pPr>
        <w:spacing w:after="120" w:line="276" w:lineRule="auto"/>
      </w:pPr>
      <w:r>
        <w:t>**Bandes de Bollinger :** Le prix se situe à 9 200 FCFA, proche de la borne supérieure (9 417 FCFA) mais dans la partie médiane-haute du canal (borne inférieure à 8 955 FCFA). L'écart entre les bornes indique une volatilité normale. La position du cours suggère une poursuite de la tendance sans condition de surachat extrême, d'où une décision **Neutre** mais avec un biais positif.</w:t>
      </w:r>
    </w:p>
    <w:p>
      <w:pPr>
        <w:spacing w:after="120" w:line="276" w:lineRule="auto"/>
      </w:pPr>
      <w:r>
        <w:t>**MACD :** La valeur du MACD (41,84) est inférieure à son signal (51,73), indiquant un momentum à court terme en perte de vitesse après la forte hausse. Cette divergence négative suggère une possible consolidation ou correction technique à venir, justifiant la décision de **Vente** à très court terme, bien que la tendance de fond reste haussière.</w:t>
      </w:r>
    </w:p>
    <w:p>
      <w:pPr>
        <w:spacing w:after="120" w:line="276" w:lineRule="auto"/>
      </w:pPr>
      <w:r>
        <w:t>**RSI :** À 46,69, le RSI se situe en zone neutre (entre 30 et 70), indiquant que le titre n'est ni suracheté ni survendu. Cette valeur reflète un équilibre entre acheteurs et vendeurs après le récent rally, laissant de la marge pour une nouvelle appréciation sans pression excessive, d'où une décision **Neutre**.</w:t>
      </w:r>
    </w:p>
    <w:p>
      <w:pPr>
        <w:spacing w:after="120" w:line="276" w:lineRule="auto"/>
      </w:pPr>
      <w:r>
        <w:t>**Stochastique :** Le %K (66,67) est supérieur au %D (55,56), sans croisement baissier majeur. Cette configuration indique une dynamique positive résiduelle, mais le niveau déjà élevé du %K suggère une possible saturation à court terme. La décision **Neutre** reflète cette ambiguïté entre momentum positif et risque de retournement.</w:t>
      </w:r>
    </w:p>
    <w:p>
      <w:pPr>
        <w:spacing w:after="120" w:line="276" w:lineRule="auto"/>
      </w:pPr>
      <w:r>
        <w:t>**Conclusion technique :** La tendance de fond reste clairement haussière, portée par des moyennes mobiles orientées à la hausse et un cours au-dessus de ses supports dynamiques. Cependant, la divergence du MACD et la position du RSI en zone neutre suggèrent un essoufflement à court terme. Le titre pourrait consolider avant de poursuivre son ascension, ou corriger légèrement vers la zone des 9 000-9 100 FCFA.</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états financiers solides avec un Produit Net Bancaire (PNB) de 108,66 milliards FCFA et un résultat net de 55,62 milliards FCFA, en croissance soutenue par rapport à 2024 (PNB de 102,8 Mds et RN de 50,2 Mds). La banque démontre une efficacité opérationnelle remarquable avec un coefficient d'exploitation de 38,6%, bien en dessous du seuil de 60% considéré comme sain, et une marge nette de 51,2%. Le ROE de 27,16% et le ROA de 2,96% confirment une rentabilité parmi les meilleures du secteur bancaire de l'UEMOA. Le bilan est robuste avec des dépôts clientèle de 1 503 Mds FCFA contre des créances de 1 226 Mds FCFA, soit un ratio de transformation de 81,6%, indiquant une gestion prudente de la liquidité. Le coût du risque, bien que non détaillé dans les données structurées, est maîtrisé comme en témoigne la baisse des provisions. **Les rapports trimestriels de 2025 et 2026 confirment cette dynamique** : le T3 2025 (cumul 9 mois) montre un PNB de 81,4 Mds (+8%) et un RN de 43,0 Mds (+11%), tandis que le T1 2026 (rapport du 31/12/2026) enregistre un PNB de 27,7 Mds (+4%) et un RN de 15,2 Mds (+11%). **Sur la base de ces tendances, on estime que l'exercice 2026 devrait voir un PNB autour de 115-118 Mds FCFA et un résultat net dépassant 60 Mds FCFA**, confirmant la solidité du modèle économique. La banque maintient une croissance saine des dépôts (+9% au T1 2026) et des crédits (+7%), avec un plan stratégique "IMPULSION 2028" axé sur la digitalisation et le soutien aux PME. Le principal risque identifié reste la pression concurrentielle et la dépendance à la croissance économique ivoirienne, bien que les fondamentaux demeurent excellents.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divergence nette entre des fondamentaux exceptionnels et une valorisation exigeante. La valorisation (PER 16,5x, P/B 4,49x) suggère une surévaluation relative par rapport au marché, intégrant déjà les excellentes performances de la banque. Le comportement du cours (+31,43% sur 100 jours) avec une volatilité modérée (28,8%) et une asymétrie positive confirme une tendance haussière saine, mais les signaux techniques (MACD vendeur, RSI neutre) indiquent un essoufflement à court terme. Les fondamentaux, eux, sont indiscutablement solides avec un ROE de 27%, un coefficient d'exploitation de 38,6% et une croissance soutenue du résultat net (+11% au T1 2026). Les prédictions IA pour les 10 prochains jours (baisse de 9 200 à 7 881 FCFA, soit -14,3%) contredisent fortement la tendance actuelle et suggèrent une correction technique imminente après la forte hausse. Cette projection, si elle se réalise, ramènerait le titre à des niveaux plus proches de sa moyenne mobile 50 jours (9 042 FCFA) et offrirait un point d'entrée plus attractif. **Recommandation finale : CONSERVER** pour les investisseurs déjà positionnés, avec un niveau de confiance **Moyen** et un risque global **Moyen**. L'horizon d'investissement optimal est le **moyen terme (3-12 mois)**, en attendant soit une correction du cours vers 8 500-8 800 FCFA pour renforcer la position, soit la publication des résultats semestriels 2026 pour confirmer la trajectoire de croissance avant tout nouvel achat.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126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+101.18%</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30.93% (Élevée) — μ=5,601 FCFA, σ=1,732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β=-0.6961 (Contre-cyclique) — Cov=-0.000025, Var(idx)=0.000036, ρ=-0.110,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7,752</w:t>
            </w:r>
          </w:p>
        </w:tc>
        <w:tc>
          <w:tcPr>
            <w:tcW w:type="dxa" w:w="1440"/>
            <w:shd w:fill="FAFAFA" w:val="clear"/>
          </w:tcPr>
          <w:p>
            <w:r>
              <w:rPr>
                <w:b/>
                <w:sz w:val="17"/>
              </w:rPr>
              <w:t>8,381</w:t>
            </w:r>
          </w:p>
        </w:tc>
        <w:tc>
          <w:tcPr>
            <w:tcW w:type="dxa" w:w="1440"/>
            <w:shd w:fill="FAFAFA" w:val="clear"/>
          </w:tcPr>
          <w:p>
            <w:r>
              <w:rPr>
                <w:sz w:val="17"/>
              </w:rPr>
              <w:t>9,009</w:t>
            </w:r>
          </w:p>
        </w:tc>
        <w:tc>
          <w:tcPr>
            <w:tcW w:type="dxa" w:w="1440"/>
            <w:shd w:fill="FAFAFA" w:val="clear"/>
          </w:tcPr>
          <w:p>
            <w:r>
              <w:rPr>
                <w:b/>
                <w:color w:val="C00000"/>
                <w:sz w:val="17"/>
              </w:rPr>
              <w:t>-1.4%</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7,338</w:t>
            </w:r>
          </w:p>
        </w:tc>
        <w:tc>
          <w:tcPr>
            <w:tcW w:type="dxa" w:w="1440"/>
            <w:shd w:fill="FFDCE0" w:val="clear"/>
          </w:tcPr>
          <w:p>
            <w:r>
              <w:rPr>
                <w:b/>
                <w:sz w:val="17"/>
              </w:rPr>
              <w:t>8,276</w:t>
            </w:r>
          </w:p>
        </w:tc>
        <w:tc>
          <w:tcPr>
            <w:tcW w:type="dxa" w:w="1440"/>
            <w:shd w:fill="FFDCE0" w:val="clear"/>
          </w:tcPr>
          <w:p>
            <w:r>
              <w:rPr>
                <w:sz w:val="17"/>
              </w:rPr>
              <w:t>9,215</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6,999</w:t>
            </w:r>
          </w:p>
        </w:tc>
        <w:tc>
          <w:tcPr>
            <w:tcW w:type="dxa" w:w="1440"/>
            <w:shd w:fill="FFDCE0" w:val="clear"/>
          </w:tcPr>
          <w:p>
            <w:r>
              <w:rPr>
                <w:b/>
                <w:sz w:val="17"/>
              </w:rPr>
              <w:t>8,128</w:t>
            </w:r>
          </w:p>
        </w:tc>
        <w:tc>
          <w:tcPr>
            <w:tcW w:type="dxa" w:w="1440"/>
            <w:shd w:fill="FFDCE0" w:val="clear"/>
          </w:tcPr>
          <w:p>
            <w:r>
              <w:rPr>
                <w:sz w:val="17"/>
              </w:rPr>
              <w:t>9,257</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6,689</w:t>
            </w:r>
          </w:p>
        </w:tc>
        <w:tc>
          <w:tcPr>
            <w:tcW w:type="dxa" w:w="1440"/>
            <w:shd w:fill="FFDCE0" w:val="clear"/>
          </w:tcPr>
          <w:p>
            <w:r>
              <w:rPr>
                <w:b/>
                <w:sz w:val="17"/>
              </w:rPr>
              <w:t>7,967</w:t>
            </w:r>
          </w:p>
        </w:tc>
        <w:tc>
          <w:tcPr>
            <w:tcW w:type="dxa" w:w="1440"/>
            <w:shd w:fill="FFDCE0" w:val="clear"/>
          </w:tcPr>
          <w:p>
            <w:r>
              <w:rPr>
                <w:sz w:val="17"/>
              </w:rPr>
              <w:t>9,246</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6,403</w:t>
            </w:r>
          </w:p>
        </w:tc>
        <w:tc>
          <w:tcPr>
            <w:tcW w:type="dxa" w:w="1440"/>
            <w:shd w:fill="FFDCE0" w:val="clear"/>
          </w:tcPr>
          <w:p>
            <w:r>
              <w:rPr>
                <w:b/>
                <w:sz w:val="17"/>
              </w:rPr>
              <w:t>7,803</w:t>
            </w:r>
          </w:p>
        </w:tc>
        <w:tc>
          <w:tcPr>
            <w:tcW w:type="dxa" w:w="1440"/>
            <w:shd w:fill="FFDCE0" w:val="clear"/>
          </w:tcPr>
          <w:p>
            <w:r>
              <w:rPr>
                <w:sz w:val="17"/>
              </w:rPr>
              <w:t>9,203</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6,138</w:t>
            </w:r>
          </w:p>
        </w:tc>
        <w:tc>
          <w:tcPr>
            <w:tcW w:type="dxa" w:w="1440"/>
            <w:shd w:fill="FFDCE0" w:val="clear"/>
          </w:tcPr>
          <w:p>
            <w:r>
              <w:rPr>
                <w:b/>
                <w:sz w:val="17"/>
              </w:rPr>
              <w:t>7,639</w:t>
            </w:r>
          </w:p>
        </w:tc>
        <w:tc>
          <w:tcPr>
            <w:tcW w:type="dxa" w:w="1440"/>
            <w:shd w:fill="FFDCE0" w:val="clear"/>
          </w:tcPr>
          <w:p>
            <w:r>
              <w:rPr>
                <w:sz w:val="17"/>
              </w:rPr>
              <w:t>9,140</w:t>
            </w:r>
          </w:p>
        </w:tc>
        <w:tc>
          <w:tcPr>
            <w:tcW w:type="dxa" w:w="1440"/>
            <w:shd w:fill="FFDCE0" w:val="clear"/>
          </w:tcPr>
          <w:p>
            <w:r>
              <w:rPr>
                <w:b/>
                <w:color w:val="C00000"/>
                <w:sz w:val="17"/>
              </w:rPr>
              <w:t>-10.1%</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5,890</w:t>
            </w:r>
          </w:p>
        </w:tc>
        <w:tc>
          <w:tcPr>
            <w:tcW w:type="dxa" w:w="1440"/>
            <w:shd w:fill="FFDCE0" w:val="clear"/>
          </w:tcPr>
          <w:p>
            <w:r>
              <w:rPr>
                <w:b/>
                <w:sz w:val="17"/>
              </w:rPr>
              <w:t>7,477</w:t>
            </w:r>
          </w:p>
        </w:tc>
        <w:tc>
          <w:tcPr>
            <w:tcW w:type="dxa" w:w="1440"/>
            <w:shd w:fill="FFDCE0" w:val="clear"/>
          </w:tcPr>
          <w:p>
            <w:r>
              <w:rPr>
                <w:sz w:val="17"/>
              </w:rPr>
              <w:t>9,064</w:t>
            </w:r>
          </w:p>
        </w:tc>
        <w:tc>
          <w:tcPr>
            <w:tcW w:type="dxa" w:w="1440"/>
            <w:shd w:fill="FFDCE0" w:val="clear"/>
          </w:tcPr>
          <w:p>
            <w:r>
              <w:rPr>
                <w:b/>
                <w:color w:val="C00000"/>
                <w:sz w:val="17"/>
              </w:rPr>
              <w:t>-12.0%</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5,659</w:t>
            </w:r>
          </w:p>
        </w:tc>
        <w:tc>
          <w:tcPr>
            <w:tcW w:type="dxa" w:w="1440"/>
            <w:shd w:fill="FFDCE0" w:val="clear"/>
          </w:tcPr>
          <w:p>
            <w:r>
              <w:rPr>
                <w:b/>
                <w:sz w:val="17"/>
              </w:rPr>
              <w:t>7,320</w:t>
            </w:r>
          </w:p>
        </w:tc>
        <w:tc>
          <w:tcPr>
            <w:tcW w:type="dxa" w:w="1440"/>
            <w:shd w:fill="FFDCE0" w:val="clear"/>
          </w:tcPr>
          <w:p>
            <w:r>
              <w:rPr>
                <w:sz w:val="17"/>
              </w:rPr>
              <w:t>8,981</w:t>
            </w:r>
          </w:p>
        </w:tc>
        <w:tc>
          <w:tcPr>
            <w:tcW w:type="dxa" w:w="1440"/>
            <w:shd w:fill="FFDCE0" w:val="clear"/>
          </w:tcPr>
          <w:p>
            <w:r>
              <w:rPr>
                <w:b/>
                <w:color w:val="C00000"/>
                <w:sz w:val="17"/>
              </w:rPr>
              <w:t>-13.9%</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5,444</w:t>
            </w:r>
          </w:p>
        </w:tc>
        <w:tc>
          <w:tcPr>
            <w:tcW w:type="dxa" w:w="1440"/>
            <w:shd w:fill="FFDCE0" w:val="clear"/>
          </w:tcPr>
          <w:p>
            <w:r>
              <w:rPr>
                <w:b/>
                <w:sz w:val="17"/>
              </w:rPr>
              <w:t>7,169</w:t>
            </w:r>
          </w:p>
        </w:tc>
        <w:tc>
          <w:tcPr>
            <w:tcW w:type="dxa" w:w="1440"/>
            <w:shd w:fill="FFDCE0" w:val="clear"/>
          </w:tcPr>
          <w:p>
            <w:r>
              <w:rPr>
                <w:sz w:val="17"/>
              </w:rPr>
              <w:t>8,894</w:t>
            </w:r>
          </w:p>
        </w:tc>
        <w:tc>
          <w:tcPr>
            <w:tcW w:type="dxa" w:w="1440"/>
            <w:shd w:fill="FFDCE0" w:val="clear"/>
          </w:tcPr>
          <w:p>
            <w:r>
              <w:rPr>
                <w:b/>
                <w:color w:val="C00000"/>
                <w:sz w:val="17"/>
              </w:rPr>
              <w:t>-15.7%</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5,243</w:t>
            </w:r>
          </w:p>
        </w:tc>
        <w:tc>
          <w:tcPr>
            <w:tcW w:type="dxa" w:w="1440"/>
            <w:shd w:fill="FFDCE0" w:val="clear"/>
          </w:tcPr>
          <w:p>
            <w:r>
              <w:rPr>
                <w:b/>
                <w:sz w:val="17"/>
              </w:rPr>
              <w:t>7,025</w:t>
            </w:r>
          </w:p>
        </w:tc>
        <w:tc>
          <w:tcPr>
            <w:tcW w:type="dxa" w:w="1440"/>
            <w:shd w:fill="FFDCE0" w:val="clear"/>
          </w:tcPr>
          <w:p>
            <w:r>
              <w:rPr>
                <w:sz w:val="17"/>
              </w:rPr>
              <w:t>8,807</w:t>
            </w:r>
          </w:p>
        </w:tc>
        <w:tc>
          <w:tcPr>
            <w:tcW w:type="dxa" w:w="1440"/>
            <w:shd w:fill="FFDCE0" w:val="clear"/>
          </w:tcPr>
          <w:p>
            <w:r>
              <w:rPr>
                <w:b/>
                <w:color w:val="C00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(Société Ivoirienne de Coco Râpé)**</w:t>
        <w:br/>
        <w:t>**Date de l'analyse : 08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SICOR s'établit à 5,10 milliards FCFA, un niveau modeste qui la classe parmi les petites capitalisations de la BRVM, offrant un potentiel de croissance mais aussi une liquidité limitée. Les ratios de valorisation (BPA, PER, P/B, EV/EBITDA) ne sont pas calculables en raison de l'absence de données financières structurées récentes dans la base, ce qui constitue une limite à l'analyse quantitative comparative. Toutefois, sur la base des derniers bénéfices nets publiés (+19,25 millions FCFA en 2023), le PER implicite serait extrêmement élevé (plus de 260 fois), signalant que le marché anticipe une forte amélioration des résultats futurs. Cette valorisation boursière, dopée par une hausse de plus de 100% du cours en 100 jours, intègre des attentes de redressement significatif de la rentabilité, ce qui représente un risque si les performances opérationnelles ne suivent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 connu une appréciation spectaculaire de +101,18%, passant d'un plus bas de 3 930 FCFA à un plus haut de 10 200 FCFA, pour clôturer à 8 500 FCFA, avec une stagnation lors de la dernière séance. Cette tendance est fortement haussière, mais la moyenne (5 601 FCFA) étant nettement inférieure à la médiane (4 660 FCFA) et au cours actuel, cela confirme une distribution asymétrique positive (skewness de 1,185) où la majorité des séances se situent sous la moyenne, avec des pics récents qui tirent la moyenne vers le haut. L'écart-type de 1 741 FCFA (CV de 31,1%) indique une dispersion élevée des prix, et le kurtosis proche de zéro suggère une distribution mésokurtique sans risque de pics extrêmes particulier. La volatilité annualisée de 60,3% est très élevée, positionnant le titre comme spéculatif et à haut risque, nécessitant une grande prudence pour les investisseurs non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(8 500 FCFA) est inférieur à la MM20 (8 688,5 FCFA) mais supérieur à la MM50 (6 839,8 FCFA). Cette configuration, où le prix reste au-dessus de la moyenne à long terme mais sous la moyenne à court terme, suggère un essoufflement de la tendance haussière récente. Le signal global est un "Achat" car la tendance de fond reste positive, mais la correction sous la MM20 indique un possible repli à court terme.</w:t>
      </w:r>
    </w:p>
    <w:p>
      <w:pPr>
        <w:spacing w:after="120" w:line="276" w:lineRule="auto"/>
      </w:pPr>
      <w:r>
        <w:t>**Bandes de Bollinger** : Le prix se situe à 8 500 FCFA, entre la borne inférieure (7 128,4 FCFA) et la borne supérieure (10 248,6 FCFA), plus proche de la borne supérieure, ce qui reflète une volatilité encore élevée. La décision "Neutre" est justifiée par une position médiane dans les bandes, sans signal clair de surachat ou de survente, mais l'écart important entre les bornes témoigne d'une forte instabilité des prix.</w:t>
      </w:r>
    </w:p>
    <w:p>
      <w:pPr>
        <w:spacing w:after="120" w:line="276" w:lineRule="auto"/>
      </w:pPr>
      <w:r>
        <w:t>**MACD** : La valeur du MACD (358,3) est inférieure à son signal (503,6), indiquant un momentum baissier à court terme. La décision "Vente" suggère que la dynamique haussière s'affaiblit et qu'un croisement baissier pourrait se confirmer, signalant une possible poursuite de la correction.</w:t>
      </w:r>
    </w:p>
    <w:p>
      <w:pPr>
        <w:spacing w:after="120" w:line="276" w:lineRule="auto"/>
      </w:pPr>
      <w:r>
        <w:t>**RSI** : Le RSI à 27,96 est en zone de survente (&lt;30), ce qui indique que le titre a été vendu de manière excessive et qu'un rebond technique est probable à très court terme. La décision "Achat" est cohérente avec cette lecture, les investisseurs pouvant anticiper un retournement haussier.</w:t>
      </w:r>
    </w:p>
    <w:p>
      <w:pPr>
        <w:spacing w:after="120" w:line="276" w:lineRule="auto"/>
      </w:pPr>
      <w:r>
        <w:t>**Stochastique** : Le %K (44,3) est supérieur au %D (33,0), montrant un croisement haussier en cours, mais les deux valeurs restent en territoire neutre (30-70). La décision "Neutre" reflète l'absence de signal fort, avec une possible consolidation avant une reprise ou une poursuite de la baisse.</w:t>
      </w:r>
    </w:p>
    <w:p>
      <w:pPr>
        <w:spacing w:after="120" w:line="276" w:lineRule="auto"/>
      </w:pPr>
      <w:r>
        <w:t>**Conclusion technique** : Les indicateurs sont mitigés, avec un RSI en survente suggérant un rebond imminent, tandis que le MACD et la position sous la MM20 indiquent une pression baissière à court terme. La tendance de fond reste haussière (MM50), mais le titre semble entrer dans une phase de correction/consolidation après une hausse spectaculaire. Un scénario de rebond technique suivi d'une stabilisation est le plus probable.</w:t>
      </w:r>
    </w:p>
    <w:p>
      <w:pPr>
        <w:spacing w:after="120" w:line="276" w:lineRule="auto"/>
      </w:pPr>
      <w:r>
        <w:t>---</w:t>
      </w:r>
    </w:p>
    <w:p>
      <w:pPr>
        <w:spacing w:after="120" w:line="276" w:lineRule="auto"/>
      </w:pPr>
      <w:r>
        <w:t>### PARTIE 3 : ANALYSE FONDAMENTALE (SECTION CRITIQUE)</w:t>
      </w:r>
    </w:p>
    <w:p>
      <w:pPr>
        <w:spacing w:after="120" w:line="276" w:lineRule="auto"/>
      </w:pPr>
      <w:r>
        <w:t>L'analyse fondamentale s'appuie sur les rapports annuels disponibles, dont le plus récent date de l'exercice 2024 (publié en 2026). Les données structurées chiffrées ne sont pas extraites, mais les rapports narratifs fournissent une vision claire. En 2023, la SICOR a réalisé un chiffre d'affaires de 701,09 millions FCFA, en baisse de 38,4% par rapport à 2022 (1 138,17 millions FCFA), mais a renoué avec les bénéfices, affichant un résultat net positif de +19,25 millions FCFA contre une perte de -39,95 millions en 2022. Cette amélioration de 59,2 millions FCFA résulte d'une réduction drastique des charges (-43,68%), notamment via le transfert de personnel vers la SIPAL, et non d'une croissance de l'activité. La marge nette reste faible à 2,75%, et les pertes cumulées s'élèvent à 689,86 millions FCFA, interdisant tout dividende. Les rapports de 2022 et 2023 soulignent des risques opérationnels majeurs (vols de noix de coco, baisse de production) et une trésorerie tendue (découverts bancaires multipliés par 14). Le rapport le plus récent (exercice 2024, analysé en 2026) est tronqué, mais son existence suggère une continuité des publications. Les perspectives restent fragiles, la rentabilité dépendant de la maîtrise des coûts et d'une reprise des volumes. La recommandation issue des rapports est "Conserver avec vigilance", reflétant un potentiel de redressement mais une situation financière encore précaire.</w:t>
      </w:r>
    </w:p>
    <w:p>
      <w:pPr>
        <w:spacing w:after="120" w:line="276" w:lineRule="auto"/>
      </w:pPr>
      <w:r>
        <w:t>---</w:t>
      </w:r>
    </w:p>
    <w:p>
      <w:pPr>
        <w:spacing w:after="120" w:line="276" w:lineRule="auto"/>
      </w:pPr>
      <w:r>
        <w:t>### PARTIE 4 : CONCLUSION D'INVESTISSEMENT</w:t>
      </w:r>
    </w:p>
    <w:p>
      <w:pPr>
        <w:spacing w:after="120" w:line="276" w:lineRule="auto"/>
      </w:pPr>
      <w:r>
        <w:t>La valorisation boursière de la SICOR, avec un PER implicite très élevé, est en totale divergence avec les fondamentaux actuels, marqués par une rentabilité faible et des pertes cumulées importantes. Le comportement du cours, avec une hausse de +101% en 100 jours et une volatilité annualisée de 60%, témoigne d'un mouvement spéculatif intense, potentiellement déconnecté de la réalité économique de l'entreprise. Les signaux techniques sont contradictoires : le RSI en survente suggère un rebond à court terme, mais le MACD et la position sous la MM20 indiquent une correction en cours. Les fondamentaux, bien qu'en amélioration en 2023 (+19,25 millions FCFA de bénéfice), restent trop faibles pour justifier une telle capitalisation. Les prédictions IA pour les 10 prochains jours (baisse progressive de 8 381 à 7 803 FCFA) confirment cette analyse technique baissière à court terme. La convergence des signaux (technique et prédictions) vers une baisse, contrastant avec la hausse passée, conduit à une recommandation de **VENTE** pour les investisseurs à court terme, avec un niveau de confiance **Moyen** et un risque global **Élevé**. Pour les investisseurs à long terme, l'horizon optimal serait de **plus d'un an**, en attendant une confirmation solide du redressement fondamental (résorption des pertes, amélioration des marges) avant d'envisager un réinvestissement.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5,529 titres</w:t>
            </w:r>
          </w:p>
        </w:tc>
        <w:tc>
          <w:tcPr>
            <w:tcW w:type="dxa" w:w="2268"/>
            <w:shd w:fill="FFF2CC" w:val="clear"/>
          </w:tcPr>
          <w:p>
            <w:r>
              <w:rPr>
                <w:b/>
                <w:color w:val="503200"/>
                <w:sz w:val="16"/>
              </w:rPr>
              <w:t xml:space="preserve">Cours actuel : </w:t>
            </w:r>
            <w:r>
              <w:rPr>
                <w:color w:val="000000"/>
                <w:sz w:val="17"/>
              </w:rPr>
              <w:t>2,335 FCFA</w:t>
            </w:r>
          </w:p>
          <w:p>
            <w:r>
              <w:rPr>
                <w:b/>
                <w:color w:val="503200"/>
                <w:sz w:val="16"/>
              </w:rPr>
              <w:t xml:space="preserve">Var. 100 jours : </w:t>
            </w:r>
            <w:r>
              <w:rPr>
                <w:b/>
                <w:color w:val="B40000"/>
                <w:sz w:val="17"/>
              </w:rPr>
              <w:t>-26.11%</w:t>
            </w:r>
          </w:p>
          <w:p>
            <w:r>
              <w:rPr>
                <w:b/>
                <w:color w:val="503200"/>
                <w:sz w:val="16"/>
              </w:rPr>
              <w:t xml:space="preserve">Plus haut 100j : </w:t>
            </w:r>
            <w:r>
              <w:rPr>
                <w:color w:val="000000"/>
                <w:sz w:val="17"/>
              </w:rPr>
              <w:t>3,160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10.67% (Moyenne) — μ=2,551 FCFA, σ=272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β=0.4737 (Défensif) — Cov=0.000017, Var(idx)=0.000036, ρ=0.089,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2,133</w:t>
            </w:r>
          </w:p>
        </w:tc>
        <w:tc>
          <w:tcPr>
            <w:tcW w:type="dxa" w:w="1440"/>
            <w:shd w:fill="FFDCE0" w:val="clear"/>
          </w:tcPr>
          <w:p>
            <w:r>
              <w:rPr>
                <w:b/>
                <w:sz w:val="17"/>
              </w:rPr>
              <w:t>2,221</w:t>
            </w:r>
          </w:p>
        </w:tc>
        <w:tc>
          <w:tcPr>
            <w:tcW w:type="dxa" w:w="1440"/>
            <w:shd w:fill="FFDCE0" w:val="clear"/>
          </w:tcPr>
          <w:p>
            <w:r>
              <w:rPr>
                <w:sz w:val="17"/>
              </w:rPr>
              <w:t>2,309</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2,058</w:t>
            </w:r>
          </w:p>
        </w:tc>
        <w:tc>
          <w:tcPr>
            <w:tcW w:type="dxa" w:w="1440"/>
            <w:shd w:fill="FFDCE0" w:val="clear"/>
          </w:tcPr>
          <w:p>
            <w:r>
              <w:rPr>
                <w:b/>
                <w:sz w:val="17"/>
              </w:rPr>
              <w:t>2,180</w:t>
            </w:r>
          </w:p>
        </w:tc>
        <w:tc>
          <w:tcPr>
            <w:tcW w:type="dxa" w:w="1440"/>
            <w:shd w:fill="FFDCE0" w:val="clear"/>
          </w:tcPr>
          <w:p>
            <w:r>
              <w:rPr>
                <w:sz w:val="17"/>
              </w:rPr>
              <w:t>2,303</w:t>
            </w:r>
          </w:p>
        </w:tc>
        <w:tc>
          <w:tcPr>
            <w:tcW w:type="dxa" w:w="1440"/>
            <w:shd w:fill="FFDCE0" w:val="clear"/>
          </w:tcPr>
          <w:p>
            <w:r>
              <w:rPr>
                <w:b/>
                <w:color w:val="C00000"/>
                <w:sz w:val="17"/>
              </w:rPr>
              <w:t>-6.6%</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1,986</w:t>
            </w:r>
          </w:p>
        </w:tc>
        <w:tc>
          <w:tcPr>
            <w:tcW w:type="dxa" w:w="1440"/>
            <w:shd w:fill="FFDCE0" w:val="clear"/>
          </w:tcPr>
          <w:p>
            <w:r>
              <w:rPr>
                <w:b/>
                <w:sz w:val="17"/>
              </w:rPr>
              <w:t>2,132</w:t>
            </w:r>
          </w:p>
        </w:tc>
        <w:tc>
          <w:tcPr>
            <w:tcW w:type="dxa" w:w="1440"/>
            <w:shd w:fill="FFDCE0" w:val="clear"/>
          </w:tcPr>
          <w:p>
            <w:r>
              <w:rPr>
                <w:sz w:val="17"/>
              </w:rPr>
              <w:t>2,279</w:t>
            </w:r>
          </w:p>
        </w:tc>
        <w:tc>
          <w:tcPr>
            <w:tcW w:type="dxa" w:w="1440"/>
            <w:shd w:fill="FFDCE0" w:val="clear"/>
          </w:tcPr>
          <w:p>
            <w:r>
              <w:rPr>
                <w:b/>
                <w:color w:val="C00000"/>
                <w:sz w:val="17"/>
              </w:rPr>
              <w:t>-8.7%</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1,919</w:t>
            </w:r>
          </w:p>
        </w:tc>
        <w:tc>
          <w:tcPr>
            <w:tcW w:type="dxa" w:w="1440"/>
            <w:shd w:fill="FFDCE0" w:val="clear"/>
          </w:tcPr>
          <w:p>
            <w:r>
              <w:rPr>
                <w:b/>
                <w:sz w:val="17"/>
              </w:rPr>
              <w:t>2,084</w:t>
            </w:r>
          </w:p>
        </w:tc>
        <w:tc>
          <w:tcPr>
            <w:tcW w:type="dxa" w:w="1440"/>
            <w:shd w:fill="FFDCE0" w:val="clear"/>
          </w:tcPr>
          <w:p>
            <w:r>
              <w:rPr>
                <w:sz w:val="17"/>
              </w:rPr>
              <w:t>2,249</w:t>
            </w:r>
          </w:p>
        </w:tc>
        <w:tc>
          <w:tcPr>
            <w:tcW w:type="dxa" w:w="1440"/>
            <w:shd w:fill="FFDCE0" w:val="clear"/>
          </w:tcPr>
          <w:p>
            <w:r>
              <w:rPr>
                <w:b/>
                <w:color w:val="C00000"/>
                <w:sz w:val="17"/>
              </w:rPr>
              <w:t>-10.8%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1,856</w:t>
            </w:r>
          </w:p>
        </w:tc>
        <w:tc>
          <w:tcPr>
            <w:tcW w:type="dxa" w:w="1440"/>
            <w:shd w:fill="FFDCE0" w:val="clear"/>
          </w:tcPr>
          <w:p>
            <w:r>
              <w:rPr>
                <w:b/>
                <w:sz w:val="17"/>
              </w:rPr>
              <w:t>2,036</w:t>
            </w:r>
          </w:p>
        </w:tc>
        <w:tc>
          <w:tcPr>
            <w:tcW w:type="dxa" w:w="1440"/>
            <w:shd w:fill="FFDCE0" w:val="clear"/>
          </w:tcPr>
          <w:p>
            <w:r>
              <w:rPr>
                <w:sz w:val="17"/>
              </w:rPr>
              <w:t>2,216</w:t>
            </w:r>
          </w:p>
        </w:tc>
        <w:tc>
          <w:tcPr>
            <w:tcW w:type="dxa" w:w="1440"/>
            <w:shd w:fill="FFDCE0" w:val="clear"/>
          </w:tcPr>
          <w:p>
            <w:r>
              <w:rPr>
                <w:b/>
                <w:color w:val="C00000"/>
                <w:sz w:val="17"/>
              </w:rPr>
              <w:t>-12.8%</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1,797</w:t>
            </w:r>
          </w:p>
        </w:tc>
        <w:tc>
          <w:tcPr>
            <w:tcW w:type="dxa" w:w="1440"/>
            <w:shd w:fill="FFDCE0" w:val="clear"/>
          </w:tcPr>
          <w:p>
            <w:r>
              <w:rPr>
                <w:b/>
                <w:sz w:val="17"/>
              </w:rPr>
              <w:t>1,990</w:t>
            </w:r>
          </w:p>
        </w:tc>
        <w:tc>
          <w:tcPr>
            <w:tcW w:type="dxa" w:w="1440"/>
            <w:shd w:fill="FFDCE0" w:val="clear"/>
          </w:tcPr>
          <w:p>
            <w:r>
              <w:rPr>
                <w:sz w:val="17"/>
              </w:rPr>
              <w:t>2,183</w:t>
            </w:r>
          </w:p>
        </w:tc>
        <w:tc>
          <w:tcPr>
            <w:tcW w:type="dxa" w:w="1440"/>
            <w:shd w:fill="FFDCE0" w:val="clear"/>
          </w:tcPr>
          <w:p>
            <w:r>
              <w:rPr>
                <w:b/>
                <w:color w:val="C00000"/>
                <w:sz w:val="17"/>
              </w:rPr>
              <w:t>-14.8%</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1,742</w:t>
            </w:r>
          </w:p>
        </w:tc>
        <w:tc>
          <w:tcPr>
            <w:tcW w:type="dxa" w:w="1440"/>
            <w:shd w:fill="FFDCE0" w:val="clear"/>
          </w:tcPr>
          <w:p>
            <w:r>
              <w:rPr>
                <w:b/>
                <w:sz w:val="17"/>
              </w:rPr>
              <w:t>1,946</w:t>
            </w:r>
          </w:p>
        </w:tc>
        <w:tc>
          <w:tcPr>
            <w:tcW w:type="dxa" w:w="1440"/>
            <w:shd w:fill="FFDCE0" w:val="clear"/>
          </w:tcPr>
          <w:p>
            <w:r>
              <w:rPr>
                <w:sz w:val="17"/>
              </w:rPr>
              <w:t>2,150</w:t>
            </w:r>
          </w:p>
        </w:tc>
        <w:tc>
          <w:tcPr>
            <w:tcW w:type="dxa" w:w="1440"/>
            <w:shd w:fill="FFDCE0" w:val="clear"/>
          </w:tcPr>
          <w:p>
            <w:r>
              <w:rPr>
                <w:b/>
                <w:color w:val="C00000"/>
                <w:sz w:val="17"/>
              </w:rPr>
              <w:t>-16.7%</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1,690</w:t>
            </w:r>
          </w:p>
        </w:tc>
        <w:tc>
          <w:tcPr>
            <w:tcW w:type="dxa" w:w="1440"/>
            <w:shd w:fill="FFDCE0" w:val="clear"/>
          </w:tcPr>
          <w:p>
            <w:r>
              <w:rPr>
                <w:b/>
                <w:sz w:val="17"/>
              </w:rPr>
              <w:t>1,903</w:t>
            </w:r>
          </w:p>
        </w:tc>
        <w:tc>
          <w:tcPr>
            <w:tcW w:type="dxa" w:w="1440"/>
            <w:shd w:fill="FFDCE0" w:val="clear"/>
          </w:tcPr>
          <w:p>
            <w:r>
              <w:rPr>
                <w:sz w:val="17"/>
              </w:rPr>
              <w:t>2,116</w:t>
            </w:r>
          </w:p>
        </w:tc>
        <w:tc>
          <w:tcPr>
            <w:tcW w:type="dxa" w:w="1440"/>
            <w:shd w:fill="FFDCE0" w:val="clear"/>
          </w:tcPr>
          <w:p>
            <w:r>
              <w:rPr>
                <w:b/>
                <w:color w:val="C00000"/>
                <w:sz w:val="17"/>
              </w:rPr>
              <w:t>-18.5%</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1,640</w:t>
            </w:r>
          </w:p>
        </w:tc>
        <w:tc>
          <w:tcPr>
            <w:tcW w:type="dxa" w:w="1440"/>
            <w:shd w:fill="FFDCE0" w:val="clear"/>
          </w:tcPr>
          <w:p>
            <w:r>
              <w:rPr>
                <w:b/>
                <w:sz w:val="17"/>
              </w:rPr>
              <w:t>1,862</w:t>
            </w:r>
          </w:p>
        </w:tc>
        <w:tc>
          <w:tcPr>
            <w:tcW w:type="dxa" w:w="1440"/>
            <w:shd w:fill="FFDCE0" w:val="clear"/>
          </w:tcPr>
          <w:p>
            <w:r>
              <w:rPr>
                <w:sz w:val="17"/>
              </w:rPr>
              <w:t>2,083</w:t>
            </w:r>
          </w:p>
        </w:tc>
        <w:tc>
          <w:tcPr>
            <w:tcW w:type="dxa" w:w="1440"/>
            <w:shd w:fill="FFDCE0" w:val="clear"/>
          </w:tcPr>
          <w:p>
            <w:r>
              <w:rPr>
                <w:b/>
                <w:color w:val="C00000"/>
                <w:sz w:val="17"/>
              </w:rPr>
              <w:t>-20.3%</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1,594</w:t>
            </w:r>
          </w:p>
        </w:tc>
        <w:tc>
          <w:tcPr>
            <w:tcW w:type="dxa" w:w="1440"/>
            <w:shd w:fill="FFDCE0" w:val="clear"/>
          </w:tcPr>
          <w:p>
            <w:r>
              <w:rPr>
                <w:b/>
                <w:sz w:val="17"/>
              </w:rPr>
              <w:t>1,822</w:t>
            </w:r>
          </w:p>
        </w:tc>
        <w:tc>
          <w:tcPr>
            <w:tcW w:type="dxa" w:w="1440"/>
            <w:shd w:fill="FFDCE0" w:val="clear"/>
          </w:tcPr>
          <w:p>
            <w:r>
              <w:rPr>
                <w:sz w:val="17"/>
              </w:rPr>
              <w:t>2,050</w:t>
            </w:r>
          </w:p>
        </w:tc>
        <w:tc>
          <w:tcPr>
            <w:tcW w:type="dxa" w:w="1440"/>
            <w:shd w:fill="FFDCE0" w:val="clear"/>
          </w:tcPr>
          <w:p>
            <w:r>
              <w:rPr>
                <w:b/>
                <w:color w:val="C00000"/>
                <w:sz w:val="17"/>
              </w:rPr>
              <w:t>-22.0%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dénommée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20,39 milliards FCFA positionne ERIUM CI comme une valeur de taille moyenne sur la BRVM. Avec un BPA de 43 FCFA, le titre se paie très cher, affichant un PER de 54,1x, soit plus de quatre fois la moyenne du marché qui se situe entre 8 et 12x. Cette décote sévère suggère que les investisseurs intègrent des attentes de croissance très élevées, ou que le marché n'a pas encore pleinement ajusté le cours à la chute récente des bénéfices. Le P/B de 6,23x confirme cette prime, le marché valorisant l'actif net plus de six fois sa valeur comptable. Enfin, un EV/EBITDA de 17,1x, bien que supérieur au seuil de 15x considéré comme exigeant, indique que la valeur totale de l'entreprise reste élevée par rapport à sa capacité opérationnelle, ce qui laisse peu de marge de sécurité pour un 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ERIUM CI a subi une forte correction de -26,11%, accentuée par une baisse de -2,51% lors de la dernière séance, pour s'établir à 2 335 FCFA. Le titre a évolué dans une fourchette large de 1 920 à 3 160 FCFA, illustrant une forte amplitude de trading. La moyenne (2 551 FCFA) et la médiane (2 552 FCFA) étant quasi identiques, la distribution des prix est symétrique, ce que confirme le skewness de -0.182. L'écart-type de 273 FCFA (CV de 10,7%) montre une dispersion modérée autour de la moyenne. Le kurtosis négatif (-1.136) indique une distribution "plate" avec peu de valeurs extrêmes, suggérant une absence de pics de volatilité soudains. La volatilité annualisée de 50,6% est très élevée, classant ce titre comme risqué et sujet à des mouvements de prix amples, ce qui est cohérent avec la tendance baissière marquée observée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(2 335 FCFA) se situe au-dessus de sa MM20 (2 379,5 FCFA) et de sa MM50 (2 306,0 FCFA). Bien que la position relative soit positive, le signal d'achat est fragile car le cours est très proche de la MM20, indiquant une possible résistance. La tendance de fond reste incertaine, mais la configuration à court terme est légèrement positive.</w:t>
      </w:r>
    </w:p>
    <w:p>
      <w:pPr>
        <w:spacing w:after="120" w:line="276" w:lineRule="auto"/>
      </w:pPr>
      <w:r>
        <w:t>**Bandes de Bollinger**: Le prix se négocie dans la partie inférieure du canal formé par les bandes (entre 2 309,4 et 2 449,6 FCFA), proche de la borne inférieure. Cela suggère que le titre est survendu à court terme, mais sans signal de retournement. La décision "Neutre" est justifiée par l'absence de cassure franche, le marché semblant chercher un point d'équilibre après la baisse récente.</w:t>
      </w:r>
    </w:p>
    <w:p>
      <w:pPr>
        <w:spacing w:after="120" w:line="276" w:lineRule="auto"/>
      </w:pPr>
      <w:r>
        <w:t>**MACD**: La valeur du MACD (10,899) est inférieure à son signal (11,205), ce qui génère une décision de "Vente". Cette configuration indique un affaiblissement du momentum haussier à court terme. Bien que les deux lignes soient proches, le croisement baissier suggère une poursuite potentielle de la consolidation ou une nouvelle baisse.</w:t>
      </w:r>
    </w:p>
    <w:p>
      <w:pPr>
        <w:spacing w:after="120" w:line="276" w:lineRule="auto"/>
      </w:pPr>
      <w:r>
        <w:t>**RSI**: Avec une valeur de 44,444, le RSI se situe en zone neutre, loin des seuils de surachat (70) ou de survente (30). Cela indique une absence de dynamique claire, ni acheteur ni vendeur ne dominant le marché. La décision "Neutre" est cohérente avec cette lecture, le titre n'étant ni survendu ni suracheté.</w:t>
      </w:r>
    </w:p>
    <w:p>
      <w:pPr>
        <w:spacing w:after="120" w:line="276" w:lineRule="auto"/>
      </w:pPr>
      <w:r>
        <w:t>**Stochastique**: Le %K (21,739) est inférieur à %D (37,681) et se trouve en zone de survente (&lt;20). Ce croisement baissier en zone de survente pourrait précéder un rebond technique, mais le signal reste faible. La décision "Neutre" reflète l'incertitude, le marché n'ayant pas encore confirmé un retournement haussier.</w:t>
      </w:r>
    </w:p>
    <w:p>
      <w:pPr>
        <w:spacing w:after="120" w:line="276" w:lineRule="auto"/>
      </w:pPr>
      <w:r>
        <w:t>**Conclusion technique**: La convergence des indicateurs est mitigée. Les moyennes mobiles offrent un signal d'achat faible, mais le MACD est vendeur et le RSI est neutre. Le titre semble chercher un support solide après une phase de baisse, mais sans signal fort de retournement. La prudence est de mise, car la tendance de fond reste baissière et les signaux techniques ne sont pas assez convergents pour anticiper une inversion de tendance.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 de 9,283 milliards FCFA et un résultat net de 376,96 millions FCFA. La rentabilité des capitaux propres (ROE) est de 11,52%, et le ROA de 2,69%. Le coefficient d'exploitation est très élevé à 95,83%, ce qui est un signal d'alerte majeur pour une entreprise, indiquant une mauvaise maîtrise des charges. Le coût du risque est de 3,10%, un niveau élevé qui témoigne d'un risque de crédit significatif. L'analyse des rapports narratifs montre une évolution contrastée : le rapport annuel 2025 (daté du 31/12/2025) fait état d'un chiffre d'affaires en hausse de 8,5% à 10,07 milliards FCFA, mais d'un résultat net en chute de 52% à 179 millions FCFA, avec une marge nette dégradée à 1,78%. Les rapports semestriels et trimestriels de 2025 (S1 et 9 mois) étaient pourtant très positifs, avec un résultat net en forte progression (+4,6% au S1, +58% au 9 mois). Cette divergence suggère que la dégradation s'est produite au T4 2025, probablement due à des charges financières et des éléments exceptionnels défavorables, comme le mentionne le rapport annuel. La trésorerie nette reste négative (-1,66 milliards FCFA en 2025) et l'endettement financier augmente. Les fondamentaux montrent une entreprise en croissance, mais dont la rentabilité nette est très fragile et dont la structure financière se dégrade.</w:t>
      </w:r>
    </w:p>
    <w:p>
      <w:pPr>
        <w:spacing w:after="120" w:line="276" w:lineRule="auto"/>
      </w:pPr>
      <w:r>
        <w:t>---</w:t>
      </w:r>
    </w:p>
    <w:p>
      <w:pPr>
        <w:spacing w:after="120" w:line="276" w:lineRule="auto"/>
      </w:pPr>
      <w:r>
        <w:t>### PARTIE 4 : CONCLUSION D'INVESTISSEMENT</w:t>
      </w:r>
    </w:p>
    <w:p>
      <w:pPr>
        <w:spacing w:after="120" w:line="276" w:lineRule="auto"/>
      </w:pPr>
      <w:r>
        <w:t>L'analyse croisée des données révèle une situation complexe et risquée. La valorisation boursière (PER de 54,1x, P/B de 6,23x) est extrêmement exigeante et ne reflète pas la dégradation des fondamentaux de 2025, ce qui indique une nette surévaluation. Le comportement du cours, avec une chute de 26% sur 100 jours et une volatilité annualisée de 50,6%, est préoccupant et reflète l'incertitude des investisseurs. Les signaux techniques sont mitigés, avec une tendance de fond baissière et des indicateurs de court terme sans direction claire. Les fondamentaux, bien qu'en croissance, montrent une rentabilité en chute libre et une structure financière fragile. Les prédictions IA, qui anticipent une poursuite de la baisse vers 2 036 FCFA dans 10 jours, confirment cette tendance négative. En synthèse, la convergence des signaux (valorisation excessive, tendance baissière, fondamentaux en dégradation, prédictions négatives) est défavorable. Par conséquent, la recommandation finale est **VENTE**. Le niveau de confiance est **Élevé** et le risque global est **Élevé**. L'horizon d'investissement optimal serait de **court terme (&lt;3 mois)** pour tout investisseur encore en position, afin de limiter les pertes.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620.57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1,302 titres</w:t>
            </w:r>
          </w:p>
        </w:tc>
        <w:tc>
          <w:tcPr>
            <w:tcW w:type="dxa" w:w="2268"/>
            <w:shd w:fill="FFF2CC" w:val="clear"/>
          </w:tcPr>
          <w:p>
            <w:r>
              <w:rPr>
                <w:b/>
                <w:color w:val="503200"/>
                <w:sz w:val="16"/>
              </w:rPr>
              <w:t xml:space="preserve">Cours actuel : </w:t>
            </w:r>
            <w:r>
              <w:rPr>
                <w:color w:val="000000"/>
                <w:sz w:val="17"/>
              </w:rPr>
              <w:t>37,700 FCFA</w:t>
            </w:r>
          </w:p>
          <w:p>
            <w:r>
              <w:rPr>
                <w:b/>
                <w:color w:val="503200"/>
                <w:sz w:val="16"/>
              </w:rPr>
              <w:t xml:space="preserve">Var. 100 jours : </w:t>
            </w:r>
            <w:r>
              <w:rPr>
                <w:b/>
                <w:color w:val="B40000"/>
                <w:sz w:val="17"/>
              </w:rPr>
              <w:t>-1.81%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2.49% (Faible) — μ=38,311 FCFA, σ=955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β=0.0900 (Défensif) — Cov=0.000003, Var(idx)=0.000036, ρ=0.029,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36,171</w:t>
            </w:r>
          </w:p>
        </w:tc>
        <w:tc>
          <w:tcPr>
            <w:tcW w:type="dxa" w:w="1440"/>
            <w:shd w:fill="FAFAFA" w:val="clear"/>
          </w:tcPr>
          <w:p>
            <w:r>
              <w:rPr>
                <w:b/>
                <w:sz w:val="17"/>
              </w:rPr>
              <w:t>37,390</w:t>
            </w:r>
          </w:p>
        </w:tc>
        <w:tc>
          <w:tcPr>
            <w:tcW w:type="dxa" w:w="1440"/>
            <w:shd w:fill="FAFAFA" w:val="clear"/>
          </w:tcPr>
          <w:p>
            <w:r>
              <w:rPr>
                <w:sz w:val="17"/>
              </w:rPr>
              <w:t>38,608</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35,665</w:t>
            </w:r>
          </w:p>
        </w:tc>
        <w:tc>
          <w:tcPr>
            <w:tcW w:type="dxa" w:w="1440"/>
            <w:shd w:fill="FAFAFA" w:val="clear"/>
          </w:tcPr>
          <w:p>
            <w:r>
              <w:rPr>
                <w:b/>
                <w:sz w:val="17"/>
              </w:rPr>
              <w:t>37,388</w:t>
            </w:r>
          </w:p>
        </w:tc>
        <w:tc>
          <w:tcPr>
            <w:tcW w:type="dxa" w:w="1440"/>
            <w:shd w:fill="FAFAFA" w:val="clear"/>
          </w:tcPr>
          <w:p>
            <w:r>
              <w:rPr>
                <w:sz w:val="17"/>
              </w:rPr>
              <w:t>39,112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35,254</w:t>
            </w:r>
          </w:p>
        </w:tc>
        <w:tc>
          <w:tcPr>
            <w:tcW w:type="dxa" w:w="1440"/>
            <w:shd w:fill="FAFAFA" w:val="clear"/>
          </w:tcPr>
          <w:p>
            <w:r>
              <w:rPr>
                <w:b/>
                <w:sz w:val="17"/>
              </w:rPr>
              <w:t>37,363</w:t>
            </w:r>
          </w:p>
        </w:tc>
        <w:tc>
          <w:tcPr>
            <w:tcW w:type="dxa" w:w="1440"/>
            <w:shd w:fill="FAFAFA" w:val="clear"/>
          </w:tcPr>
          <w:p>
            <w:r>
              <w:rPr>
                <w:sz w:val="17"/>
              </w:rPr>
              <w:t>39,472</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2026-09-14</w:t>
            </w:r>
          </w:p>
        </w:tc>
        <w:tc>
          <w:tcPr>
            <w:tcW w:type="dxa" w:w="1440"/>
            <w:shd w:fill="FAFAFA" w:val="clear"/>
          </w:tcPr>
          <w:p>
            <w:r>
              <w:rPr>
                <w:sz w:val="17"/>
              </w:rPr>
              <w:t>34,898</w:t>
            </w:r>
          </w:p>
        </w:tc>
        <w:tc>
          <w:tcPr>
            <w:tcW w:type="dxa" w:w="1440"/>
            <w:shd w:fill="FAFAFA" w:val="clear"/>
          </w:tcPr>
          <w:p>
            <w:r>
              <w:rPr>
                <w:b/>
                <w:sz w:val="17"/>
              </w:rPr>
              <w:t>37,332</w:t>
            </w:r>
          </w:p>
        </w:tc>
        <w:tc>
          <w:tcPr>
            <w:tcW w:type="dxa" w:w="1440"/>
            <w:shd w:fill="FAFAFA" w:val="clear"/>
          </w:tcPr>
          <w:p>
            <w:r>
              <w:rPr>
                <w:sz w:val="17"/>
              </w:rPr>
              <w:t>39,765</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2026-09-15</w:t>
            </w:r>
          </w:p>
        </w:tc>
        <w:tc>
          <w:tcPr>
            <w:tcW w:type="dxa" w:w="1440"/>
            <w:shd w:fill="FAFAFA" w:val="clear"/>
          </w:tcPr>
          <w:p>
            <w:r>
              <w:rPr>
                <w:sz w:val="17"/>
              </w:rPr>
              <w:t>34,581</w:t>
            </w:r>
          </w:p>
        </w:tc>
        <w:tc>
          <w:tcPr>
            <w:tcW w:type="dxa" w:w="1440"/>
            <w:shd w:fill="FAFAFA" w:val="clear"/>
          </w:tcPr>
          <w:p>
            <w:r>
              <w:rPr>
                <w:b/>
                <w:sz w:val="17"/>
              </w:rPr>
              <w:t>37,300</w:t>
            </w:r>
          </w:p>
        </w:tc>
        <w:tc>
          <w:tcPr>
            <w:tcW w:type="dxa" w:w="1440"/>
            <w:shd w:fill="FAFAFA" w:val="clear"/>
          </w:tcPr>
          <w:p>
            <w:r>
              <w:rPr>
                <w:sz w:val="17"/>
              </w:rPr>
              <w:t>40,018</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2026-09-16</w:t>
            </w:r>
          </w:p>
        </w:tc>
        <w:tc>
          <w:tcPr>
            <w:tcW w:type="dxa" w:w="1440"/>
            <w:shd w:fill="FAFAFA" w:val="clear"/>
          </w:tcPr>
          <w:p>
            <w:r>
              <w:rPr>
                <w:sz w:val="17"/>
              </w:rPr>
              <w:t>34,292</w:t>
            </w:r>
          </w:p>
        </w:tc>
        <w:tc>
          <w:tcPr>
            <w:tcW w:type="dxa" w:w="1440"/>
            <w:shd w:fill="FAFAFA" w:val="clear"/>
          </w:tcPr>
          <w:p>
            <w:r>
              <w:rPr>
                <w:b/>
                <w:sz w:val="17"/>
              </w:rPr>
              <w:t>37,267</w:t>
            </w:r>
          </w:p>
        </w:tc>
        <w:tc>
          <w:tcPr>
            <w:tcW w:type="dxa" w:w="1440"/>
            <w:shd w:fill="FAFAFA" w:val="clear"/>
          </w:tcPr>
          <w:p>
            <w:r>
              <w:rPr>
                <w:sz w:val="17"/>
              </w:rPr>
              <w:t>40,242</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2026-09-17</w:t>
            </w:r>
          </w:p>
        </w:tc>
        <w:tc>
          <w:tcPr>
            <w:tcW w:type="dxa" w:w="1440"/>
            <w:shd w:fill="FAFAFA" w:val="clear"/>
          </w:tcPr>
          <w:p>
            <w:r>
              <w:rPr>
                <w:sz w:val="17"/>
              </w:rPr>
              <w:t>34,024</w:t>
            </w:r>
          </w:p>
        </w:tc>
        <w:tc>
          <w:tcPr>
            <w:tcW w:type="dxa" w:w="1440"/>
            <w:shd w:fill="FAFAFA" w:val="clear"/>
          </w:tcPr>
          <w:p>
            <w:r>
              <w:rPr>
                <w:b/>
                <w:sz w:val="17"/>
              </w:rPr>
              <w:t>37,234</w:t>
            </w:r>
          </w:p>
        </w:tc>
        <w:tc>
          <w:tcPr>
            <w:tcW w:type="dxa" w:w="1440"/>
            <w:shd w:fill="FAFAFA" w:val="clear"/>
          </w:tcPr>
          <w:p>
            <w:r>
              <w:rPr>
                <w:sz w:val="17"/>
              </w:rPr>
              <w:t>40,445</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2026-09-18</w:t>
            </w:r>
          </w:p>
        </w:tc>
        <w:tc>
          <w:tcPr>
            <w:tcW w:type="dxa" w:w="1440"/>
            <w:shd w:fill="FAFAFA" w:val="clear"/>
          </w:tcPr>
          <w:p>
            <w:r>
              <w:rPr>
                <w:sz w:val="17"/>
              </w:rPr>
              <w:t>33,772</w:t>
            </w:r>
          </w:p>
        </w:tc>
        <w:tc>
          <w:tcPr>
            <w:tcW w:type="dxa" w:w="1440"/>
            <w:shd w:fill="FAFAFA" w:val="clear"/>
          </w:tcPr>
          <w:p>
            <w:r>
              <w:rPr>
                <w:b/>
                <w:sz w:val="17"/>
              </w:rPr>
              <w:t>37,202</w:t>
            </w:r>
          </w:p>
        </w:tc>
        <w:tc>
          <w:tcPr>
            <w:tcW w:type="dxa" w:w="1440"/>
            <w:shd w:fill="FAFAFA" w:val="clear"/>
          </w:tcPr>
          <w:p>
            <w:r>
              <w:rPr>
                <w:sz w:val="17"/>
              </w:rPr>
              <w:t>40,631</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2026-09-21</w:t>
            </w:r>
          </w:p>
        </w:tc>
        <w:tc>
          <w:tcPr>
            <w:tcW w:type="dxa" w:w="1440"/>
            <w:shd w:fill="FAFAFA" w:val="clear"/>
          </w:tcPr>
          <w:p>
            <w:r>
              <w:rPr>
                <w:sz w:val="17"/>
              </w:rPr>
              <w:t>33,535</w:t>
            </w:r>
          </w:p>
        </w:tc>
        <w:tc>
          <w:tcPr>
            <w:tcW w:type="dxa" w:w="1440"/>
            <w:shd w:fill="FAFAFA" w:val="clear"/>
          </w:tcPr>
          <w:p>
            <w:r>
              <w:rPr>
                <w:b/>
                <w:sz w:val="17"/>
              </w:rPr>
              <w:t>37,169</w:t>
            </w:r>
          </w:p>
        </w:tc>
        <w:tc>
          <w:tcPr>
            <w:tcW w:type="dxa" w:w="1440"/>
            <w:shd w:fill="FAFAFA" w:val="clear"/>
          </w:tcPr>
          <w:p>
            <w:r>
              <w:rPr>
                <w:sz w:val="17"/>
              </w:rPr>
              <w:t>40,804</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2026-09-22</w:t>
            </w:r>
          </w:p>
        </w:tc>
        <w:tc>
          <w:tcPr>
            <w:tcW w:type="dxa" w:w="1440"/>
            <w:shd w:fill="FAFAFA" w:val="clear"/>
          </w:tcPr>
          <w:p>
            <w:r>
              <w:rPr>
                <w:sz w:val="17"/>
              </w:rPr>
              <w:t>33,309</w:t>
            </w:r>
          </w:p>
        </w:tc>
        <w:tc>
          <w:tcPr>
            <w:tcW w:type="dxa" w:w="1440"/>
            <w:shd w:fill="FAFAFA" w:val="clear"/>
          </w:tcPr>
          <w:p>
            <w:r>
              <w:rPr>
                <w:b/>
                <w:sz w:val="17"/>
              </w:rPr>
              <w:t>37,137</w:t>
            </w:r>
          </w:p>
        </w:tc>
        <w:tc>
          <w:tcPr>
            <w:tcW w:type="dxa" w:w="1440"/>
            <w:shd w:fill="FAFAFA" w:val="clear"/>
          </w:tcPr>
          <w:p>
            <w:r>
              <w:rPr>
                <w:sz w:val="17"/>
              </w:rPr>
              <w:t>40,964</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 — BRVM**</w:t>
      </w:r>
    </w:p>
    <w:p>
      <w:pPr>
        <w:spacing w:after="120" w:line="276" w:lineRule="auto" w:before="240"/>
      </w:pPr>
      <w:r>
        <w:rPr>
          <w:b/>
          <w:color w:val="003366"/>
          <w:sz w:val="24"/>
        </w:rPr>
        <w:t>**PARTIE 0 : INDICATEURS DE VALORISATION BOURSIÈRE**</w:t>
      </w:r>
    </w:p>
    <w:p>
      <w:pPr>
        <w:spacing w:after="120" w:line="276" w:lineRule="auto"/>
      </w:pPr>
      <w:r>
        <w:t>Avec une capitalisation boursière de 620,57 milliards FCFA, SOLIBRA s'impose comme l'une des valeurs les plus capitalisées de la BRVM, reflétant sa position dominante dans le secteur des boissons en Afrique de l'Ouest. Le BPA de 2 781 FCFA indique que chaque action génère un bénéfice substantiel. Le PER de 13,6x se situe au-dessus de la moyenne historique de la BRVM (8-12x), ce qui suggère que le marché accorde une prime de croissance à la société, justifiée par ses performances récentes exceptionnelles. Le P/B de 3,18x, dans la fourchette de 2 à 4x, confirme cette prime, le marché valorisant le titre à plus de trois fois sa valeur comptable, signe de confiance dans la création de valeur future. Enfin, un EV/EBITDA de 7,4x reste raisonnable, indiquant que la valeur totale de l'entreprise reste en phase avec sa capacité à générer des bénéfices opérationnels.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légère contraction de -1,81%, mais la dernière séance montre un rebond de +1,34% à 37 700 FCFA, suggérant un possible retour de l'intérêt acheteur. Le titre a évolué dans une fourchette de 35 540 à 41 500 FCFA, démontrant une amplitude de trading notable. La moyenne (38 311 FCFA) et la médiane (38 005 FCFA) sont très proches, indiquant une distribution des prix relativement symétrique, ce que confirme le skewness de 0,324. Le kurtosis de 0,307 (mésokurtique) suggère un risque de mouvements extrêmes similaire à une distribution normale. L'écart-type de 960 FCFA, avec un coefficient de variation de seulement 2,5%, révèle une dispersion très faible autour de la moyenne, mais la volatilité annualisée de 29,5% classe le titre comme modérément à hautement volatil, ce qui est paradoxal et indique des phases de mouvement concentrées.</w:t>
      </w:r>
    </w:p>
    <w:p>
      <w:pPr>
        <w:spacing w:after="120" w:line="276" w:lineRule="auto" w:before="240"/>
      </w:pPr>
      <w:r>
        <w:rPr>
          <w:b/>
          <w:color w:val="003366"/>
          <w:sz w:val="24"/>
        </w:rPr>
        <w:t>**PARTIE 2 : ANALYSE TECHNIQUE DÉTAILLÉE**</w:t>
      </w:r>
    </w:p>
    <w:p>
      <w:pPr>
        <w:spacing w:after="120" w:line="276" w:lineRule="auto"/>
      </w:pPr>
      <w:r>
        <w:t>**Moyennes Mobiles**: Le cours actuel (37 700 FCFA) est inférieur à la MM20 (37 599 FCFA) et nettement sous la MM50 (38 391 FCFA). La configuration baissière de la MM50 par rapport au cours suggère une tendance de fond négative à moyen terme, justifiant la décision de Vente, bien que le cours tente de se rapprocher de la MM20.</w:t>
      </w:r>
    </w:p>
    <w:p>
      <w:pPr>
        <w:spacing w:after="120" w:line="276" w:lineRule="auto"/>
      </w:pPr>
      <w:r>
        <w:t>**Bandes de Bollinger**: Le prix se situe à l'intérieur des bandes (borne supérieure à 38 323 FCFA et inférieure à 36 875 FCFA), indiquant une volatilité modérée. La position proche de la moyenne suggère une phase de consolidation sans pression directionnelle forte, d'où la décision Neutre.</w:t>
      </w:r>
    </w:p>
    <w:p>
      <w:pPr>
        <w:spacing w:after="120" w:line="276" w:lineRule="auto"/>
      </w:pPr>
      <w:r>
        <w:t>**MACD**: La valeur MACD (-164,47) est inférieure à sa ligne de signal (-207,80), mais l'écart se resserre. Cette configuration haussière naissante indique un ralentissement de la dynamique baissière et un potentiel retournement du momentum, justifiant la décision d'Achat.</w:t>
      </w:r>
    </w:p>
    <w:p>
      <w:pPr>
        <w:spacing w:after="120" w:line="276" w:lineRule="auto"/>
      </w:pPr>
      <w:r>
        <w:t>**RSI**: À 51,89, le RSI se situe en zone neutre, indiquant un équilibre entre les forces acheteuses et vendeuses. Il n'y a pas de conditions de surachat ou de survente, laissant la place à un mouvement dans les deux sens, d'où la décision Neutre.</w:t>
      </w:r>
    </w:p>
    <w:p>
      <w:pPr>
        <w:spacing w:after="120" w:line="276" w:lineRule="auto"/>
      </w:pPr>
      <w:r>
        <w:t>**Stochastique**: Le %K (70,0) est nettement supérieur au %D (38,33), montrant une dynamique acheteuse récente. Ce croisement haussier suggère que le momentum de court terme est positif, mais sans atteindre des niveaux de surachat extrêmes, justifiant une décision Neutre.</w:t>
      </w:r>
    </w:p>
    <w:p>
      <w:pPr>
        <w:spacing w:after="120" w:line="276" w:lineRule="auto"/>
      </w:pPr>
      <w:r>
        <w:t>**Conclusion technique**: Les signaux sont mitigés. La tendance de fond (MM50) reste baissière, mais les indicateurs de momentum (MACD, Stochastique) montrent des signes de redressement. Le RSI neutre et les bandes de Bollinger suggèrent une phase de transition. La prudence est de mise, mais un scénario de stabilisation semble se dessiner.</w:t>
      </w:r>
    </w:p>
    <w:p>
      <w:pPr>
        <w:spacing w:after="120" w:line="276" w:lineRule="auto" w:before="240"/>
      </w:pPr>
      <w:r>
        <w:rPr>
          <w:b/>
          <w:color w:val="003366"/>
          <w:sz w:val="24"/>
        </w:rPr>
        <w:t>**PARTIE 3 : ANALYSE FONDAMENTALE (SECTION CRITIQUE)**</w:t>
      </w:r>
    </w:p>
    <w:p>
      <w:pPr>
        <w:spacing w:after="120" w:line="276" w:lineRule="auto"/>
      </w:pPr>
      <w:r>
        <w:t>En 2025, SOLIBRA a réalisé une performance exceptionnelle avec un chiffre d'affaires de 378,123 milliards FCFA, en hausse de 22,1% par rapport à 2024 (309,722 Mds FCFA). Le résultat net a plus que doublé pour atteindre 45,781 milliards FCFA, contre 21,472 milliards en 2024, portant la marge nette à 12,1%. La rentabilité des fonds propres (ROE) est excellente à 23,46%, et le ROA de 13,48% témoigne d'une gestion efficace des actifs. La structure financière est saine avec une autonomie financière de 57,5% et une capacité de remboursement rapide (0,67 an). En tant qu'entreprise, le BFR de 61,587 Mds FCFA et le délai de stockage de 117 jours sont des points de vigilance, mais la trésorerie nette positive de 22,117 Mds FCFA offre une marge de manœuvre. Le rapport du T1 2026 (publié en 2026) confirme cette dynamique avec un CA de 93,46 Mds FCFA (+7,6%) et un résultat net de 16,26 Mds FCFA (+4,8%). Sur cette base, on estime que l'exercice 2026 pourrait voir un CA autour de 400 Mds FCFA et un résultat net stable ou en légère hausse, malgré un ralentissement de la croissance. La politique de dividende est très généreuse (2 127 FCFA/action proposé pour 2025, soit un payout de 76,5%), signal fort pour les actionnaires. Les fondamentaux sont donc très solides, portés par une croissance rentable et une situation financière robuste.</w:t>
      </w:r>
    </w:p>
    <w:p>
      <w:pPr>
        <w:spacing w:after="120" w:line="276" w:lineRule="auto" w:before="240"/>
      </w:pPr>
      <w:r>
        <w:rPr>
          <w:b/>
          <w:color w:val="003366"/>
          <w:sz w:val="24"/>
        </w:rPr>
        <w:t>**PARTIE 4 : CONCLUSION D'INVESTISSEMENT**</w:t>
      </w:r>
    </w:p>
    <w:p>
      <w:pPr>
        <w:spacing w:after="120" w:line="276" w:lineRule="auto"/>
      </w:pPr>
      <w:r>
        <w:t>La valorisation de SLBC (PER 13,6x, P/B 3,18x) est exigeante mais justifiée par la qualité exceptionnelle des fondamentaux de l'entreprise, qui affiche une croissance de 22% et une rentabilité (ROE 23,46%) parmi les meilleures de la place. Le comportement du cours sur 100 jours est stable avec une volatilité modérée, et les statistiques descriptives montrent une distribution normale sans risque extrême. Les signaux techniques sont partagés, mais les indicateurs de momentum (MACD, Stochastique) suggèrent un potentiel de rebond à court terme, contredisant légèrement la tendance de fond des moyennes mobiles. Les fondamentaux solides et les perspectives positives pour 2026, basées sur les résultats du T1, confirment la qualité de l'investissement. Les prédictions IA (37 390 FCFA à J+1, puis baisse progressive à 37 300 FCFA à J+10) indiquent une stabilité attendue du cours, en phase avec les signaux de consolidation technique. En synthèse, la convergence entre la solidité financière, la croissance soutenue et le potentiel de revenu (dividende) est forte. Nous recommandons un **ACHAT** pour les investisseurs de moyen à long terme, avec un niveau de confiance **Élevé** et un risque global **Faible** à **Moyen**. L'horizon d'investissement optimal est de **moyen terme (3-12 mois)** pour capter le potentiel de hausse issu des bons résultats trimestriels, tout en bénéficiant de la politique de dividende attractive.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1,554 titres</w:t>
            </w:r>
          </w:p>
        </w:tc>
        <w:tc>
          <w:tcPr>
            <w:tcW w:type="dxa" w:w="2268"/>
            <w:shd w:fill="FFF2CC" w:val="clear"/>
          </w:tcPr>
          <w:p>
            <w:r>
              <w:rPr>
                <w:b/>
                <w:color w:val="503200"/>
                <w:sz w:val="16"/>
              </w:rPr>
              <w:t xml:space="preserve">Cours actuel : </w:t>
            </w:r>
            <w:r>
              <w:rPr>
                <w:color w:val="000000"/>
                <w:sz w:val="17"/>
              </w:rPr>
              <w:t>17,630 FCFA</w:t>
            </w:r>
          </w:p>
          <w:p>
            <w:r>
              <w:rPr>
                <w:b/>
                <w:color w:val="503200"/>
                <w:sz w:val="16"/>
              </w:rPr>
              <w:t xml:space="preserve">Var. 100 jours : </w:t>
            </w:r>
            <w:r>
              <w:rPr>
                <w:b/>
                <w:color w:val="007800"/>
                <w:sz w:val="17"/>
              </w:rPr>
              <w:t>+48.78%</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14.31% (Moyenne) — μ=15,040 FCFA, σ=2,152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β=-0.6276 (Contre-cyclique) — Cov=-0.000023, Var(idx)=0.000036, ρ=-0.166,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17,028</w:t>
            </w:r>
          </w:p>
        </w:tc>
        <w:tc>
          <w:tcPr>
            <w:tcW w:type="dxa" w:w="1440"/>
            <w:shd w:fill="FAFAFA" w:val="clear"/>
          </w:tcPr>
          <w:p>
            <w:r>
              <w:rPr>
                <w:b/>
                <w:sz w:val="17"/>
              </w:rPr>
              <w:t>17,396</w:t>
            </w:r>
          </w:p>
        </w:tc>
        <w:tc>
          <w:tcPr>
            <w:tcW w:type="dxa" w:w="1440"/>
            <w:shd w:fill="FAFAFA" w:val="clear"/>
          </w:tcPr>
          <w:p>
            <w:r>
              <w:rPr>
                <w:sz w:val="17"/>
              </w:rPr>
              <w:t>17,765</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16,806</w:t>
            </w:r>
          </w:p>
        </w:tc>
        <w:tc>
          <w:tcPr>
            <w:tcW w:type="dxa" w:w="1440"/>
            <w:shd w:fill="FAFAFA" w:val="clear"/>
          </w:tcPr>
          <w:p>
            <w:r>
              <w:rPr>
                <w:b/>
                <w:sz w:val="17"/>
              </w:rPr>
              <w:t>17,326</w:t>
            </w:r>
          </w:p>
        </w:tc>
        <w:tc>
          <w:tcPr>
            <w:tcW w:type="dxa" w:w="1440"/>
            <w:shd w:fill="FAFAFA" w:val="clear"/>
          </w:tcPr>
          <w:p>
            <w:r>
              <w:rPr>
                <w:sz w:val="17"/>
              </w:rPr>
              <w:t>17,845</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16,611</w:t>
            </w:r>
          </w:p>
        </w:tc>
        <w:tc>
          <w:tcPr>
            <w:tcW w:type="dxa" w:w="1440"/>
            <w:shd w:fill="FFDCE0" w:val="clear"/>
          </w:tcPr>
          <w:p>
            <w:r>
              <w:rPr>
                <w:b/>
                <w:sz w:val="17"/>
              </w:rPr>
              <w:t>17,244</w:t>
            </w:r>
          </w:p>
        </w:tc>
        <w:tc>
          <w:tcPr>
            <w:tcW w:type="dxa" w:w="1440"/>
            <w:shd w:fill="FFDCE0" w:val="clear"/>
          </w:tcPr>
          <w:p>
            <w:r>
              <w:rPr>
                <w:sz w:val="17"/>
              </w:rPr>
              <w:t>17,877</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2026-09-14</w:t>
            </w:r>
          </w:p>
        </w:tc>
        <w:tc>
          <w:tcPr>
            <w:tcW w:type="dxa" w:w="1440"/>
            <w:shd w:fill="FFDCE0" w:val="clear"/>
          </w:tcPr>
          <w:p>
            <w:r>
              <w:rPr>
                <w:sz w:val="17"/>
              </w:rPr>
              <w:t>16,441</w:t>
            </w:r>
          </w:p>
        </w:tc>
        <w:tc>
          <w:tcPr>
            <w:tcW w:type="dxa" w:w="1440"/>
            <w:shd w:fill="FFDCE0" w:val="clear"/>
          </w:tcPr>
          <w:p>
            <w:r>
              <w:rPr>
                <w:b/>
                <w:sz w:val="17"/>
              </w:rPr>
              <w:t>17,169</w:t>
            </w:r>
          </w:p>
        </w:tc>
        <w:tc>
          <w:tcPr>
            <w:tcW w:type="dxa" w:w="1440"/>
            <w:shd w:fill="FFDCE0" w:val="clear"/>
          </w:tcPr>
          <w:p>
            <w:r>
              <w:rPr>
                <w:sz w:val="17"/>
              </w:rPr>
              <w:t>17,897</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2026-09-15</w:t>
            </w:r>
          </w:p>
        </w:tc>
        <w:tc>
          <w:tcPr>
            <w:tcW w:type="dxa" w:w="1440"/>
            <w:shd w:fill="FFDCE0" w:val="clear"/>
          </w:tcPr>
          <w:p>
            <w:r>
              <w:rPr>
                <w:sz w:val="17"/>
              </w:rPr>
              <w:t>16,287</w:t>
            </w:r>
          </w:p>
        </w:tc>
        <w:tc>
          <w:tcPr>
            <w:tcW w:type="dxa" w:w="1440"/>
            <w:shd w:fill="FFDCE0" w:val="clear"/>
          </w:tcPr>
          <w:p>
            <w:r>
              <w:rPr>
                <w:b/>
                <w:sz w:val="17"/>
              </w:rPr>
              <w:t>17,098</w:t>
            </w:r>
          </w:p>
        </w:tc>
        <w:tc>
          <w:tcPr>
            <w:tcW w:type="dxa" w:w="1440"/>
            <w:shd w:fill="FFDCE0" w:val="clear"/>
          </w:tcPr>
          <w:p>
            <w:r>
              <w:rPr>
                <w:sz w:val="17"/>
              </w:rPr>
              <w:t>17,908</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2026-09-16</w:t>
            </w:r>
          </w:p>
        </w:tc>
        <w:tc>
          <w:tcPr>
            <w:tcW w:type="dxa" w:w="1440"/>
            <w:shd w:fill="FFDCE0" w:val="clear"/>
          </w:tcPr>
          <w:p>
            <w:r>
              <w:rPr>
                <w:sz w:val="17"/>
              </w:rPr>
              <w:t>16,144</w:t>
            </w:r>
          </w:p>
        </w:tc>
        <w:tc>
          <w:tcPr>
            <w:tcW w:type="dxa" w:w="1440"/>
            <w:shd w:fill="FFDCE0" w:val="clear"/>
          </w:tcPr>
          <w:p>
            <w:r>
              <w:rPr>
                <w:b/>
                <w:sz w:val="17"/>
              </w:rPr>
              <w:t>17,028</w:t>
            </w:r>
          </w:p>
        </w:tc>
        <w:tc>
          <w:tcPr>
            <w:tcW w:type="dxa" w:w="1440"/>
            <w:shd w:fill="FFDCE0" w:val="clear"/>
          </w:tcPr>
          <w:p>
            <w:r>
              <w:rPr>
                <w:sz w:val="17"/>
              </w:rPr>
              <w:t>17,912</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2026-09-17</w:t>
            </w:r>
          </w:p>
        </w:tc>
        <w:tc>
          <w:tcPr>
            <w:tcW w:type="dxa" w:w="1440"/>
            <w:shd w:fill="FFDCE0" w:val="clear"/>
          </w:tcPr>
          <w:p>
            <w:r>
              <w:rPr>
                <w:sz w:val="17"/>
              </w:rPr>
              <w:t>16,008</w:t>
            </w:r>
          </w:p>
        </w:tc>
        <w:tc>
          <w:tcPr>
            <w:tcW w:type="dxa" w:w="1440"/>
            <w:shd w:fill="FFDCE0" w:val="clear"/>
          </w:tcPr>
          <w:p>
            <w:r>
              <w:rPr>
                <w:b/>
                <w:sz w:val="17"/>
              </w:rPr>
              <w:t>16,959</w:t>
            </w:r>
          </w:p>
        </w:tc>
        <w:tc>
          <w:tcPr>
            <w:tcW w:type="dxa" w:w="1440"/>
            <w:shd w:fill="FFDCE0" w:val="clear"/>
          </w:tcPr>
          <w:p>
            <w:r>
              <w:rPr>
                <w:sz w:val="17"/>
              </w:rPr>
              <w:t>17,911</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2026-09-18</w:t>
            </w:r>
          </w:p>
        </w:tc>
        <w:tc>
          <w:tcPr>
            <w:tcW w:type="dxa" w:w="1440"/>
            <w:shd w:fill="FFDCE0" w:val="clear"/>
          </w:tcPr>
          <w:p>
            <w:r>
              <w:rPr>
                <w:sz w:val="17"/>
              </w:rPr>
              <w:t>15,879</w:t>
            </w:r>
          </w:p>
        </w:tc>
        <w:tc>
          <w:tcPr>
            <w:tcW w:type="dxa" w:w="1440"/>
            <w:shd w:fill="FFDCE0" w:val="clear"/>
          </w:tcPr>
          <w:p>
            <w:r>
              <w:rPr>
                <w:b/>
                <w:sz w:val="17"/>
              </w:rPr>
              <w:t>16,892</w:t>
            </w:r>
          </w:p>
        </w:tc>
        <w:tc>
          <w:tcPr>
            <w:tcW w:type="dxa" w:w="1440"/>
            <w:shd w:fill="FFDCE0" w:val="clear"/>
          </w:tcPr>
          <w:p>
            <w:r>
              <w:rPr>
                <w:sz w:val="17"/>
              </w:rPr>
              <w:t>17,905</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2026-09-21</w:t>
            </w:r>
          </w:p>
        </w:tc>
        <w:tc>
          <w:tcPr>
            <w:tcW w:type="dxa" w:w="1440"/>
            <w:shd w:fill="FFDCE0" w:val="clear"/>
          </w:tcPr>
          <w:p>
            <w:r>
              <w:rPr>
                <w:sz w:val="17"/>
              </w:rPr>
              <w:t>15,755</w:t>
            </w:r>
          </w:p>
        </w:tc>
        <w:tc>
          <w:tcPr>
            <w:tcW w:type="dxa" w:w="1440"/>
            <w:shd w:fill="FFDCE0" w:val="clear"/>
          </w:tcPr>
          <w:p>
            <w:r>
              <w:rPr>
                <w:b/>
                <w:sz w:val="17"/>
              </w:rPr>
              <w:t>16,825</w:t>
            </w:r>
          </w:p>
        </w:tc>
        <w:tc>
          <w:tcPr>
            <w:tcW w:type="dxa" w:w="1440"/>
            <w:shd w:fill="FFDCE0" w:val="clear"/>
          </w:tcPr>
          <w:p>
            <w:r>
              <w:rPr>
                <w:sz w:val="17"/>
              </w:rPr>
              <w:t>17,895</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2026-09-22</w:t>
            </w:r>
          </w:p>
        </w:tc>
        <w:tc>
          <w:tcPr>
            <w:tcW w:type="dxa" w:w="1440"/>
            <w:shd w:fill="FFDCE0" w:val="clear"/>
          </w:tcPr>
          <w:p>
            <w:r>
              <w:rPr>
                <w:sz w:val="17"/>
              </w:rPr>
              <w:t>15,636</w:t>
            </w:r>
          </w:p>
        </w:tc>
        <w:tc>
          <w:tcPr>
            <w:tcW w:type="dxa" w:w="1440"/>
            <w:shd w:fill="FFDCE0" w:val="clear"/>
          </w:tcPr>
          <w:p>
            <w:r>
              <w:rPr>
                <w:b/>
                <w:sz w:val="17"/>
              </w:rPr>
              <w:t>16,760</w:t>
            </w:r>
          </w:p>
        </w:tc>
        <w:tc>
          <w:tcPr>
            <w:tcW w:type="dxa" w:w="1440"/>
            <w:shd w:fill="FFDCE0" w:val="clear"/>
          </w:tcPr>
          <w:p>
            <w:r>
              <w:rPr>
                <w:sz w:val="17"/>
              </w:rPr>
              <w:t>17,884</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137,43 milliards FCFA, un niveau qui la positionne parmi les valeurs moyennes du compartiment obligataire et actions de la BRVM, lui conférant une liquidité potentiellement correcte. Avec un BPA de 1 677 FCFA, chaque action génère un bénéfice substantiel, justifiant un PER de 10,5x, en ligne avec la moyenne historique du marché (8-12x), ce qui indique une valorisation raisonnable sans prime excessive. Le P/B de 3,20x révèle que le marché accorde une prime de croissance significative par rapport aux capitaux propres comptables, récompensant la forte rentabilité de la société. Enfin, un EV/EBITDA de 6,6x suggère que la valeur totale de l'entreprise (dette incluse) reste attractive au regard de sa capacité opérationnelle à générer du cash, confirmant une valorisation globalement modérée et cohérente avec ses fondamentaux.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SMBC a enregistré une progression spectaculaire de +48,78%, avec une légère hausse de +0,28% lors de la dernière séance, témoignant d'une dynamique haussière soutenue. Le cours a évolué dans une fourchette de 11 450 FCFA (plus bas) à 17 735 FCFA (plus haut), démontrant une forte amplitude de trading. La moyenne de 15 040 FCFA est inférieure à la médiane de 16 000 FCFA, indiquant une asymétrie négative (skewness de -0,534) : les journées au-dessus de la moyenne sont plus fréquentes, mais les fortes baisses ponctuelles ont tiré la moyenne vers le bas. L'écart-type de 2 162 FCFA (CV de 14,4%) révèle une dispersion modérée des cours autour de la moyenne. Le kurtosis de -1,292 (platykurtique) suggère une distribution aplatie avec moins de valeurs extrêmes que la normale, réduisant le risque de mouvements violents imprévus. La volatilité annualisée de 36,0% classe le titre comme très volatil, un niveau élevé qui reflète un risque significatif mais aussi un fort potentiel de rendement.</w:t>
      </w:r>
    </w:p>
    <w:p>
      <w:pPr>
        <w:spacing w:after="120" w:line="276" w:lineRule="auto" w:before="240"/>
      </w:pPr>
      <w:r>
        <w:rPr>
          <w:b/>
          <w:color w:val="003366"/>
          <w:sz w:val="24"/>
        </w:rPr>
        <w:t>**PARTIE 2 : ANALYSE TECHNIQUE DÉTAILLÉE**</w:t>
      </w:r>
    </w:p>
    <w:p>
      <w:pPr>
        <w:spacing w:after="120" w:line="276" w:lineRule="auto"/>
      </w:pPr>
      <w:r>
        <w:t>Les **Moyennes Mobiles** (MM20 à 16 936 FCFA et MM50 à 16 690 FCFA) sont toutes deux inférieures au cours actuel de 17 630 FCFA, confirmant une tendance haussière solide. Le croisement positif et l'écart croissant entre les deux moyennes renforcent le signal d'achat, indiquant que la dynamique haussière est soutenue par les volumes et l'élan du marché.</w:t>
      </w:r>
    </w:p>
    <w:p>
      <w:pPr>
        <w:spacing w:after="120" w:line="276" w:lineRule="auto"/>
      </w:pPr>
      <w:r>
        <w:t>Les **Bandes de Bollinger** montrent un cours (17 630 FCFA) proche de la borne supérieure (17 815 FCFA), signalant une pression acheteuse intense. La largeur des bandes (écart de 1 758 FCFA entre les bornes) reflète une volatilité élevée. La décision "Neutre" suggère que le marché attend une confirmation directionnelle, le cours étant dans une zone de surachat potentiel sans signal de retournement clair.</w:t>
      </w:r>
    </w:p>
    <w:p>
      <w:pPr>
        <w:spacing w:after="120" w:line="276" w:lineRule="auto"/>
      </w:pPr>
      <w:r>
        <w:t>Le **MACD** affiche une valeur positive (332,22) supérieure à son signal (270,30), confirmant un momentum haussier robuste. La divergence positive entre la ligne MACD et la ligne de signal indique que la dynamique haussière s'accélère, renforçant le signal d'achat. Cette configuration suggère que la tendance haussière pourrait se poursuivre à court terme.</w:t>
      </w:r>
    </w:p>
    <w:p>
      <w:pPr>
        <w:spacing w:after="120" w:line="276" w:lineRule="auto"/>
      </w:pPr>
      <w:r>
        <w:t>Le **RSI** à 83,95 est en zone de surachat extrême (au-delà de 70), signalant que le titre est techniquement survendu et qu'un repli technique est probable. Ce niveau élevé indique que les acheteurs ont été excessivement dominants, créant un déséquilibre qui pourrait déclencher une correction à court terme.</w:t>
      </w:r>
    </w:p>
    <w:p>
      <w:pPr>
        <w:spacing w:after="120" w:line="276" w:lineRule="auto"/>
      </w:pPr>
      <w:r>
        <w:t>Le **Stochastique** (%K et %D à 100) est également en zone de surachat extrême, confirmant la pression acheteuse excessive. Ce niveau maximal indique que le titre est dans une phase de surachat sévère, augmentant le risque de retournement baissier imminent.</w:t>
      </w:r>
    </w:p>
    <w:p>
      <w:pPr>
        <w:spacing w:after="120" w:line="276" w:lineRule="auto"/>
      </w:pPr>
      <w:r>
        <w:t>**Conclusion technique :** Les indicateurs de tendance (MM, MACD) sont résolument haussiers, mais les oscillateurs (RSI, Stochastique) sont en surachat extrême, signalant un risque élevé de correction technique. La convergence des signaux suggère que la tendance haussière reste intacte, mais un repli de consolidation est probable avant la poursuite de la hausse. Les investisseurs devraient surveiller un éventuel croisement baissier des oscillateurs comme signal de sortie.</w:t>
      </w:r>
    </w:p>
    <w:p>
      <w:pPr>
        <w:spacing w:after="120" w:line="276" w:lineRule="auto" w:before="240"/>
      </w:pPr>
      <w:r>
        <w:rPr>
          <w:b/>
          <w:color w:val="003366"/>
          <w:sz w:val="24"/>
        </w:rPr>
        <w:t>**PARTIE 3 : ANALYSE FONDAMENTALE (SECTION CRITIQUE)**</w:t>
      </w:r>
    </w:p>
    <w:p>
      <w:pPr>
        <w:spacing w:after="120" w:line="276" w:lineRule="auto"/>
      </w:pPr>
      <w:r>
        <w:t>En 2025, SMBC a réalisé un chiffre d'affaires de 206,740 milliards FCFA, en baisse de -9,7% par rapport à 2024 (229,061 milliards FCFA), mais avec une amélioration spectaculaire de la rentabilité : le résultat net a bondi de +50,3% à 13,075 milliards FCFA, portant la marge nette à 6,3% (contre 3,8% en 2024). Le ROE s'établit à un niveau excellent de 30,47%, et le ROA à 7,26%, démontrant une utilisation très efficace des capitaux propres et des actifs. La structure financière s'est renforcée avec des capitaux propres de 42,913 milliards FCFA (+21,6%) et une trésorerie nette positive de 23,988 milliards FCFA. Le BFR de 1,693 milliard FCFA reste maîtrisé, mais le délai clients de 193,75 jours constitue un point de vigilance pour la trésorerie. Les rapports trimestriels 2025 (T1, S1, 9M) confirment cette tendance : malgré une baisse du CA (-14% sur 9M), le résultat net cumulé progresse de +6%, grâce à l'amélioration des marges de raffinage. Le rapport annuel 2025 (daté du 31/12/2025, analysé par DeepSeek le 12/05/2026) souligne une excellente performance opérationnelle et recommande de conserver le titre, tandis que les rapports 2024 (Mistral) étaient plus prudents, pointant une politique de dividende insoutenable (taux de distribution de 107,5% en 2024). La politique de dividende 2025 (5,457 milliards FCFA versés, taux de distribution de 41,7%) est désormais plus raisonnable. Les perspectives restent positives, portées par la demande locale et les projets d'infrastructures, malgré une dépendance aux prix du pétrole et un délai client élevé.</w:t>
      </w:r>
    </w:p>
    <w:p>
      <w:pPr>
        <w:spacing w:after="120" w:line="276" w:lineRule="auto" w:before="240"/>
      </w:pPr>
      <w:r>
        <w:rPr>
          <w:b/>
          <w:color w:val="003366"/>
          <w:sz w:val="24"/>
        </w:rPr>
        <w:t>**PARTIE 4 : CONCLUSION D'INVESTISSEMENT**</w:t>
      </w:r>
    </w:p>
    <w:p>
      <w:pPr>
        <w:spacing w:after="120" w:line="276" w:lineRule="auto"/>
      </w:pPr>
      <w:r>
        <w:t>La valorisation de SMBC (PER de 10,5x, P/B de 3,20x, EV/EBITDA de 6,6x) apparaît raisonnable et cohérente avec ses fondamentaux solides, sans surévaluation majeure. Le comportement du cours sur 100 jours (+48,78%) est très favorable, mais la volatilité élevée (36%) et les statistiques (kurtosis platykurtique, skewness négatif) suggèrent un risque de consolidation. Les signaux techniques sont mitigés : la tendance (MM, MACD) est haussière, mais les oscillateurs (RSI à 84, Stochastique à 100) sont en surachat extrême, indiquant un risque de correction à court terme. Les fondamentaux sont excellents avec un ROE de 30,5%, une trésorerie nette positive de 24 milliards FCFA et une amélioration spectaculaire de la rentabilité en 2025. Les prédictions IA (17 396 à 17 098 FCFA sur J+1 à J+10) suggèrent un léger repli technique, confirmant le risque de consolidation. La convergence entre la valorisation raisonnable, les fondamentaux solides et la tendance haussière plaide pour une recommandation **CONSERVER**, avec un niveau de confiance **Élevé** et un risque global **Moyen**. L'horizon d'investissement optimal serait le **moyen terme (3-12 mois)**, en attendant une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10,025 titres</w:t>
            </w:r>
          </w:p>
        </w:tc>
        <w:tc>
          <w:tcPr>
            <w:tcW w:type="dxa" w:w="2268"/>
            <w:shd w:fill="FFF2CC" w:val="clear"/>
          </w:tcPr>
          <w:p>
            <w:r>
              <w:rPr>
                <w:b/>
                <w:color w:val="503200"/>
                <w:sz w:val="16"/>
              </w:rPr>
              <w:t xml:space="preserve">Cours actuel : </w:t>
            </w:r>
            <w:r>
              <w:rPr>
                <w:color w:val="000000"/>
                <w:sz w:val="17"/>
              </w:rPr>
              <w:t>39,200 FCFA</w:t>
            </w:r>
          </w:p>
          <w:p>
            <w:r>
              <w:rPr>
                <w:b/>
                <w:color w:val="503200"/>
                <w:sz w:val="16"/>
              </w:rPr>
              <w:t xml:space="preserve">Var. 100 jours : </w:t>
            </w:r>
            <w:r>
              <w:rPr>
                <w:b/>
                <w:color w:val="007800"/>
                <w:sz w:val="17"/>
              </w:rPr>
              <w:t>+40.00%</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9.41% (Moyenne) — μ=30,597 FCFA, σ=2,881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β=1.8960 (Très agressif) — Cov=0.000069, Var(idx)=0.000036, ρ=0.581,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10,025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36,248</w:t>
            </w:r>
          </w:p>
        </w:tc>
        <w:tc>
          <w:tcPr>
            <w:tcW w:type="dxa" w:w="1440"/>
            <w:shd w:fill="FFDCE0" w:val="clear"/>
          </w:tcPr>
          <w:p>
            <w:r>
              <w:rPr>
                <w:b/>
                <w:sz w:val="17"/>
              </w:rPr>
              <w:t>37,739</w:t>
            </w:r>
          </w:p>
        </w:tc>
        <w:tc>
          <w:tcPr>
            <w:tcW w:type="dxa" w:w="1440"/>
            <w:shd w:fill="FFDCE0" w:val="clear"/>
          </w:tcPr>
          <w:p>
            <w:r>
              <w:rPr>
                <w:sz w:val="17"/>
              </w:rPr>
              <w:t>39,230</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35,570</w:t>
            </w:r>
          </w:p>
        </w:tc>
        <w:tc>
          <w:tcPr>
            <w:tcW w:type="dxa" w:w="1440"/>
            <w:shd w:fill="FFDCE0" w:val="clear"/>
          </w:tcPr>
          <w:p>
            <w:r>
              <w:rPr>
                <w:b/>
                <w:sz w:val="17"/>
              </w:rPr>
              <w:t>37,675</w:t>
            </w:r>
          </w:p>
        </w:tc>
        <w:tc>
          <w:tcPr>
            <w:tcW w:type="dxa" w:w="1440"/>
            <w:shd w:fill="FFDCE0" w:val="clear"/>
          </w:tcPr>
          <w:p>
            <w:r>
              <w:rPr>
                <w:sz w:val="17"/>
              </w:rPr>
              <w:t>39,781</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34,946</w:t>
            </w:r>
          </w:p>
        </w:tc>
        <w:tc>
          <w:tcPr>
            <w:tcW w:type="dxa" w:w="1440"/>
            <w:shd w:fill="FFDCE0" w:val="clear"/>
          </w:tcPr>
          <w:p>
            <w:r>
              <w:rPr>
                <w:b/>
                <w:sz w:val="17"/>
              </w:rPr>
              <w:t>37,514</w:t>
            </w:r>
          </w:p>
        </w:tc>
        <w:tc>
          <w:tcPr>
            <w:tcW w:type="dxa" w:w="1440"/>
            <w:shd w:fill="FFDCE0" w:val="clear"/>
          </w:tcPr>
          <w:p>
            <w:r>
              <w:rPr>
                <w:sz w:val="17"/>
              </w:rPr>
              <w:t>40,081</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34,416</w:t>
            </w:r>
          </w:p>
        </w:tc>
        <w:tc>
          <w:tcPr>
            <w:tcW w:type="dxa" w:w="1440"/>
            <w:shd w:fill="FFDCE0" w:val="clear"/>
          </w:tcPr>
          <w:p>
            <w:r>
              <w:rPr>
                <w:b/>
                <w:sz w:val="17"/>
              </w:rPr>
              <w:t>37,369</w:t>
            </w:r>
          </w:p>
        </w:tc>
        <w:tc>
          <w:tcPr>
            <w:tcW w:type="dxa" w:w="1440"/>
            <w:shd w:fill="FFDCE0" w:val="clear"/>
          </w:tcPr>
          <w:p>
            <w:r>
              <w:rPr>
                <w:sz w:val="17"/>
              </w:rPr>
              <w:t>40,322</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33,957</w:t>
            </w:r>
          </w:p>
        </w:tc>
        <w:tc>
          <w:tcPr>
            <w:tcW w:type="dxa" w:w="1440"/>
            <w:shd w:fill="FFDCE0" w:val="clear"/>
          </w:tcPr>
          <w:p>
            <w:r>
              <w:rPr>
                <w:b/>
                <w:sz w:val="17"/>
              </w:rPr>
              <w:t>37,248</w:t>
            </w:r>
          </w:p>
        </w:tc>
        <w:tc>
          <w:tcPr>
            <w:tcW w:type="dxa" w:w="1440"/>
            <w:shd w:fill="FFDCE0" w:val="clear"/>
          </w:tcPr>
          <w:p>
            <w:r>
              <w:rPr>
                <w:sz w:val="17"/>
              </w:rPr>
              <w:t>40,539</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33,546</w:t>
            </w:r>
          </w:p>
        </w:tc>
        <w:tc>
          <w:tcPr>
            <w:tcW w:type="dxa" w:w="1440"/>
            <w:shd w:fill="FFDCE0" w:val="clear"/>
          </w:tcPr>
          <w:p>
            <w:r>
              <w:rPr>
                <w:b/>
                <w:sz w:val="17"/>
              </w:rPr>
              <w:t>37,141</w:t>
            </w:r>
          </w:p>
        </w:tc>
        <w:tc>
          <w:tcPr>
            <w:tcW w:type="dxa" w:w="1440"/>
            <w:shd w:fill="FFDCE0" w:val="clear"/>
          </w:tcPr>
          <w:p>
            <w:r>
              <w:rPr>
                <w:sz w:val="17"/>
              </w:rPr>
              <w:t>40,736</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33,167</w:t>
            </w:r>
          </w:p>
        </w:tc>
        <w:tc>
          <w:tcPr>
            <w:tcW w:type="dxa" w:w="1440"/>
            <w:shd w:fill="FFDCE0" w:val="clear"/>
          </w:tcPr>
          <w:p>
            <w:r>
              <w:rPr>
                <w:b/>
                <w:sz w:val="17"/>
              </w:rPr>
              <w:t>37,040</w:t>
            </w:r>
          </w:p>
        </w:tc>
        <w:tc>
          <w:tcPr>
            <w:tcW w:type="dxa" w:w="1440"/>
            <w:shd w:fill="FFDCE0" w:val="clear"/>
          </w:tcPr>
          <w:p>
            <w:r>
              <w:rPr>
                <w:sz w:val="17"/>
              </w:rPr>
              <w:t>40,912</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32,813</w:t>
            </w:r>
          </w:p>
        </w:tc>
        <w:tc>
          <w:tcPr>
            <w:tcW w:type="dxa" w:w="1440"/>
            <w:shd w:fill="FFDCE0" w:val="clear"/>
          </w:tcPr>
          <w:p>
            <w:r>
              <w:rPr>
                <w:b/>
                <w:sz w:val="17"/>
              </w:rPr>
              <w:t>36,941</w:t>
            </w:r>
          </w:p>
        </w:tc>
        <w:tc>
          <w:tcPr>
            <w:tcW w:type="dxa" w:w="1440"/>
            <w:shd w:fill="FFDCE0" w:val="clear"/>
          </w:tcPr>
          <w:p>
            <w:r>
              <w:rPr>
                <w:sz w:val="17"/>
              </w:rPr>
              <w:t>41,070</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32,478</w:t>
            </w:r>
          </w:p>
        </w:tc>
        <w:tc>
          <w:tcPr>
            <w:tcW w:type="dxa" w:w="1440"/>
            <w:shd w:fill="FFDCE0" w:val="clear"/>
          </w:tcPr>
          <w:p>
            <w:r>
              <w:rPr>
                <w:b/>
                <w:sz w:val="17"/>
              </w:rPr>
              <w:t>36,846</w:t>
            </w:r>
          </w:p>
        </w:tc>
        <w:tc>
          <w:tcPr>
            <w:tcW w:type="dxa" w:w="1440"/>
            <w:shd w:fill="FFDCE0" w:val="clear"/>
          </w:tcPr>
          <w:p>
            <w:r>
              <w:rPr>
                <w:sz w:val="17"/>
              </w:rPr>
              <w:t>41,213</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32,159</w:t>
            </w:r>
          </w:p>
        </w:tc>
        <w:tc>
          <w:tcPr>
            <w:tcW w:type="dxa" w:w="1440"/>
            <w:shd w:fill="FFDCE0" w:val="clear"/>
          </w:tcPr>
          <w:p>
            <w:r>
              <w:rPr>
                <w:b/>
                <w:sz w:val="17"/>
              </w:rPr>
              <w:t>36,751</w:t>
            </w:r>
          </w:p>
        </w:tc>
        <w:tc>
          <w:tcPr>
            <w:tcW w:type="dxa" w:w="1440"/>
            <w:shd w:fill="FFDCE0" w:val="clear"/>
          </w:tcPr>
          <w:p>
            <w:r>
              <w:rPr>
                <w:sz w:val="17"/>
              </w:rPr>
              <w:t>41,343</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 Sénégal)**</w:t>
        <w:br/>
        <w:t>**Date de l'analyse : 08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3 920 milliards FCFA, ce qui en fait l'une des plus importantes capitalisations de la BRVM, positionnant le titre comme une valeur de premier plan dans l'indice régional. Le BPA de 4 136 FCFA indique que chaque action a généré un bénéfice substantiel sur l'exercice. Avec un PER de 9,5x, le titre se négocie dans la fourchette moyenne du marché BRVM (8-12x), ce qui suggère une valorisation raisonnable, sans prime excessive, malgré la forte progression du cours. Le P/B de 2,80x reflète une prime de croissance accordée par le marché par rapport à la valeur comptable des actifs, ce qui est cohérent avec la forte rentabilité de l'entreprise. Enfin, l'EV/EBITDA de 4,1x, nettement inférieur au seuil de 5x, indique que la valeur totale de l'entreprise (dette incluse) reste très bon marché par rapport à sa capacité opérationnelle de génération de cash, renforçant l'attrait fondamental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+40,00%, avec une dernière séance en hausse de +1,29% à 39 200 FCFA. Le titre a évolué dans une fourchette de trading très large, allant d'un plus bas de 27 160 FCFA à un plus haut de 39 200 FCFA, démontrant une tendance haussière puissante et soutenue. La moyenne du cours sur la période (30 597 FCFA) est nettement supérieure à la médiane (29 150 FCFA), et l'écart positif avec le mode (28 500 FCFA) confirme une distribution asymétrique positive (skewness de 1.415), indiquant que le titre a passé plus de temps sous sa moyenne avant de connaître des poussées haussières récentes. L'écart-type de 2 895 FCFA (CV de 9,5%) montre une dispersion modérée, mais le kurtosis excédentaire de 1.146 signale des queues de distribution épaisses, suggérant un risque de mouvements brusques. La volatilité annualisée de 31,0% classe le titre dans la catégorie des valeurs à volatilité élevée (&gt;30%),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39 200 FCFA se situe nettement au-dessus de la MM20 (35 351 FCFA) et de la MM50 (32 645 FCFA), confirmant une dynamique haussière à court et moyen terme. La configuration des moyennes mobiles, avec le cours au-dessus des deux, génère un signal d'achat clair, indiquant que la tendance de fond reste positive.</w:t>
      </w:r>
    </w:p>
    <w:p>
      <w:pPr>
        <w:spacing w:after="120" w:line="276" w:lineRule="auto"/>
      </w:pPr>
      <w:r>
        <w:t>**Bandes de Bollinger :** Le prix évolue près de la borne supérieure (40 476 FCFA), ce qui témoigne d'une pression acheteuse soutenue. La décision est neutre car le cours n'a pas encore franchi la borne, mais sa proximité suggère une forte dynamique, tout en signalant des conditions potentiellement surachetées à très court terme.</w:t>
      </w:r>
    </w:p>
    <w:p>
      <w:pPr>
        <w:spacing w:after="120" w:line="276" w:lineRule="auto"/>
      </w:pPr>
      <w:r>
        <w:t>**MACD :** Le MACD (1 873,9) est nettement supérieur à son signal (1 578,4), affichant un écart positif croissant. Cette configuration indique un momentum haussier robuste et confirme la poursuite de la tendance à la hausse, avec une décision d'achat.</w:t>
      </w:r>
    </w:p>
    <w:p>
      <w:pPr>
        <w:spacing w:after="120" w:line="276" w:lineRule="auto"/>
      </w:pPr>
      <w:r>
        <w:t>**RSI :** Le RSI à 78,7 est largement au-dessus du seuil de surachat de 70, signalant que le titre est techniquement suracheté. Cette situation suggère un risque de correction ou de consolidation à court terme, justifiant une décision de vente pour les traders à horizon très court.</w:t>
      </w:r>
    </w:p>
    <w:p>
      <w:pPr>
        <w:spacing w:after="120" w:line="276" w:lineRule="auto"/>
      </w:pPr>
      <w:r>
        <w:t>**Stochastique :** Le %K et le %D sont tous deux à 100, en territoire de surachat extrême. Ce niveau indique que le titre a connu une séquence de clôtures au plus haut, ce qui est un signal de vente classique, car il suggère un épuisement potentiel de la dynamique acheteuse à très court terme.</w:t>
      </w:r>
    </w:p>
    <w:p>
      <w:pPr>
        <w:spacing w:after="120" w:line="276" w:lineRule="auto"/>
      </w:pPr>
      <w:r>
        <w:t>**Conclusion technique :** La tendance de fond reste résolument haussière, portée par des moyennes mobiles et un MACD positifs. Cependant, les oscillateurs de momentum (RSI et Stochastique) signalent des conditions de surachat extrême, laissant présager une possible pause ou correction technique à court terme avant la poursuite de la tendance principale.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SNTS révèlent une santé financière exceptionnelle. Le chiffre d'affaires consolidé s'établit à 1 923,1 milliards FCFA, en hausse de 8,3% par rapport à 2024, avec un résultat net de 413,6 milliards FCFA (+5,1%). La rentabilité est remarquable : la marge nette atteint 21,5%, le ROE s'élève à 29,6% (excellent, &gt;15%) et le ROA à 12,6%. En tant qu'entreprise non bancaire, l'analyse du BFR est cruciale : il est négatif à -284,9 milliards FCFA, ce qui est très favorable, indiquant que l'entreprise finance son exploitation grâce aux délais de paiement de ses fournisseurs (201 jours) bien supérieurs à ses délais clients (46 jours). La structure financière est saine avec une autonomie financière de 42,8% et une capacité de remboursement rapide (0,64 an). Les rapports trimestriels confirment cette dynamique : le T3 2025 (publié le 30/09/2025) montre un CA 9M de 1 432,5 milliards (+8,6% YoY) et un résultat net de 311 milliards (+8,0%). Le rapport annuel 2025 (publié en février 2026) confirme les chiffres annuels et propose un dividende de 1 933 FCFA brut par action. Enfin, le communiqué du S1 2026 (publié le 24/07/2026) indique une accélération : CA de 1 049,8 milliards (+9,3%) et résultat net de 230 milliards (+10,5%), laissant entrevoir une nouvelle année de croissance soutenue pour 2026. La solidité financière est remarquable, avec une notation AAA, et les perspectives de croissance restent portées par la data, la fibre et Orange Money.</w:t>
      </w:r>
    </w:p>
    <w:p>
      <w:pPr>
        <w:spacing w:after="120" w:line="276" w:lineRule="auto"/>
      </w:pPr>
      <w:r>
        <w:t>---</w:t>
      </w:r>
    </w:p>
    <w:p>
      <w:pPr>
        <w:spacing w:after="120" w:line="276" w:lineRule="auto"/>
      </w:pPr>
      <w:r>
        <w:t>### PARTIE 4 : CONCLUSION D'INVESTISSEMENT</w:t>
      </w:r>
    </w:p>
    <w:p>
      <w:pPr>
        <w:spacing w:after="120" w:line="276" w:lineRule="auto"/>
      </w:pPr>
      <w:r>
        <w:t>La valorisation de SNTS (PER 9,5x, EV/EBITDA 4,1x) indique que le titre reste sous-évalué malgré sa forte progression, tandis que ses fondamentaux (ROE de 29,6%, BFR négatif, croissance de 8-9%) sont d'une solidité rare sur le marché. Le comportement du cours, avec une hausse de 40% et une volatilité élevée (31%), montre une dynamique positive mais un risque de retournement statistique (kurtosis élevé). Les signaux techniques sont partagés : la tendance de fond (MM, MACD) est haussière, mais les indicateurs de momentum (RSI à 78,7, Stochastique à 100) crient au surachat. Les prédictions IA pour les 10 prochains jours (de 37 739 à 37 248 FCFA) suggèrent une consolidation ou un léger repli technique, contredisant la tendance récente mais confirmant les signaux de surachat. En synthèse, les fondamentaux exceptionnels et la valorisation attractive plaident pour une position à moyen/long terme, mais la prudence est de mise à court terme. **Recommandation : ACHAT** (sur repli) avec un niveau de confiance **Élevé** et un risque global **Moyen**. L'horizon d'investissement optimal est le **moyen terme (3-12 mois)**, en attendant une correction technique pour renforcer la position.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166.33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6,053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B40000"/>
                <w:sz w:val="17"/>
              </w:rPr>
              <w:t>-1.91%</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μ=8,023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β=0.2324 (Défensif) — Cov=0.000008, Var(idx)=0.000036, ρ=0.056,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2026-09-09</w:t>
            </w:r>
          </w:p>
        </w:tc>
        <w:tc>
          <w:tcPr>
            <w:tcW w:type="dxa" w:w="1440"/>
            <w:shd w:fill="C6EFCE" w:val="clear"/>
          </w:tcPr>
          <w:p>
            <w:r>
              <w:rPr>
                <w:sz w:val="17"/>
              </w:rPr>
              <w:t>7,587</w:t>
            </w:r>
          </w:p>
        </w:tc>
        <w:tc>
          <w:tcPr>
            <w:tcW w:type="dxa" w:w="1440"/>
            <w:shd w:fill="C6EFCE" w:val="clear"/>
          </w:tcPr>
          <w:p>
            <w:r>
              <w:rPr>
                <w:b/>
                <w:sz w:val="17"/>
              </w:rPr>
              <w:t>8,018</w:t>
            </w:r>
          </w:p>
        </w:tc>
        <w:tc>
          <w:tcPr>
            <w:tcW w:type="dxa" w:w="1440"/>
            <w:shd w:fill="C6EFCE" w:val="clear"/>
          </w:tcPr>
          <w:p>
            <w:r>
              <w:rPr>
                <w:sz w:val="17"/>
              </w:rPr>
              <w:t>8,450</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2026-09-10</w:t>
            </w:r>
          </w:p>
        </w:tc>
        <w:tc>
          <w:tcPr>
            <w:tcW w:type="dxa" w:w="1440"/>
            <w:shd w:fill="C6EFCE" w:val="clear"/>
          </w:tcPr>
          <w:p>
            <w:r>
              <w:rPr>
                <w:sz w:val="17"/>
              </w:rPr>
              <w:t>7,412</w:t>
            </w:r>
          </w:p>
        </w:tc>
        <w:tc>
          <w:tcPr>
            <w:tcW w:type="dxa" w:w="1440"/>
            <w:shd w:fill="C6EFCE" w:val="clear"/>
          </w:tcPr>
          <w:p>
            <w:r>
              <w:rPr>
                <w:b/>
                <w:sz w:val="17"/>
              </w:rPr>
              <w:t>8,023</w:t>
            </w:r>
          </w:p>
        </w:tc>
        <w:tc>
          <w:tcPr>
            <w:tcW w:type="dxa" w:w="1440"/>
            <w:shd w:fill="C6EFCE" w:val="clear"/>
          </w:tcPr>
          <w:p>
            <w:r>
              <w:rPr>
                <w:sz w:val="17"/>
              </w:rPr>
              <w:t>8,634</w:t>
            </w:r>
          </w:p>
        </w:tc>
        <w:tc>
          <w:tcPr>
            <w:tcW w:type="dxa" w:w="1440"/>
            <w:shd w:fill="C6EFCE" w:val="clear"/>
          </w:tcPr>
          <w:p>
            <w:r>
              <w:rPr>
                <w:b/>
                <w:color w:val="008000"/>
                <w:sz w:val="17"/>
              </w:rPr>
              <w:t>+4.2%</w:t>
            </w:r>
          </w:p>
        </w:tc>
      </w:tr>
      <w:tr>
        <w:tc>
          <w:tcPr>
            <w:tcW w:type="dxa" w:w="1440"/>
            <w:shd w:fill="C6EFCE" w:val="clear"/>
          </w:tcPr>
          <w:p>
            <w:r>
              <w:rPr>
                <w:sz w:val="17"/>
              </w:rPr>
              <w:t>J+3  Moyenne</w:t>
            </w:r>
          </w:p>
        </w:tc>
        <w:tc>
          <w:tcPr>
            <w:tcW w:type="dxa" w:w="1440"/>
            <w:shd w:fill="C6EFCE" w:val="clear"/>
          </w:tcPr>
          <w:p>
            <w:r>
              <w:rPr>
                <w:sz w:val="17"/>
              </w:rPr>
              <w:t>2026-09-11</w:t>
            </w:r>
          </w:p>
        </w:tc>
        <w:tc>
          <w:tcPr>
            <w:tcW w:type="dxa" w:w="1440"/>
            <w:shd w:fill="C6EFCE" w:val="clear"/>
          </w:tcPr>
          <w:p>
            <w:r>
              <w:rPr>
                <w:sz w:val="17"/>
              </w:rPr>
              <w:t>7,297</w:t>
            </w:r>
          </w:p>
        </w:tc>
        <w:tc>
          <w:tcPr>
            <w:tcW w:type="dxa" w:w="1440"/>
            <w:shd w:fill="C6EFCE" w:val="clear"/>
          </w:tcPr>
          <w:p>
            <w:r>
              <w:rPr>
                <w:b/>
                <w:sz w:val="17"/>
              </w:rPr>
              <w:t>8,047</w:t>
            </w:r>
          </w:p>
        </w:tc>
        <w:tc>
          <w:tcPr>
            <w:tcW w:type="dxa" w:w="1440"/>
            <w:shd w:fill="C6EFCE" w:val="clear"/>
          </w:tcPr>
          <w:p>
            <w:r>
              <w:rPr>
                <w:sz w:val="17"/>
              </w:rPr>
              <w:t>8,798</w:t>
            </w:r>
          </w:p>
        </w:tc>
        <w:tc>
          <w:tcPr>
            <w:tcW w:type="dxa" w:w="1440"/>
            <w:shd w:fill="C6EFCE" w:val="clear"/>
          </w:tcPr>
          <w:p>
            <w:r>
              <w:rPr>
                <w:b/>
                <w:color w:val="008000"/>
                <w:sz w:val="17"/>
              </w:rPr>
              <w:t>+4.5%</w:t>
            </w:r>
          </w:p>
        </w:tc>
      </w:tr>
      <w:tr>
        <w:tc>
          <w:tcPr>
            <w:tcW w:type="dxa" w:w="1440"/>
            <w:shd w:fill="C6EFCE" w:val="clear"/>
          </w:tcPr>
          <w:p>
            <w:r>
              <w:rPr>
                <w:sz w:val="17"/>
              </w:rPr>
              <w:t>J+4  ⭐</w:t>
            </w:r>
          </w:p>
        </w:tc>
        <w:tc>
          <w:tcPr>
            <w:tcW w:type="dxa" w:w="1440"/>
            <w:shd w:fill="C6EFCE" w:val="clear"/>
          </w:tcPr>
          <w:p>
            <w:r>
              <w:rPr>
                <w:sz w:val="17"/>
              </w:rPr>
              <w:t>2026-09-14</w:t>
            </w:r>
          </w:p>
        </w:tc>
        <w:tc>
          <w:tcPr>
            <w:tcW w:type="dxa" w:w="1440"/>
            <w:shd w:fill="C6EFCE" w:val="clear"/>
          </w:tcPr>
          <w:p>
            <w:r>
              <w:rPr>
                <w:sz w:val="17"/>
              </w:rPr>
              <w:t>7,194</w:t>
            </w:r>
          </w:p>
        </w:tc>
        <w:tc>
          <w:tcPr>
            <w:tcW w:type="dxa" w:w="1440"/>
            <w:shd w:fill="C6EFCE" w:val="clear"/>
          </w:tcPr>
          <w:p>
            <w:r>
              <w:rPr>
                <w:b/>
                <w:sz w:val="17"/>
              </w:rPr>
              <w:t>8,063</w:t>
            </w:r>
          </w:p>
        </w:tc>
        <w:tc>
          <w:tcPr>
            <w:tcW w:type="dxa" w:w="1440"/>
            <w:shd w:fill="C6EFCE" w:val="clear"/>
          </w:tcPr>
          <w:p>
            <w:r>
              <w:rPr>
                <w:sz w:val="17"/>
              </w:rPr>
              <w:t>8,932</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2026-09-15</w:t>
            </w:r>
          </w:p>
        </w:tc>
        <w:tc>
          <w:tcPr>
            <w:tcW w:type="dxa" w:w="1440"/>
            <w:shd w:fill="C6EFCE" w:val="clear"/>
          </w:tcPr>
          <w:p>
            <w:r>
              <w:rPr>
                <w:sz w:val="17"/>
              </w:rPr>
              <w:t>7,103</w:t>
            </w:r>
          </w:p>
        </w:tc>
        <w:tc>
          <w:tcPr>
            <w:tcW w:type="dxa" w:w="1440"/>
            <w:shd w:fill="C6EFCE" w:val="clear"/>
          </w:tcPr>
          <w:p>
            <w:r>
              <w:rPr>
                <w:b/>
                <w:sz w:val="17"/>
              </w:rPr>
              <w:t>8,076</w:t>
            </w:r>
          </w:p>
        </w:tc>
        <w:tc>
          <w:tcPr>
            <w:tcW w:type="dxa" w:w="1440"/>
            <w:shd w:fill="C6EFCE" w:val="clear"/>
          </w:tcPr>
          <w:p>
            <w:r>
              <w:rPr>
                <w:sz w:val="17"/>
              </w:rPr>
              <w:t>9,048</w:t>
            </w:r>
          </w:p>
        </w:tc>
        <w:tc>
          <w:tcPr>
            <w:tcW w:type="dxa" w:w="1440"/>
            <w:shd w:fill="C6EFCE" w:val="clear"/>
          </w:tcPr>
          <w:p>
            <w:r>
              <w:rPr>
                <w:b/>
                <w:color w:val="008000"/>
                <w:sz w:val="17"/>
              </w:rPr>
              <w:t>+4.9%</w:t>
            </w:r>
          </w:p>
        </w:tc>
      </w:tr>
      <w:tr>
        <w:tc>
          <w:tcPr>
            <w:tcW w:type="dxa" w:w="1440"/>
            <w:shd w:fill="C6EFCE" w:val="clear"/>
          </w:tcPr>
          <w:p>
            <w:r>
              <w:rPr>
                <w:sz w:val="17"/>
              </w:rPr>
              <w:t>J+6  ⭐</w:t>
            </w:r>
          </w:p>
        </w:tc>
        <w:tc>
          <w:tcPr>
            <w:tcW w:type="dxa" w:w="1440"/>
            <w:shd w:fill="C6EFCE" w:val="clear"/>
          </w:tcPr>
          <w:p>
            <w:r>
              <w:rPr>
                <w:sz w:val="17"/>
              </w:rPr>
              <w:t>2026-09-16</w:t>
            </w:r>
          </w:p>
        </w:tc>
        <w:tc>
          <w:tcPr>
            <w:tcW w:type="dxa" w:w="1440"/>
            <w:shd w:fill="C6EFCE" w:val="clear"/>
          </w:tcPr>
          <w:p>
            <w:r>
              <w:rPr>
                <w:sz w:val="17"/>
              </w:rPr>
              <w:t>7,021</w:t>
            </w:r>
          </w:p>
        </w:tc>
        <w:tc>
          <w:tcPr>
            <w:tcW w:type="dxa" w:w="1440"/>
            <w:shd w:fill="C6EFCE" w:val="clear"/>
          </w:tcPr>
          <w:p>
            <w:r>
              <w:rPr>
                <w:b/>
                <w:sz w:val="17"/>
              </w:rPr>
              <w:t>8,088</w:t>
            </w:r>
          </w:p>
        </w:tc>
        <w:tc>
          <w:tcPr>
            <w:tcW w:type="dxa" w:w="1440"/>
            <w:shd w:fill="C6EFCE" w:val="clear"/>
          </w:tcPr>
          <w:p>
            <w:r>
              <w:rPr>
                <w:sz w:val="17"/>
              </w:rPr>
              <w:t>9,155</w:t>
            </w:r>
          </w:p>
        </w:tc>
        <w:tc>
          <w:tcPr>
            <w:tcW w:type="dxa" w:w="1440"/>
            <w:shd w:fill="C6EFCE" w:val="clear"/>
          </w:tcPr>
          <w:p>
            <w:r>
              <w:rPr>
                <w:b/>
                <w:color w:val="008000"/>
                <w:sz w:val="17"/>
              </w:rPr>
              <w:t>+5.0%</w:t>
            </w:r>
          </w:p>
        </w:tc>
      </w:tr>
      <w:tr>
        <w:tc>
          <w:tcPr>
            <w:tcW w:type="dxa" w:w="1440"/>
            <w:shd w:fill="C6EFCE" w:val="clear"/>
          </w:tcPr>
          <w:p>
            <w:r>
              <w:rPr>
                <w:sz w:val="17"/>
              </w:rPr>
              <w:t>J+7  ⭐</w:t>
            </w:r>
          </w:p>
        </w:tc>
        <w:tc>
          <w:tcPr>
            <w:tcW w:type="dxa" w:w="1440"/>
            <w:shd w:fill="C6EFCE" w:val="clear"/>
          </w:tcPr>
          <w:p>
            <w:r>
              <w:rPr>
                <w:sz w:val="17"/>
              </w:rPr>
              <w:t>2026-09-17</w:t>
            </w:r>
          </w:p>
        </w:tc>
        <w:tc>
          <w:tcPr>
            <w:tcW w:type="dxa" w:w="1440"/>
            <w:shd w:fill="C6EFCE" w:val="clear"/>
          </w:tcPr>
          <w:p>
            <w:r>
              <w:rPr>
                <w:sz w:val="17"/>
              </w:rPr>
              <w:t>6,946</w:t>
            </w:r>
          </w:p>
        </w:tc>
        <w:tc>
          <w:tcPr>
            <w:tcW w:type="dxa" w:w="1440"/>
            <w:shd w:fill="C6EFCE" w:val="clear"/>
          </w:tcPr>
          <w:p>
            <w:r>
              <w:rPr>
                <w:b/>
                <w:sz w:val="17"/>
              </w:rPr>
              <w:t>8,100</w:t>
            </w:r>
          </w:p>
        </w:tc>
        <w:tc>
          <w:tcPr>
            <w:tcW w:type="dxa" w:w="1440"/>
            <w:shd w:fill="C6EFCE" w:val="clear"/>
          </w:tcPr>
          <w:p>
            <w:r>
              <w:rPr>
                <w:sz w:val="17"/>
              </w:rPr>
              <w:t>9,254</w:t>
            </w:r>
          </w:p>
        </w:tc>
        <w:tc>
          <w:tcPr>
            <w:tcW w:type="dxa" w:w="1440"/>
            <w:shd w:fill="C6EFCE" w:val="clear"/>
          </w:tcPr>
          <w:p>
            <w:r>
              <w:rPr>
                <w:b/>
                <w:color w:val="008000"/>
                <w:sz w:val="17"/>
              </w:rPr>
              <w:t>+5.2%</w:t>
            </w:r>
          </w:p>
        </w:tc>
      </w:tr>
      <w:tr>
        <w:tc>
          <w:tcPr>
            <w:tcW w:type="dxa" w:w="1440"/>
            <w:shd w:fill="C6EFCE" w:val="clear"/>
          </w:tcPr>
          <w:p>
            <w:r>
              <w:rPr>
                <w:sz w:val="17"/>
              </w:rPr>
              <w:t>J+8  ⭐</w:t>
            </w:r>
          </w:p>
        </w:tc>
        <w:tc>
          <w:tcPr>
            <w:tcW w:type="dxa" w:w="1440"/>
            <w:shd w:fill="C6EFCE" w:val="clear"/>
          </w:tcPr>
          <w:p>
            <w:r>
              <w:rPr>
                <w:sz w:val="17"/>
              </w:rPr>
              <w:t>2026-09-18</w:t>
            </w:r>
          </w:p>
        </w:tc>
        <w:tc>
          <w:tcPr>
            <w:tcW w:type="dxa" w:w="1440"/>
            <w:shd w:fill="C6EFCE" w:val="clear"/>
          </w:tcPr>
          <w:p>
            <w:r>
              <w:rPr>
                <w:sz w:val="17"/>
              </w:rPr>
              <w:t>6,877</w:t>
            </w:r>
          </w:p>
        </w:tc>
        <w:tc>
          <w:tcPr>
            <w:tcW w:type="dxa" w:w="1440"/>
            <w:shd w:fill="C6EFCE" w:val="clear"/>
          </w:tcPr>
          <w:p>
            <w:r>
              <w:rPr>
                <w:b/>
                <w:sz w:val="17"/>
              </w:rPr>
              <w:t>8,112</w:t>
            </w:r>
          </w:p>
        </w:tc>
        <w:tc>
          <w:tcPr>
            <w:tcW w:type="dxa" w:w="1440"/>
            <w:shd w:fill="C6EFCE" w:val="clear"/>
          </w:tcPr>
          <w:p>
            <w:r>
              <w:rPr>
                <w:sz w:val="17"/>
              </w:rPr>
              <w:t>9,348</w:t>
            </w:r>
          </w:p>
        </w:tc>
        <w:tc>
          <w:tcPr>
            <w:tcW w:type="dxa" w:w="1440"/>
            <w:shd w:fill="C6EFCE" w:val="clear"/>
          </w:tcPr>
          <w:p>
            <w:r>
              <w:rPr>
                <w:b/>
                <w:color w:val="008000"/>
                <w:sz w:val="17"/>
              </w:rPr>
              <w:t>+5.4%</w:t>
            </w:r>
          </w:p>
        </w:tc>
      </w:tr>
      <w:tr>
        <w:tc>
          <w:tcPr>
            <w:tcW w:type="dxa" w:w="1440"/>
            <w:shd w:fill="C6EFCE" w:val="clear"/>
          </w:tcPr>
          <w:p>
            <w:r>
              <w:rPr>
                <w:sz w:val="17"/>
              </w:rPr>
              <w:t>J+9  ⭐</w:t>
            </w:r>
          </w:p>
        </w:tc>
        <w:tc>
          <w:tcPr>
            <w:tcW w:type="dxa" w:w="1440"/>
            <w:shd w:fill="C6EFCE" w:val="clear"/>
          </w:tcPr>
          <w:p>
            <w:r>
              <w:rPr>
                <w:sz w:val="17"/>
              </w:rPr>
              <w:t>2026-09-21</w:t>
            </w:r>
          </w:p>
        </w:tc>
        <w:tc>
          <w:tcPr>
            <w:tcW w:type="dxa" w:w="1440"/>
            <w:shd w:fill="C6EFCE" w:val="clear"/>
          </w:tcPr>
          <w:p>
            <w:r>
              <w:rPr>
                <w:sz w:val="17"/>
              </w:rPr>
              <w:t>6,812</w:t>
            </w:r>
          </w:p>
        </w:tc>
        <w:tc>
          <w:tcPr>
            <w:tcW w:type="dxa" w:w="1440"/>
            <w:shd w:fill="C6EFCE" w:val="clear"/>
          </w:tcPr>
          <w:p>
            <w:r>
              <w:rPr>
                <w:b/>
                <w:sz w:val="17"/>
              </w:rPr>
              <w:t>8,125</w:t>
            </w:r>
          </w:p>
        </w:tc>
        <w:tc>
          <w:tcPr>
            <w:tcW w:type="dxa" w:w="1440"/>
            <w:shd w:fill="C6EFCE" w:val="clear"/>
          </w:tcPr>
          <w:p>
            <w:r>
              <w:rPr>
                <w:sz w:val="17"/>
              </w:rPr>
              <w:t>9,438</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2026-09-22</w:t>
            </w:r>
          </w:p>
        </w:tc>
        <w:tc>
          <w:tcPr>
            <w:tcW w:type="dxa" w:w="1440"/>
            <w:shd w:fill="C6EFCE" w:val="clear"/>
          </w:tcPr>
          <w:p>
            <w:r>
              <w:rPr>
                <w:sz w:val="17"/>
              </w:rPr>
              <w:t>6,751</w:t>
            </w:r>
          </w:p>
        </w:tc>
        <w:tc>
          <w:tcPr>
            <w:tcW w:type="dxa" w:w="1440"/>
            <w:shd w:fill="C6EFCE" w:val="clear"/>
          </w:tcPr>
          <w:p>
            <w:r>
              <w:rPr>
                <w:b/>
                <w:sz w:val="17"/>
              </w:rPr>
              <w:t>8,137</w:t>
            </w:r>
          </w:p>
        </w:tc>
        <w:tc>
          <w:tcPr>
            <w:tcW w:type="dxa" w:w="1440"/>
            <w:shd w:fill="C6EFCE" w:val="clear"/>
          </w:tcPr>
          <w:p>
            <w:r>
              <w:rPr>
                <w:sz w:val="17"/>
              </w:rPr>
              <w:t>9,523</w:t>
            </w:r>
          </w:p>
        </w:tc>
        <w:tc>
          <w:tcPr>
            <w:tcW w:type="dxa" w:w="1440"/>
            <w:shd w:fill="C6EFCE" w:val="clear"/>
          </w:tcPr>
          <w:p>
            <w:r>
              <w:rPr>
                <w:b/>
                <w:color w:val="008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un rapport d'analyse professionnel structuré pour l'action SOGC,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166,33 milliards FCFA, ce qui en fait l'une des valeurs les plus significatives de la cote de la BRVM, reflétant son statut de poids lourd du secteur agricole. Avec un BPA de 578 FCFA, le titre se négocie à un PER de 13,3x, légèrement au-dessus de la moyenne historique de la place (~8-12x), ce qui suggère que les investisseurs intègrent déjà une prime de croissance ou une certaine confiance dans la pérennité des résultats. Le P/B de 2,43x confirme cette prime, le marché valorisant la société à plus de deux fois ses capitaux propres, ce qui est un signe de bonne santé financière et de rendement attendu. Enfin, un EV/EBITDA de 6,9x est considéré comme raisonnable, indiquant que la valeur totale de l'entreprise (dette incluse) reste mesurée par rapport à sa capacité opérationnelle à générer des bénéfices avant intérêts, impôts et amortissements.</w:t>
      </w:r>
    </w:p>
    <w:p>
      <w:pPr>
        <w:spacing w:after="120" w:line="276" w:lineRule="auto"/>
      </w:pPr>
      <w:r>
        <w:t>### **PARTIE 1 : ANALYSE DU COURS — STATISTIQUES ET ÉVOLUTION (100 derniers jours)**</w:t>
      </w:r>
    </w:p>
    <w:p>
      <w:pPr>
        <w:spacing w:after="120" w:line="276" w:lineRule="auto"/>
      </w:pPr>
      <w:r>
        <w:t>Sur les 100 derniers jours, l'action SOGC a subi une légère dépréciation de -1,91%, avec une chute marquée de -5,41% lors de la dernière séance, signe d'une pression vendeuse récente. Le titre a évolué dans une fourchette de 7 100 à 8 875 FCFA, montrant une amplitude de trading significative. La moyenne du cours sur la période (8 023 FCFA) est inférieure à la médiane (8 145 FCFA), ce qui, combiné à un skewness négatif (-0.404), indique une distribution légèrement asymétrique avec des queues de distribution plus marquées vers le bas, suggérant des épisodes de ventes plus brutales que les hausses. L'écart-type de 407 FCFA (CV=5,1%) révèle une dispersion modérée autour de la moyenne. Le kurtosis proche de zéro (-0.805) indique une distribution mésokurtique, sans risque de variations extrêmes (pics) plus élevé que la normale. La volatilité annualisée de 40,3% classe le titre comme très volatil, un point crucial pour tout investisseur, car il implique des fluctuations de prix potentiellement fortes à court terme.</w:t>
      </w:r>
    </w:p>
    <w:p>
      <w:pPr>
        <w:spacing w:after="120" w:line="276" w:lineRule="auto"/>
      </w:pPr>
      <w:r>
        <w:t>### **PARTIE 2 : ANALYSE TECHNIQUE DÉTAILLÉE**</w:t>
      </w:r>
    </w:p>
    <w:p>
      <w:pPr>
        <w:spacing w:after="120" w:line="276" w:lineRule="auto"/>
      </w:pPr>
      <w:r>
        <w:t>**Moyennes Mobiles** : Le cours actuel (7 700 FCFA) se situe sous ses moyennes mobiles à 20 jours (8 137,75 FCFA) et à 50 jours (8 206,5 FCFA). Cette configuration, où le prix est inférieur aux deux MM, est un signal baissier classique. La tendance de fond est donc négative à court et moyen terme, justifiant la décision de "Vente".</w:t>
      </w:r>
    </w:p>
    <w:p>
      <w:pPr>
        <w:spacing w:after="120" w:line="276" w:lineRule="auto"/>
      </w:pPr>
      <w:r>
        <w:t>**Bandes de Bollinger** : Le prix (7 700 FCFA) est positionné dans la partie inférieure des bandes, mais au-dessus de la borne inférieure (7 424,77 FCFA). Cela indique que, bien que le marché soit baissier, le titre n'est pas encore en situation de "survente" extrême. La décision "Neutre" suggère que le mouvement baissier pourrait se poursuivre ou se stabiliser, mais sans signal d'achat ou de vente immédiat.</w:t>
      </w:r>
    </w:p>
    <w:p>
      <w:pPr>
        <w:spacing w:after="120" w:line="276" w:lineRule="auto"/>
      </w:pPr>
      <w:r>
        <w:t>**MACD** : La ligne MACD (45,636) est passée sous sa ligne de signal (55,758), formant un croisement baissier. Ce signal indique un affaiblissement du momentum haussier et une dynamique de prix négative à court terme. La décision de "Vente" est cohérente avec cette perte de vitesse.</w:t>
      </w:r>
    </w:p>
    <w:p>
      <w:pPr>
        <w:spacing w:after="120" w:line="276" w:lineRule="auto"/>
      </w:pPr>
      <w:r>
        <w:t>**RSI** : Avec une valeur de 45,97, le RSI se situe en zone neutre (entre 30 et 70). Il n'indique ni surachat ni survente. Cette neutralité suggère que la pression vendeuse n'est pas encore extrême, mais qu'il n'y a pas non plus de dynamique d'achat forte. La décision "Neutre" est donc appropriée.</w:t>
      </w:r>
    </w:p>
    <w:p>
      <w:pPr>
        <w:spacing w:after="120" w:line="276" w:lineRule="auto"/>
      </w:pPr>
      <w:r>
        <w:t>**Stochastique** : Le %K est à 0,0, un niveau extrêmement bas, tandis que le %D est à 39,1. Le croisement du %K sous le %D est un signal de vente, mais le niveau de survente extrême du %K pourrait précéder un rebond technique. La décision "Achat" semble ici anticiper un potentiel retournement haussier après cette chute brutale.</w:t>
      </w:r>
    </w:p>
    <w:p>
      <w:pPr>
        <w:spacing w:after="120" w:line="276" w:lineRule="auto"/>
      </w:pPr>
      <w:r>
        <w:t>**Conclusion technique** : Les indicateurs techniques sont globalement baissiers à court terme (MM, MACD), mais montrent des signes de tension extrême (Stochastique en survente) et de neutralité (RSI, Bollinger). Le titre est dans une phase de correction, mais le potentiel de rebond technique existe. Le signal global est donc à la vente, mais avec une vigilance accrue pour un possible retournement.</w:t>
      </w:r>
    </w:p>
    <w:p>
      <w:pPr>
        <w:spacing w:after="120" w:line="276" w:lineRule="auto"/>
      </w:pPr>
      <w:r>
        <w:t>### **PARTIE 3 : ANALYSE FONDAMENTALE (SECTION CRITIQUE)**</w:t>
      </w:r>
    </w:p>
    <w:p>
      <w:pPr>
        <w:spacing w:after="120" w:line="276" w:lineRule="auto"/>
      </w:pPr>
      <w:r>
        <w:t>En 2025, la SOGC affiche des performances financières solides, avec un chiffre d'affaires de 98,98 milliards FCFA, en croissance de +10,7%, et un résultat net de 12,49 milliards FCFA. Cette performance se traduit par un ROE excellent de 18,26% et un ROA de 13,84%, démontrant une gestion efficace des capitaux propres et des actifs. La structure financière est très saine, avec une autonomie financière de 75,8% et un endettement faible (ratio d'endettement de 24,2%). Le BFR de 7,12 milliards FCFA et les délais de paiement clients (29,6 jours) et fournisseurs (31,7 jours) sont bien équilibrés, indiquant une bonne gestion du cycle d'exploitation. Les rapports trimestriels de 2025 montrent une année en deux temps : un S1 exceptionnel (CA +51,9%, RN +151,6%) porté par des prix élevés, suivi d'un ralentissement au S2 (9M CA +21,3%, RN +39,5%) dû à la baisse des cours internationaux du caoutchouc et à une concurrence accrue. Le rapport annuel 2025 confirme cette tendance avec un résultat net en baisse de 5% par rapport à 2024, mais une génération de cash-flow opérationnel robuste de 22,6 milliards FCFA. La société propose un dividende brut de 570 FCFA par action, reflétant une politique de distribution généreuse. Les fondamentaux restent donc très solides, avec une croissance soutenue, une rentabilité élevée et une structure financière saine, malgré un contexte de prix des matières premières moins porteur.</w:t>
      </w:r>
    </w:p>
    <w:p>
      <w:pPr>
        <w:spacing w:after="120" w:line="276" w:lineRule="auto"/>
      </w:pPr>
      <w:r>
        <w:t>### **PARTIE 4 : CONCLUSION D'INVESTISSEMENT**</w:t>
      </w:r>
    </w:p>
    <w:p>
      <w:pPr>
        <w:spacing w:after="120" w:line="276" w:lineRule="auto"/>
      </w:pPr>
      <w:r>
        <w:t>La valorisation de SOGC (PER 13,3x, P/B 2,43x) est correcte mais non "bon marché", intégrant une prime pour sa solidité et sa croissance passée. Le comportement récent du cours (-1,91% sur 100 jours, forte volatilité) et les signaux techniques baissiers (MM, MACD) contrastent avec des fondamentaux d'une très grande robustesse (ROE &gt;18%, croissance du CA, faible endettement). Cette divergence suggère que le marché ajuste le prix à la baisse en raison des perspectives moins dynamiques pour 2026, liées à la baisse des prix du caoutchouc. Les prédictions IA, qui anticipent une remontée progressive du cours vers 8 076 FCFA sur 10 jours, contredisent le signal technique de vente immédiat et suggèrent un potentiel de stabilisation. En synthèse, le titre est financièrement sain et rentable, mais son potentiel de hausse à court terme est limité par un momentum technique négatif et un environnement de prix moins favorable. La politique de dividende attractive (570 FCFA/action) offre un rendement substantiel. Par conséquent, la recommandation est de **CONSERVER** le titre. La confiance est **Moyenne**, car la solidité financière est contrebalancée par les signaux techniques et les risques sectoriels. Le niveau de risque global est **Moyen**, principalement dû à la volatilité du cours et à la dépendance aux prix des matières premières. L'horizon d'investissement optimal serait le **moyen terme (3-12 mois)**, pour laisser le temps aux fondamentaux solides et au rendement du dividende de se matérialiser, tout en surveillant une possible amélioration des signaux techniques.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219.16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4,450 titres</w:t>
            </w:r>
          </w:p>
        </w:tc>
        <w:tc>
          <w:tcPr>
            <w:tcW w:type="dxa" w:w="2268"/>
            <w:shd w:fill="FFF2CC" w:val="clear"/>
          </w:tcPr>
          <w:p>
            <w:r>
              <w:rPr>
                <w:b/>
                <w:color w:val="503200"/>
                <w:sz w:val="16"/>
              </w:rPr>
              <w:t xml:space="preserve">Cours actuel : </w:t>
            </w:r>
            <w:r>
              <w:rPr>
                <w:color w:val="000000"/>
                <w:sz w:val="17"/>
              </w:rPr>
              <w:t>8,575 FCFA</w:t>
            </w:r>
          </w:p>
          <w:p>
            <w:r>
              <w:rPr>
                <w:b/>
                <w:color w:val="503200"/>
                <w:sz w:val="16"/>
              </w:rPr>
              <w:t xml:space="preserve">Var. 100 jours : </w:t>
            </w:r>
            <w:r>
              <w:rPr>
                <w:b/>
                <w:color w:val="007800"/>
                <w:sz w:val="17"/>
              </w:rPr>
              <w:t>+15.96%</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10.43% (Moyenne) — μ=7,733 FCFA, σ=806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β=0.8959 (Neutre (suit le marché)) — Cov=0.000032, Var(idx)=0.000036, ρ=0.203,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2026-09-09</w:t>
            </w:r>
          </w:p>
        </w:tc>
        <w:tc>
          <w:tcPr>
            <w:tcW w:type="dxa" w:w="1440"/>
            <w:shd w:fill="C6EFCE" w:val="clear"/>
          </w:tcPr>
          <w:p>
            <w:r>
              <w:rPr>
                <w:sz w:val="17"/>
              </w:rPr>
              <w:t>8,529</w:t>
            </w:r>
          </w:p>
        </w:tc>
        <w:tc>
          <w:tcPr>
            <w:tcW w:type="dxa" w:w="1440"/>
            <w:shd w:fill="C6EFCE" w:val="clear"/>
          </w:tcPr>
          <w:p>
            <w:r>
              <w:rPr>
                <w:b/>
                <w:sz w:val="17"/>
              </w:rPr>
              <w:t>9,082</w:t>
            </w:r>
          </w:p>
        </w:tc>
        <w:tc>
          <w:tcPr>
            <w:tcW w:type="dxa" w:w="1440"/>
            <w:shd w:fill="C6EFCE" w:val="clear"/>
          </w:tcPr>
          <w:p>
            <w:r>
              <w:rPr>
                <w:sz w:val="17"/>
              </w:rPr>
              <w:t>9,636</w:t>
            </w:r>
          </w:p>
        </w:tc>
        <w:tc>
          <w:tcPr>
            <w:tcW w:type="dxa" w:w="1440"/>
            <w:shd w:fill="C6EFCE" w:val="clear"/>
          </w:tcPr>
          <w:p>
            <w:r>
              <w:rPr>
                <w:b/>
                <w:color w:val="008000"/>
                <w:sz w:val="17"/>
              </w:rPr>
              <w:t>+5.9%</w:t>
            </w:r>
          </w:p>
        </w:tc>
      </w:tr>
      <w:tr>
        <w:tc>
          <w:tcPr>
            <w:tcW w:type="dxa" w:w="1440"/>
            <w:shd w:fill="C6EFCE" w:val="clear"/>
          </w:tcPr>
          <w:p>
            <w:r>
              <w:rPr>
                <w:sz w:val="17"/>
              </w:rPr>
              <w:t>J+2  Moyenne</w:t>
            </w:r>
          </w:p>
        </w:tc>
        <w:tc>
          <w:tcPr>
            <w:tcW w:type="dxa" w:w="1440"/>
            <w:shd w:fill="C6EFCE" w:val="clear"/>
          </w:tcPr>
          <w:p>
            <w:r>
              <w:rPr>
                <w:sz w:val="17"/>
              </w:rPr>
              <w:t>2026-09-10</w:t>
            </w:r>
          </w:p>
        </w:tc>
        <w:tc>
          <w:tcPr>
            <w:tcW w:type="dxa" w:w="1440"/>
            <w:shd w:fill="C6EFCE" w:val="clear"/>
          </w:tcPr>
          <w:p>
            <w:r>
              <w:rPr>
                <w:sz w:val="17"/>
              </w:rPr>
              <w:t>8,241</w:t>
            </w:r>
          </w:p>
        </w:tc>
        <w:tc>
          <w:tcPr>
            <w:tcW w:type="dxa" w:w="1440"/>
            <w:shd w:fill="C6EFCE" w:val="clear"/>
          </w:tcPr>
          <w:p>
            <w:r>
              <w:rPr>
                <w:b/>
                <w:sz w:val="17"/>
              </w:rPr>
              <w:t>9,019</w:t>
            </w:r>
          </w:p>
        </w:tc>
        <w:tc>
          <w:tcPr>
            <w:tcW w:type="dxa" w:w="1440"/>
            <w:shd w:fill="C6EFCE" w:val="clear"/>
          </w:tcPr>
          <w:p>
            <w:r>
              <w:rPr>
                <w:sz w:val="17"/>
              </w:rPr>
              <w:t>9,796</w:t>
            </w:r>
          </w:p>
        </w:tc>
        <w:tc>
          <w:tcPr>
            <w:tcW w:type="dxa" w:w="1440"/>
            <w:shd w:fill="C6EFCE" w:val="clear"/>
          </w:tcPr>
          <w:p>
            <w:r>
              <w:rPr>
                <w:b/>
                <w:color w:val="008000"/>
                <w:sz w:val="17"/>
              </w:rPr>
              <w:t>+5.2%</w:t>
            </w:r>
          </w:p>
        </w:tc>
      </w:tr>
      <w:tr>
        <w:tc>
          <w:tcPr>
            <w:tcW w:type="dxa" w:w="1440"/>
            <w:shd w:fill="C6EFCE" w:val="clear"/>
          </w:tcPr>
          <w:p>
            <w:r>
              <w:rPr>
                <w:sz w:val="17"/>
              </w:rPr>
              <w:t>J+3  Moyenne</w:t>
            </w:r>
          </w:p>
        </w:tc>
        <w:tc>
          <w:tcPr>
            <w:tcW w:type="dxa" w:w="1440"/>
            <w:shd w:fill="C6EFCE" w:val="clear"/>
          </w:tcPr>
          <w:p>
            <w:r>
              <w:rPr>
                <w:sz w:val="17"/>
              </w:rPr>
              <w:t>2026-09-11</w:t>
            </w:r>
          </w:p>
        </w:tc>
        <w:tc>
          <w:tcPr>
            <w:tcW w:type="dxa" w:w="1440"/>
            <w:shd w:fill="C6EFCE" w:val="clear"/>
          </w:tcPr>
          <w:p>
            <w:r>
              <w:rPr>
                <w:sz w:val="17"/>
              </w:rPr>
              <w:t>8,046</w:t>
            </w:r>
          </w:p>
        </w:tc>
        <w:tc>
          <w:tcPr>
            <w:tcW w:type="dxa" w:w="1440"/>
            <w:shd w:fill="C6EFCE" w:val="clear"/>
          </w:tcPr>
          <w:p>
            <w:r>
              <w:rPr>
                <w:b/>
                <w:sz w:val="17"/>
              </w:rPr>
              <w:t>8,996</w:t>
            </w:r>
          </w:p>
        </w:tc>
        <w:tc>
          <w:tcPr>
            <w:tcW w:type="dxa" w:w="1440"/>
            <w:shd w:fill="C6EFCE" w:val="clear"/>
          </w:tcPr>
          <w:p>
            <w:r>
              <w:rPr>
                <w:sz w:val="17"/>
              </w:rPr>
              <w:t>9,945</w:t>
            </w:r>
          </w:p>
        </w:tc>
        <w:tc>
          <w:tcPr>
            <w:tcW w:type="dxa" w:w="1440"/>
            <w:shd w:fill="C6EFCE" w:val="clear"/>
          </w:tcPr>
          <w:p>
            <w:r>
              <w:rPr>
                <w:b/>
                <w:color w:val="008000"/>
                <w:sz w:val="17"/>
              </w:rPr>
              <w:t>+4.9%</w:t>
            </w:r>
          </w:p>
        </w:tc>
      </w:tr>
      <w:tr>
        <w:tc>
          <w:tcPr>
            <w:tcW w:type="dxa" w:w="1440"/>
            <w:shd w:fill="C6EFCE" w:val="clear"/>
          </w:tcPr>
          <w:p>
            <w:r>
              <w:rPr>
                <w:sz w:val="17"/>
              </w:rPr>
              <w:t>J+4  ⭐</w:t>
            </w:r>
          </w:p>
        </w:tc>
        <w:tc>
          <w:tcPr>
            <w:tcW w:type="dxa" w:w="1440"/>
            <w:shd w:fill="C6EFCE" w:val="clear"/>
          </w:tcPr>
          <w:p>
            <w:r>
              <w:rPr>
                <w:sz w:val="17"/>
              </w:rPr>
              <w:t>2026-09-14</w:t>
            </w:r>
          </w:p>
        </w:tc>
        <w:tc>
          <w:tcPr>
            <w:tcW w:type="dxa" w:w="1440"/>
            <w:shd w:fill="C6EFCE" w:val="clear"/>
          </w:tcPr>
          <w:p>
            <w:r>
              <w:rPr>
                <w:sz w:val="17"/>
              </w:rPr>
              <w:t>7,870</w:t>
            </w:r>
          </w:p>
        </w:tc>
        <w:tc>
          <w:tcPr>
            <w:tcW w:type="dxa" w:w="1440"/>
            <w:shd w:fill="C6EFCE" w:val="clear"/>
          </w:tcPr>
          <w:p>
            <w:r>
              <w:rPr>
                <w:b/>
                <w:sz w:val="17"/>
              </w:rPr>
              <w:t>8,962</w:t>
            </w:r>
          </w:p>
        </w:tc>
        <w:tc>
          <w:tcPr>
            <w:tcW w:type="dxa" w:w="1440"/>
            <w:shd w:fill="C6EFCE" w:val="clear"/>
          </w:tcPr>
          <w:p>
            <w:r>
              <w:rPr>
                <w:sz w:val="17"/>
              </w:rPr>
              <w:t>10,055</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2026-09-15</w:t>
            </w:r>
          </w:p>
        </w:tc>
        <w:tc>
          <w:tcPr>
            <w:tcW w:type="dxa" w:w="1440"/>
            <w:shd w:fill="C6EFCE" w:val="clear"/>
          </w:tcPr>
          <w:p>
            <w:r>
              <w:rPr>
                <w:sz w:val="17"/>
              </w:rPr>
              <w:t>7,709</w:t>
            </w:r>
          </w:p>
        </w:tc>
        <w:tc>
          <w:tcPr>
            <w:tcW w:type="dxa" w:w="1440"/>
            <w:shd w:fill="C6EFCE" w:val="clear"/>
          </w:tcPr>
          <w:p>
            <w:r>
              <w:rPr>
                <w:b/>
                <w:sz w:val="17"/>
              </w:rPr>
              <w:t>8,925</w:t>
            </w:r>
          </w:p>
        </w:tc>
        <w:tc>
          <w:tcPr>
            <w:tcW w:type="dxa" w:w="1440"/>
            <w:shd w:fill="C6EFCE" w:val="clear"/>
          </w:tcPr>
          <w:p>
            <w:r>
              <w:rPr>
                <w:sz w:val="17"/>
              </w:rPr>
              <w:t>10,141</w:t>
            </w:r>
          </w:p>
        </w:tc>
        <w:tc>
          <w:tcPr>
            <w:tcW w:type="dxa" w:w="1440"/>
            <w:shd w:fill="C6EFCE" w:val="clear"/>
          </w:tcPr>
          <w:p>
            <w:r>
              <w:rPr>
                <w:b/>
                <w:color w:val="008000"/>
                <w:sz w:val="17"/>
              </w:rPr>
              <w:t>+4.1%</w:t>
            </w:r>
          </w:p>
        </w:tc>
      </w:tr>
      <w:tr>
        <w:tc>
          <w:tcPr>
            <w:tcW w:type="dxa" w:w="1440"/>
            <w:shd w:fill="C6EFCE" w:val="clear"/>
          </w:tcPr>
          <w:p>
            <w:r>
              <w:rPr>
                <w:sz w:val="17"/>
              </w:rPr>
              <w:t>J+6  ⭐</w:t>
            </w:r>
          </w:p>
        </w:tc>
        <w:tc>
          <w:tcPr>
            <w:tcW w:type="dxa" w:w="1440"/>
            <w:shd w:fill="C6EFCE" w:val="clear"/>
          </w:tcPr>
          <w:p>
            <w:r>
              <w:rPr>
                <w:sz w:val="17"/>
              </w:rPr>
              <w:t>2026-09-16</w:t>
            </w:r>
          </w:p>
        </w:tc>
        <w:tc>
          <w:tcPr>
            <w:tcW w:type="dxa" w:w="1440"/>
            <w:shd w:fill="C6EFCE" w:val="clear"/>
          </w:tcPr>
          <w:p>
            <w:r>
              <w:rPr>
                <w:sz w:val="17"/>
              </w:rPr>
              <w:t>7,561</w:t>
            </w:r>
          </w:p>
        </w:tc>
        <w:tc>
          <w:tcPr>
            <w:tcW w:type="dxa" w:w="1440"/>
            <w:shd w:fill="C6EFCE" w:val="clear"/>
          </w:tcPr>
          <w:p>
            <w:r>
              <w:rPr>
                <w:b/>
                <w:sz w:val="17"/>
              </w:rPr>
              <w:t>8,888</w:t>
            </w:r>
          </w:p>
        </w:tc>
        <w:tc>
          <w:tcPr>
            <w:tcW w:type="dxa" w:w="1440"/>
            <w:shd w:fill="C6EFCE" w:val="clear"/>
          </w:tcPr>
          <w:p>
            <w:r>
              <w:rPr>
                <w:sz w:val="17"/>
              </w:rPr>
              <w:t>10,215</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2026-09-17</w:t>
            </w:r>
          </w:p>
        </w:tc>
        <w:tc>
          <w:tcPr>
            <w:tcW w:type="dxa" w:w="1440"/>
            <w:shd w:fill="C6EFCE" w:val="clear"/>
          </w:tcPr>
          <w:p>
            <w:r>
              <w:rPr>
                <w:sz w:val="17"/>
              </w:rPr>
              <w:t>7,425</w:t>
            </w:r>
          </w:p>
        </w:tc>
        <w:tc>
          <w:tcPr>
            <w:tcW w:type="dxa" w:w="1440"/>
            <w:shd w:fill="C6EFCE" w:val="clear"/>
          </w:tcPr>
          <w:p>
            <w:r>
              <w:rPr>
                <w:b/>
                <w:sz w:val="17"/>
              </w:rPr>
              <w:t>8,852</w:t>
            </w:r>
          </w:p>
        </w:tc>
        <w:tc>
          <w:tcPr>
            <w:tcW w:type="dxa" w:w="1440"/>
            <w:shd w:fill="C6EFCE" w:val="clear"/>
          </w:tcPr>
          <w:p>
            <w:r>
              <w:rPr>
                <w:sz w:val="17"/>
              </w:rPr>
              <w:t>10,279</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2026-09-18</w:t>
            </w:r>
          </w:p>
        </w:tc>
        <w:tc>
          <w:tcPr>
            <w:tcW w:type="dxa" w:w="1440"/>
            <w:shd w:fill="C6EFCE" w:val="clear"/>
          </w:tcPr>
          <w:p>
            <w:r>
              <w:rPr>
                <w:sz w:val="17"/>
              </w:rPr>
              <w:t>7,297</w:t>
            </w:r>
          </w:p>
        </w:tc>
        <w:tc>
          <w:tcPr>
            <w:tcW w:type="dxa" w:w="1440"/>
            <w:shd w:fill="C6EFCE" w:val="clear"/>
          </w:tcPr>
          <w:p>
            <w:r>
              <w:rPr>
                <w:b/>
                <w:sz w:val="17"/>
              </w:rPr>
              <w:t>8,817</w:t>
            </w:r>
          </w:p>
        </w:tc>
        <w:tc>
          <w:tcPr>
            <w:tcW w:type="dxa" w:w="1440"/>
            <w:shd w:fill="C6EFCE" w:val="clear"/>
          </w:tcPr>
          <w:p>
            <w:r>
              <w:rPr>
                <w:sz w:val="17"/>
              </w:rPr>
              <w:t>10,336</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2026-09-21</w:t>
            </w:r>
          </w:p>
        </w:tc>
        <w:tc>
          <w:tcPr>
            <w:tcW w:type="dxa" w:w="1440"/>
            <w:shd w:fill="C6EFCE" w:val="clear"/>
          </w:tcPr>
          <w:p>
            <w:r>
              <w:rPr>
                <w:sz w:val="17"/>
              </w:rPr>
              <w:t>7,177</w:t>
            </w:r>
          </w:p>
        </w:tc>
        <w:tc>
          <w:tcPr>
            <w:tcW w:type="dxa" w:w="1440"/>
            <w:shd w:fill="C6EFCE" w:val="clear"/>
          </w:tcPr>
          <w:p>
            <w:r>
              <w:rPr>
                <w:b/>
                <w:sz w:val="17"/>
              </w:rPr>
              <w:t>8,782</w:t>
            </w:r>
          </w:p>
        </w:tc>
        <w:tc>
          <w:tcPr>
            <w:tcW w:type="dxa" w:w="1440"/>
            <w:shd w:fill="C6EFCE" w:val="clear"/>
          </w:tcPr>
          <w:p>
            <w:r>
              <w:rPr>
                <w:sz w:val="17"/>
              </w:rPr>
              <w:t>10,388</w:t>
            </w:r>
          </w:p>
        </w:tc>
        <w:tc>
          <w:tcPr>
            <w:tcW w:type="dxa" w:w="1440"/>
            <w:shd w:fill="C6EFCE" w:val="clear"/>
          </w:tcPr>
          <w:p>
            <w:r>
              <w:rPr>
                <w:b/>
                <w:color w:val="008000"/>
                <w:sz w:val="17"/>
              </w:rPr>
              <w:t>+2.4%</w:t>
            </w:r>
          </w:p>
        </w:tc>
      </w:tr>
      <w:tr>
        <w:tc>
          <w:tcPr>
            <w:tcW w:type="dxa" w:w="1440"/>
            <w:shd w:fill="C6EFCE" w:val="clear"/>
          </w:tcPr>
          <w:p>
            <w:r>
              <w:rPr>
                <w:sz w:val="17"/>
              </w:rPr>
              <w:t>J+10  ⭐</w:t>
            </w:r>
          </w:p>
        </w:tc>
        <w:tc>
          <w:tcPr>
            <w:tcW w:type="dxa" w:w="1440"/>
            <w:shd w:fill="C6EFCE" w:val="clear"/>
          </w:tcPr>
          <w:p>
            <w:r>
              <w:rPr>
                <w:sz w:val="17"/>
              </w:rPr>
              <w:t>2026-09-22</w:t>
            </w:r>
          </w:p>
        </w:tc>
        <w:tc>
          <w:tcPr>
            <w:tcW w:type="dxa" w:w="1440"/>
            <w:shd w:fill="C6EFCE" w:val="clear"/>
          </w:tcPr>
          <w:p>
            <w:r>
              <w:rPr>
                <w:sz w:val="17"/>
              </w:rPr>
              <w:t>7,063</w:t>
            </w:r>
          </w:p>
        </w:tc>
        <w:tc>
          <w:tcPr>
            <w:tcW w:type="dxa" w:w="1440"/>
            <w:shd w:fill="C6EFCE" w:val="clear"/>
          </w:tcPr>
          <w:p>
            <w:r>
              <w:rPr>
                <w:b/>
                <w:sz w:val="17"/>
              </w:rPr>
              <w:t>8,749</w:t>
            </w:r>
          </w:p>
        </w:tc>
        <w:tc>
          <w:tcPr>
            <w:tcW w:type="dxa" w:w="1440"/>
            <w:shd w:fill="C6EFCE" w:val="clear"/>
          </w:tcPr>
          <w:p>
            <w:r>
              <w:rPr>
                <w:sz w:val="17"/>
              </w:rPr>
              <w:t>10,435</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219,16 milliards FCFA, un niveau significatif qui la positionne parmi les valeurs moyennes à grandes capitalisations de la BRVM, reflétant son statut de leader dans le secteur du caoutchouc naturel en Afrique de l'Ouest. Le BPA de 977 FCFA indique que chaque action génère un bénéfice substantiel, justifiant un PER de 8,8x, inférieur à la moyenne historique de la BRVM (8-12x), ce qui suggère une sous-évaluation relative du titre par rapport à ses pairs. Le P/B de 1,59x montre que le marché valorise l'entreprise à environ 1,6 fois sa valeur comptable, une décote raisonnable pour une société affichant un ROE supérieur à 18%, indiquant que les investisseurs n'intègrent pas pleinement la qualité de la rentabilité des fonds propres. Enfin, l'EV/EBITDA de 5,4x, situé dans la fourchette basse des 5-10x jugés raisonnables, confirme que la valeur d'entreprise reste attractive par rapport à la capacité bénéficiaire opérationnelle, renforçant l'hypothèse d'un potentiel de revalorisation.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affiche une progression totale de +15,96%, mais la dernière séance enregistre un recul marqué de -7,45%, illustrant une volatilité intraday significative. Le cours a évolué dans un range de 6,720 à 10,300 FCFA, avec un prix actuel de 8,575 FCFA, se situant à mi-chemin entre ces extrêmes, ce qui témoigne d'une tendance haussière de fond mais ponctuée de corrections brutales. La moyenne de 7,733 FCFA est inférieure à la médiane de 7,540 FCFA, et le skewness positif de 1,557 indique une distribution asymétrique avec davantage de journées sous la moyenne, mais des pics occasionnels très élevés. L'écart-type de 810 FCFA (CV=10,5%) révèle une dispersion modérée, tandis que le kurtosis excédentaire de 1,750 signale un risque de mouvements extrêmes, confirmé par la volatilité annualisée de 43,8%, classée comme élevée (&gt;30%), ce qui exige une gestion prudente du risque pour les investisseurs.</w:t>
      </w:r>
    </w:p>
    <w:p>
      <w:pPr>
        <w:spacing w:after="120" w:line="276" w:lineRule="auto" w:before="240"/>
      </w:pPr>
      <w:r>
        <w:rPr>
          <w:b/>
          <w:color w:val="003366"/>
          <w:sz w:val="24"/>
        </w:rPr>
        <w:t>**PARTIE 2 : ANALYSE TECHNIQUE DÉTAILLÉE**</w:t>
      </w:r>
    </w:p>
    <w:p>
      <w:pPr>
        <w:spacing w:after="120" w:line="276" w:lineRule="auto"/>
      </w:pPr>
      <w:r>
        <w:t>**Moyennes Mobiles**: La MM20 à 9,099 FCFA est nettement supérieure à la MM50 à 8,196,5 FCFA, et le cours actuel de 8,575 FCFA se situe entre ces deux moyennes, sous la MM20 mais au-dessus de la MM50. Cette configuration suggère une tendance haussière à moyen terme, mais un essoufflement à court terme, justifiant la décision d'Achat avec prudence.</w:t>
      </w:r>
    </w:p>
    <w:p>
      <w:pPr>
        <w:spacing w:after="120" w:line="276" w:lineRule="auto"/>
      </w:pPr>
      <w:r>
        <w:t>**Bandes de Bollinger**: Le prix à 8,575 FCFA se positionne dans la moitié inférieure du canal formé par les bornes (7,584 à 10,613 FCFA), indiquant une pression vendeuse récente sans atteindre la borne inférieure. La largeur des bandes reflète une volatilité élevée, et la décision Neutre est cohérente avec une absence de signal directionnel fort.</w:t>
      </w:r>
    </w:p>
    <w:p>
      <w:pPr>
        <w:spacing w:after="120" w:line="276" w:lineRule="auto"/>
      </w:pPr>
      <w:r>
        <w:t>**MACD**: La valeur du MACD à 423,155 est inférieure à son signal à 493,111, montrant un momentum baissier à court terme malgré des valeurs positives. Cette divergence négative suggère un ralentissement de la dynamique haussière, justifiant la décision de Vente.</w:t>
      </w:r>
    </w:p>
    <w:p>
      <w:pPr>
        <w:spacing w:after="120" w:line="276" w:lineRule="auto"/>
      </w:pPr>
      <w:r>
        <w:t>**RSI**: À 45,812, le RSI se situe dans la zone neutre (30-70), indiquant un équilibre entre pressions acheteuses et vendeuses sans surachat ni survente. La décision Neutre est appropriée, laissant place à une évolution dans les deux sens.</w:t>
      </w:r>
    </w:p>
    <w:p>
      <w:pPr>
        <w:spacing w:after="120" w:line="276" w:lineRule="auto"/>
      </w:pPr>
      <w:r>
        <w:t>**Stochastique**: Le %K à 0,0 est extrêmement bas, bien en dessous du %D à 36,299, signalant une condition de survente sévère qui pourrait précéder un rebond technique. La décision d'Achat suggère que le marché anticipe une correction haussière imminente.</w:t>
      </w:r>
    </w:p>
    <w:p>
      <w:pPr>
        <w:spacing w:after="120" w:line="276" w:lineRule="auto"/>
      </w:pPr>
      <w:r>
        <w:t>La conclusion technique est mitigée : si les moyennes mobiles et le stochastique plaident pour un achat, le MACD et le RSI neutre indiquent une consolidation. La forte divergence entre le %K et le %D pourrait déclencher un rebond technique à court terme, mais la prudence reste de mise.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SPHC montrent un chiffre d'affaires de 340,831 milliards FCFA, en hausse de 22% par rapport à 2024 (279,44 milliards), avec un résultat net de 24,972 milliards FCFA, soit une progression de 32,9% (source : rapport annuel 2025, analysé en mars 2026). Le ROE atteint 18,1% et le ROA 11,1%, des niveaux excellents pour une entreprise non bancaire, tandis que la marge nette s'améliore à 7,3%. Le BFR de 65,389 milliards FCFA et les délais clients de 35 jours avec une durée de stockage de 72 jours indiquent une gestion opérationnelle correcte, mais la trésorerie nette négative de -15,413 milliards FCFA reste un point de vigilance. Sur la base du rapport T1 2026 (publié en 2026), qui montre un CA de 71,8 milliards FCFA (-24%) et un résultat net de 2,6 milliards (-78%) en raison de la chute des cours mondiaux et de l'engorgement portuaire, on estime que l'exercice 2026 pourrait être difficile, avec une possible contraction de 15-20% du résultat net annuel. Les rapports trimestriels 2025 (T1 à +72%, S1 à +51%, 9 mois à +36%) confirment une décélération progressive, et le rapport T1 2026 suggère une normalisation à la baisse, justifiant une recommandation fondamentale de CONSERVER avec surveillance.</w:t>
      </w:r>
    </w:p>
    <w:p>
      <w:pPr>
        <w:spacing w:after="120" w:line="276" w:lineRule="auto" w:before="240"/>
      </w:pPr>
      <w:r>
        <w:rPr>
          <w:b/>
          <w:color w:val="003366"/>
          <w:sz w:val="24"/>
        </w:rPr>
        <w:t>**PARTIE 4 : CONCLUSION D'INVESTISSEMENT**</w:t>
      </w:r>
    </w:p>
    <w:p>
      <w:pPr>
        <w:spacing w:after="120" w:line="276" w:lineRule="auto"/>
      </w:pPr>
      <w:r>
        <w:t>La valorisation de SPHC (PER 8,8x, P/B 1,59x, EV/EBITDA 5,4x) indique une sous-évaluation relative, mais le comportement du cours, avec une volatilité annualisée de 43,8% et un kurtosis élevé, signale un risque de pics baissiers, comme illustré par la chute de -7,45% à J-1. Les signaux techniques sont divergents : les moyennes mobiles et le stochastique suggèrent un achat, tandis que le MACD et le RSI neutre plaident pour une consolidation, créant une incertitude directionnelle. Les fondamentaux 2025 sont solides (CA +22%, résultat net +32,9%, ROE 18,1%), mais les estimations 2026 basées sur le T1 (-78% du résultat net) indiquent un ralentissement marqué. Les prédictions IA (9,082 à 8,925 FCFA sur J+1 à J+10) montrent une légère hausse initiale puis une stabilisation, contredisant partiellement le signal de survente du stochastique. En synthèse, je recommande **CONSERVER** avec un niveau de confiance **Moyen**, un risque global **Élevé** (volatilité et dépendance aux cours du caoutchouc), et un horizon d'investissement optimal à **moyen terme (3-12 mois)** pour observer la reprise des cours mondiaux et la résolution des tensions logistiques avant d'envisager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33.60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6,097 titres</w:t>
            </w:r>
          </w:p>
        </w:tc>
        <w:tc>
          <w:tcPr>
            <w:tcW w:type="dxa" w:w="2268"/>
            <w:shd w:fill="FFF2CC" w:val="clear"/>
          </w:tcPr>
          <w:p>
            <w:r>
              <w:rPr>
                <w:b/>
                <w:color w:val="503200"/>
                <w:sz w:val="16"/>
              </w:rPr>
              <w:t xml:space="preserve">Cours actuel : </w:t>
            </w:r>
            <w:r>
              <w:rPr>
                <w:color w:val="000000"/>
                <w:sz w:val="17"/>
              </w:rPr>
              <w:t>2,500 FCFA</w:t>
            </w:r>
          </w:p>
          <w:p>
            <w:r>
              <w:rPr>
                <w:b/>
                <w:color w:val="503200"/>
                <w:sz w:val="16"/>
              </w:rPr>
              <w:t xml:space="preserve">Var. 100 jours : </w:t>
            </w:r>
            <w:r>
              <w:rPr>
                <w:b/>
                <w:color w:val="B40000"/>
                <w:sz w:val="17"/>
              </w:rPr>
              <w:t>-22.84%</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10.78% (Moyenne) — μ=2,973 FCFA, σ=320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β=-0.7241 (Contre-cyclique) — Cov=-0.000026, Var(idx)=0.000036, ρ=-0.117,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σ_j=3.72%/j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2026-09-09</w:t>
            </w:r>
          </w:p>
        </w:tc>
        <w:tc>
          <w:tcPr>
            <w:tcW w:type="dxa" w:w="1440"/>
            <w:shd w:fill="FFDCE0" w:val="clear"/>
          </w:tcPr>
          <w:p>
            <w:r>
              <w:rPr>
                <w:sz w:val="17"/>
              </w:rPr>
              <w:t>2,234</w:t>
            </w:r>
          </w:p>
        </w:tc>
        <w:tc>
          <w:tcPr>
            <w:tcW w:type="dxa" w:w="1440"/>
            <w:shd w:fill="FFDCE0" w:val="clear"/>
          </w:tcPr>
          <w:p>
            <w:r>
              <w:rPr>
                <w:b/>
                <w:sz w:val="17"/>
              </w:rPr>
              <w:t>2,347</w:t>
            </w:r>
          </w:p>
        </w:tc>
        <w:tc>
          <w:tcPr>
            <w:tcW w:type="dxa" w:w="1440"/>
            <w:shd w:fill="FFDCE0" w:val="clear"/>
          </w:tcPr>
          <w:p>
            <w:r>
              <w:rPr>
                <w:sz w:val="17"/>
              </w:rPr>
              <w:t>2,460</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2026-09-10</w:t>
            </w:r>
          </w:p>
        </w:tc>
        <w:tc>
          <w:tcPr>
            <w:tcW w:type="dxa" w:w="1440"/>
            <w:shd w:fill="FFDCE0" w:val="clear"/>
          </w:tcPr>
          <w:p>
            <w:r>
              <w:rPr>
                <w:sz w:val="17"/>
              </w:rPr>
              <w:t>2,069</w:t>
            </w:r>
          </w:p>
        </w:tc>
        <w:tc>
          <w:tcPr>
            <w:tcW w:type="dxa" w:w="1440"/>
            <w:shd w:fill="FFDCE0" w:val="clear"/>
          </w:tcPr>
          <w:p>
            <w:r>
              <w:rPr>
                <w:b/>
                <w:sz w:val="17"/>
              </w:rPr>
              <w:t>2,220</w:t>
            </w:r>
          </w:p>
        </w:tc>
        <w:tc>
          <w:tcPr>
            <w:tcW w:type="dxa" w:w="1440"/>
            <w:shd w:fill="FFDCE0" w:val="clear"/>
          </w:tcPr>
          <w:p>
            <w:r>
              <w:rPr>
                <w:sz w:val="17"/>
              </w:rPr>
              <w:t>2,371</w:t>
            </w:r>
          </w:p>
        </w:tc>
        <w:tc>
          <w:tcPr>
            <w:tcW w:type="dxa" w:w="1440"/>
            <w:shd w:fill="FFDCE0" w:val="clear"/>
          </w:tcPr>
          <w:p>
            <w:r>
              <w:rPr>
                <w:b/>
                <w:color w:val="C00000"/>
                <w:sz w:val="17"/>
              </w:rPr>
              <w:t>-11.2%</w:t>
            </w:r>
          </w:p>
        </w:tc>
      </w:tr>
      <w:tr>
        <w:tc>
          <w:tcPr>
            <w:tcW w:type="dxa" w:w="1440"/>
            <w:shd w:fill="FFDCE0" w:val="clear"/>
          </w:tcPr>
          <w:p>
            <w:r>
              <w:rPr>
                <w:sz w:val="17"/>
              </w:rPr>
              <w:t>J+3  Moyenne</w:t>
            </w:r>
          </w:p>
        </w:tc>
        <w:tc>
          <w:tcPr>
            <w:tcW w:type="dxa" w:w="1440"/>
            <w:shd w:fill="FFDCE0" w:val="clear"/>
          </w:tcPr>
          <w:p>
            <w:r>
              <w:rPr>
                <w:sz w:val="17"/>
              </w:rPr>
              <w:t>2026-09-11</w:t>
            </w:r>
          </w:p>
        </w:tc>
        <w:tc>
          <w:tcPr>
            <w:tcW w:type="dxa" w:w="1440"/>
            <w:shd w:fill="FFDCE0" w:val="clear"/>
          </w:tcPr>
          <w:p>
            <w:r>
              <w:rPr>
                <w:sz w:val="17"/>
              </w:rPr>
              <w:t>1,916</w:t>
            </w:r>
          </w:p>
        </w:tc>
        <w:tc>
          <w:tcPr>
            <w:tcW w:type="dxa" w:w="1440"/>
            <w:shd w:fill="FFDCE0" w:val="clear"/>
          </w:tcPr>
          <w:p>
            <w:r>
              <w:rPr>
                <w:b/>
                <w:sz w:val="17"/>
              </w:rPr>
              <w:t>2,091</w:t>
            </w:r>
          </w:p>
        </w:tc>
        <w:tc>
          <w:tcPr>
            <w:tcW w:type="dxa" w:w="1440"/>
            <w:shd w:fill="FFDCE0" w:val="clear"/>
          </w:tcPr>
          <w:p>
            <w:r>
              <w:rPr>
                <w:sz w:val="17"/>
              </w:rPr>
              <w:t>2,265</w:t>
            </w:r>
          </w:p>
        </w:tc>
        <w:tc>
          <w:tcPr>
            <w:tcW w:type="dxa" w:w="1440"/>
            <w:shd w:fill="FFDCE0" w:val="clear"/>
          </w:tcPr>
          <w:p>
            <w:r>
              <w:rPr>
                <w:b/>
                <w:color w:val="C00000"/>
                <w:sz w:val="17"/>
              </w:rPr>
              <w:t>-16.4%</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1,784</w:t>
            </w:r>
          </w:p>
        </w:tc>
        <w:tc>
          <w:tcPr>
            <w:tcW w:type="dxa" w:w="1440"/>
            <w:shd w:fill="FFDCE0" w:val="clear"/>
          </w:tcPr>
          <w:p>
            <w:r>
              <w:rPr>
                <w:b/>
                <w:sz w:val="17"/>
              </w:rPr>
              <w:t>1,975</w:t>
            </w:r>
          </w:p>
        </w:tc>
        <w:tc>
          <w:tcPr>
            <w:tcW w:type="dxa" w:w="1440"/>
            <w:shd w:fill="FFDCE0" w:val="clear"/>
          </w:tcPr>
          <w:p>
            <w:r>
              <w:rPr>
                <w:sz w:val="17"/>
              </w:rPr>
              <w:t>2,165</w:t>
            </w:r>
          </w:p>
        </w:tc>
        <w:tc>
          <w:tcPr>
            <w:tcW w:type="dxa" w:w="1440"/>
            <w:shd w:fill="FFDCE0" w:val="clear"/>
          </w:tcPr>
          <w:p>
            <w:r>
              <w:rPr>
                <w:b/>
                <w:color w:val="C00000"/>
                <w:sz w:val="17"/>
              </w:rPr>
              <w:t>-21.0%</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1,674</w:t>
            </w:r>
          </w:p>
        </w:tc>
        <w:tc>
          <w:tcPr>
            <w:tcW w:type="dxa" w:w="1440"/>
            <w:shd w:fill="FFDCE0" w:val="clear"/>
          </w:tcPr>
          <w:p>
            <w:r>
              <w:rPr>
                <w:b/>
                <w:sz w:val="17"/>
              </w:rPr>
              <w:t>1,877</w:t>
            </w:r>
          </w:p>
        </w:tc>
        <w:tc>
          <w:tcPr>
            <w:tcW w:type="dxa" w:w="1440"/>
            <w:shd w:fill="FFDCE0" w:val="clear"/>
          </w:tcPr>
          <w:p>
            <w:r>
              <w:rPr>
                <w:sz w:val="17"/>
              </w:rPr>
              <w:t>2,079</w:t>
            </w:r>
          </w:p>
        </w:tc>
        <w:tc>
          <w:tcPr>
            <w:tcW w:type="dxa" w:w="1440"/>
            <w:shd w:fill="FFDCE0" w:val="clear"/>
          </w:tcPr>
          <w:p>
            <w:r>
              <w:rPr>
                <w:b/>
                <w:color w:val="C00000"/>
                <w:sz w:val="17"/>
              </w:rPr>
              <w:t>-24.9%</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1,583</w:t>
            </w:r>
          </w:p>
        </w:tc>
        <w:tc>
          <w:tcPr>
            <w:tcW w:type="dxa" w:w="1440"/>
            <w:shd w:fill="FFDCE0" w:val="clear"/>
          </w:tcPr>
          <w:p>
            <w:r>
              <w:rPr>
                <w:b/>
                <w:sz w:val="17"/>
              </w:rPr>
              <w:t>1,795</w:t>
            </w:r>
          </w:p>
        </w:tc>
        <w:tc>
          <w:tcPr>
            <w:tcW w:type="dxa" w:w="1440"/>
            <w:shd w:fill="FFDCE0" w:val="clear"/>
          </w:tcPr>
          <w:p>
            <w:r>
              <w:rPr>
                <w:sz w:val="17"/>
              </w:rPr>
              <w:t>2,007</w:t>
            </w:r>
          </w:p>
        </w:tc>
        <w:tc>
          <w:tcPr>
            <w:tcW w:type="dxa" w:w="1440"/>
            <w:shd w:fill="FFDCE0" w:val="clear"/>
          </w:tcPr>
          <w:p>
            <w:r>
              <w:rPr>
                <w:b/>
                <w:color w:val="C00000"/>
                <w:sz w:val="17"/>
              </w:rPr>
              <w:t>-28.2%</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1,507</w:t>
            </w:r>
          </w:p>
        </w:tc>
        <w:tc>
          <w:tcPr>
            <w:tcW w:type="dxa" w:w="1440"/>
            <w:shd w:fill="FFDCE0" w:val="clear"/>
          </w:tcPr>
          <w:p>
            <w:r>
              <w:rPr>
                <w:b/>
                <w:sz w:val="17"/>
              </w:rPr>
              <w:t>1,728</w:t>
            </w:r>
          </w:p>
        </w:tc>
        <w:tc>
          <w:tcPr>
            <w:tcW w:type="dxa" w:w="1440"/>
            <w:shd w:fill="FFDCE0" w:val="clear"/>
          </w:tcPr>
          <w:p>
            <w:r>
              <w:rPr>
                <w:sz w:val="17"/>
              </w:rPr>
              <w:t>1,948</w:t>
            </w:r>
          </w:p>
        </w:tc>
        <w:tc>
          <w:tcPr>
            <w:tcW w:type="dxa" w:w="1440"/>
            <w:shd w:fill="FFDCE0" w:val="clear"/>
          </w:tcPr>
          <w:p>
            <w:r>
              <w:rPr>
                <w:b/>
                <w:color w:val="C00000"/>
                <w:sz w:val="17"/>
              </w:rPr>
              <w:t>-30.9%</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1,443</w:t>
            </w:r>
          </w:p>
        </w:tc>
        <w:tc>
          <w:tcPr>
            <w:tcW w:type="dxa" w:w="1440"/>
            <w:shd w:fill="FFDCE0" w:val="clear"/>
          </w:tcPr>
          <w:p>
            <w:r>
              <w:rPr>
                <w:b/>
                <w:sz w:val="17"/>
              </w:rPr>
              <w:t>1,671</w:t>
            </w:r>
          </w:p>
        </w:tc>
        <w:tc>
          <w:tcPr>
            <w:tcW w:type="dxa" w:w="1440"/>
            <w:shd w:fill="FFDCE0" w:val="clear"/>
          </w:tcPr>
          <w:p>
            <w:r>
              <w:rPr>
                <w:sz w:val="17"/>
              </w:rPr>
              <w:t>1,899</w:t>
            </w:r>
          </w:p>
        </w:tc>
        <w:tc>
          <w:tcPr>
            <w:tcW w:type="dxa" w:w="1440"/>
            <w:shd w:fill="FFDCE0" w:val="clear"/>
          </w:tcPr>
          <w:p>
            <w:r>
              <w:rPr>
                <w:b/>
                <w:color w:val="C00000"/>
                <w:sz w:val="17"/>
              </w:rPr>
              <w:t>-33.2%</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1,388</w:t>
            </w:r>
          </w:p>
        </w:tc>
        <w:tc>
          <w:tcPr>
            <w:tcW w:type="dxa" w:w="1440"/>
            <w:shd w:fill="FFDCE0" w:val="clear"/>
          </w:tcPr>
          <w:p>
            <w:r>
              <w:rPr>
                <w:b/>
                <w:sz w:val="17"/>
              </w:rPr>
              <w:t>1,623</w:t>
            </w:r>
          </w:p>
        </w:tc>
        <w:tc>
          <w:tcPr>
            <w:tcW w:type="dxa" w:w="1440"/>
            <w:shd w:fill="FFDCE0" w:val="clear"/>
          </w:tcPr>
          <w:p>
            <w:r>
              <w:rPr>
                <w:sz w:val="17"/>
              </w:rPr>
              <w:t>1,858</w:t>
            </w:r>
          </w:p>
        </w:tc>
        <w:tc>
          <w:tcPr>
            <w:tcW w:type="dxa" w:w="1440"/>
            <w:shd w:fill="FFDCE0" w:val="clear"/>
          </w:tcPr>
          <w:p>
            <w:r>
              <w:rPr>
                <w:b/>
                <w:color w:val="C00000"/>
                <w:sz w:val="17"/>
              </w:rPr>
              <w:t>-35.1%</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1,340</w:t>
            </w:r>
          </w:p>
        </w:tc>
        <w:tc>
          <w:tcPr>
            <w:tcW w:type="dxa" w:w="1440"/>
            <w:shd w:fill="FFDCE0" w:val="clear"/>
          </w:tcPr>
          <w:p>
            <w:r>
              <w:rPr>
                <w:b/>
                <w:sz w:val="17"/>
              </w:rPr>
              <w:t>1,581</w:t>
            </w:r>
          </w:p>
        </w:tc>
        <w:tc>
          <w:tcPr>
            <w:tcW w:type="dxa" w:w="1440"/>
            <w:shd w:fill="FFDCE0" w:val="clear"/>
          </w:tcPr>
          <w:p>
            <w:r>
              <w:rPr>
                <w:sz w:val="17"/>
              </w:rPr>
              <w:t>1,822</w:t>
            </w:r>
          </w:p>
        </w:tc>
        <w:tc>
          <w:tcPr>
            <w:tcW w:type="dxa" w:w="1440"/>
            <w:shd w:fill="FFDCE0" w:val="clear"/>
          </w:tcPr>
          <w:p>
            <w:r>
              <w:rPr>
                <w:b/>
                <w:color w:val="C00000"/>
                <w:sz w:val="17"/>
              </w:rPr>
              <w:t>-36.8%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Absolument. Voici un rapport d'analyse structuré et professionnel sur l'action STAC (SETAO) à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33,60 milliards FCFA, un niveau relativement modeste sur la BRVM, reflétant sa situation de petite capitalisation. Le BPA est négatif à -7 FCFA, indiquant que la société est déficitaire et que chaque action détruirait de la valeur sur la base des derniers résultats annuels. Le PER est logiquement négatif (-348x), ce qui rend ce ratio non pertinent pour évaluer la société, aucun bénéfice n'étant généré. Le P/B est extrêmement élevé à 94,18x, signifiant que le marché valorise l'action à près de 94 fois sa valeur comptable. Cette prime considérable est injustifiable sur des critères purement comptables et reflète des anticipations de redressement très optimistes, ou une spéculation sur un actif ou un contrat spécifique. Les ratios EV/EBITDA ne sont pas pertinents ici, l'EBITDA étant négatif.</w:t>
      </w:r>
    </w:p>
    <w:p>
      <w:pPr>
        <w:spacing w:after="120" w:line="276" w:lineRule="auto"/>
      </w:pPr>
      <w:r>
        <w:t>### **PARTIE 1 : ANALYSE DU COURS — STATISTIQUES ET ÉVOLUTION (100 derniers jours)**</w:t>
      </w:r>
    </w:p>
    <w:p>
      <w:pPr>
        <w:spacing w:after="120" w:line="276" w:lineRule="auto"/>
      </w:pPr>
      <w:r>
        <w:t>Sur les 100 derniers jours, l'action STAC a subi une dépréciation sévère de -22,84%, avec une dernière séance également en baisse de -1,57% à 2 500 FCFA. Le titre a évolué dans une fourchette large de 2 500 à 3 640 FCFA, démontrant une forte amplitude de trading. La tendance est clairement baissière, le cours testant actuellement ses plus bas sur la période. Les statistiques descriptives confirment cette faiblesse : la moyenne (2 973 FCFA) est supérieure à la médiane (2 928 FCFA), et le skewness positif (0.509) indique que les journées de baisse ont été plus fréquentes, tirant le cours vers le bas. L'écart-type de 322 FCFA (CV de 10,8%) montre une dispersion modérée autour de la moyenne. Le kurtosis négatif (-0.824) suggère une distribution mésokurtique, sans risque de variations extrêmes particulières. Enfin, la volatilité annualisée de 59,1% est très élevée, classant STAC comme un actif à haut risque, bien au-delà du seuil de 30%.</w:t>
      </w:r>
    </w:p>
    <w:p>
      <w:pPr>
        <w:spacing w:after="120" w:line="276" w:lineRule="auto"/>
      </w:pPr>
      <w:r>
        <w:t>### **PARTIE 2 : ANALYSE TECHNIQUE DÉTAILLÉE**</w:t>
      </w:r>
    </w:p>
    <w:p>
      <w:pPr>
        <w:spacing w:after="120" w:line="276" w:lineRule="auto"/>
      </w:pPr>
      <w:r>
        <w:t>**Moyennes Mobiles:** La MM20 (2 619,5 FCFA) et la MM50 (2 886,6 FCFA) sont toutes deux situées au-dessus du cours actuel de 2 500 FCFA. Cette configuration, où le prix est sous ses moyennes mobiles, est un signal baissier classique. La décision de "Vente" est justifiée par cette dynamique négative à court et moyen terme.</w:t>
      </w:r>
    </w:p>
    <w:p>
      <w:pPr>
        <w:spacing w:after="120" w:line="276" w:lineRule="auto"/>
      </w:pPr>
      <w:r>
        <w:t>**Bandes de Bollinger:** Le cours à 2 500 FCFA se positionne dans la moitié inférieure des bandes, proche de la borne inférieure (2 436,257 FCFA). Cela indique que le titre est dans une zone de survente relative, mais sans sortie franche de la bande. La décision "Neutre" est cohérente, car le marché n'a pas encore confirmé une cassure décisive, bien que la pression vendeuse soit palpable.</w:t>
      </w:r>
    </w:p>
    <w:p>
      <w:pPr>
        <w:spacing w:after="120" w:line="276" w:lineRule="auto"/>
      </w:pPr>
      <w:r>
        <w:t>**MACD:** Le MACD (-64.296) est négatif mais se situe au-dessus de sa ligne de signal (-73.385). Ce croisement haussier, bien que les deux valeurs soient en territoire négatif, suggère un ralentissement du momentum baissier. La décision "Achat" est un signal précoce de possible retournement, mais il doit être confirmé par une remontée du MACD vers la ligne zéro.</w:t>
      </w:r>
    </w:p>
    <w:p>
      <w:pPr>
        <w:spacing w:after="120" w:line="276" w:lineRule="auto"/>
      </w:pPr>
      <w:r>
        <w:t>**RSI:** Le RSI est à 47.945, ce qui le place en zone neutre (entre 30 et 70). Cela indique que le titre n'est ni suracheté ni survendu, et qu'il n'y a pas de pression directionnelle forte de ce point de vue. La décision "Neutre" est donc appropriée, reflétant l'absence de signal clair sur la dynamique des prix.</w:t>
      </w:r>
    </w:p>
    <w:p>
      <w:pPr>
        <w:spacing w:after="120" w:line="276" w:lineRule="auto"/>
      </w:pPr>
      <w:r>
        <w:t>**Stochastique:** Le %K est à 0.0 et le %D à 9.444, ce qui place l'indicateur en zone de survente extrême. Bien que la décision soit "Achat", cette configuration signale que le titre est très faible à court terme. Un rebond technique est possible, mais il serait probablement fragile sans un catalyseur fondamental.</w:t>
      </w:r>
    </w:p>
    <w:p>
      <w:pPr>
        <w:spacing w:after="120" w:line="276" w:lineRule="auto"/>
      </w:pPr>
      <w:r>
        <w:t>**Conclusion technique:** Les signaux techniques sont mitigés. La tendance de fond (moyennes mobiles) est baissière, mais les oscillateurs (MACD, Stochastique) suggèrent un épuisement de la pression vendeuse et un potentiel de rebond technique à très court terme. Le RSI neutre et les bandes de Bollinger ne fournissent pas de signal directionnel fort. La prudence reste de mise, car un rebond technique ne suffirait pas à inverser la tendance baissière de moyen terme.</w:t>
      </w:r>
    </w:p>
    <w:p>
      <w:pPr>
        <w:spacing w:after="120" w:line="276" w:lineRule="auto"/>
      </w:pPr>
      <w:r>
        <w:t>### **PARTIE 3 : ANALYSE FONDAMENTALE (SECTION CRITIQUE)**</w:t>
      </w:r>
    </w:p>
    <w:p>
      <w:pPr>
        <w:spacing w:after="120" w:line="276" w:lineRule="auto"/>
      </w:pPr>
      <w:r>
        <w:t>En 2025, les données financières annuelles de STAC révèlent une situation toujours en crise. Le chiffre d'affaires est de 3,878 milliards FCFA, mais la société enregistre une perte nette de -96,56 millions FCFA, avec une marge nette de -2,49%. Le ROE est très négatif à -27,07% et le ROA à -1,77%, indiquant une forte destruction de valeur. La structure financière est fragile avec une autonomie financière de seulement 6,55% et un ratio d'endettement de 93,45%. Cependant, le BFR est négatif (-930,47 M FCFA), ce qui est un point positif pour une entreprise de BTP, indiquant qu'elle finance son cycle d'exploitation grâce à ses fournisseurs. Les rapports trimestriels de 2025 montrent une forte reprise d'activité, portée par le chantier de l'aéroport d'Abidjan : le CA du 3e trimestre 2025 (cumul 9 mois) atteint 3,456 milliards FCFA, en hausse de +176% par rapport à 2024. Sur la base de ces rapports (T3 2025 et S1 2025), on estime que l'exercice 2025 devrait confirmer un CA autour de 4 milliards FCFA, comme prévu par la direction. Cependant, la rentabilité reste le point noir : la perte nette sur 9 mois était de -477 millions FCFA, bien que réduite de 22% par rapport à 2024. L'amélioration est réelle mais lente, et la société reste dépendante d'un seul grand projet. Historiquement, après des exercices 2020-2021 très rentables (RN de 2,3 Mds en 2020), la société a subi un effondrement en 2023-2024, et 2025 marque un début de redressement opérationnel, mais sans retour à la rentabilité nette.</w:t>
      </w:r>
    </w:p>
    <w:p>
      <w:pPr>
        <w:spacing w:after="120" w:line="276" w:lineRule="auto"/>
      </w:pPr>
      <w:r>
        <w:t>### **PARTIE 4 : CONCLUSION D'INVESTISSEMENT**</w:t>
      </w:r>
    </w:p>
    <w:p>
      <w:pPr>
        <w:spacing w:after="120" w:line="276" w:lineRule="auto"/>
      </w:pPr>
      <w:r>
        <w:t>La valorisation de STAC est extrêmement exigeante (P/B de 94x) et injustifiable au regard de ses fondamentaux actuels, marqués par des pertes récurrentes et une rentabilité négative. Le comportement du cours est préoccupant, avec une tendance baissière marquée et une volatilité très élevée, bien que les statistiques ne montrent pas de risque de krach imminent. Les signaux techniques sont mitigés, avec une tendance de fond baissière mais des indicateurs d'épuisement vendeur suggérant un possible rebond technique à court terme. Les fondamentaux, bien qu'en amélioration grâce au chantier de l'aéroport, restent fragiles, la société n'étant pas encore rentable. Les prédictions IA pour les 10 prochains jours (chute de 2 500 à 1 877 FCFA) confirment la tendance baissière et contredisent les signaux techniques d'achat à court terme, suggérant que le rebond potentiel pourrait être très limité ou ne pas se matérialiser. En synthèse, la convergence des éléments (valorisation excessive, tendance baissière, fondamentaux déficitaires, prédictions IA négatives) plaide en faveur d'une prudence extrême. **Recommandation : VENTE FORTE.** Le niveau de confiance est **Moyen**, car un retournement majeur (nouveau contrat, recapitalisation) pourrait changer la donne. Le niveau de risque global est **Élevé**. L'horizon d'investissement optimal est le **court terme (&lt; 3 mois)** pour les spéculateurs, mais le titre est à éviter pour tout investissement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393.30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3,725 titres</w:t>
            </w:r>
          </w:p>
        </w:tc>
        <w:tc>
          <w:tcPr>
            <w:tcW w:type="dxa" w:w="2268"/>
            <w:shd w:fill="FFF2CC" w:val="clear"/>
          </w:tcPr>
          <w:p>
            <w:r>
              <w:rPr>
                <w:b/>
                <w:color w:val="503200"/>
                <w:sz w:val="16"/>
              </w:rPr>
              <w:t xml:space="preserve">Cours actuel : </w:t>
            </w:r>
            <w:r>
              <w:rPr>
                <w:color w:val="000000"/>
                <w:sz w:val="17"/>
              </w:rPr>
              <w:t>21,905 FCFA</w:t>
            </w:r>
          </w:p>
          <w:p>
            <w:r>
              <w:rPr>
                <w:b/>
                <w:color w:val="503200"/>
                <w:sz w:val="16"/>
              </w:rPr>
              <w:t xml:space="preserve">Var. 100 jours : </w:t>
            </w:r>
            <w:r>
              <w:rPr>
                <w:b/>
                <w:color w:val="007800"/>
                <w:sz w:val="17"/>
              </w:rPr>
              <w:t>+4.06%</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μ=22,346 FCFA, σ=1,347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β=0.4119 (Défensif) — Cov=0.000015, Var(idx)=0.000036, ρ=0.108,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59862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21,265</w:t>
            </w:r>
          </w:p>
        </w:tc>
        <w:tc>
          <w:tcPr>
            <w:tcW w:type="dxa" w:w="1440"/>
            <w:shd w:fill="FAFAFA" w:val="clear"/>
          </w:tcPr>
          <w:p>
            <w:r>
              <w:rPr>
                <w:b/>
                <w:sz w:val="17"/>
              </w:rPr>
              <w:t>22,331</w:t>
            </w:r>
          </w:p>
        </w:tc>
        <w:tc>
          <w:tcPr>
            <w:tcW w:type="dxa" w:w="1440"/>
            <w:shd w:fill="FAFAFA" w:val="clear"/>
          </w:tcPr>
          <w:p>
            <w:r>
              <w:rPr>
                <w:sz w:val="17"/>
              </w:rPr>
              <w:t>23,396</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2026-09-10</w:t>
            </w:r>
          </w:p>
        </w:tc>
        <w:tc>
          <w:tcPr>
            <w:tcW w:type="dxa" w:w="1440"/>
            <w:shd w:fill="C6EFCE" w:val="clear"/>
          </w:tcPr>
          <w:p>
            <w:r>
              <w:rPr>
                <w:sz w:val="17"/>
              </w:rPr>
              <w:t>20,999</w:t>
            </w:r>
          </w:p>
        </w:tc>
        <w:tc>
          <w:tcPr>
            <w:tcW w:type="dxa" w:w="1440"/>
            <w:shd w:fill="C6EFCE" w:val="clear"/>
          </w:tcPr>
          <w:p>
            <w:r>
              <w:rPr>
                <w:b/>
                <w:sz w:val="17"/>
              </w:rPr>
              <w:t>22,519</w:t>
            </w:r>
          </w:p>
        </w:tc>
        <w:tc>
          <w:tcPr>
            <w:tcW w:type="dxa" w:w="1440"/>
            <w:shd w:fill="C6EFCE" w:val="clear"/>
          </w:tcPr>
          <w:p>
            <w:r>
              <w:rPr>
                <w:sz w:val="17"/>
              </w:rPr>
              <w:t>24,038</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2026-09-11</w:t>
            </w:r>
          </w:p>
        </w:tc>
        <w:tc>
          <w:tcPr>
            <w:tcW w:type="dxa" w:w="1440"/>
            <w:shd w:fill="C6EFCE" w:val="clear"/>
          </w:tcPr>
          <w:p>
            <w:r>
              <w:rPr>
                <w:sz w:val="17"/>
              </w:rPr>
              <w:t>20,851</w:t>
            </w:r>
          </w:p>
        </w:tc>
        <w:tc>
          <w:tcPr>
            <w:tcW w:type="dxa" w:w="1440"/>
            <w:shd w:fill="C6EFCE" w:val="clear"/>
          </w:tcPr>
          <w:p>
            <w:r>
              <w:rPr>
                <w:b/>
                <w:sz w:val="17"/>
              </w:rPr>
              <w:t>22,729</w:t>
            </w:r>
          </w:p>
        </w:tc>
        <w:tc>
          <w:tcPr>
            <w:tcW w:type="dxa" w:w="1440"/>
            <w:shd w:fill="C6EFCE" w:val="clear"/>
          </w:tcPr>
          <w:p>
            <w:r>
              <w:rPr>
                <w:sz w:val="17"/>
              </w:rPr>
              <w:t>24,607</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2026-09-14</w:t>
            </w:r>
          </w:p>
        </w:tc>
        <w:tc>
          <w:tcPr>
            <w:tcW w:type="dxa" w:w="1440"/>
            <w:shd w:fill="C6EFCE" w:val="clear"/>
          </w:tcPr>
          <w:p>
            <w:r>
              <w:rPr>
                <w:sz w:val="17"/>
              </w:rPr>
              <w:t>20,748</w:t>
            </w:r>
          </w:p>
        </w:tc>
        <w:tc>
          <w:tcPr>
            <w:tcW w:type="dxa" w:w="1440"/>
            <w:shd w:fill="C6EFCE" w:val="clear"/>
          </w:tcPr>
          <w:p>
            <w:r>
              <w:rPr>
                <w:b/>
                <w:sz w:val="17"/>
              </w:rPr>
              <w:t>22,937</w:t>
            </w:r>
          </w:p>
        </w:tc>
        <w:tc>
          <w:tcPr>
            <w:tcW w:type="dxa" w:w="1440"/>
            <w:shd w:fill="C6EFCE" w:val="clear"/>
          </w:tcPr>
          <w:p>
            <w:r>
              <w:rPr>
                <w:sz w:val="17"/>
              </w:rPr>
              <w:t>25,126</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2026-09-15</w:t>
            </w:r>
          </w:p>
        </w:tc>
        <w:tc>
          <w:tcPr>
            <w:tcW w:type="dxa" w:w="1440"/>
            <w:shd w:fill="C6EFCE" w:val="clear"/>
          </w:tcPr>
          <w:p>
            <w:r>
              <w:rPr>
                <w:sz w:val="17"/>
              </w:rPr>
              <w:t>20,675</w:t>
            </w:r>
          </w:p>
        </w:tc>
        <w:tc>
          <w:tcPr>
            <w:tcW w:type="dxa" w:w="1440"/>
            <w:shd w:fill="C6EFCE" w:val="clear"/>
          </w:tcPr>
          <w:p>
            <w:r>
              <w:rPr>
                <w:b/>
                <w:sz w:val="17"/>
              </w:rPr>
              <w:t>23,144</w:t>
            </w:r>
          </w:p>
        </w:tc>
        <w:tc>
          <w:tcPr>
            <w:tcW w:type="dxa" w:w="1440"/>
            <w:shd w:fill="C6EFCE" w:val="clear"/>
          </w:tcPr>
          <w:p>
            <w:r>
              <w:rPr>
                <w:sz w:val="17"/>
              </w:rPr>
              <w:t>25,613</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2026-09-16</w:t>
            </w:r>
          </w:p>
        </w:tc>
        <w:tc>
          <w:tcPr>
            <w:tcW w:type="dxa" w:w="1440"/>
            <w:shd w:fill="C6EFCE" w:val="clear"/>
          </w:tcPr>
          <w:p>
            <w:r>
              <w:rPr>
                <w:sz w:val="17"/>
              </w:rPr>
              <w:t>20,632</w:t>
            </w:r>
          </w:p>
        </w:tc>
        <w:tc>
          <w:tcPr>
            <w:tcW w:type="dxa" w:w="1440"/>
            <w:shd w:fill="C6EFCE" w:val="clear"/>
          </w:tcPr>
          <w:p>
            <w:r>
              <w:rPr>
                <w:b/>
                <w:sz w:val="17"/>
              </w:rPr>
              <w:t>23,363</w:t>
            </w:r>
          </w:p>
        </w:tc>
        <w:tc>
          <w:tcPr>
            <w:tcW w:type="dxa" w:w="1440"/>
            <w:shd w:fill="C6EFCE" w:val="clear"/>
          </w:tcPr>
          <w:p>
            <w:r>
              <w:rPr>
                <w:sz w:val="17"/>
              </w:rPr>
              <w:t>26,093</w:t>
            </w:r>
          </w:p>
        </w:tc>
        <w:tc>
          <w:tcPr>
            <w:tcW w:type="dxa" w:w="1440"/>
            <w:shd w:fill="C6EFCE" w:val="clear"/>
          </w:tcPr>
          <w:p>
            <w:r>
              <w:rPr>
                <w:b/>
                <w:color w:val="008000"/>
                <w:sz w:val="17"/>
              </w:rPr>
              <w:t>+6.7%</w:t>
            </w:r>
          </w:p>
        </w:tc>
      </w:tr>
      <w:tr>
        <w:tc>
          <w:tcPr>
            <w:tcW w:type="dxa" w:w="1440"/>
            <w:shd w:fill="C6EFCE" w:val="clear"/>
          </w:tcPr>
          <w:p>
            <w:r>
              <w:rPr>
                <w:sz w:val="17"/>
              </w:rPr>
              <w:t>J+7  ⭐</w:t>
            </w:r>
          </w:p>
        </w:tc>
        <w:tc>
          <w:tcPr>
            <w:tcW w:type="dxa" w:w="1440"/>
            <w:shd w:fill="C6EFCE" w:val="clear"/>
          </w:tcPr>
          <w:p>
            <w:r>
              <w:rPr>
                <w:sz w:val="17"/>
              </w:rPr>
              <w:t>2026-09-17</w:t>
            </w:r>
          </w:p>
        </w:tc>
        <w:tc>
          <w:tcPr>
            <w:tcW w:type="dxa" w:w="1440"/>
            <w:shd w:fill="C6EFCE" w:val="clear"/>
          </w:tcPr>
          <w:p>
            <w:r>
              <w:rPr>
                <w:sz w:val="17"/>
              </w:rPr>
              <w:t>20,605</w:t>
            </w:r>
          </w:p>
        </w:tc>
        <w:tc>
          <w:tcPr>
            <w:tcW w:type="dxa" w:w="1440"/>
            <w:shd w:fill="C6EFCE" w:val="clear"/>
          </w:tcPr>
          <w:p>
            <w:r>
              <w:rPr>
                <w:b/>
                <w:sz w:val="17"/>
              </w:rPr>
              <w:t>23,582</w:t>
            </w:r>
          </w:p>
        </w:tc>
        <w:tc>
          <w:tcPr>
            <w:tcW w:type="dxa" w:w="1440"/>
            <w:shd w:fill="C6EFCE" w:val="clear"/>
          </w:tcPr>
          <w:p>
            <w:r>
              <w:rPr>
                <w:sz w:val="17"/>
              </w:rPr>
              <w:t>26,559</w:t>
            </w:r>
          </w:p>
        </w:tc>
        <w:tc>
          <w:tcPr>
            <w:tcW w:type="dxa" w:w="1440"/>
            <w:shd w:fill="C6EFCE" w:val="clear"/>
          </w:tcPr>
          <w:p>
            <w:r>
              <w:rPr>
                <w:b/>
                <w:color w:val="008000"/>
                <w:sz w:val="17"/>
              </w:rPr>
              <w:t>+7.7%</w:t>
            </w:r>
          </w:p>
        </w:tc>
      </w:tr>
      <w:tr>
        <w:tc>
          <w:tcPr>
            <w:tcW w:type="dxa" w:w="1440"/>
            <w:shd w:fill="C6EFCE" w:val="clear"/>
          </w:tcPr>
          <w:p>
            <w:r>
              <w:rPr>
                <w:sz w:val="17"/>
              </w:rPr>
              <w:t>J+8  ⭐</w:t>
            </w:r>
          </w:p>
        </w:tc>
        <w:tc>
          <w:tcPr>
            <w:tcW w:type="dxa" w:w="1440"/>
            <w:shd w:fill="C6EFCE" w:val="clear"/>
          </w:tcPr>
          <w:p>
            <w:r>
              <w:rPr>
                <w:sz w:val="17"/>
              </w:rPr>
              <w:t>2026-09-18</w:t>
            </w:r>
          </w:p>
        </w:tc>
        <w:tc>
          <w:tcPr>
            <w:tcW w:type="dxa" w:w="1440"/>
            <w:shd w:fill="C6EFCE" w:val="clear"/>
          </w:tcPr>
          <w:p>
            <w:r>
              <w:rPr>
                <w:sz w:val="17"/>
              </w:rPr>
              <w:t>20,612</w:t>
            </w:r>
          </w:p>
        </w:tc>
        <w:tc>
          <w:tcPr>
            <w:tcW w:type="dxa" w:w="1440"/>
            <w:shd w:fill="C6EFCE" w:val="clear"/>
          </w:tcPr>
          <w:p>
            <w:r>
              <w:rPr>
                <w:b/>
                <w:sz w:val="17"/>
              </w:rPr>
              <w:t>23,828</w:t>
            </w:r>
          </w:p>
        </w:tc>
        <w:tc>
          <w:tcPr>
            <w:tcW w:type="dxa" w:w="1440"/>
            <w:shd w:fill="C6EFCE" w:val="clear"/>
          </w:tcPr>
          <w:p>
            <w:r>
              <w:rPr>
                <w:sz w:val="17"/>
              </w:rPr>
              <w:t>27,044</w:t>
            </w:r>
          </w:p>
        </w:tc>
        <w:tc>
          <w:tcPr>
            <w:tcW w:type="dxa" w:w="1440"/>
            <w:shd w:fill="C6EFCE" w:val="clear"/>
          </w:tcPr>
          <w:p>
            <w:r>
              <w:rPr>
                <w:b/>
                <w:color w:val="008000"/>
                <w:sz w:val="17"/>
              </w:rPr>
              <w:t>+8.8%</w:t>
            </w:r>
          </w:p>
        </w:tc>
      </w:tr>
      <w:tr>
        <w:tc>
          <w:tcPr>
            <w:tcW w:type="dxa" w:w="1440"/>
            <w:shd w:fill="C6EFCE" w:val="clear"/>
          </w:tcPr>
          <w:p>
            <w:r>
              <w:rPr>
                <w:sz w:val="17"/>
              </w:rPr>
              <w:t>J+9  ⭐</w:t>
            </w:r>
          </w:p>
        </w:tc>
        <w:tc>
          <w:tcPr>
            <w:tcW w:type="dxa" w:w="1440"/>
            <w:shd w:fill="C6EFCE" w:val="clear"/>
          </w:tcPr>
          <w:p>
            <w:r>
              <w:rPr>
                <w:sz w:val="17"/>
              </w:rPr>
              <w:t>2026-09-21</w:t>
            </w:r>
          </w:p>
        </w:tc>
        <w:tc>
          <w:tcPr>
            <w:tcW w:type="dxa" w:w="1440"/>
            <w:shd w:fill="C6EFCE" w:val="clear"/>
          </w:tcPr>
          <w:p>
            <w:r>
              <w:rPr>
                <w:sz w:val="17"/>
              </w:rPr>
              <w:t>20,650</w:t>
            </w:r>
          </w:p>
        </w:tc>
        <w:tc>
          <w:tcPr>
            <w:tcW w:type="dxa" w:w="1440"/>
            <w:shd w:fill="C6EFCE" w:val="clear"/>
          </w:tcPr>
          <w:p>
            <w:r>
              <w:rPr>
                <w:b/>
                <w:sz w:val="17"/>
              </w:rPr>
              <w:t>24,100</w:t>
            </w:r>
          </w:p>
        </w:tc>
        <w:tc>
          <w:tcPr>
            <w:tcW w:type="dxa" w:w="1440"/>
            <w:shd w:fill="C6EFCE" w:val="clear"/>
          </w:tcPr>
          <w:p>
            <w:r>
              <w:rPr>
                <w:sz w:val="17"/>
              </w:rPr>
              <w:t>27,550</w:t>
            </w:r>
          </w:p>
        </w:tc>
        <w:tc>
          <w:tcPr>
            <w:tcW w:type="dxa" w:w="1440"/>
            <w:shd w:fill="C6EFCE" w:val="clear"/>
          </w:tcPr>
          <w:p>
            <w:r>
              <w:rPr>
                <w:b/>
                <w:color w:val="008000"/>
                <w:sz w:val="17"/>
              </w:rPr>
              <w:t>+10.0%</w:t>
            </w:r>
          </w:p>
        </w:tc>
      </w:tr>
      <w:tr>
        <w:tc>
          <w:tcPr>
            <w:tcW w:type="dxa" w:w="1440"/>
            <w:shd w:fill="C6EFCE" w:val="clear"/>
          </w:tcPr>
          <w:p>
            <w:r>
              <w:rPr>
                <w:sz w:val="17"/>
              </w:rPr>
              <w:t>J+10  ⭐</w:t>
            </w:r>
          </w:p>
        </w:tc>
        <w:tc>
          <w:tcPr>
            <w:tcW w:type="dxa" w:w="1440"/>
            <w:shd w:fill="C6EFCE" w:val="clear"/>
          </w:tcPr>
          <w:p>
            <w:r>
              <w:rPr>
                <w:sz w:val="17"/>
              </w:rPr>
              <w:t>2026-09-22</w:t>
            </w:r>
          </w:p>
        </w:tc>
        <w:tc>
          <w:tcPr>
            <w:tcW w:type="dxa" w:w="1440"/>
            <w:shd w:fill="C6EFCE" w:val="clear"/>
          </w:tcPr>
          <w:p>
            <w:r>
              <w:rPr>
                <w:sz w:val="17"/>
              </w:rPr>
              <w:t>20,738</w:t>
            </w:r>
          </w:p>
        </w:tc>
        <w:tc>
          <w:tcPr>
            <w:tcW w:type="dxa" w:w="1440"/>
            <w:shd w:fill="C6EFCE" w:val="clear"/>
          </w:tcPr>
          <w:p>
            <w:r>
              <w:rPr>
                <w:b/>
                <w:sz w:val="17"/>
              </w:rPr>
              <w:t>24,423</w:t>
            </w:r>
          </w:p>
        </w:tc>
        <w:tc>
          <w:tcPr>
            <w:tcW w:type="dxa" w:w="1440"/>
            <w:shd w:fill="C6EFCE" w:val="clear"/>
          </w:tcPr>
          <w:p>
            <w:r>
              <w:rPr>
                <w:sz w:val="17"/>
              </w:rPr>
              <w:t>28,107</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393,30 milliards FCFA, ce qui en fait l'une des valeurs les plus significatives de la BRVM, reflétant la position dominante de la Société Ivoirienne des Tabacs sur son marché. Avec un BPA de 2 014 FCFA, chaque action génère un bénéfice substantiel, justifiant un PER de 10,9x, en ligne avec la moyenne historique de la place (~8-12x), ce qui indique une valorisation raisonnable des bénéfices. En revanche, le P/B de 8,68x est particulièrement élevé, traduisant une prime importante par rapport à la valeur comptable des actifs, signe que le marché intègre des perspectives de croissance et de rentabilité futures très optimistes. Enfin, l'EV/EBITDA de 7,8x se situe dans une fourchette modérée (5-10x), suggérant que la valeur d'entreprise reste cohérente avec la capacité bénéficiaire opérationnelle de la société, malgré la prime comptable.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totale de +4,06%, mais a subi un léger repli de -0,43% lors de la dernière séance, s'établissant à 21 905 FCFA. Le titre a évolué dans un range de trading de 19 705 FCFA (plus bas) à 25 000 FCFA (plus haut), démontrant une amplitude de fluctuation notable d'environ 27%. La moyenne du cours sur la période (22 346 FCFA) est très proche de la médiane (22 168 FCFA), et le skewness de 0,201 confirme une distribution quasi symétrique des prix. L'écart-type de 1 353 FCFA, avec un coefficient de variation de seulement 6,1%, indique une dispersion modérée autour de la moyenne. Le kurtosis excédentaire de -0,892, qualifié de mésokurtique, suggère une absence de pics extrêmes et un comportement proche d'une distribution normale. La volatilité annualisée de 36,4% classe le titre dans la catégorie des valeurs à forte volatilité (&gt;30%), ce qui implique un risque de variation de prix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Le cours actuel de 21 905 FCFA se situe sous la MM20 (22 576 FCFA) et nettement sous la MM50 (23 380,5 FCFA), configurant une tendance baissière à court et moyen terme. La décision de Vente est justifiée par cette position du prix sous les deux moyennes mobiles clés, indiquant une dynamique négative dominante.</w:t>
      </w:r>
    </w:p>
    <w:p>
      <w:pPr>
        <w:spacing w:after="120" w:line="276" w:lineRule="auto"/>
      </w:pPr>
      <w:r>
        <w:t>**Bandes de Bollinger**: Le prix évolue à proximité de la borne inférieure (21 390,22 FCFA), tout en restant dans l'enveloppe formée par les bandes (borne supérieure à 23 761,78 FCFA). La décision Neutre s'explique par le fait que le cours n'a pas encore franchi la borne inférieure, ce qui pourrait signaler une zone de survente, mais sans confirmation d'un rebond imminent.</w:t>
      </w:r>
    </w:p>
    <w:p>
      <w:pPr>
        <w:spacing w:after="120" w:line="276" w:lineRule="auto"/>
      </w:pPr>
      <w:r>
        <w:t>**MACD**: La valeur du MACD (-384,58) est inférieure à son signal (-318,91), avec les deux indicateurs en territoire négatif. Cette configuration baissière indique un momentum négatif persistant, justifiant la décision de Vente, car la dynamique de prix reste sous pression.</w:t>
      </w:r>
    </w:p>
    <w:p>
      <w:pPr>
        <w:spacing w:after="120" w:line="276" w:lineRule="auto"/>
      </w:pPr>
      <w:r>
        <w:t>**RSI**: Avec une valeur de 38,51, le RSI se situe dans la zone neutre (30-70), mais proche de la zone de survente (&lt;30). La décision Neutre est appropriée, car le titre n'est pas encore survendu, mais la pression vendeuse reste perceptible, sans signal clair de retournement.</w:t>
      </w:r>
    </w:p>
    <w:p>
      <w:pPr>
        <w:spacing w:after="120" w:line="276" w:lineRule="auto"/>
      </w:pPr>
      <w:r>
        <w:t>**Stochastique**: Le %K (36,94) est inférieur au %D (42,04), indiquant une dynamique baissière en cours. La décision Neutre reflète l'absence de croisement décisif des lignes, laissant planer une incertitude sur la direction future du mouvement.</w:t>
      </w:r>
    </w:p>
    <w:p>
      <w:pPr>
        <w:spacing w:after="120" w:line="276" w:lineRule="auto"/>
      </w:pPr>
      <w:r>
        <w:t>En conclusion technique, l'ensemble des indicateurs (MM, MACD) penche majoritairement vers une tendance baissière, tandis que les oscillateurs (RSI, Stochastique, Bollinger) restent neutres, suggérant une absence de signal fort de retournement. La prudence est donc de mise, avec une tendance globale négative à court terme, mais sans condition de survente extrême.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de STBC révèlent une entreprise non bancaire avec un chiffre d'affaires de 268,537 milliards FCFA, en croissance de +25,3%, et un résultat net de 36,158 milliards FCFA. La marge nette s'établit à 13,46%, tandis que le ROE atteint un niveau exceptionnel de 79,75% et le ROA de 48,09%, démontrant une utilisation très efficace des capitaux propres et des actifs. Le BFR de 5,639 milliards FCFA est positif, mais le délai de paiement des clients (42,57 jours) et la durée de stockage (5,73 jours) restent maîtrisés. La structure financière est saine avec une autonomie financière de 60,3% et une dépendance financière quasi nulle (0,003%). Les rapports narratifs, notamment celui du 31 décembre 2025, confirment cette performance avec un CA de 268,02 milliards FCFA (+25,4%), mais soulignent une baisse du résultat net de -17,5% par rapport à 2024 (44,17 milliards FCFA), due à une hausse des droits d'accises et des charges d'exploitation. Sur la base du rapport T2 2026 (CA de 70,05 milliards FCFA, +1%), on estime que l'exercice 2026 devrait maintenir une croissance modérée, avec un résultat net trimestriel stable à 8,64 milliards FCFA. La recommandation fondamentale est de CONSERVER, car la société affiche une solidité financière remarquable (trésorerie de 30,76 milliards FCFA, zéro dette), mais fait face à des risques réglementaires et fiscaux croissants qui pèsent sur ses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(PER de 10,9x, EV/EBITDA de 7,8x) apparaît raisonnable, mais le P/B de 8,68x reflète une prime élevée qui pourrait limiter le potentiel de hausse. Le comportement du cours sur 100 jours montre une tendance légèrement positive (+4,06%), mais avec une volatilité élevée (36,4%) et des statistiques (kurtosis mésokurtique, skewness symétrique) indiquant un risque de fluctuations modéré. Les signaux techniques sont majoritairement baissiers (MM, MACD) avec des oscillateurs neutres, suggérant une pression vendeuse à court terme. Les fondamentaux restent solides avec une croissance du CA de 25,3% en 2025, un ROE exceptionnel de 79,75%, mais une dégradation de la rentabilité nette due à la fiscalité. Les prédictions IA pour les 10 prochains jours (22 331 à 23 144 FCFA) anticipent une hausse progressive, contredisant les signaux techniques baissiers, mais s'alignant sur la solidité fondamentale. En synthèse, la convergence entre une valorisation raisonnable, des fondamentaux robustes et des prédictions IA haussières, malgré des signaux techniques négatifs, conduit à une recommandation de **CONSERVER**. Le niveau de confiance est **Moyen**, le risque global est **Moyen**, et l'horizon d'investissement optimal est le **moyen terme (3-12 mois)**, en attendant une clarification de la tendance technique et des évolutions réglementaires.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6,899 titres</w:t>
            </w:r>
          </w:p>
        </w:tc>
        <w:tc>
          <w:tcPr>
            <w:tcW w:type="dxa" w:w="2268"/>
            <w:shd w:fill="FFF2CC" w:val="clear"/>
          </w:tcPr>
          <w:p>
            <w:r>
              <w:rPr>
                <w:b/>
                <w:color w:val="503200"/>
                <w:sz w:val="16"/>
              </w:rPr>
              <w:t xml:space="preserve">Cours actuel : </w:t>
            </w:r>
            <w:r>
              <w:rPr>
                <w:color w:val="000000"/>
                <w:sz w:val="17"/>
              </w:rPr>
              <w:t>3,240 FCFA</w:t>
            </w:r>
          </w:p>
          <w:p>
            <w:r>
              <w:rPr>
                <w:b/>
                <w:color w:val="503200"/>
                <w:sz w:val="16"/>
              </w:rPr>
              <w:t xml:space="preserve">Var. 100 jours : </w:t>
            </w:r>
            <w:r>
              <w:rPr>
                <w:b/>
                <w:color w:val="007800"/>
                <w:sz w:val="17"/>
              </w:rPr>
              <w:t>+14.08%</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6.77% (Moyenne) — μ=2,947 FCFA, σ=199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β=-0.3316 (Contre-cyclique) — Cov=-0.000012, Var(idx)=0.000036, ρ=-0.077,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2026-09-09</w:t>
            </w:r>
          </w:p>
        </w:tc>
        <w:tc>
          <w:tcPr>
            <w:tcW w:type="dxa" w:w="1440"/>
            <w:shd w:fill="FAFAFA" w:val="clear"/>
          </w:tcPr>
          <w:p>
            <w:r>
              <w:rPr>
                <w:sz w:val="17"/>
              </w:rPr>
              <w:t>3,041</w:t>
            </w:r>
          </w:p>
        </w:tc>
        <w:tc>
          <w:tcPr>
            <w:tcW w:type="dxa" w:w="1440"/>
            <w:shd w:fill="FAFAFA" w:val="clear"/>
          </w:tcPr>
          <w:p>
            <w:r>
              <w:rPr>
                <w:b/>
                <w:sz w:val="17"/>
              </w:rPr>
              <w:t>3,222</w:t>
            </w:r>
          </w:p>
        </w:tc>
        <w:tc>
          <w:tcPr>
            <w:tcW w:type="dxa" w:w="1440"/>
            <w:shd w:fill="FAFAFA" w:val="clear"/>
          </w:tcPr>
          <w:p>
            <w:r>
              <w:rPr>
                <w:sz w:val="17"/>
              </w:rPr>
              <w:t>3,404</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2026-09-10</w:t>
            </w:r>
          </w:p>
        </w:tc>
        <w:tc>
          <w:tcPr>
            <w:tcW w:type="dxa" w:w="1440"/>
            <w:shd w:fill="FAFAFA" w:val="clear"/>
          </w:tcPr>
          <w:p>
            <w:r>
              <w:rPr>
                <w:sz w:val="17"/>
              </w:rPr>
              <w:t>2,961</w:t>
            </w:r>
          </w:p>
        </w:tc>
        <w:tc>
          <w:tcPr>
            <w:tcW w:type="dxa" w:w="1440"/>
            <w:shd w:fill="FAFAFA" w:val="clear"/>
          </w:tcPr>
          <w:p>
            <w:r>
              <w:rPr>
                <w:b/>
                <w:sz w:val="17"/>
              </w:rPr>
              <w:t>3,217</w:t>
            </w:r>
          </w:p>
        </w:tc>
        <w:tc>
          <w:tcPr>
            <w:tcW w:type="dxa" w:w="1440"/>
            <w:shd w:fill="FAFAFA" w:val="clear"/>
          </w:tcPr>
          <w:p>
            <w:r>
              <w:rPr>
                <w:sz w:val="17"/>
              </w:rPr>
              <w:t>3,473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2026-09-11</w:t>
            </w:r>
          </w:p>
        </w:tc>
        <w:tc>
          <w:tcPr>
            <w:tcW w:type="dxa" w:w="1440"/>
            <w:shd w:fill="FAFAFA" w:val="clear"/>
          </w:tcPr>
          <w:p>
            <w:r>
              <w:rPr>
                <w:sz w:val="17"/>
              </w:rPr>
              <w:t>2,895</w:t>
            </w:r>
          </w:p>
        </w:tc>
        <w:tc>
          <w:tcPr>
            <w:tcW w:type="dxa" w:w="1440"/>
            <w:shd w:fill="FAFAFA" w:val="clear"/>
          </w:tcPr>
          <w:p>
            <w:r>
              <w:rPr>
                <w:b/>
                <w:sz w:val="17"/>
              </w:rPr>
              <w:t>3,208</w:t>
            </w:r>
          </w:p>
        </w:tc>
        <w:tc>
          <w:tcPr>
            <w:tcW w:type="dxa" w:w="1440"/>
            <w:shd w:fill="FAFAFA" w:val="clear"/>
          </w:tcPr>
          <w:p>
            <w:r>
              <w:rPr>
                <w:sz w:val="17"/>
              </w:rPr>
              <w:t>3,520</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2026-09-14</w:t>
            </w:r>
          </w:p>
        </w:tc>
        <w:tc>
          <w:tcPr>
            <w:tcW w:type="dxa" w:w="1440"/>
            <w:shd w:fill="FAFAFA" w:val="clear"/>
          </w:tcPr>
          <w:p>
            <w:r>
              <w:rPr>
                <w:sz w:val="17"/>
              </w:rPr>
              <w:t>2,838</w:t>
            </w:r>
          </w:p>
        </w:tc>
        <w:tc>
          <w:tcPr>
            <w:tcW w:type="dxa" w:w="1440"/>
            <w:shd w:fill="FAFAFA" w:val="clear"/>
          </w:tcPr>
          <w:p>
            <w:r>
              <w:rPr>
                <w:b/>
                <w:sz w:val="17"/>
              </w:rPr>
              <w:t>3,198</w:t>
            </w:r>
          </w:p>
        </w:tc>
        <w:tc>
          <w:tcPr>
            <w:tcW w:type="dxa" w:w="1440"/>
            <w:shd w:fill="FAFAFA" w:val="clear"/>
          </w:tcPr>
          <w:p>
            <w:r>
              <w:rPr>
                <w:sz w:val="17"/>
              </w:rPr>
              <w:t>3,557</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2026-09-15</w:t>
            </w:r>
          </w:p>
        </w:tc>
        <w:tc>
          <w:tcPr>
            <w:tcW w:type="dxa" w:w="1440"/>
            <w:shd w:fill="FAFAFA" w:val="clear"/>
          </w:tcPr>
          <w:p>
            <w:r>
              <w:rPr>
                <w:sz w:val="17"/>
              </w:rPr>
              <w:t>2,786</w:t>
            </w:r>
          </w:p>
        </w:tc>
        <w:tc>
          <w:tcPr>
            <w:tcW w:type="dxa" w:w="1440"/>
            <w:shd w:fill="FAFAFA" w:val="clear"/>
          </w:tcPr>
          <w:p>
            <w:r>
              <w:rPr>
                <w:b/>
                <w:sz w:val="17"/>
              </w:rPr>
              <w:t>3,187</w:t>
            </w:r>
          </w:p>
        </w:tc>
        <w:tc>
          <w:tcPr>
            <w:tcW w:type="dxa" w:w="1440"/>
            <w:shd w:fill="FAFAFA" w:val="clear"/>
          </w:tcPr>
          <w:p>
            <w:r>
              <w:rPr>
                <w:sz w:val="17"/>
              </w:rPr>
              <w:t>3,589</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2026-09-16</w:t>
            </w:r>
          </w:p>
        </w:tc>
        <w:tc>
          <w:tcPr>
            <w:tcW w:type="dxa" w:w="1440"/>
            <w:shd w:fill="FAFAFA" w:val="clear"/>
          </w:tcPr>
          <w:p>
            <w:r>
              <w:rPr>
                <w:sz w:val="17"/>
              </w:rPr>
              <w:t>2,739</w:t>
            </w:r>
          </w:p>
        </w:tc>
        <w:tc>
          <w:tcPr>
            <w:tcW w:type="dxa" w:w="1440"/>
            <w:shd w:fill="FAFAFA" w:val="clear"/>
          </w:tcPr>
          <w:p>
            <w:r>
              <w:rPr>
                <w:b/>
                <w:sz w:val="17"/>
              </w:rPr>
              <w:t>3,177</w:t>
            </w:r>
          </w:p>
        </w:tc>
        <w:tc>
          <w:tcPr>
            <w:tcW w:type="dxa" w:w="1440"/>
            <w:shd w:fill="FAFAFA" w:val="clear"/>
          </w:tcPr>
          <w:p>
            <w:r>
              <w:rPr>
                <w:sz w:val="17"/>
              </w:rPr>
              <w:t>3,615</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2,696</w:t>
            </w:r>
          </w:p>
        </w:tc>
        <w:tc>
          <w:tcPr>
            <w:tcW w:type="dxa" w:w="1440"/>
            <w:shd w:fill="FFDCE0" w:val="clear"/>
          </w:tcPr>
          <w:p>
            <w:r>
              <w:rPr>
                <w:b/>
                <w:sz w:val="17"/>
              </w:rPr>
              <w:t>3,168</w:t>
            </w:r>
          </w:p>
        </w:tc>
        <w:tc>
          <w:tcPr>
            <w:tcW w:type="dxa" w:w="1440"/>
            <w:shd w:fill="FFDCE0" w:val="clear"/>
          </w:tcPr>
          <w:p>
            <w:r>
              <w:rPr>
                <w:sz w:val="17"/>
              </w:rPr>
              <w:t>3,639</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2,655</w:t>
            </w:r>
          </w:p>
        </w:tc>
        <w:tc>
          <w:tcPr>
            <w:tcW w:type="dxa" w:w="1440"/>
            <w:shd w:fill="FFDCE0" w:val="clear"/>
          </w:tcPr>
          <w:p>
            <w:r>
              <w:rPr>
                <w:b/>
                <w:sz w:val="17"/>
              </w:rPr>
              <w:t>3,158</w:t>
            </w:r>
          </w:p>
        </w:tc>
        <w:tc>
          <w:tcPr>
            <w:tcW w:type="dxa" w:w="1440"/>
            <w:shd w:fill="FFDCE0" w:val="clear"/>
          </w:tcPr>
          <w:p>
            <w:r>
              <w:rPr>
                <w:sz w:val="17"/>
              </w:rPr>
              <w:t>3,661</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2,617</w:t>
            </w:r>
          </w:p>
        </w:tc>
        <w:tc>
          <w:tcPr>
            <w:tcW w:type="dxa" w:w="1440"/>
            <w:shd w:fill="FFDCE0" w:val="clear"/>
          </w:tcPr>
          <w:p>
            <w:r>
              <w:rPr>
                <w:b/>
                <w:sz w:val="17"/>
              </w:rPr>
              <w:t>3,148</w:t>
            </w:r>
          </w:p>
        </w:tc>
        <w:tc>
          <w:tcPr>
            <w:tcW w:type="dxa" w:w="1440"/>
            <w:shd w:fill="FFDCE0" w:val="clear"/>
          </w:tcPr>
          <w:p>
            <w:r>
              <w:rPr>
                <w:sz w:val="17"/>
              </w:rPr>
              <w:t>3,680</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2,580</w:t>
            </w:r>
          </w:p>
        </w:tc>
        <w:tc>
          <w:tcPr>
            <w:tcW w:type="dxa" w:w="1440"/>
            <w:shd w:fill="FFDCE0" w:val="clear"/>
          </w:tcPr>
          <w:p>
            <w:r>
              <w:rPr>
                <w:b/>
                <w:sz w:val="17"/>
              </w:rPr>
              <w:t>3,139</w:t>
            </w:r>
          </w:p>
        </w:tc>
        <w:tc>
          <w:tcPr>
            <w:tcW w:type="dxa" w:w="1440"/>
            <w:shd w:fill="FFDCE0" w:val="clear"/>
          </w:tcPr>
          <w:p>
            <w:r>
              <w:rPr>
                <w:sz w:val="17"/>
              </w:rPr>
              <w:t>3,698</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08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 milliards FCFA, TTLC se positionne comme une valeur de première ligne sur la BRVM, reflétant la confiance des investisseurs dans ce leader de la distribution de produits pétroliers. Le BPA de 144 FCFA indique que chaque action a généré ce montant de bénéfice net sur l'exercice 2025. Cependant, le PER de 22,4x est nettement supérieur à la moyenne historique de la BRVM (8-12x), signalant que le marché intègre des attentes de croissance future ou une prime de qualité, mais expose également le titre à un risque de correction si ces attentes ne se matérialisent pas. Le P/B de 5,63x confirme cette prime, le marché valorisant le titre plus de cinq fois sa valeur comptable, ce qui est exigeant. Enfin, un EV/EBITDA de 11,6x, bien que dans la fourchette haute (10-15x), suggère une valorisation de l'entreprise qui reste cohérente avec sa capacité à générer des flux opérationnels, sans être excessivement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de +14,08%, avec une dernière séance positive de +1,25%, clôturant à 3 240 FCFA. Le titre a évolué dans une fourchette de 945 FCFA, entre un plus bas de 2 650 FCFA et un plus haut de 3 595 FCFA, démontrant une dynamique haussière soutenue. La moyenne du cours sur la période (2 947 FCFA) est inférieure à la médiane (2 900 FCFA), et le skewness positif de 1,273 indique une distribution asymétrique avec des jours de forte hausse qui tirent la moyenne vers le haut, malgré un plus grand nombre de séances sous la moyenne. L'écart-type de 200 FCFA (CV=6,8%) révèle une dispersion modérée autour de la moyenne. Le kurtosis de 0,957 (mésokurtique) suggère un risque de mouvements extrêmes similaire à une distribution normale. La volatilité annualisée de 40,8% classe le titre comme très volatil (&gt;30%), ce qui implique un risque de marché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(3 240 FCFA) est supérieur à la MM20 (3 283 FCFA) et à la MM50 (3 064,7 FCFA). La configuration haussière (cours &gt; MM20 &gt; MM50) confirme une tendance positive à moyen terme, justifiant la décision d'**Achat**.</w:t>
      </w:r>
    </w:p>
    <w:p>
      <w:pPr>
        <w:spacing w:after="120" w:line="276" w:lineRule="auto"/>
      </w:pPr>
      <w:r>
        <w:t>**Bandes de Bollinger** : Le prix se situe à 3 240 FCFA, entre la borne inférieure (2 955,56 FCFA) et la borne supérieure (3 610,44 FCFA). Cette position centrale indique une volatilité modérée sans condition de surachat ou de survente extrême, d'où la décision **Neutre**.</w:t>
      </w:r>
    </w:p>
    <w:p>
      <w:pPr>
        <w:spacing w:after="120" w:line="276" w:lineRule="auto"/>
      </w:pPr>
      <w:r>
        <w:t>**MACD** : La valeur du MACD (78,82) est inférieure à son signal (104,68), indiquant un momentum baissier à court terme. Cette configuration technique suggère une possible consolidation ou correction après la hausse, justifiant la décision de **Vente**.</w:t>
      </w:r>
    </w:p>
    <w:p>
      <w:pPr>
        <w:spacing w:after="120" w:line="276" w:lineRule="auto"/>
      </w:pPr>
      <w:r>
        <w:t>**RSI** : À 46,84, le RSI se situe dans la zone neutre (30-70), indiquant un équilibre entre les forces acheteuses et vendeuses. Il n'y a pas de pression excessive à l'achat ou à la vente, d'où la décision **Neutre**.</w:t>
      </w:r>
    </w:p>
    <w:p>
      <w:pPr>
        <w:spacing w:after="120" w:line="276" w:lineRule="auto"/>
      </w:pPr>
      <w:r>
        <w:t>**Stochastique** : Le %K (10,13) est inférieur au %D (17,23), mais les deux sont en zone de survente (&lt;20). Cela signale un potentiel de rebond technique imminent, justifiant la décision d'**Achat**.</w:t>
      </w:r>
    </w:p>
    <w:p>
      <w:pPr>
        <w:spacing w:after="120" w:line="276" w:lineRule="auto"/>
      </w:pPr>
      <w:r>
        <w:t>**Conclusion technique** : Les signaux sont mitigés. Les moyennes mobiles indiquent une tendance haussière solide, tandis que le MACD suggère un essoufflement du momentum à court terme. Le Stochastique en zone de survente pourrait initier un rebond. La prudence est de mise, avec une possible phase de consolidation avant la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588,709 milliards FCFA, en baisse de 5,2% par rapport à 2024 (621 milliards FCFA), mais a vu son résultat net s'établir à 9,087 milliards FCFA (-3% vs 2024). La rentabilité des capitaux propres (ROE) reste excellente à 25,1%, et la marge opérationnelle s'est améliorée à 2,09% contre 1,7% en 2024, signe d'une meilleure maîtrise des coûts. En tant qu'entreprise de distribution, le BFR négatif de -9,662 milliards FCFA est un point très positif, indiquant que TTLC finance son cycle d'exploitation grâce à ses fournisseurs (délai de paiement de 49,7 jours). Cependant, la trésorerie nette est fortement négative (-21,9 milliards FCFA), et le fonds de roulement est également négatif (-31,6 milliards), ce qui représente un risque de liquidité structurel. Le rapport du 3ème trimestre 2025 (daté du 30/09/2025) confirme une baisse du résultat net de 30,2% sur les 9 premiers mois, principalement due à un effet de base défavorable. En revanche, le rapport du T1 2026 (daté de 2026) montre un net rebond avec un CA en hausse de 4,3% et un résultat net en progression de 5,5%, laissant présager une amélioration pour l'exercice 2026. La politique de dividende reste très généreuse, avec un taux de distribution supérieur à 100% en 2025, ce qui pourrait peser sur la trésorerie à long terme.</w:t>
      </w:r>
    </w:p>
    <w:p>
      <w:pPr>
        <w:spacing w:after="120" w:line="276" w:lineRule="auto"/>
      </w:pPr>
      <w:r>
        <w:t>---</w:t>
      </w:r>
    </w:p>
    <w:p>
      <w:pPr>
        <w:spacing w:after="120" w:line="276" w:lineRule="auto"/>
      </w:pPr>
      <w:r>
        <w:t>### PARTIE 4 : CONCLUSION D'INVESTISSEMENT</w:t>
      </w:r>
    </w:p>
    <w:p>
      <w:pPr>
        <w:spacing w:after="120" w:line="276" w:lineRule="auto"/>
      </w:pPr>
      <w:r>
        <w:t>La valorisation de TTLC (PER 22,4x, P/B 5,63x) est exigeante et reflète une prime de qualité qui semble déjà intégrer les perspectives de rebond. Le comportement du cours sur 100 jours est haussier (+14%), mais la forte volatilité (40,8%) et l'asymétrie positive (skewness) signalent un risque non négligeable. Les signaux techniques sont divergents : la tendance de fond (MM) est positive, mais le momentum à court terme (MACD) s'essouffle, tandis que le Stochastique suggère un rebond imminent. Fondamentalement, l'entreprise est solide avec un ROE de 25%, mais sa trésorerie nette négative et un payout &gt;100% sont des points de vigilance. Les prédictions IA pour les 10 prochains jours (baisse de 3 240 à 3 187 FCFA) contredisent la tendance haussière de long terme et suggèrent une consolidation à court terme, en ligne avec le signal du MACD. En synthèse, nous recommandons une position de **CONSERVER**, avec un niveau de confiance **Moyen**. Le risque global est **Élevé** en raison de la volatilité et des déséquilibres financiers. L'horizon d'investissement optimal serait à **moyen terme (3-12 mois)** pour capitaliser sur le rebond attendu en 2026, tout en surveillant l'évolution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2,674 titres</w:t>
            </w:r>
          </w:p>
        </w:tc>
        <w:tc>
          <w:tcPr>
            <w:tcW w:type="dxa" w:w="2268"/>
            <w:shd w:fill="FFF2CC" w:val="clear"/>
          </w:tcPr>
          <w:p>
            <w:r>
              <w:rPr>
                <w:b/>
                <w:color w:val="503200"/>
                <w:sz w:val="16"/>
              </w:rPr>
              <w:t xml:space="preserve">Cours actuel : </w:t>
            </w:r>
            <w:r>
              <w:rPr>
                <w:color w:val="000000"/>
                <w:sz w:val="17"/>
              </w:rPr>
              <w:t>3,790 FCFA</w:t>
            </w:r>
          </w:p>
          <w:p>
            <w:r>
              <w:rPr>
                <w:b/>
                <w:color w:val="503200"/>
                <w:sz w:val="16"/>
              </w:rPr>
              <w:t xml:space="preserve">Var. 100 jours : </w:t>
            </w:r>
            <w:r>
              <w:rPr>
                <w:b/>
                <w:color w:val="007800"/>
                <w:sz w:val="17"/>
              </w:rPr>
              <w:t>+26.54%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10.39% (Moyenne) — μ=3,547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β=0.4900 (Défensif) — Cov=0.000018, Var(idx)=0.000036,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σ_j=2.94%/j (Stable) — Vol. annualisée≈46.7%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2026-09-09</w:t>
            </w:r>
          </w:p>
        </w:tc>
        <w:tc>
          <w:tcPr>
            <w:tcW w:type="dxa" w:w="1440"/>
            <w:shd w:fill="FFDCE0" w:val="clear"/>
          </w:tcPr>
          <w:p>
            <w:r>
              <w:rPr>
                <w:sz w:val="17"/>
              </w:rPr>
              <w:t>3,520</w:t>
            </w:r>
          </w:p>
        </w:tc>
        <w:tc>
          <w:tcPr>
            <w:tcW w:type="dxa" w:w="1440"/>
            <w:shd w:fill="FFDCE0" w:val="clear"/>
          </w:tcPr>
          <w:p>
            <w:r>
              <w:rPr>
                <w:b/>
                <w:sz w:val="17"/>
              </w:rPr>
              <w:t>3,660</w:t>
            </w:r>
          </w:p>
        </w:tc>
        <w:tc>
          <w:tcPr>
            <w:tcW w:type="dxa" w:w="1440"/>
            <w:shd w:fill="FFDCE0" w:val="clear"/>
          </w:tcPr>
          <w:p>
            <w:r>
              <w:rPr>
                <w:sz w:val="17"/>
              </w:rPr>
              <w:t>3,800</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2026-09-10</w:t>
            </w:r>
          </w:p>
        </w:tc>
        <w:tc>
          <w:tcPr>
            <w:tcW w:type="dxa" w:w="1440"/>
            <w:shd w:fill="FFDCE0" w:val="clear"/>
          </w:tcPr>
          <w:p>
            <w:r>
              <w:rPr>
                <w:sz w:val="17"/>
              </w:rPr>
              <w:t>3,402</w:t>
            </w:r>
          </w:p>
        </w:tc>
        <w:tc>
          <w:tcPr>
            <w:tcW w:type="dxa" w:w="1440"/>
            <w:shd w:fill="FFDCE0" w:val="clear"/>
          </w:tcPr>
          <w:p>
            <w:r>
              <w:rPr>
                <w:b/>
                <w:sz w:val="17"/>
              </w:rPr>
              <w:t>3,596</w:t>
            </w:r>
          </w:p>
        </w:tc>
        <w:tc>
          <w:tcPr>
            <w:tcW w:type="dxa" w:w="1440"/>
            <w:shd w:fill="FFDCE0" w:val="clear"/>
          </w:tcPr>
          <w:p>
            <w:r>
              <w:rPr>
                <w:sz w:val="17"/>
              </w:rPr>
              <w:t>3,790</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2026-09-11</w:t>
            </w:r>
          </w:p>
        </w:tc>
        <w:tc>
          <w:tcPr>
            <w:tcW w:type="dxa" w:w="1440"/>
            <w:shd w:fill="FFDCE0" w:val="clear"/>
          </w:tcPr>
          <w:p>
            <w:r>
              <w:rPr>
                <w:sz w:val="17"/>
              </w:rPr>
              <w:t>3,306</w:t>
            </w:r>
          </w:p>
        </w:tc>
        <w:tc>
          <w:tcPr>
            <w:tcW w:type="dxa" w:w="1440"/>
            <w:shd w:fill="FFDCE0" w:val="clear"/>
          </w:tcPr>
          <w:p>
            <w:r>
              <w:rPr>
                <w:b/>
                <w:sz w:val="17"/>
              </w:rPr>
              <w:t>3,541</w:t>
            </w:r>
          </w:p>
        </w:tc>
        <w:tc>
          <w:tcPr>
            <w:tcW w:type="dxa" w:w="1440"/>
            <w:shd w:fill="FFDCE0" w:val="clear"/>
          </w:tcPr>
          <w:p>
            <w:r>
              <w:rPr>
                <w:sz w:val="17"/>
              </w:rPr>
              <w:t>3,775</w:t>
            </w:r>
          </w:p>
        </w:tc>
        <w:tc>
          <w:tcPr>
            <w:tcW w:type="dxa" w:w="1440"/>
            <w:shd w:fill="FFDCE0" w:val="clear"/>
          </w:tcPr>
          <w:p>
            <w:r>
              <w:rPr>
                <w:b/>
                <w:color w:val="C00000"/>
                <w:sz w:val="17"/>
              </w:rPr>
              <w:t>-6.6%</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3,226</w:t>
            </w:r>
          </w:p>
        </w:tc>
        <w:tc>
          <w:tcPr>
            <w:tcW w:type="dxa" w:w="1440"/>
            <w:shd w:fill="FFDCE0" w:val="clear"/>
          </w:tcPr>
          <w:p>
            <w:r>
              <w:rPr>
                <w:b/>
                <w:sz w:val="17"/>
              </w:rPr>
              <w:t>3,493</w:t>
            </w:r>
          </w:p>
        </w:tc>
        <w:tc>
          <w:tcPr>
            <w:tcW w:type="dxa" w:w="1440"/>
            <w:shd w:fill="FFDCE0" w:val="clear"/>
          </w:tcPr>
          <w:p>
            <w:r>
              <w:rPr>
                <w:sz w:val="17"/>
              </w:rPr>
              <w:t>3,759</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3,155</w:t>
            </w:r>
          </w:p>
        </w:tc>
        <w:tc>
          <w:tcPr>
            <w:tcW w:type="dxa" w:w="1440"/>
            <w:shd w:fill="FFDCE0" w:val="clear"/>
          </w:tcPr>
          <w:p>
            <w:r>
              <w:rPr>
                <w:b/>
                <w:sz w:val="17"/>
              </w:rPr>
              <w:t>3,449</w:t>
            </w:r>
          </w:p>
        </w:tc>
        <w:tc>
          <w:tcPr>
            <w:tcW w:type="dxa" w:w="1440"/>
            <w:shd w:fill="FFDCE0" w:val="clear"/>
          </w:tcPr>
          <w:p>
            <w:r>
              <w:rPr>
                <w:sz w:val="17"/>
              </w:rPr>
              <w:t>3,744</w:t>
            </w:r>
          </w:p>
        </w:tc>
        <w:tc>
          <w:tcPr>
            <w:tcW w:type="dxa" w:w="1440"/>
            <w:shd w:fill="FFDCE0" w:val="clear"/>
          </w:tcPr>
          <w:p>
            <w:r>
              <w:rPr>
                <w:b/>
                <w:color w:val="C00000"/>
                <w:sz w:val="17"/>
              </w:rPr>
              <w:t>-9.0%</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3,090</w:t>
            </w:r>
          </w:p>
        </w:tc>
        <w:tc>
          <w:tcPr>
            <w:tcW w:type="dxa" w:w="1440"/>
            <w:shd w:fill="FFDCE0" w:val="clear"/>
          </w:tcPr>
          <w:p>
            <w:r>
              <w:rPr>
                <w:b/>
                <w:sz w:val="17"/>
              </w:rPr>
              <w:t>3,409</w:t>
            </w:r>
          </w:p>
        </w:tc>
        <w:tc>
          <w:tcPr>
            <w:tcW w:type="dxa" w:w="1440"/>
            <w:shd w:fill="FFDCE0" w:val="clear"/>
          </w:tcPr>
          <w:p>
            <w:r>
              <w:rPr>
                <w:sz w:val="17"/>
              </w:rPr>
              <w:t>3,727</w:t>
            </w:r>
          </w:p>
        </w:tc>
        <w:tc>
          <w:tcPr>
            <w:tcW w:type="dxa" w:w="1440"/>
            <w:shd w:fill="FFDCE0" w:val="clear"/>
          </w:tcPr>
          <w:p>
            <w:r>
              <w:rPr>
                <w:b/>
                <w:color w:val="C00000"/>
                <w:sz w:val="17"/>
              </w:rPr>
              <w:t>-10.1%</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3,030</w:t>
            </w:r>
          </w:p>
        </w:tc>
        <w:tc>
          <w:tcPr>
            <w:tcW w:type="dxa" w:w="1440"/>
            <w:shd w:fill="FFDCE0" w:val="clear"/>
          </w:tcPr>
          <w:p>
            <w:r>
              <w:rPr>
                <w:b/>
                <w:sz w:val="17"/>
              </w:rPr>
              <w:t>3,371</w:t>
            </w:r>
          </w:p>
        </w:tc>
        <w:tc>
          <w:tcPr>
            <w:tcW w:type="dxa" w:w="1440"/>
            <w:shd w:fill="FFDCE0" w:val="clear"/>
          </w:tcPr>
          <w:p>
            <w:r>
              <w:rPr>
                <w:sz w:val="17"/>
              </w:rPr>
              <w:t>3,711</w:t>
            </w:r>
          </w:p>
        </w:tc>
        <w:tc>
          <w:tcPr>
            <w:tcW w:type="dxa" w:w="1440"/>
            <w:shd w:fill="FFDCE0" w:val="clear"/>
          </w:tcPr>
          <w:p>
            <w:r>
              <w:rPr>
                <w:b/>
                <w:color w:val="C00000"/>
                <w:sz w:val="17"/>
              </w:rPr>
              <w:t>-11.1%</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2,975</w:t>
            </w:r>
          </w:p>
        </w:tc>
        <w:tc>
          <w:tcPr>
            <w:tcW w:type="dxa" w:w="1440"/>
            <w:shd w:fill="FFDCE0" w:val="clear"/>
          </w:tcPr>
          <w:p>
            <w:r>
              <w:rPr>
                <w:b/>
                <w:sz w:val="17"/>
              </w:rPr>
              <w:t>3,335</w:t>
            </w:r>
          </w:p>
        </w:tc>
        <w:tc>
          <w:tcPr>
            <w:tcW w:type="dxa" w:w="1440"/>
            <w:shd w:fill="FFDCE0" w:val="clear"/>
          </w:tcPr>
          <w:p>
            <w:r>
              <w:rPr>
                <w:sz w:val="17"/>
              </w:rPr>
              <w:t>3,696</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2,924</w:t>
            </w:r>
          </w:p>
        </w:tc>
        <w:tc>
          <w:tcPr>
            <w:tcW w:type="dxa" w:w="1440"/>
            <w:shd w:fill="FFDCE0" w:val="clear"/>
          </w:tcPr>
          <w:p>
            <w:r>
              <w:rPr>
                <w:b/>
                <w:sz w:val="17"/>
              </w:rPr>
              <w:t>3,302</w:t>
            </w:r>
          </w:p>
        </w:tc>
        <w:tc>
          <w:tcPr>
            <w:tcW w:type="dxa" w:w="1440"/>
            <w:shd w:fill="FFDCE0" w:val="clear"/>
          </w:tcPr>
          <w:p>
            <w:r>
              <w:rPr>
                <w:sz w:val="17"/>
              </w:rPr>
              <w:t>3,680</w:t>
            </w:r>
          </w:p>
        </w:tc>
        <w:tc>
          <w:tcPr>
            <w:tcW w:type="dxa" w:w="1440"/>
            <w:shd w:fill="FFDCE0" w:val="clear"/>
          </w:tcPr>
          <w:p>
            <w:r>
              <w:rPr>
                <w:b/>
                <w:color w:val="C00000"/>
                <w:sz w:val="17"/>
              </w:rPr>
              <w:t>-12.9%</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2,876</w:t>
            </w:r>
          </w:p>
        </w:tc>
        <w:tc>
          <w:tcPr>
            <w:tcW w:type="dxa" w:w="1440"/>
            <w:shd w:fill="FFDCE0" w:val="clear"/>
          </w:tcPr>
          <w:p>
            <w:r>
              <w:rPr>
                <w:b/>
                <w:sz w:val="17"/>
              </w:rPr>
              <w:t>3,271</w:t>
            </w:r>
          </w:p>
        </w:tc>
        <w:tc>
          <w:tcPr>
            <w:tcW w:type="dxa" w:w="1440"/>
            <w:shd w:fill="FFDCE0" w:val="clear"/>
          </w:tcPr>
          <w:p>
            <w:r>
              <w:rPr>
                <w:sz w:val="17"/>
              </w:rPr>
              <w:t>3,666</w:t>
            </w:r>
          </w:p>
        </w:tc>
        <w:tc>
          <w:tcPr>
            <w:tcW w:type="dxa" w:w="1440"/>
            <w:shd w:fill="FFDCE0" w:val="clear"/>
          </w:tcPr>
          <w:p>
            <w:r>
              <w:rPr>
                <w:b/>
                <w:color w:val="C00000"/>
                <w:sz w:val="17"/>
              </w:rPr>
              <w:t>-13.7%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123,47 milliards FCFA, un niveau significatif qui en fait une valeur de première ligne sur la BRVM, reflétant la confiance des investisseurs dans ce leader sénégalais des produits pétroliers. Avec un BPA de 208 FCFA, le titre se négocie à un PER de 18,2x, nettement supérieur à la moyenne historique de la BRVM (8-12x), ce qui indique que le marché paie une prime substantielle pour la qualité perçue de l'actif et sa stabilité actionnariale. Le P/B de 4,37x confirme cette prime, le marché valorisant fortement les capitaux propres de la société, tandis que l'EV/EBITDA de 7,7x, dans une fourchette raisonnable, tempère cette lecture en montrant une valorisation plus mesurée de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TTLS affiche une progression remarquable de +26,54%, malgré une légère consolidation de -0,26% lors de la dernière séance. Le titre a évolué dans un large intervalle, oscillant entre un plus bas de 2 845 FCFA et un plus haut de 4 500 FCFA, démontrant une forte dynamique haussière sur la période. Le cours actuel de 3 790 FCFA se situe au-dessus de la moyenne (3 547 FCFA) et de la médiane (3 500 FCFA), avec un écart-type de 371 FCFA (CV de 10,4%) qui indique une dispersion modérée des prix autour de la moyenne. Le kurtosis légèrement négatif (-0,363) suggère une distribution mésokurtique, sans risque de pics extrêmes, tandis que le skewness positif (0,285) révèle une asymétrie vers les hausses, cohérente avec la tendance haussière observée. La volatilité annualisée de 46,7% classe le titre comme très volatil, un niveau élevé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(3 790 FCFA) est inférieur à la MM20 (3 768,5 FCFA) et à la MM50 (3 846,6 FCFA), ce qui positionne le titre sous ses moyennes clés et justifie un signal de vente. La configuration technique montre que le prix a récemment cassé à la baisse ses supports dynamiques, indiquant un potentiel de correction à court terme après la forte hausse des 100 derniers jours.</w:t>
      </w:r>
    </w:p>
    <w:p>
      <w:pPr>
        <w:spacing w:after="120" w:line="276" w:lineRule="auto"/>
      </w:pPr>
      <w:r>
        <w:t>**Bandes de Bollinger** : Le prix se situe à l'intérieur des bandes, entre la borne supérieure (3 988,4 FCFA) et la borne inférieure (3 548,6 FCFA), avec une position quasi centrale. Cette configuration signale une volatilité en contraction et une absence de direction claire, d'où la décision neutre. Le resserrement des bandes suggère qu'un mouvement significatif pourrait se préparer, mais la direction reste incertaine.</w:t>
      </w:r>
    </w:p>
    <w:p>
      <w:pPr>
        <w:spacing w:after="120" w:line="276" w:lineRule="auto"/>
      </w:pPr>
      <w:r>
        <w:t>**MACD** : La valeur du MACD (23,5) est supérieure à son signal (18,9), indiquant un momentum haussier positif. Cette configuration, avec une divergence positive, suggère que la pression acheteuse reste présente malgré la consolidation récente, justifiant la décision d'achat. Le momentum semble soutenir une poursuite de la tendance haussière à moyen terme.</w:t>
      </w:r>
    </w:p>
    <w:p>
      <w:pPr>
        <w:spacing w:after="120" w:line="276" w:lineRule="auto"/>
      </w:pPr>
      <w:r>
        <w:t>**RSI** : À 49,4, le RSI se situe exactement dans la zone neutre (30-70), indiquant un équilibre entre les forces acheteuses et vendeuses. Cette valeur reflète l'absence de surachat ou de survente, laissant place à une évolution dans les deux sens. Le marché semble en phase de digestion après la forte progression.</w:t>
      </w:r>
    </w:p>
    <w:p>
      <w:pPr>
        <w:spacing w:after="120" w:line="276" w:lineRule="auto"/>
      </w:pPr>
      <w:r>
        <w:t>**Stochastique** : Le %K (37,5) est inférieur au %D (44,6), indiquant une dynamique baissière à court terme. Le croisement de ces deux lignes sous la zone des 50 suggère une faiblesse relative, mais sans signal extrême de survente. Cette configuration appelle à la prudence pour les traders à court terme.</w:t>
      </w:r>
    </w:p>
    <w:p>
      <w:pPr>
        <w:spacing w:after="120" w:line="276" w:lineRule="auto"/>
      </w:pPr>
      <w:r>
        <w:t>**Conclusion technique** : La convergence des indicateurs est mitigée, avec un MACD positif contrastant avec des moyennes mobiles baissières et un stochastique en repli. Le titre semble dans une phase de consolidation après une forte hausse, avec un biais neutre à court terme. La prudence est de mise, mais la tendance de fond reste haussière tant que le cours se maintient au-dessus de 3 500 FCFA.</w:t>
      </w:r>
    </w:p>
    <w:p>
      <w:pPr>
        <w:spacing w:after="120" w:line="276" w:lineRule="auto"/>
      </w:pPr>
      <w:r>
        <w:t>---</w:t>
      </w:r>
    </w:p>
    <w:p>
      <w:pPr>
        <w:spacing w:after="120" w:line="276" w:lineRule="auto"/>
      </w:pPr>
      <w:r>
        <w:t>### PARTIE 3 : ANALYSE FONDAMENTALE (SECTION CRITIQUE)</w:t>
      </w:r>
    </w:p>
    <w:p>
      <w:pPr>
        <w:spacing w:after="120" w:line="276" w:lineRule="auto"/>
      </w:pPr>
      <w:r>
        <w:t>En 2025, TTLS a réalisé un chiffre d'affaires de 455,209 milliards FCFA, en baisse de 6,1% par rapport à 2024 (484,945 milliards), contraction principalement attribuée à l'arrêt stratégique de la commercialisation du fuel lourd. Le résultat net s'établit à 6,779 milliards FCFA, contre 7,140 milliards en 2024, soit une diminution de 5,1%, malgré une amélioration du résultat d'exploitation à 8,693 milliards FCFA. La rentabilité des fonds propres (ROE) reste excellente à 24%, tandis que la marge nette demeure faible à 1,49%, typique du secteur de distribution pétrolière. La structure financière montre une amélioration notable de la trésorerie, passant de 8,4 à 20,6 milliards FCFA, avec un BFR négatif de -36,9 milliards FCFA, signe d'une gestion efficace du besoin en fonds de roulement. Les délais clients (47 jours) et fournisseurs (98 jours) indiquent une position de trésorerie favorable. Selon le rapport du T1 2026 (daté de mars 2026), le chiffre d'affaires a encore baissé de 10% à 99,9 milliards FCFA suite à la révision des prix à la pompe par l'État, mais le résultat net a progressé de 5% à 1,585 milliards FCFA, démontrant une résilience opérationnelle remarquable avec une amélioration des marges sur les lubrifiants. Les rapports des exercices 2024 et 2025 convergent vers une recommandation de conserver, soulignant la solidité du leader sénégalais mais aussi les défis liés à la baisse des volumes et à la pression réglementaire.</w:t>
      </w:r>
    </w:p>
    <w:p>
      <w:pPr>
        <w:spacing w:after="120" w:line="276" w:lineRule="auto"/>
      </w:pPr>
      <w:r>
        <w:t>---</w:t>
      </w:r>
    </w:p>
    <w:p>
      <w:pPr>
        <w:spacing w:after="120" w:line="276" w:lineRule="auto"/>
      </w:pPr>
      <w:r>
        <w:t>### PARTIE 4 : CONCLUSION D'INVESTISSEMENT</w:t>
      </w:r>
    </w:p>
    <w:p>
      <w:pPr>
        <w:spacing w:after="120" w:line="276" w:lineRule="auto"/>
      </w:pPr>
      <w:r>
        <w:t>La valorisation de TTLS apparaît exigeante avec un PER de 18,2x et un P/B de 4,37x, nettement supérieurs aux moyennes du marché BRVM, tandis que l'EV/EBITDA de 7,7x reste raisonnable. Le comportement du cours sur 100 jours est très positif (+26,54%) mais accompagné d'une volatilité élevée (46,7%), avec des statistiques montrant une distribution relativement normale. Les signaux techniques sont mitigés, oscillant entre un MACD acheteur et des moyennes mobiles vendeuses, indiquant une phase de consolidation. Les fondamentaux, bien qu'en légère baisse sur le chiffre d'affaires, démontrent une excellente rentabilité des capitaux propres (ROE de 24%) et une trésorerie renforcée, avec des perspectives de croissance liées aux projets énergétiques sénégalais (Sangomar, GNL). Les prédictions IA sur 10 jours (3 660 à 3 449 FCFA) suggèrent une poursuite de la consolidation baissière, contredisant le momentum haussier de long terme. La convergence des signaux mitigés et la valorisation exigeante nous conduisent à recommander **CONSERVER** avec un niveau de confiance **Moyen**. Le risque global est **Élevé** en raison de la volatilité et des incertitudes réglementaires. L'horizon d'investissement optimal serait le **moyen terme (3-12 mois)**, en attendant une clarification sur la politique de dividendes et une stabilisation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469.27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51,100 FCFA</w:t>
            </w:r>
          </w:p>
          <w:p>
            <w:r>
              <w:rPr>
                <w:b/>
                <w:color w:val="503200"/>
                <w:sz w:val="16"/>
              </w:rPr>
              <w:t xml:space="preserve">Var. 100 jours : </w:t>
            </w:r>
            <w:r>
              <w:rPr>
                <w:b/>
                <w:color w:val="B40000"/>
                <w:sz w:val="17"/>
              </w:rPr>
              <w:t>-11.90%</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5.45% (Moyenne) — μ=56,016 FCFA, σ=3,055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β=0.1547 (Défensif) — Cov=0.000006, Var(idx)=0.000037, ρ=0.025,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σ_j=3.75%/j (Modérée) — Vol. annualisée≈59.5%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2026-09-09</w:t>
            </w:r>
          </w:p>
        </w:tc>
        <w:tc>
          <w:tcPr>
            <w:tcW w:type="dxa" w:w="1440"/>
            <w:shd w:fill="C6EFCE" w:val="clear"/>
          </w:tcPr>
          <w:p>
            <w:r>
              <w:rPr>
                <w:sz w:val="17"/>
              </w:rPr>
              <w:t>49,986</w:t>
            </w:r>
          </w:p>
        </w:tc>
        <w:tc>
          <w:tcPr>
            <w:tcW w:type="dxa" w:w="1440"/>
            <w:shd w:fill="C6EFCE" w:val="clear"/>
          </w:tcPr>
          <w:p>
            <w:r>
              <w:rPr>
                <w:b/>
                <w:sz w:val="17"/>
              </w:rPr>
              <w:t>53,222</w:t>
            </w:r>
          </w:p>
        </w:tc>
        <w:tc>
          <w:tcPr>
            <w:tcW w:type="dxa" w:w="1440"/>
            <w:shd w:fill="C6EFCE" w:val="clear"/>
          </w:tcPr>
          <w:p>
            <w:r>
              <w:rPr>
                <w:sz w:val="17"/>
              </w:rPr>
              <w:t>56,458</w:t>
            </w:r>
          </w:p>
        </w:tc>
        <w:tc>
          <w:tcPr>
            <w:tcW w:type="dxa" w:w="1440"/>
            <w:shd w:fill="C6EFCE" w:val="clear"/>
          </w:tcPr>
          <w:p>
            <w:r>
              <w:rPr>
                <w:b/>
                <w:color w:val="008000"/>
                <w:sz w:val="17"/>
              </w:rPr>
              <w:t>+4.2%</w:t>
            </w:r>
          </w:p>
        </w:tc>
      </w:tr>
      <w:tr>
        <w:tc>
          <w:tcPr>
            <w:tcW w:type="dxa" w:w="1440"/>
            <w:shd w:fill="C6EFCE" w:val="clear"/>
          </w:tcPr>
          <w:p>
            <w:r>
              <w:rPr>
                <w:sz w:val="17"/>
              </w:rPr>
              <w:t>J+2  ⭐</w:t>
            </w:r>
          </w:p>
        </w:tc>
        <w:tc>
          <w:tcPr>
            <w:tcW w:type="dxa" w:w="1440"/>
            <w:shd w:fill="C6EFCE" w:val="clear"/>
          </w:tcPr>
          <w:p>
            <w:r>
              <w:rPr>
                <w:sz w:val="17"/>
              </w:rPr>
              <w:t>2026-09-10</w:t>
            </w:r>
          </w:p>
        </w:tc>
        <w:tc>
          <w:tcPr>
            <w:tcW w:type="dxa" w:w="1440"/>
            <w:shd w:fill="C6EFCE" w:val="clear"/>
          </w:tcPr>
          <w:p>
            <w:r>
              <w:rPr>
                <w:sz w:val="17"/>
              </w:rPr>
              <w:t>48,840</w:t>
            </w:r>
          </w:p>
        </w:tc>
        <w:tc>
          <w:tcPr>
            <w:tcW w:type="dxa" w:w="1440"/>
            <w:shd w:fill="C6EFCE" w:val="clear"/>
          </w:tcPr>
          <w:p>
            <w:r>
              <w:rPr>
                <w:b/>
                <w:sz w:val="17"/>
              </w:rPr>
              <w:t>53,435</w:t>
            </w:r>
          </w:p>
        </w:tc>
        <w:tc>
          <w:tcPr>
            <w:tcW w:type="dxa" w:w="1440"/>
            <w:shd w:fill="C6EFCE" w:val="clear"/>
          </w:tcPr>
          <w:p>
            <w:r>
              <w:rPr>
                <w:sz w:val="17"/>
              </w:rPr>
              <w:t>58,029</w:t>
            </w:r>
          </w:p>
        </w:tc>
        <w:tc>
          <w:tcPr>
            <w:tcW w:type="dxa" w:w="1440"/>
            <w:shd w:fill="C6EFCE" w:val="clear"/>
          </w:tcPr>
          <w:p>
            <w:r>
              <w:rPr>
                <w:b/>
                <w:color w:val="008000"/>
                <w:sz w:val="17"/>
              </w:rPr>
              <w:t>+4.6%</w:t>
            </w:r>
          </w:p>
        </w:tc>
      </w:tr>
      <w:tr>
        <w:tc>
          <w:tcPr>
            <w:tcW w:type="dxa" w:w="1440"/>
            <w:shd w:fill="C6EFCE" w:val="clear"/>
          </w:tcPr>
          <w:p>
            <w:r>
              <w:rPr>
                <w:sz w:val="17"/>
              </w:rPr>
              <w:t>J+3  ⭐</w:t>
            </w:r>
          </w:p>
        </w:tc>
        <w:tc>
          <w:tcPr>
            <w:tcW w:type="dxa" w:w="1440"/>
            <w:shd w:fill="C6EFCE" w:val="clear"/>
          </w:tcPr>
          <w:p>
            <w:r>
              <w:rPr>
                <w:sz w:val="17"/>
              </w:rPr>
              <w:t>2026-09-11</w:t>
            </w:r>
          </w:p>
        </w:tc>
        <w:tc>
          <w:tcPr>
            <w:tcW w:type="dxa" w:w="1440"/>
            <w:shd w:fill="C6EFCE" w:val="clear"/>
          </w:tcPr>
          <w:p>
            <w:r>
              <w:rPr>
                <w:sz w:val="17"/>
              </w:rPr>
              <w:t>48,244</w:t>
            </w:r>
          </w:p>
        </w:tc>
        <w:tc>
          <w:tcPr>
            <w:tcW w:type="dxa" w:w="1440"/>
            <w:shd w:fill="C6EFCE" w:val="clear"/>
          </w:tcPr>
          <w:p>
            <w:r>
              <w:rPr>
                <w:b/>
                <w:sz w:val="17"/>
              </w:rPr>
              <w:t>53,923</w:t>
            </w:r>
          </w:p>
        </w:tc>
        <w:tc>
          <w:tcPr>
            <w:tcW w:type="dxa" w:w="1440"/>
            <w:shd w:fill="C6EFCE" w:val="clear"/>
          </w:tcPr>
          <w:p>
            <w:r>
              <w:rPr>
                <w:sz w:val="17"/>
              </w:rPr>
              <w:t>59,601</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2026-09-14</w:t>
            </w:r>
          </w:p>
        </w:tc>
        <w:tc>
          <w:tcPr>
            <w:tcW w:type="dxa" w:w="1440"/>
            <w:shd w:fill="C6EFCE" w:val="clear"/>
          </w:tcPr>
          <w:p>
            <w:r>
              <w:rPr>
                <w:sz w:val="17"/>
              </w:rPr>
              <w:t>47,864</w:t>
            </w:r>
          </w:p>
        </w:tc>
        <w:tc>
          <w:tcPr>
            <w:tcW w:type="dxa" w:w="1440"/>
            <w:shd w:fill="C6EFCE" w:val="clear"/>
          </w:tcPr>
          <w:p>
            <w:r>
              <w:rPr>
                <w:b/>
                <w:sz w:val="17"/>
              </w:rPr>
              <w:t>54,490</w:t>
            </w:r>
          </w:p>
        </w:tc>
        <w:tc>
          <w:tcPr>
            <w:tcW w:type="dxa" w:w="1440"/>
            <w:shd w:fill="C6EFCE" w:val="clear"/>
          </w:tcPr>
          <w:p>
            <w:r>
              <w:rPr>
                <w:sz w:val="17"/>
              </w:rPr>
              <w:t>61,116</w:t>
            </w:r>
          </w:p>
        </w:tc>
        <w:tc>
          <w:tcPr>
            <w:tcW w:type="dxa" w:w="1440"/>
            <w:shd w:fill="C6EFCE" w:val="clear"/>
          </w:tcPr>
          <w:p>
            <w:r>
              <w:rPr>
                <w:b/>
                <w:color w:val="008000"/>
                <w:sz w:val="17"/>
              </w:rPr>
              <w:t>+6.6%</w:t>
            </w:r>
          </w:p>
        </w:tc>
      </w:tr>
      <w:tr>
        <w:tc>
          <w:tcPr>
            <w:tcW w:type="dxa" w:w="1440"/>
            <w:shd w:fill="C6EFCE" w:val="clear"/>
          </w:tcPr>
          <w:p>
            <w:r>
              <w:rPr>
                <w:sz w:val="17"/>
              </w:rPr>
              <w:t>J+5  ⭐</w:t>
            </w:r>
          </w:p>
        </w:tc>
        <w:tc>
          <w:tcPr>
            <w:tcW w:type="dxa" w:w="1440"/>
            <w:shd w:fill="C6EFCE" w:val="clear"/>
          </w:tcPr>
          <w:p>
            <w:r>
              <w:rPr>
                <w:sz w:val="17"/>
              </w:rPr>
              <w:t>2026-09-15</w:t>
            </w:r>
          </w:p>
        </w:tc>
        <w:tc>
          <w:tcPr>
            <w:tcW w:type="dxa" w:w="1440"/>
            <w:shd w:fill="C6EFCE" w:val="clear"/>
          </w:tcPr>
          <w:p>
            <w:r>
              <w:rPr>
                <w:sz w:val="17"/>
              </w:rPr>
              <w:t>47,601</w:t>
            </w:r>
          </w:p>
        </w:tc>
        <w:tc>
          <w:tcPr>
            <w:tcW w:type="dxa" w:w="1440"/>
            <w:shd w:fill="C6EFCE" w:val="clear"/>
          </w:tcPr>
          <w:p>
            <w:r>
              <w:rPr>
                <w:b/>
                <w:sz w:val="17"/>
              </w:rPr>
              <w:t>55,090</w:t>
            </w:r>
          </w:p>
        </w:tc>
        <w:tc>
          <w:tcPr>
            <w:tcW w:type="dxa" w:w="1440"/>
            <w:shd w:fill="C6EFCE" w:val="clear"/>
          </w:tcPr>
          <w:p>
            <w:r>
              <w:rPr>
                <w:sz w:val="17"/>
              </w:rPr>
              <w:t>62,580</w:t>
            </w:r>
          </w:p>
        </w:tc>
        <w:tc>
          <w:tcPr>
            <w:tcW w:type="dxa" w:w="1440"/>
            <w:shd w:fill="C6EFCE" w:val="clear"/>
          </w:tcPr>
          <w:p>
            <w:r>
              <w:rPr>
                <w:b/>
                <w:color w:val="008000"/>
                <w:sz w:val="17"/>
              </w:rPr>
              <w:t>+7.8%</w:t>
            </w:r>
          </w:p>
        </w:tc>
      </w:tr>
      <w:tr>
        <w:tc>
          <w:tcPr>
            <w:tcW w:type="dxa" w:w="1440"/>
            <w:shd w:fill="C6EFCE" w:val="clear"/>
          </w:tcPr>
          <w:p>
            <w:r>
              <w:rPr>
                <w:sz w:val="17"/>
              </w:rPr>
              <w:t>J+6  ⭐</w:t>
            </w:r>
          </w:p>
        </w:tc>
        <w:tc>
          <w:tcPr>
            <w:tcW w:type="dxa" w:w="1440"/>
            <w:shd w:fill="C6EFCE" w:val="clear"/>
          </w:tcPr>
          <w:p>
            <w:r>
              <w:rPr>
                <w:sz w:val="17"/>
              </w:rPr>
              <w:t>2026-09-16</w:t>
            </w:r>
          </w:p>
        </w:tc>
        <w:tc>
          <w:tcPr>
            <w:tcW w:type="dxa" w:w="1440"/>
            <w:shd w:fill="C6EFCE" w:val="clear"/>
          </w:tcPr>
          <w:p>
            <w:r>
              <w:rPr>
                <w:sz w:val="17"/>
              </w:rPr>
              <w:t>47,411</w:t>
            </w:r>
          </w:p>
        </w:tc>
        <w:tc>
          <w:tcPr>
            <w:tcW w:type="dxa" w:w="1440"/>
            <w:shd w:fill="C6EFCE" w:val="clear"/>
          </w:tcPr>
          <w:p>
            <w:r>
              <w:rPr>
                <w:b/>
                <w:sz w:val="17"/>
              </w:rPr>
              <w:t>55,707</w:t>
            </w:r>
          </w:p>
        </w:tc>
        <w:tc>
          <w:tcPr>
            <w:tcW w:type="dxa" w:w="1440"/>
            <w:shd w:fill="C6EFCE" w:val="clear"/>
          </w:tcPr>
          <w:p>
            <w:r>
              <w:rPr>
                <w:sz w:val="17"/>
              </w:rPr>
              <w:t>64,003</w:t>
            </w:r>
          </w:p>
        </w:tc>
        <w:tc>
          <w:tcPr>
            <w:tcW w:type="dxa" w:w="1440"/>
            <w:shd w:fill="C6EFCE" w:val="clear"/>
          </w:tcPr>
          <w:p>
            <w:r>
              <w:rPr>
                <w:b/>
                <w:color w:val="008000"/>
                <w:sz w:val="17"/>
              </w:rPr>
              <w:t>+9.0%</w:t>
            </w:r>
          </w:p>
        </w:tc>
      </w:tr>
      <w:tr>
        <w:tc>
          <w:tcPr>
            <w:tcW w:type="dxa" w:w="1440"/>
            <w:shd w:fill="C6EFCE" w:val="clear"/>
          </w:tcPr>
          <w:p>
            <w:r>
              <w:rPr>
                <w:sz w:val="17"/>
              </w:rPr>
              <w:t>J+7  ⭐</w:t>
            </w:r>
          </w:p>
        </w:tc>
        <w:tc>
          <w:tcPr>
            <w:tcW w:type="dxa" w:w="1440"/>
            <w:shd w:fill="C6EFCE" w:val="clear"/>
          </w:tcPr>
          <w:p>
            <w:r>
              <w:rPr>
                <w:sz w:val="17"/>
              </w:rPr>
              <w:t>2026-09-17</w:t>
            </w:r>
          </w:p>
        </w:tc>
        <w:tc>
          <w:tcPr>
            <w:tcW w:type="dxa" w:w="1440"/>
            <w:shd w:fill="C6EFCE" w:val="clear"/>
          </w:tcPr>
          <w:p>
            <w:r>
              <w:rPr>
                <w:sz w:val="17"/>
              </w:rPr>
              <w:t>47,273</w:t>
            </w:r>
          </w:p>
        </w:tc>
        <w:tc>
          <w:tcPr>
            <w:tcW w:type="dxa" w:w="1440"/>
            <w:shd w:fill="C6EFCE" w:val="clear"/>
          </w:tcPr>
          <w:p>
            <w:r>
              <w:rPr>
                <w:b/>
                <w:sz w:val="17"/>
              </w:rPr>
              <w:t>56,335</w:t>
            </w:r>
          </w:p>
        </w:tc>
        <w:tc>
          <w:tcPr>
            <w:tcW w:type="dxa" w:w="1440"/>
            <w:shd w:fill="C6EFCE" w:val="clear"/>
          </w:tcPr>
          <w:p>
            <w:r>
              <w:rPr>
                <w:sz w:val="17"/>
              </w:rPr>
              <w:t>65,397</w:t>
            </w:r>
          </w:p>
        </w:tc>
        <w:tc>
          <w:tcPr>
            <w:tcW w:type="dxa" w:w="1440"/>
            <w:shd w:fill="C6EFCE" w:val="clear"/>
          </w:tcPr>
          <w:p>
            <w:r>
              <w:rPr>
                <w:b/>
                <w:color w:val="008000"/>
                <w:sz w:val="17"/>
              </w:rPr>
              <w:t>+10.2%</w:t>
            </w:r>
          </w:p>
        </w:tc>
      </w:tr>
      <w:tr>
        <w:tc>
          <w:tcPr>
            <w:tcW w:type="dxa" w:w="1440"/>
            <w:shd w:fill="C6EFCE" w:val="clear"/>
          </w:tcPr>
          <w:p>
            <w:r>
              <w:rPr>
                <w:sz w:val="17"/>
              </w:rPr>
              <w:t>J+8  ⭐</w:t>
            </w:r>
          </w:p>
        </w:tc>
        <w:tc>
          <w:tcPr>
            <w:tcW w:type="dxa" w:w="1440"/>
            <w:shd w:fill="C6EFCE" w:val="clear"/>
          </w:tcPr>
          <w:p>
            <w:r>
              <w:rPr>
                <w:sz w:val="17"/>
              </w:rPr>
              <w:t>2026-09-18</w:t>
            </w:r>
          </w:p>
        </w:tc>
        <w:tc>
          <w:tcPr>
            <w:tcW w:type="dxa" w:w="1440"/>
            <w:shd w:fill="C6EFCE" w:val="clear"/>
          </w:tcPr>
          <w:p>
            <w:r>
              <w:rPr>
                <w:sz w:val="17"/>
              </w:rPr>
              <w:t>47,174</w:t>
            </w:r>
          </w:p>
        </w:tc>
        <w:tc>
          <w:tcPr>
            <w:tcW w:type="dxa" w:w="1440"/>
            <w:shd w:fill="C6EFCE" w:val="clear"/>
          </w:tcPr>
          <w:p>
            <w:r>
              <w:rPr>
                <w:b/>
                <w:sz w:val="17"/>
              </w:rPr>
              <w:t>56,971</w:t>
            </w:r>
          </w:p>
        </w:tc>
        <w:tc>
          <w:tcPr>
            <w:tcW w:type="dxa" w:w="1440"/>
            <w:shd w:fill="C6EFCE" w:val="clear"/>
          </w:tcPr>
          <w:p>
            <w:r>
              <w:rPr>
                <w:sz w:val="17"/>
              </w:rPr>
              <w:t>66,768</w:t>
            </w:r>
          </w:p>
        </w:tc>
        <w:tc>
          <w:tcPr>
            <w:tcW w:type="dxa" w:w="1440"/>
            <w:shd w:fill="C6EFCE" w:val="clear"/>
          </w:tcPr>
          <w:p>
            <w:r>
              <w:rPr>
                <w:b/>
                <w:color w:val="008000"/>
                <w:sz w:val="17"/>
              </w:rPr>
              <w:t>+11.5%</w:t>
            </w:r>
          </w:p>
        </w:tc>
      </w:tr>
      <w:tr>
        <w:tc>
          <w:tcPr>
            <w:tcW w:type="dxa" w:w="1440"/>
            <w:shd w:fill="C6EFCE" w:val="clear"/>
          </w:tcPr>
          <w:p>
            <w:r>
              <w:rPr>
                <w:sz w:val="17"/>
              </w:rPr>
              <w:t>J+9  ⭐</w:t>
            </w:r>
          </w:p>
        </w:tc>
        <w:tc>
          <w:tcPr>
            <w:tcW w:type="dxa" w:w="1440"/>
            <w:shd w:fill="C6EFCE" w:val="clear"/>
          </w:tcPr>
          <w:p>
            <w:r>
              <w:rPr>
                <w:sz w:val="17"/>
              </w:rPr>
              <w:t>2026-09-21</w:t>
            </w:r>
          </w:p>
        </w:tc>
        <w:tc>
          <w:tcPr>
            <w:tcW w:type="dxa" w:w="1440"/>
            <w:shd w:fill="C6EFCE" w:val="clear"/>
          </w:tcPr>
          <w:p>
            <w:r>
              <w:rPr>
                <w:sz w:val="17"/>
              </w:rPr>
              <w:t>47,104</w:t>
            </w:r>
          </w:p>
        </w:tc>
        <w:tc>
          <w:tcPr>
            <w:tcW w:type="dxa" w:w="1440"/>
            <w:shd w:fill="C6EFCE" w:val="clear"/>
          </w:tcPr>
          <w:p>
            <w:r>
              <w:rPr>
                <w:b/>
                <w:sz w:val="17"/>
              </w:rPr>
              <w:t>57,612</w:t>
            </w:r>
          </w:p>
        </w:tc>
        <w:tc>
          <w:tcPr>
            <w:tcW w:type="dxa" w:w="1440"/>
            <w:shd w:fill="C6EFCE" w:val="clear"/>
          </w:tcPr>
          <w:p>
            <w:r>
              <w:rPr>
                <w:sz w:val="17"/>
              </w:rPr>
              <w:t>68,120</w:t>
            </w:r>
          </w:p>
        </w:tc>
        <w:tc>
          <w:tcPr>
            <w:tcW w:type="dxa" w:w="1440"/>
            <w:shd w:fill="C6EFCE" w:val="clear"/>
          </w:tcPr>
          <w:p>
            <w:r>
              <w:rPr>
                <w:b/>
                <w:color w:val="008000"/>
                <w:sz w:val="17"/>
              </w:rPr>
              <w:t>+12.7%</w:t>
            </w:r>
          </w:p>
        </w:tc>
      </w:tr>
      <w:tr>
        <w:tc>
          <w:tcPr>
            <w:tcW w:type="dxa" w:w="1440"/>
            <w:shd w:fill="C6EFCE" w:val="clear"/>
          </w:tcPr>
          <w:p>
            <w:r>
              <w:rPr>
                <w:sz w:val="17"/>
              </w:rPr>
              <w:t>J+10  ⭐</w:t>
            </w:r>
          </w:p>
        </w:tc>
        <w:tc>
          <w:tcPr>
            <w:tcW w:type="dxa" w:w="1440"/>
            <w:shd w:fill="C6EFCE" w:val="clear"/>
          </w:tcPr>
          <w:p>
            <w:r>
              <w:rPr>
                <w:sz w:val="17"/>
              </w:rPr>
              <w:t>2026-09-22</w:t>
            </w:r>
          </w:p>
        </w:tc>
        <w:tc>
          <w:tcPr>
            <w:tcW w:type="dxa" w:w="1440"/>
            <w:shd w:fill="C6EFCE" w:val="clear"/>
          </w:tcPr>
          <w:p>
            <w:r>
              <w:rPr>
                <w:sz w:val="17"/>
              </w:rPr>
              <w:t>47,057</w:t>
            </w:r>
          </w:p>
        </w:tc>
        <w:tc>
          <w:tcPr>
            <w:tcW w:type="dxa" w:w="1440"/>
            <w:shd w:fill="C6EFCE" w:val="clear"/>
          </w:tcPr>
          <w:p>
            <w:r>
              <w:rPr>
                <w:b/>
                <w:sz w:val="17"/>
              </w:rPr>
              <w:t>58,257</w:t>
            </w:r>
          </w:p>
        </w:tc>
        <w:tc>
          <w:tcPr>
            <w:tcW w:type="dxa" w:w="1440"/>
            <w:shd w:fill="C6EFCE" w:val="clear"/>
          </w:tcPr>
          <w:p>
            <w:r>
              <w:rPr>
                <w:sz w:val="17"/>
              </w:rPr>
              <w:t>69,458</w:t>
            </w:r>
          </w:p>
        </w:tc>
        <w:tc>
          <w:tcPr>
            <w:tcW w:type="dxa" w:w="1440"/>
            <w:shd w:fill="C6EFCE" w:val="clear"/>
          </w:tcPr>
          <w:p>
            <w:r>
              <w:rPr>
                <w:b/>
                <w:color w:val="008000"/>
                <w:sz w:val="17"/>
              </w:rPr>
              <w:t>+14.0%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469,27 milliards FCFA, ce qui la positionne parmi les valeurs moyennes du marché de la BRVM, un niveau significatif pour une entreprise de biens de consommation. Les ratios de valorisation traditionnels (BPA, PER, P/B, EV/EBITDA) ne sont pas calculables en raison de l'absence de données financières structurées récentes dans la base, ce qui constitue une limite importante pour évaluer le caractère attractif ou non du titre. Toutefois, la capitalisation actuelle, rapportée aux bénéfices historiques modestes de la société (640 millions FCFA en 2023), suggère un PER théorique extrêmement élevé, indiquant que le marché valorise davantage le potentiel de redressement que les bénéfices actuels. Cette situation reflète une prime de risque importante pour les investisseurs, qui parient sur une normalisation durable de la rentabilité de la filiale ivoirienne du géant Unilever.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11,90%, avec un cours actuel de 51 100 FCFA, tandis que la dernière séance a montré une légère stabilisation (+0,20%). Le titre a évolué dans une fourchette large de 50 000 à 63 345 FCFA, illustrant une volatilité marquée et une tendance baissière dominante sur la période. Les statistiques descriptives révèlent un cours moyen de 56 016 FCFA, très proche de la médiane (56 000 FCFA), ce qui indique une distribution des prix relativement symétrique, confirmée par un skewness de 0,108. L'écart-type de 3 070 FCFA (CV=5,5%) témoigne d'une dispersion modérée autour de la moyenne, tandis que le kurtosis de -0,519 (mésokurtique) suggère l'absence de risques extrêmes de pics ou de krachs soudains. La volatilité annualisée de 59,5% est très élevée (&gt;30%), signalant un titre spéculatif et risqué à court terme, malgré une distribution statistique des prix apparemment normale.</w:t>
      </w:r>
    </w:p>
    <w:p>
      <w:pPr>
        <w:spacing w:after="120" w:line="276" w:lineRule="auto" w:before="240"/>
      </w:pPr>
      <w:r>
        <w:rPr>
          <w:b/>
          <w:color w:val="003366"/>
          <w:sz w:val="24"/>
        </w:rPr>
        <w:t>**PARTIE 2 : ANALYSE TECHNIQUE DÉTAILLÉE**</w:t>
      </w:r>
    </w:p>
    <w:p>
      <w:pPr>
        <w:spacing w:after="120" w:line="276" w:lineRule="auto"/>
      </w:pPr>
      <w:r>
        <w:t>**Moyennes Mobiles** : La MM20 (54 302 FCFA) et la MM50 (53 786 FCFA) sont toutes deux supérieures au cours actuel de 51 100 FCFA, indiquant une pression vendeuse persistante. Le signal d'achat généré par ces moyennes est paradoxal, car il suggère que le cours pourrait rebondir vers ces niveaux, mais la tendance de fond reste baissière tant que le prix n'a pas franchi ces résistances dynamiques.</w:t>
      </w:r>
    </w:p>
    <w:p>
      <w:pPr>
        <w:spacing w:after="120" w:line="276" w:lineRule="auto"/>
      </w:pPr>
      <w:r>
        <w:t>**Bandes de Bollinger** : Le cours se situe près de la borne inférieure (49 978 FCFA), à 51 100 FCFA, ce qui indique une zone de survente relative. La largeur des bandes (écart de 8 648 FCFA entre les bornes) reflète une volatilité élevée. La décision neutre s'explique par le fait que le titre n'a pas encore touché la borne inférieure, laissant planer un risque de poursuite de la baisse avant un éventuel rebond technique.</w:t>
      </w:r>
    </w:p>
    <w:p>
      <w:pPr>
        <w:spacing w:after="120" w:line="276" w:lineRule="auto"/>
      </w:pPr>
      <w:r>
        <w:t>**MACD** : Le MACD (-462,9) est négatif et inférieur à sa ligne de signal (-143,5), confirmant une dynamique baissière solide. Cette configuration indique que le momentum est clairement vendeur, sans signe de retournement imminent. La décision de vente est cohérente avec la tendance générale du titre sur la période.</w:t>
      </w:r>
    </w:p>
    <w:p>
      <w:pPr>
        <w:spacing w:after="120" w:line="276" w:lineRule="auto"/>
      </w:pPr>
      <w:r>
        <w:t>**RSI** : À 33,8, le RSI est en zone neutre mais proche du seuil de survente (30). Cette valeur suggère que la pression vendeuse s'essouffle, sans pour autant signaler un retournement haussier. La décision neutre est justifiée par l'absence de confirmation d'un rebond, mais le titre pourrait entrer en zone de survente si la baisse se poursuit.</w:t>
      </w:r>
    </w:p>
    <w:p>
      <w:pPr>
        <w:spacing w:after="120" w:line="276" w:lineRule="auto"/>
      </w:pPr>
      <w:r>
        <w:t>**Stochastique** : Le %K (1,96) est extrêmement bas et croise sous le %D (13,7), indiquant une condition de survente sévère. Ce niveau suggère qu'un rebond technique est probable à très court terme, d'où le signal d'achat. Cependant, dans une tendance baissière marquée, ce signal peut être prématuré.</w:t>
      </w:r>
    </w:p>
    <w:p>
      <w:pPr>
        <w:spacing w:after="120" w:line="276" w:lineRule="auto"/>
      </w:pPr>
      <w:r>
        <w:t>**Conclusion technique** : Les indicateurs sont mitigés, avec une majorité de signaux baissiers (MACD, tendance des MM) contre des signaux de survente (Stochastique, RSI proche de 30). La configuration suggère un possible rebond technique à court terme, mais la tendance de fond reste résolument baissière. Les bandes de Bollinger et le RSI neutre indiquent une prudence nécessaire avant toute position haussière.</w:t>
      </w:r>
    </w:p>
    <w:p>
      <w:pPr>
        <w:spacing w:after="120" w:line="276" w:lineRule="auto" w:before="240"/>
      </w:pPr>
      <w:r>
        <w:rPr>
          <w:b/>
          <w:color w:val="003366"/>
          <w:sz w:val="24"/>
        </w:rPr>
        <w:t>**PARTIE 3 : ANALYSE FONDAMENTALE (SECTION CRITIQUE)**</w:t>
      </w:r>
    </w:p>
    <w:p>
      <w:pPr>
        <w:spacing w:after="120" w:line="276" w:lineRule="auto"/>
      </w:pPr>
      <w:r>
        <w:t>Les rapports financiers disponibles, bien qu'anciens (datant de 2022 et 2023), fournissent des informations cruciales sur la trajectoire d'UNLC. En 2021, la société a réalisé un chiffre d'affaires de 24,34 milliards FCFA avec un bénéfice net de 6,09 milliards FCFA (marge nette de 25%), avant de sombrer en 2022 dans une perte massive de 6,38 milliards FCFA (marge nette de -26,2%), due à la cession de l'activité Thé et à des coûts logistiques élevés. L'exercice 2023 a marqué un retour à un bénéfice modeste de 640 millions FCFA (marge nette de 2,63%), avec un résultat d'exploitation positif de 3,34 milliards FCFA, mais les capitaux propres restent négatifs à -10,66 milliards FCFA, traduisant une structure financière fragile. Les ratios de rentabilité (ROE, ROA) ne sont pas calculables en raison des capitaux propres négatifs, ce qui constitue un signal d'alarme majeur. Le chiffre d'affaires est resté stagnant à 24,34 milliards FCFA entre 2022 et 2023, indiquant une absence de croissance organique. La société n'a versé aucun dividende depuis 2021, privilégiant la reconstitution de ses fonds propres. Les dettes financières s'élèvent à 4,38 milliards FCFA en 2023, avec une trésorerie passive de 14,87 milliards FCFA, suggérant des difficultés de liquidité. Les perspectives de redressement dépendent d'une amélioration durable des marges et d'une réduction de l'endettement, mais la situation reste précaire avec un risque de dégradation supplémentaire si les performances 2024 ne confirment pas cette reprise.</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pour UNLC. La valorisation boursière (469,27 milliards FCFA) apparaît surévaluée par rapport aux bénéfices historiques, avec un PER théorique très élevé, bien que les ratios précis ne soient pas calculables. Le comportement du cours sur 100 jours est préoccupant, avec une baisse de 11,90% et une volatilité annualisée de 59,5%, indiquant un titre spéculatif, malgré une distribution statistique normale. Les signaux techniques sont divergents : le MACD et la tendance des moyennes mobiles sont baissiers, tandis que le stochastique en survente extrême suggère un rebond technique imminent. Les fondamentaux sont fragiles, avec une amélioration en 2023 mais des capitaux propres négatifs et une absence de croissance du chiffre d'affaires. Les prédictions IA pour les 10 prochains jours (52 000 à 55 000 FCFA) suggèrent un rebond modéré, contredisant la tendance baissière récente mais confirmant les signaux de survente technique. La convergence entre les signaux de survente technique et les prédictions IA plaide pour un rebond à court terme, mais la divergence avec les fondamentaux fragiles impose une prudence extrême. **Recommandation finale : CONSERVER**, avec un niveau de confiance **Faible** et un risque global **Élevé**. L'horizon d'investissement optimal est le **moyen terme (3-12 mois)**, en attendant une confirmation du redressement fondamental, notamment une réduction de l'endettement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13,230 titres</w:t>
            </w:r>
          </w:p>
        </w:tc>
        <w:tc>
          <w:tcPr>
            <w:tcW w:type="dxa" w:w="2268"/>
            <w:shd w:fill="FFF2CC" w:val="clear"/>
          </w:tcPr>
          <w:p>
            <w:r>
              <w:rPr>
                <w:b/>
                <w:color w:val="503200"/>
                <w:sz w:val="16"/>
              </w:rPr>
              <w:t xml:space="preserve">Cours actuel : </w:t>
            </w:r>
            <w:r>
              <w:rPr>
                <w:color w:val="000000"/>
                <w:sz w:val="17"/>
              </w:rPr>
              <w:t>2,340 FCFA</w:t>
            </w:r>
          </w:p>
          <w:p>
            <w:r>
              <w:rPr>
                <w:b/>
                <w:color w:val="503200"/>
                <w:sz w:val="16"/>
              </w:rPr>
              <w:t xml:space="preserve">Var. 100 jours : </w:t>
            </w:r>
            <w:r>
              <w:rPr>
                <w:b/>
                <w:color w:val="007800"/>
                <w:sz w:val="17"/>
              </w:rPr>
              <w:t>+19.69%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13.38% (Moyenne) — μ=1,927 FCFA, σ=258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β=-0.0883 (Contre-cyclique) — Cov=-0.000003, Var(idx)=0.000036, ρ=-0.016,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13,230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2026-09-09</w:t>
            </w:r>
          </w:p>
        </w:tc>
        <w:tc>
          <w:tcPr>
            <w:tcW w:type="dxa" w:w="1440"/>
            <w:shd w:fill="FAFAFA" w:val="clear"/>
          </w:tcPr>
          <w:p>
            <w:r>
              <w:rPr>
                <w:sz w:val="17"/>
              </w:rPr>
              <w:t>2,226</w:t>
            </w:r>
          </w:p>
        </w:tc>
        <w:tc>
          <w:tcPr>
            <w:tcW w:type="dxa" w:w="1440"/>
            <w:shd w:fill="FAFAFA" w:val="clear"/>
          </w:tcPr>
          <w:p>
            <w:r>
              <w:rPr>
                <w:b/>
                <w:sz w:val="17"/>
              </w:rPr>
              <w:t>2,332</w:t>
            </w:r>
          </w:p>
        </w:tc>
        <w:tc>
          <w:tcPr>
            <w:tcW w:type="dxa" w:w="1440"/>
            <w:shd w:fill="FAFAFA" w:val="clear"/>
          </w:tcPr>
          <w:p>
            <w:r>
              <w:rPr>
                <w:sz w:val="17"/>
              </w:rPr>
              <w:t>2,437</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2026-09-10</w:t>
            </w:r>
          </w:p>
        </w:tc>
        <w:tc>
          <w:tcPr>
            <w:tcW w:type="dxa" w:w="1440"/>
            <w:shd w:fill="FAFAFA" w:val="clear"/>
          </w:tcPr>
          <w:p>
            <w:r>
              <w:rPr>
                <w:sz w:val="17"/>
              </w:rPr>
              <w:t>2,169</w:t>
            </w:r>
          </w:p>
        </w:tc>
        <w:tc>
          <w:tcPr>
            <w:tcW w:type="dxa" w:w="1440"/>
            <w:shd w:fill="FAFAFA" w:val="clear"/>
          </w:tcPr>
          <w:p>
            <w:r>
              <w:rPr>
                <w:b/>
                <w:sz w:val="17"/>
              </w:rPr>
              <w:t>2,317</w:t>
            </w:r>
          </w:p>
        </w:tc>
        <w:tc>
          <w:tcPr>
            <w:tcW w:type="dxa" w:w="1440"/>
            <w:shd w:fill="FAFAFA" w:val="clear"/>
          </w:tcPr>
          <w:p>
            <w:r>
              <w:rPr>
                <w:sz w:val="17"/>
              </w:rPr>
              <w:t>2,466</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2026-09-11</w:t>
            </w:r>
          </w:p>
        </w:tc>
        <w:tc>
          <w:tcPr>
            <w:tcW w:type="dxa" w:w="1440"/>
            <w:shd w:fill="FAFAFA" w:val="clear"/>
          </w:tcPr>
          <w:p>
            <w:r>
              <w:rPr>
                <w:sz w:val="17"/>
              </w:rPr>
              <w:t>2,124</w:t>
            </w:r>
          </w:p>
        </w:tc>
        <w:tc>
          <w:tcPr>
            <w:tcW w:type="dxa" w:w="1440"/>
            <w:shd w:fill="FAFAFA" w:val="clear"/>
          </w:tcPr>
          <w:p>
            <w:r>
              <w:rPr>
                <w:b/>
                <w:sz w:val="17"/>
              </w:rPr>
              <w:t>2,304</w:t>
            </w:r>
          </w:p>
        </w:tc>
        <w:tc>
          <w:tcPr>
            <w:tcW w:type="dxa" w:w="1440"/>
            <w:shd w:fill="FAFAFA" w:val="clear"/>
          </w:tcPr>
          <w:p>
            <w:r>
              <w:rPr>
                <w:sz w:val="17"/>
              </w:rPr>
              <w:t>2,484</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2026-09-14</w:t>
            </w:r>
          </w:p>
        </w:tc>
        <w:tc>
          <w:tcPr>
            <w:tcW w:type="dxa" w:w="1440"/>
            <w:shd w:fill="FFDCE0" w:val="clear"/>
          </w:tcPr>
          <w:p>
            <w:r>
              <w:rPr>
                <w:sz w:val="17"/>
              </w:rPr>
              <w:t>2,083</w:t>
            </w:r>
          </w:p>
        </w:tc>
        <w:tc>
          <w:tcPr>
            <w:tcW w:type="dxa" w:w="1440"/>
            <w:shd w:fill="FFDCE0" w:val="clear"/>
          </w:tcPr>
          <w:p>
            <w:r>
              <w:rPr>
                <w:b/>
                <w:sz w:val="17"/>
              </w:rPr>
              <w:t>2,291</w:t>
            </w:r>
          </w:p>
        </w:tc>
        <w:tc>
          <w:tcPr>
            <w:tcW w:type="dxa" w:w="1440"/>
            <w:shd w:fill="FFDCE0" w:val="clear"/>
          </w:tcPr>
          <w:p>
            <w:r>
              <w:rPr>
                <w:sz w:val="17"/>
              </w:rPr>
              <w:t>2,498</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2026-09-15</w:t>
            </w:r>
          </w:p>
        </w:tc>
        <w:tc>
          <w:tcPr>
            <w:tcW w:type="dxa" w:w="1440"/>
            <w:shd w:fill="FFDCE0" w:val="clear"/>
          </w:tcPr>
          <w:p>
            <w:r>
              <w:rPr>
                <w:sz w:val="17"/>
              </w:rPr>
              <w:t>2,047</w:t>
            </w:r>
          </w:p>
        </w:tc>
        <w:tc>
          <w:tcPr>
            <w:tcW w:type="dxa" w:w="1440"/>
            <w:shd w:fill="FFDCE0" w:val="clear"/>
          </w:tcPr>
          <w:p>
            <w:r>
              <w:rPr>
                <w:b/>
                <w:sz w:val="17"/>
              </w:rPr>
              <w:t>2,277</w:t>
            </w:r>
          </w:p>
        </w:tc>
        <w:tc>
          <w:tcPr>
            <w:tcW w:type="dxa" w:w="1440"/>
            <w:shd w:fill="FFDCE0" w:val="clear"/>
          </w:tcPr>
          <w:p>
            <w:r>
              <w:rPr>
                <w:sz w:val="17"/>
              </w:rPr>
              <w:t>2,508</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2026-09-16</w:t>
            </w:r>
          </w:p>
        </w:tc>
        <w:tc>
          <w:tcPr>
            <w:tcW w:type="dxa" w:w="1440"/>
            <w:shd w:fill="FFDCE0" w:val="clear"/>
          </w:tcPr>
          <w:p>
            <w:r>
              <w:rPr>
                <w:sz w:val="17"/>
              </w:rPr>
              <w:t>2,013</w:t>
            </w:r>
          </w:p>
        </w:tc>
        <w:tc>
          <w:tcPr>
            <w:tcW w:type="dxa" w:w="1440"/>
            <w:shd w:fill="FFDCE0" w:val="clear"/>
          </w:tcPr>
          <w:p>
            <w:r>
              <w:rPr>
                <w:b/>
                <w:sz w:val="17"/>
              </w:rPr>
              <w:t>2,264</w:t>
            </w:r>
          </w:p>
        </w:tc>
        <w:tc>
          <w:tcPr>
            <w:tcW w:type="dxa" w:w="1440"/>
            <w:shd w:fill="FFDCE0" w:val="clear"/>
          </w:tcPr>
          <w:p>
            <w:r>
              <w:rPr>
                <w:sz w:val="17"/>
              </w:rPr>
              <w:t>2,515</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2026-09-17</w:t>
            </w:r>
          </w:p>
        </w:tc>
        <w:tc>
          <w:tcPr>
            <w:tcW w:type="dxa" w:w="1440"/>
            <w:shd w:fill="FFDCE0" w:val="clear"/>
          </w:tcPr>
          <w:p>
            <w:r>
              <w:rPr>
                <w:sz w:val="17"/>
              </w:rPr>
              <w:t>1,982</w:t>
            </w:r>
          </w:p>
        </w:tc>
        <w:tc>
          <w:tcPr>
            <w:tcW w:type="dxa" w:w="1440"/>
            <w:shd w:fill="FFDCE0" w:val="clear"/>
          </w:tcPr>
          <w:p>
            <w:r>
              <w:rPr>
                <w:b/>
                <w:sz w:val="17"/>
              </w:rPr>
              <w:t>2,251</w:t>
            </w:r>
          </w:p>
        </w:tc>
        <w:tc>
          <w:tcPr>
            <w:tcW w:type="dxa" w:w="1440"/>
            <w:shd w:fill="FFDCE0" w:val="clear"/>
          </w:tcPr>
          <w:p>
            <w:r>
              <w:rPr>
                <w:sz w:val="17"/>
              </w:rPr>
              <w:t>2,520</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2026-09-18</w:t>
            </w:r>
          </w:p>
        </w:tc>
        <w:tc>
          <w:tcPr>
            <w:tcW w:type="dxa" w:w="1440"/>
            <w:shd w:fill="FFDCE0" w:val="clear"/>
          </w:tcPr>
          <w:p>
            <w:r>
              <w:rPr>
                <w:sz w:val="17"/>
              </w:rPr>
              <w:t>1,952</w:t>
            </w:r>
          </w:p>
        </w:tc>
        <w:tc>
          <w:tcPr>
            <w:tcW w:type="dxa" w:w="1440"/>
            <w:shd w:fill="FFDCE0" w:val="clear"/>
          </w:tcPr>
          <w:p>
            <w:r>
              <w:rPr>
                <w:b/>
                <w:sz w:val="17"/>
              </w:rPr>
              <w:t>2,238</w:t>
            </w:r>
          </w:p>
        </w:tc>
        <w:tc>
          <w:tcPr>
            <w:tcW w:type="dxa" w:w="1440"/>
            <w:shd w:fill="FFDCE0" w:val="clear"/>
          </w:tcPr>
          <w:p>
            <w:r>
              <w:rPr>
                <w:sz w:val="17"/>
              </w:rPr>
              <w:t>2,524</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2026-09-21</w:t>
            </w:r>
          </w:p>
        </w:tc>
        <w:tc>
          <w:tcPr>
            <w:tcW w:type="dxa" w:w="1440"/>
            <w:shd w:fill="FFDCE0" w:val="clear"/>
          </w:tcPr>
          <w:p>
            <w:r>
              <w:rPr>
                <w:sz w:val="17"/>
              </w:rPr>
              <w:t>1,923</w:t>
            </w:r>
          </w:p>
        </w:tc>
        <w:tc>
          <w:tcPr>
            <w:tcW w:type="dxa" w:w="1440"/>
            <w:shd w:fill="FFDCE0" w:val="clear"/>
          </w:tcPr>
          <w:p>
            <w:r>
              <w:rPr>
                <w:b/>
                <w:sz w:val="17"/>
              </w:rPr>
              <w:t>2,225</w:t>
            </w:r>
          </w:p>
        </w:tc>
        <w:tc>
          <w:tcPr>
            <w:tcW w:type="dxa" w:w="1440"/>
            <w:shd w:fill="FFDCE0" w:val="clear"/>
          </w:tcPr>
          <w:p>
            <w:r>
              <w:rPr>
                <w:sz w:val="17"/>
              </w:rPr>
              <w:t>2,527</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2026-09-22</w:t>
            </w:r>
          </w:p>
        </w:tc>
        <w:tc>
          <w:tcPr>
            <w:tcW w:type="dxa" w:w="1440"/>
            <w:shd w:fill="FFDCE0" w:val="clear"/>
          </w:tcPr>
          <w:p>
            <w:r>
              <w:rPr>
                <w:sz w:val="17"/>
              </w:rPr>
              <w:t>1,896</w:t>
            </w:r>
          </w:p>
        </w:tc>
        <w:tc>
          <w:tcPr>
            <w:tcW w:type="dxa" w:w="1440"/>
            <w:shd w:fill="FFDCE0" w:val="clear"/>
          </w:tcPr>
          <w:p>
            <w:r>
              <w:rPr>
                <w:b/>
                <w:sz w:val="17"/>
              </w:rPr>
              <w:t>2,212</w:t>
            </w:r>
          </w:p>
        </w:tc>
        <w:tc>
          <w:tcPr>
            <w:tcW w:type="dxa" w:w="1440"/>
            <w:shd w:fill="FFDCE0" w:val="clear"/>
          </w:tcPr>
          <w:p>
            <w:r>
              <w:rPr>
                <w:sz w:val="17"/>
              </w:rPr>
              <w:t>2,529</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48,55 milliards FCFA, ce qui la positionne comme une valeur de taille moyenne sur la BRVM, un niveau significatif pour le secteur industriel ivoirien. Le BPA est négatif à -105 FCFA, reflétant la perte nette de l'exercice 2024, ce qui rend le PER non significatif (-22,2x). Ce ratio négatif indique que les investisseurs ne peuvent pas évaluer le titre sur la base de ses bénéfices actuels, mais plutôt sur ses actifs et ses perspectives de redressement. Le P/B de 3,11x est nettement supérieur à la moyenne du marché, signifiant que le marché valorise l'actif net de la société avec une prime substantielle, anticipant probablement une amélioration future de la rentabilité. En l'absence de données sur l'EBITDA, le ratio EV/EBITDA ne peut être calculé, mais le niveau élevé du P/B suggère une valorisation déjà exigeante, intégrant un scénario de retour à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 enregistré une progression spectaculaire de +19,69%, bien que la dernière séance soit restée stable. Le cours a évolué dans une fourchette très large, allant d'un plus bas de 1 250 FCFA à un plus haut de 2 495 FCFA, illustrant une forte volatilité et un intérêt marqué des investisseurs. La moyenne du cours sur la période (1 927 FCFA) est très proche de la médiane (1 900 FCFA), et le mode est identique, ce qui indique une distribution des prix relativement symétrique et concentrée autour de ces valeurs. L'écart-type de 259 FCFA (CV de 13,4%) montre une dispersion modérée des prix autour de la moyenne. Le kurtosis de 0,820 (mésokurtique) et le skewness de 0,267 confirment une distribution proche de la normale, sans risque extrême de pics ou d'asymétrie marquée. La volatilité annualisée de 51,1% est très élevée (&gt;30%), signalant un titre spéculatif avec des fluctuations de prix importantes, ce qui représente un risque substantiel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2 305 FCFA et MM50 à 1 964 FCFA) sont toutes deux inférieures au cours actuel de 2 340 FCFA, avec une MM20 au-dessus de la MM50. Cette configuration haussière confirme une dynamique positive à court et moyen terme, justifiant la décision d'achat. Le croisement des moyennes mobiles suggère que la tendance de fond reste positive, même après la récente correction depuis les plus hauts.</w:t>
      </w:r>
    </w:p>
    <w:p>
      <w:pPr>
        <w:spacing w:after="120" w:line="276" w:lineRule="auto"/>
      </w:pPr>
      <w:r>
        <w:t>Le cours se situe à 2 340 FCFA, entre la borne inférieure (1 892 FCFA) et la borne supérieure (2 718 FCFA) des Bandes de Bollinger. La position médiane du prix indique un retour à un équilibre après une période de forte volatilité. La décision est neutre, car le prix n'est ni en zone de surachat ni de survente, laissant place à une évolution dans une fourchette avant un nouveau mouvement directionnel.</w:t>
      </w:r>
    </w:p>
    <w:p>
      <w:pPr>
        <w:spacing w:after="120" w:line="276" w:lineRule="auto"/>
      </w:pPr>
      <w:r>
        <w:t>Le MACD (121,576) est positif mais inférieur à sa ligne de signal (143,393), indiquant un ralentissement du momentum haussier. Cette configuration baissière à court terme suggère une possible consolidation ou correction du cours. La décision de vente est cohérente avec ce ralentissement, bien que le niveau positif du MACD indique que la tendance de fond reste haussière.</w:t>
      </w:r>
    </w:p>
    <w:p>
      <w:pPr>
        <w:spacing w:after="120" w:line="276" w:lineRule="auto"/>
      </w:pPr>
      <w:r>
        <w:t>Le RSI à 57,547 se situe en zone neutre (entre 30 et 70), indiquant un équilibre entre les forces acheteuses et vendeuses. Il n'y a pas de signal de surachat ou de survente, ce qui laisse une marge de manœuvre au titre dans les deux sens. La décision neutre est appropriée, le marché n'étant pas encore dans une phase de surachat malgré la hausse récente.</w:t>
      </w:r>
    </w:p>
    <w:p>
      <w:pPr>
        <w:spacing w:after="120" w:line="276" w:lineRule="auto"/>
      </w:pPr>
      <w:r>
        <w:t>Le Stochastique affiche un %K à 0,0 et un %D à 36,989, ce qui est un signal paradoxal. Le %K à zéro indique que le cours a clôturé au plus bas de sa période de référence, suggérant une faiblesse immédiate. Cependant, le %D encore élevé et la décision d'achat associée pourraient indiquer un rebond technique imminent après cette chute brutale du %K.</w:t>
      </w:r>
    </w:p>
    <w:p>
      <w:pPr>
        <w:spacing w:after="120" w:line="276" w:lineRule="auto"/>
      </w:pPr>
      <w:r>
        <w:t>La conclusion technique est mitigée. Les moyennes mobiles et le stochastique suggèrent une tendance haussière sous-jacente, tandis que le MACD indique un essoufflement du momentum et le RSI une position neutre. Le titre semble entrer dans une phase de consolidation après une forte hausse, avec un potentiel de rebond technique. La prudence est de mise à court terme,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2024, les données structurées montrent une entreprise en difficulté opérationnelle. Le chiffre d'affaires s'établit à 27,333 milliards FCFA, en baisse de 7,9%, pour une perte nette de -2,189 milliards FCFA. La marge opérationnelle est négative à -7,8%, et le ROE est de -14,04%, reflétant une destruction de valeur pour les actionnaires. L'entreprise souffre d'un BFR élevé (2,149 milliards FCFA) et d'un délai de stockage très important de 254 jours, immobilisant du capital. Cependant, les rapports trimestriels de 2025 montrent une amélioration spectaculaire de la situation. Le rapport du S1 2025 (daté du 30/06/2025) indique un CA en hausse de 12,5% à 15,711 milliards FCFA, mais le bénéfice net de 8,2 milliards est entièrement dû à une plus-value exceptionnelle de cession-bail d'un terrain (9,994 milliards FCFA), masquant une perte opérationnelle récurrente. Le rapport du T3 2025 (daté du 30/09/2025) confirme cette tendance avec un CA de 22,474 milliards FCFA sur 9 mois, mais souligne que le résultat des activités ordinaires reste négatif à -371 millions FCFA, bien qu'en amélioration de 80%. Le rapport annuel 2025 (daté du 31/12/2025) est plus encourageant : le CA atteint 29,03 milliards FCFA (+6,2%), l'EBE redevient positif à 1,13 milliard FCFA, et la perte nette est réduite à -624 millions FCFA. Enfin, le rapport S1 2026 (daté du 30/06/2026) marque un tournant décisif : le résultat d'exploitation redevient positif à 771 millions FCFA, et le résultat net est également bénéficiaire à 771 millions FCFA, sans éléments exceptionnels. On estime donc que l'exercice 2026 pourrait confirmer ce retour à la rentabilité opérationnelle durable, soutenu par une croissance des ventes et une meilleure maîtrise des coûts.</w:t>
      </w:r>
    </w:p>
    <w:p>
      <w:pPr>
        <w:spacing w:after="120" w:line="276" w:lineRule="auto" w:before="240"/>
      </w:pPr>
      <w:r>
        <w:rPr>
          <w:b/>
          <w:color w:val="003366"/>
          <w:sz w:val="24"/>
        </w:rPr>
        <w:t>**PARTIE 4 : CONCLUSION D'INVESTISSEMENT**</w:t>
      </w:r>
    </w:p>
    <w:p>
      <w:pPr>
        <w:spacing w:after="120" w:line="276" w:lineRule="auto"/>
      </w:pPr>
      <w:r>
        <w:t>La valorisation d'UNXC est délicate : le P/B de 3,11x est élevé et le PER est non significatif, indiquant que le marché anticipe déjà un fort redressement. Le comportement du cours sur 100 jours est très positif (+19,69%) mais avec une volatilité annualisée extrême de 51,1%, ce qui est préoccupant pour un investisseur averse au risque. Les signaux techniques sont mitigés : la tendance de fond est haussière (MM), mais le MACD montre un essoufflement, et le RSI est neutre, suggérant une consolidation à court terme. Les fondamentaux, quant à eux, montrent une amélioration nette et progressive : après une perte en 2024, l'entreprise est devenue bénéficiaire sur son exploitation au S1 2026 (771 millions FCFA), confirmant le succès de sa restructuration. Les prédictions IA pour les 10 prochains jours (baisse de 2 340 à 2 277 FCFA) suggèrent une poursuite de la consolidation à court terme, en ligne avec les signaux techniques. La convergence entre l'amélioration fondamentale solide et la tendance technique de fond positive, malgré une valorisation exigeante, conduit à une recommandation **ACHAT** pour les investisseurs de moyen à long terme. Le niveau de confiance est **Moyen** en raison de la volatilité élevée et de la valorisation tendue. Le risque global est **Élevé**. L'horizon d'investissement optimal est le **moyen terme (3 à 12 mois)**, pour capitaliser sur la confirmation de la rentabilité opérationnelle tout en évitant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