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01/09/2026 à 09:32</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NEUTRE / STABLE ➡️</w:t>
      </w:r>
    </w:p>
    <w:p>
      <w:pPr>
        <w:spacing w:before="20" w:after="20"/>
        <w:ind w:left="360" w:right="360"/>
        <w:shd w:val="clear" w:color="auto" w:fill="EBF5FB"/>
      </w:pPr>
      <w:r>
        <w:rPr>
          <w:b/>
          <w:sz w:val="19"/>
        </w:rPr>
        <w:t xml:space="preserve">Signaux :  </w:t>
      </w:r>
      <w:r>
        <w:rPr>
          <w:color w:val="0050A0"/>
          <w:sz w:val="19"/>
        </w:rPr>
        <w:t>45 ACHAT  |  2 NEUTRE  |  0 VENTE  (sur 47 sociétés)</w:t>
      </w:r>
    </w:p>
    <w:p>
      <w:pPr>
        <w:spacing w:before="20" w:after="20"/>
        <w:ind w:left="360" w:right="360"/>
        <w:shd w:val="clear" w:color="auto" w:fill="EBF5FB"/>
      </w:pPr>
      <w:r>
        <w:rPr>
          <w:b/>
          <w:sz w:val="19"/>
        </w:rPr>
        <w:t xml:space="preserve">Top opportunité :  </w:t>
      </w:r>
      <w:r>
        <w:rPr>
          <w:color w:val="008000"/>
          <w:sz w:val="19"/>
        </w:rPr>
        <w:t>BOAS  (score 76/100)</w:t>
      </w:r>
    </w:p>
    <w:p>
      <w:pPr>
        <w:spacing w:before="20" w:after="20"/>
        <w:ind w:left="360" w:right="360"/>
        <w:shd w:val="clear" w:color="auto" w:fill="EBF5FB"/>
      </w:pPr>
      <w:r>
        <w:rPr>
          <w:b/>
          <w:sz w:val="19"/>
        </w:rPr>
        <w:t xml:space="preserve">Secteur surperformant :  </w:t>
      </w:r>
      <w:r>
        <w:rPr>
          <w:color w:val="008000"/>
          <w:sz w:val="19"/>
        </w:rPr>
        <w:t>SERVICES PUBLICS  (+86.2%)</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12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530.92 points </w:t>
      </w:r>
      <w:r>
        <w:rPr>
          <w:color w:val="008000"/>
        </w:rPr>
        <w:t>(+0.16%)</w:t>
      </w:r>
      <w:r>
        <w:t xml:space="preserve"> sur la séance. </w:t>
      </w:r>
      <w:r>
        <w:t>La capitalisation globale du marché atteint 2 047,310 milliards FCFA.</w:t>
      </w:r>
    </w:p>
    <w:p/>
    <w:p>
      <w:pPr>
        <w:pStyle w:val="Heading3"/>
      </w:pPr>
      <w:r>
        <w:t>📊 Évolution de l'indice BRVM Composite (100 derniers jours)</w:t>
      </w:r>
    </w:p>
    <w:p>
      <w:r>
        <w:rPr>
          <w:b/>
        </w:rPr>
        <w:t xml:space="preserve">BRVM Composite — </w:t>
      </w:r>
      <w:r>
        <w:t xml:space="preserve">Sur les 99 derniers jours de cotation (2026-04-07 au 2026-08-31), l'indice BRVM Composite a évolué de </w:t>
      </w:r>
      <w:r>
        <w:rPr>
          <w:b/>
          <w:color w:val="008000"/>
        </w:rPr>
        <w:t>+29.70%</w:t>
      </w:r>
      <w:r>
        <w:t>, passant de 409.33 pts à 530.92 pts. Le plus haut atteint est 530.92 pts et le plus bas 397.33 pts. Sur l'ensemble de la période, la moyenne de l'indice s'établit à 449.26 pts, la médiane à 442.11 pts et le mode à 397.33 pts</w:t>
      </w:r>
      <w:r>
        <w:t xml:space="preserve"> (asymétrie positive — plus de jours sous la moyenne). </w:t>
      </w:r>
      <w:r>
        <w:t xml:space="preserve">L'écart-type de 39.21 pts (CV=8.7%) traduit une modérée dispersion des cotations. Le kurtosis de -0.94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-87.03%</w:t>
      </w:r>
      <w:r>
        <w:t xml:space="preserve"> sur la période, passant de 15 782,167 Mds FCFA à 2 047,310 Mds FCFA. Le pic de capitalisation observé est de 19 886,911 Mds FCFA et le plancher de 2 003,618 Mds FCFA. La moyenne de la capitalisation sur la période s'établit à 16 019,693 Mds FCFA, la médiane à 16 818,293 Mds FCFA et le mode à 2 003,618 Mds FCFA</w:t>
      </w:r>
      <w:r>
        <w:t xml:space="preserve"> (asymétrie négative). </w:t>
      </w:r>
      <w:r>
        <w:t>L'écart-type de 4 074,944 Mds FCFA (CV=25.4%) reflète une forte variabilité de la valorisation du marché. Le kurtosis de 7.08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BOAS - BANK OF AFRICA SENEGAL</w:t>
      </w:r>
      <w:r>
        <w:t xml:space="preserve"> | Prix: 8295 FCFA | </w:t>
      </w:r>
      <w:r>
        <w:rPr>
          <w:b/>
          <w:color w:val="008000"/>
        </w:rPr>
        <w:t>ACHAT FORT</w:t>
      </w:r>
      <w:r>
        <w:t xml:space="preserve"> | Confiance: Élevée | Risque: Faible</w:t>
      </w:r>
    </w:p>
    <w:p>
      <w:pPr>
        <w:pStyle w:val="ListNumber"/>
      </w:pPr>
      <w:r>
        <w:rPr>
          <w:b/>
        </w:rPr>
        <w:t>ABJC - ABJC - SERVAIR ABIDJAN CI</w:t>
      </w:r>
      <w:r>
        <w:t xml:space="preserve"> | Prix: 3800 FCFA | </w:t>
      </w:r>
      <w:r>
        <w:rPr>
          <w:b/>
          <w:color w:val="008000"/>
        </w:rPr>
        <w:t>ACHAT</w:t>
      </w:r>
      <w:r>
        <w:t xml:space="preserve"> | Confiance: Moyen | Risque: Moyen</w:t>
      </w:r>
    </w:p>
    <w:p>
      <w:pPr>
        <w:pStyle w:val="ListNumber"/>
      </w:pPr>
      <w:r>
        <w:rPr>
          <w:b/>
        </w:rPr>
        <w:t>BICB - BIIC BN - Banque internationale pour le commerce du benin</w:t>
      </w:r>
      <w:r>
        <w:t xml:space="preserve"> | Prix: 8900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29900 FCFA | </w:t>
      </w:r>
      <w:r>
        <w:rPr>
          <w:b/>
          <w:color w:val="008000"/>
        </w:rPr>
        <w:t>ACHAT</w:t>
      </w:r>
      <w:r>
        <w:t xml:space="preserve"> | Confiance: Moyen | Risque: Moyen</w:t>
      </w:r>
    </w:p>
    <w:p>
      <w:pPr>
        <w:pStyle w:val="ListNumber"/>
      </w:pPr>
      <w:r>
        <w:rPr>
          <w:b/>
        </w:rPr>
        <w:t>BNBC - BNBC - BERNABE CI</w:t>
      </w:r>
      <w:r>
        <w:t xml:space="preserve"> | Prix: 2295 FCFA | </w:t>
      </w:r>
      <w:r>
        <w:rPr>
          <w:b/>
          <w:color w:val="008000"/>
        </w:rPr>
        <w:t>ACHAT</w:t>
      </w:r>
      <w:r>
        <w:t xml:space="preserve"> | Confiance: Faible | Risque: Moyen</w:t>
      </w:r>
    </w:p>
    <w:p>
      <w:pPr>
        <w:pStyle w:val="ListNumber"/>
      </w:pPr>
      <w:r>
        <w:rPr>
          <w:b/>
        </w:rPr>
        <w:t>BOAB - BANK OF AFRICA BENIN</w:t>
      </w:r>
      <w:r>
        <w:t xml:space="preserve"> | Prix: 10235 FCFA | </w:t>
      </w:r>
      <w:r>
        <w:rPr>
          <w:b/>
          <w:color w:val="008000"/>
        </w:rPr>
        <w:t>ACHAT</w:t>
      </w:r>
      <w:r>
        <w:t xml:space="preserve"> | Confiance: Moyen | Risque: Moyen</w:t>
      </w:r>
    </w:p>
    <w:p>
      <w:pPr>
        <w:pStyle w:val="ListNumber"/>
      </w:pPr>
      <w:r>
        <w:rPr>
          <w:b/>
        </w:rPr>
        <w:t>BOABF - BANK OF AFRICA BURKINA FASO</w:t>
      </w:r>
      <w:r>
        <w:t xml:space="preserve"> | Prix: 8800 FCFA | </w:t>
      </w:r>
      <w:r>
        <w:rPr>
          <w:b/>
          <w:color w:val="008000"/>
        </w:rPr>
        <w:t>ACHAT</w:t>
      </w:r>
      <w:r>
        <w:t xml:space="preserve"> | Confiance: Moyen | Risque: Moyen</w:t>
      </w:r>
    </w:p>
    <w:p>
      <w:pPr>
        <w:pStyle w:val="ListNumber"/>
      </w:pPr>
      <w:r>
        <w:rPr>
          <w:b/>
        </w:rPr>
        <w:t>BOAC - BANK OF AFRICA COTE D'IVOIRE</w:t>
      </w:r>
      <w:r>
        <w:t xml:space="preserve"> | Prix: 12295 FCFA | </w:t>
      </w:r>
      <w:r>
        <w:rPr>
          <w:b/>
          <w:color w:val="008000"/>
        </w:rPr>
        <w:t>ACHAT</w:t>
      </w:r>
      <w:r>
        <w:t xml:space="preserve"> | Confiance: Moyen | Risque: Faible</w:t>
      </w:r>
    </w:p>
    <w:p>
      <w:pPr>
        <w:pStyle w:val="ListNumber"/>
      </w:pPr>
      <w:r>
        <w:rPr>
          <w:b/>
        </w:rPr>
        <w:t>BOAM - BANK OF AFRICA MALI</w:t>
      </w:r>
      <w:r>
        <w:t xml:space="preserve"> | Prix: 6480 FCFA | </w:t>
      </w:r>
      <w:r>
        <w:rPr>
          <w:b/>
          <w:color w:val="008000"/>
        </w:rPr>
        <w:t>ACHAT</w:t>
      </w:r>
      <w:r>
        <w:t xml:space="preserve"> | Confiance: Élevée | Risque: Faible</w:t>
      </w:r>
    </w:p>
    <w:p>
      <w:pPr>
        <w:pStyle w:val="ListNumber"/>
      </w:pPr>
      <w:r>
        <w:rPr>
          <w:b/>
        </w:rPr>
        <w:t>BOAN - BANK OF AFRICA NIGER</w:t>
      </w:r>
      <w:r>
        <w:t xml:space="preserve"> | Prix: 5480 FCFA | </w:t>
      </w:r>
      <w:r>
        <w:rPr>
          <w:b/>
          <w:color w:val="008000"/>
        </w:rPr>
        <w:t>ACHAT</w:t>
      </w:r>
      <w:r>
        <w:t xml:space="preserve"> | Confiance: Élevée | Risque: Moyen</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NEIC - NEIC - NEI-CEDA CI</w:t>
      </w:r>
      <w:r>
        <w:t xml:space="preserve"> | Prix: 2990 FCFA | </w:t>
      </w:r>
      <w:r>
        <w:rPr>
          <w:b/>
          <w:color w:val="C00000"/>
        </w:rPr>
        <w:t>CONSERVER ⚠️</w:t>
      </w:r>
      <w:r>
        <w:t xml:space="preserve"> | Confiance: Moyen | Risque: Moyen</w:t>
      </w:r>
    </w:p>
    <w:p>
      <w:pPr>
        <w:pStyle w:val="ListNumber"/>
      </w:pPr>
      <w:r>
        <w:rPr>
          <w:b/>
        </w:rPr>
        <w:t>STBC - STBC - SITAB COTE D'IVOIRE</w:t>
      </w:r>
      <w:r>
        <w:t xml:space="preserve"> | Prix: 22500 FCFA | </w:t>
      </w:r>
      <w:r>
        <w:rPr>
          <w:b/>
          <w:color w:val="C00000"/>
        </w:rPr>
        <w:t>CONSERVER</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86.19%</w:t>
      </w:r>
      <w:r>
        <w:t xml:space="preserve">  |  </w:t>
      </w:r>
      <w:r>
        <w:rPr>
          <w:b/>
        </w:rPr>
        <w:t xml:space="preserve">vs BRVM Composite: </w:t>
      </w:r>
      <w:r>
        <w:rPr>
          <w:b/>
          <w:color w:val="008000"/>
        </w:rPr>
        <w:t>+56.48%  🟢 Surperformance</w:t>
      </w:r>
      <w:r>
        <w:br/>
      </w:r>
      <w:r>
        <w:rPr>
          <w:b/>
        </w:rPr>
        <w:t xml:space="preserve">Sentiment général: </w:t>
      </w:r>
      <w:r>
        <w:t xml:space="preserve">ACHAT  |  </w:t>
      </w:r>
      <w:r>
        <w:rPr>
          <w:b/>
        </w:rPr>
        <w:t xml:space="preserve">Risque moyen: </w:t>
      </w:r>
      <w:r>
        <w:t xml:space="preserve">Moyen  |  </w:t>
      </w:r>
      <w:r>
        <w:rPr>
          <w:b/>
        </w:rPr>
        <w:t xml:space="preserve">Prix moyen: </w:t>
      </w:r>
      <w:r>
        <w:t>9842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41.42%</w:t>
      </w:r>
      <w:r>
        <w:t xml:space="preserve">  |  </w:t>
      </w:r>
      <w:r>
        <w:rPr>
          <w:b/>
        </w:rPr>
        <w:t xml:space="preserve">vs BRVM Composite: </w:t>
      </w:r>
      <w:r>
        <w:rPr>
          <w:b/>
          <w:color w:val="008000"/>
        </w:rPr>
        <w:t>+11.72%  🟢 Surperformance</w:t>
      </w:r>
      <w:r>
        <w:br/>
      </w:r>
      <w:r>
        <w:rPr>
          <w:b/>
        </w:rPr>
        <w:t xml:space="preserve">Sentiment général: </w:t>
      </w:r>
      <w:r>
        <w:t xml:space="preserve">ACHAT  |  </w:t>
      </w:r>
      <w:r>
        <w:rPr>
          <w:b/>
        </w:rPr>
        <w:t xml:space="preserve">Risque moyen: </w:t>
      </w:r>
      <w:r>
        <w:t xml:space="preserve">Moyen  |  </w:t>
      </w:r>
      <w:r>
        <w:rPr>
          <w:b/>
        </w:rPr>
        <w:t xml:space="preserve">Prix moyen: </w:t>
      </w:r>
      <w:r>
        <w:t>13478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31.29%</w:t>
      </w:r>
      <w:r>
        <w:t xml:space="preserve">  |  </w:t>
      </w:r>
      <w:r>
        <w:rPr>
          <w:b/>
        </w:rPr>
        <w:t xml:space="preserve">vs BRVM Composite: </w:t>
      </w:r>
      <w:r>
        <w:rPr>
          <w:b/>
          <w:color w:val="008000"/>
        </w:rPr>
        <w:t>+1.58%  🟢 Surperformance</w:t>
      </w:r>
      <w:r>
        <w:br/>
      </w:r>
      <w:r>
        <w:rPr>
          <w:b/>
        </w:rPr>
        <w:t xml:space="preserve">Sentiment général: </w:t>
      </w:r>
      <w:r>
        <w:t xml:space="preserve">ACHAT  |  </w:t>
      </w:r>
      <w:r>
        <w:rPr>
          <w:b/>
        </w:rPr>
        <w:t xml:space="preserve">Risque moyen: </w:t>
      </w:r>
      <w:r>
        <w:t xml:space="preserve">Moyen  |  </w:t>
      </w:r>
      <w:r>
        <w:rPr>
          <w:b/>
        </w:rPr>
        <w:t xml:space="preserve">Prix moyen: </w:t>
      </w:r>
      <w:r>
        <w:t>19013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28.83%</w:t>
      </w:r>
      <w:r>
        <w:t xml:space="preserve">  |  </w:t>
      </w:r>
      <w:r>
        <w:rPr>
          <w:b/>
        </w:rPr>
        <w:t xml:space="preserve">vs BRVM Composite: </w:t>
      </w:r>
      <w:r>
        <w:rPr>
          <w:b/>
          <w:color w:val="C00000"/>
        </w:rPr>
        <w:t>-0.87%  🔴 Sous-performance</w:t>
      </w:r>
      <w:r>
        <w:br/>
      </w:r>
      <w:r>
        <w:rPr>
          <w:b/>
        </w:rPr>
        <w:t xml:space="preserve">Sentiment général: </w:t>
      </w:r>
      <w:r>
        <w:t xml:space="preserve">ACHAT  |  </w:t>
      </w:r>
      <w:r>
        <w:rPr>
          <w:b/>
        </w:rPr>
        <w:t xml:space="preserve">Risque moyen: </w:t>
      </w:r>
      <w:r>
        <w:t xml:space="preserve">Moyen  |  </w:t>
      </w:r>
      <w:r>
        <w:rPr>
          <w:b/>
        </w:rPr>
        <w:t xml:space="preserve">Prix moyen: </w:t>
      </w:r>
      <w:r>
        <w:t>3100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22.61%</w:t>
      </w:r>
      <w:r>
        <w:t xml:space="preserve">  |  </w:t>
      </w:r>
      <w:r>
        <w:rPr>
          <w:b/>
        </w:rPr>
        <w:t xml:space="preserve">vs BRVM Composite: </w:t>
      </w:r>
      <w:r>
        <w:rPr>
          <w:b/>
          <w:color w:val="C00000"/>
        </w:rPr>
        <w:t>-7.10%  🔴 Sous-performance</w:t>
      </w:r>
      <w:r>
        <w:br/>
      </w:r>
      <w:r>
        <w:rPr>
          <w:b/>
        </w:rPr>
        <w:t xml:space="preserve">Sentiment général: </w:t>
      </w:r>
      <w:r>
        <w:t xml:space="preserve">ACHAT  |  </w:t>
      </w:r>
      <w:r>
        <w:rPr>
          <w:b/>
        </w:rPr>
        <w:t xml:space="preserve">Risque moyen: </w:t>
      </w:r>
      <w:r>
        <w:t xml:space="preserve">Faible  |  </w:t>
      </w:r>
      <w:r>
        <w:rPr>
          <w:b/>
        </w:rPr>
        <w:t xml:space="preserve">Prix moyen: </w:t>
      </w:r>
      <w:r>
        <w:t>6700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21.57%</w:t>
      </w:r>
      <w:r>
        <w:t xml:space="preserve">  |  </w:t>
      </w:r>
      <w:r>
        <w:rPr>
          <w:b/>
        </w:rPr>
        <w:t xml:space="preserve">vs BRVM Composite: </w:t>
      </w:r>
      <w:r>
        <w:rPr>
          <w:b/>
          <w:color w:val="C00000"/>
        </w:rPr>
        <w:t>-8.14%  🔴 Sous-performance</w:t>
      </w:r>
      <w:r>
        <w:br/>
      </w:r>
      <w:r>
        <w:rPr>
          <w:b/>
        </w:rPr>
        <w:t xml:space="preserve">Sentiment général: </w:t>
      </w:r>
      <w:r>
        <w:t xml:space="preserve">ACHAT  |  </w:t>
      </w:r>
      <w:r>
        <w:rPr>
          <w:b/>
        </w:rPr>
        <w:t xml:space="preserve">Risque moyen: </w:t>
      </w:r>
      <w:r>
        <w:t xml:space="preserve">Moyen  |  </w:t>
      </w:r>
      <w:r>
        <w:rPr>
          <w:b/>
        </w:rPr>
        <w:t xml:space="preserve">Prix moyen: </w:t>
      </w:r>
      <w:r>
        <w:t>20165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-5.11%</w:t>
      </w:r>
      <w:r>
        <w:t xml:space="preserve">  |  </w:t>
      </w:r>
      <w:r>
        <w:rPr>
          <w:b/>
        </w:rPr>
        <w:t xml:space="preserve">vs BRVM Composite: </w:t>
      </w:r>
      <w:r>
        <w:rPr>
          <w:b/>
          <w:color w:val="C00000"/>
        </w:rPr>
        <w:t>-34.81%  🔴 Sous-performance</w:t>
      </w:r>
      <w:r>
        <w:br/>
      </w:r>
      <w:r>
        <w:rPr>
          <w:b/>
        </w:rPr>
        <w:t xml:space="preserve">Sentiment général: </w:t>
      </w:r>
      <w:r>
        <w:t xml:space="preserve">ACHAT  |  </w:t>
      </w:r>
      <w:r>
        <w:rPr>
          <w:b/>
        </w:rPr>
        <w:t xml:space="preserve">Risque moyen: </w:t>
      </w:r>
      <w:r>
        <w:t xml:space="preserve">Moyen  |  </w:t>
      </w:r>
      <w:r>
        <w:rPr>
          <w:b/>
        </w:rPr>
        <w:t xml:space="preserve">Prix moyen: </w:t>
      </w:r>
      <w:r>
        <w:t>2512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BOAM, BOAN, BOAS, CABC, CFAC, CIEC, FTSC, SGBC, SHEC, SIBC, SICC, SIVC,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BICC, BOAB, BOABF, BOAC, CBIBF, ECOC, ETIT, NSBC, NTLC, ONTBF, ORAC, PALC, PRSC, SAFC, SCRC, SEMC, SNTS, SPHC, TTLS,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LNBB, ORGT, SDCC, SDSC, SLBC, SMBC, SOGC, STAC</w:t>
            </w:r>
          </w:p>
        </w:tc>
        <w:tc>
          <w:tcPr>
            <w:tcW w:type="dxa" w:w="2160"/>
            <w:shd w:fill="FFC7CE" w:val="clear"/>
          </w:tcPr>
          <w:p>
            <w:pPr>
              <w:spacing w:before="40" w:after="40"/>
            </w:pPr>
            <w:r/>
            <w:r>
              <w:rPr>
                <w:b w:val="0"/>
                <w:sz w:val="16"/>
              </w:rPr>
              <w:t>NEIC, 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1504085</w:t>
            </w:r>
          </w:p>
        </w:tc>
        <w:tc>
          <w:tcPr>
            <w:tcW w:type="dxa" w:w="1728"/>
          </w:tcPr>
          <w:p>
            <w:r>
              <w:t>99089421 FCFA</w:t>
            </w:r>
          </w:p>
        </w:tc>
        <w:tc>
          <w:tcPr>
            <w:tcW w:type="dxa" w:w="1728"/>
          </w:tcPr>
          <w:p>
            <w:r>
              <w:t>97.06%</w:t>
            </w:r>
          </w:p>
        </w:tc>
        <w:tc>
          <w:tcPr>
            <w:tcW w:type="dxa" w:w="1728"/>
          </w:tcPr>
          <w:p>
            <w:r>
              <w:t>ACHAT</w:t>
            </w:r>
          </w:p>
        </w:tc>
      </w:tr>
      <w:tr>
        <w:tc>
          <w:tcPr>
            <w:tcW w:type="dxa" w:w="1728"/>
          </w:tcPr>
          <w:p>
            <w:r>
              <w:t>BICB (BIIC BN - Banque internationale pour le commerce du benin)</w:t>
            </w:r>
          </w:p>
        </w:tc>
        <w:tc>
          <w:tcPr>
            <w:tcW w:type="dxa" w:w="1728"/>
          </w:tcPr>
          <w:p>
            <w:r>
              <w:t>21380</w:t>
            </w:r>
          </w:p>
        </w:tc>
        <w:tc>
          <w:tcPr>
            <w:tcW w:type="dxa" w:w="1728"/>
          </w:tcPr>
          <w:p>
            <w:r>
              <w:t>174102314 FCFA</w:t>
            </w:r>
          </w:p>
        </w:tc>
        <w:tc>
          <w:tcPr>
            <w:tcW w:type="dxa" w:w="1728"/>
          </w:tcPr>
          <w:p>
            <w:r>
              <w:t>71.98%</w:t>
            </w:r>
          </w:p>
        </w:tc>
        <w:tc>
          <w:tcPr>
            <w:tcW w:type="dxa" w:w="1728"/>
          </w:tcPr>
          <w:p>
            <w:r>
              <w:t>ACHAT</w:t>
            </w:r>
          </w:p>
        </w:tc>
      </w:tr>
      <w:tr>
        <w:tc>
          <w:tcPr>
            <w:tcW w:type="dxa" w:w="1728"/>
          </w:tcPr>
          <w:p>
            <w:r>
              <w:t>SDSC (SDSC - AFRICA GLOBAL LOGISTICS CI)</w:t>
            </w:r>
          </w:p>
        </w:tc>
        <w:tc>
          <w:tcPr>
            <w:tcW w:type="dxa" w:w="1728"/>
          </w:tcPr>
          <w:p>
            <w:r>
              <w:t>18490</w:t>
            </w:r>
          </w:p>
        </w:tc>
        <w:tc>
          <w:tcPr>
            <w:tcW w:type="dxa" w:w="1728"/>
          </w:tcPr>
          <w:p>
            <w:r>
              <w:t>47465581 FCFA</w:t>
            </w:r>
          </w:p>
        </w:tc>
        <w:tc>
          <w:tcPr>
            <w:tcW w:type="dxa" w:w="1728"/>
          </w:tcPr>
          <w:p>
            <w:r>
              <w:t>50.54%</w:t>
            </w:r>
          </w:p>
        </w:tc>
        <w:tc>
          <w:tcPr>
            <w:tcW w:type="dxa" w:w="1728"/>
          </w:tcPr>
          <w:p>
            <w:r>
              <w:t>ACHAT</w:t>
            </w:r>
          </w:p>
        </w:tc>
      </w:tr>
      <w:tr>
        <w:tc>
          <w:tcPr>
            <w:tcW w:type="dxa" w:w="1728"/>
          </w:tcPr>
          <w:p>
            <w:r>
              <w:t>UNXC (UNXC - UNIWAX COTE D'IVOIRE)</w:t>
            </w:r>
          </w:p>
        </w:tc>
        <w:tc>
          <w:tcPr>
            <w:tcW w:type="dxa" w:w="1728"/>
          </w:tcPr>
          <w:p>
            <w:r>
              <w:t>14684</w:t>
            </w:r>
          </w:p>
        </w:tc>
        <w:tc>
          <w:tcPr>
            <w:tcW w:type="dxa" w:w="1728"/>
          </w:tcPr>
          <w:p>
            <w:r>
              <w:t>32875427 FCFA</w:t>
            </w:r>
          </w:p>
        </w:tc>
        <w:tc>
          <w:tcPr>
            <w:tcW w:type="dxa" w:w="1728"/>
          </w:tcPr>
          <w:p>
            <w:r>
              <w:t>26.75%</w:t>
            </w:r>
          </w:p>
        </w:tc>
        <w:tc>
          <w:tcPr>
            <w:tcW w:type="dxa" w:w="1728"/>
          </w:tcPr>
          <w:p>
            <w:r>
              <w:t>ACHAT</w:t>
            </w:r>
          </w:p>
        </w:tc>
      </w:tr>
      <w:tr>
        <w:tc>
          <w:tcPr>
            <w:tcW w:type="dxa" w:w="1728"/>
          </w:tcPr>
          <w:p>
            <w:r>
              <w:t>SNTS (SNTS - SONATEL SN)</w:t>
            </w:r>
          </w:p>
        </w:tc>
        <w:tc>
          <w:tcPr>
            <w:tcW w:type="dxa" w:w="1728"/>
          </w:tcPr>
          <w:p>
            <w:r>
              <w:t>13529</w:t>
            </w:r>
          </w:p>
        </w:tc>
        <w:tc>
          <w:tcPr>
            <w:tcW w:type="dxa" w:w="1728"/>
          </w:tcPr>
          <w:p>
            <w:r>
              <w:t>440579814 FCFA</w:t>
            </w:r>
          </w:p>
        </w:tc>
        <w:tc>
          <w:tcPr>
            <w:tcW w:type="dxa" w:w="1728"/>
          </w:tcPr>
          <w:p>
            <w:r>
              <w:t>26.21%</w:t>
            </w:r>
          </w:p>
        </w:tc>
        <w:tc>
          <w:tcPr>
            <w:tcW w:type="dxa" w:w="1728"/>
          </w:tcPr>
          <w:p>
            <w:r>
              <w:t>ACHAT</w:t>
            </w:r>
          </w:p>
        </w:tc>
      </w:tr>
      <w:tr>
        <w:tc>
          <w:tcPr>
            <w:tcW w:type="dxa" w:w="1728"/>
          </w:tcPr>
          <w:p>
            <w:r>
              <w:t>BOAS (BANK OF AFRICA SENEGAL)</w:t>
            </w:r>
          </w:p>
        </w:tc>
        <w:tc>
          <w:tcPr>
            <w:tcW w:type="dxa" w:w="1728"/>
          </w:tcPr>
          <w:p>
            <w:r>
              <w:t>12571</w:t>
            </w:r>
          </w:p>
        </w:tc>
        <w:tc>
          <w:tcPr>
            <w:tcW w:type="dxa" w:w="1728"/>
          </w:tcPr>
          <w:p>
            <w:r>
              <w:t>99058999 FCFA</w:t>
            </w:r>
          </w:p>
        </w:tc>
        <w:tc>
          <w:tcPr>
            <w:tcW w:type="dxa" w:w="1728"/>
          </w:tcPr>
          <w:p>
            <w:r>
              <w:t>21.99%</w:t>
            </w:r>
          </w:p>
        </w:tc>
        <w:tc>
          <w:tcPr>
            <w:tcW w:type="dxa" w:w="1728"/>
          </w:tcPr>
          <w:p>
            <w:r>
              <w:t>ACHAT FORT</w:t>
            </w:r>
          </w:p>
        </w:tc>
      </w:tr>
      <w:tr>
        <w:tc>
          <w:tcPr>
            <w:tcW w:type="dxa" w:w="1728"/>
          </w:tcPr>
          <w:p>
            <w:r>
              <w:t>BOABF (BANK OF AFRICA BURKINA FASO)</w:t>
            </w:r>
          </w:p>
        </w:tc>
        <w:tc>
          <w:tcPr>
            <w:tcW w:type="dxa" w:w="1728"/>
          </w:tcPr>
          <w:p>
            <w:r>
              <w:t>10872</w:t>
            </w:r>
          </w:p>
        </w:tc>
        <w:tc>
          <w:tcPr>
            <w:tcW w:type="dxa" w:w="1728"/>
          </w:tcPr>
          <w:p>
            <w:r>
              <w:t>86307497 FCFA</w:t>
            </w:r>
          </w:p>
        </w:tc>
        <w:tc>
          <w:tcPr>
            <w:tcW w:type="dxa" w:w="1728"/>
          </w:tcPr>
          <w:p>
            <w:r>
              <w:t>57.42%</w:t>
            </w:r>
          </w:p>
        </w:tc>
        <w:tc>
          <w:tcPr>
            <w:tcW w:type="dxa" w:w="1728"/>
          </w:tcPr>
          <w:p>
            <w:r>
              <w:t>ACHAT</w:t>
            </w:r>
          </w:p>
        </w:tc>
      </w:tr>
      <w:tr>
        <w:tc>
          <w:tcPr>
            <w:tcW w:type="dxa" w:w="1728"/>
          </w:tcPr>
          <w:p>
            <w:r>
              <w:t>SOGC (SOGC - Société des caoutchoucs de Grand-Béréby)</w:t>
            </w:r>
          </w:p>
        </w:tc>
        <w:tc>
          <w:tcPr>
            <w:tcW w:type="dxa" w:w="1728"/>
          </w:tcPr>
          <w:p>
            <w:r>
              <w:t>10774</w:t>
            </w:r>
          </w:p>
        </w:tc>
        <w:tc>
          <w:tcPr>
            <w:tcW w:type="dxa" w:w="1728"/>
          </w:tcPr>
          <w:p>
            <w:r>
              <w:t>80579160 FCFA</w:t>
            </w:r>
          </w:p>
        </w:tc>
        <w:tc>
          <w:tcPr>
            <w:tcW w:type="dxa" w:w="1728"/>
          </w:tcPr>
          <w:p>
            <w:r>
              <w:t>7.00%</w:t>
            </w:r>
          </w:p>
        </w:tc>
        <w:tc>
          <w:tcPr>
            <w:tcW w:type="dxa" w:w="1728"/>
          </w:tcPr>
          <w:p>
            <w:r>
              <w:t>ACHAT</w:t>
            </w:r>
          </w:p>
        </w:tc>
      </w:tr>
      <w:tr>
        <w:tc>
          <w:tcPr>
            <w:tcW w:type="dxa" w:w="1728"/>
          </w:tcPr>
          <w:p>
            <w:r>
              <w:t>SIBC (SIBC - SOCIETE IVOIRIENNE DE BANQUE)</w:t>
            </w:r>
          </w:p>
        </w:tc>
        <w:tc>
          <w:tcPr>
            <w:tcW w:type="dxa" w:w="1728"/>
          </w:tcPr>
          <w:p>
            <w:r>
              <w:t>10603</w:t>
            </w:r>
          </w:p>
        </w:tc>
        <w:tc>
          <w:tcPr>
            <w:tcW w:type="dxa" w:w="1728"/>
          </w:tcPr>
          <w:p>
            <w:r>
              <w:t>97153239 FCFA</w:t>
            </w:r>
          </w:p>
        </w:tc>
        <w:tc>
          <w:tcPr>
            <w:tcW w:type="dxa" w:w="1728"/>
          </w:tcPr>
          <w:p>
            <w:r>
              <w:t>28.57%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CFAC (CFAC - CFAO MOTORS CI)</w:t>
            </w:r>
          </w:p>
        </w:tc>
        <w:tc>
          <w:tcPr>
            <w:tcW w:type="dxa" w:w="1728"/>
          </w:tcPr>
          <w:p>
            <w:r>
              <w:t>3468</w:t>
            </w:r>
          </w:p>
        </w:tc>
        <w:tc>
          <w:tcPr>
            <w:tcW w:type="dxa" w:w="1728"/>
          </w:tcPr>
          <w:p>
            <w:r>
              <w:t>5855102 FCFA</w:t>
            </w:r>
          </w:p>
        </w:tc>
        <w:tc>
          <w:tcPr>
            <w:tcW w:type="dxa" w:w="1728"/>
          </w:tcPr>
          <w:p>
            <w:r>
              <w:t>7.41%</w:t>
            </w:r>
          </w:p>
        </w:tc>
        <w:tc>
          <w:tcPr>
            <w:tcW w:type="dxa" w:w="1728"/>
          </w:tcPr>
          <w:p>
            <w:r>
              <w:t>ACHAT</w:t>
            </w:r>
          </w:p>
        </w:tc>
      </w:tr>
      <w:tr>
        <w:tc>
          <w:tcPr>
            <w:tcW w:type="dxa" w:w="1728"/>
          </w:tcPr>
          <w:p>
            <w:r>
              <w:t>SIVC (SIVC - ERIUM CI (Ex AIR LIQUIDECI))</w:t>
            </w:r>
          </w:p>
        </w:tc>
        <w:tc>
          <w:tcPr>
            <w:tcW w:type="dxa" w:w="1728"/>
          </w:tcPr>
          <w:p>
            <w:r>
              <w:t>3357</w:t>
            </w:r>
          </w:p>
        </w:tc>
        <w:tc>
          <w:tcPr>
            <w:tcW w:type="dxa" w:w="1728"/>
          </w:tcPr>
          <w:p>
            <w:r>
              <w:t>7705817 FCFA</w:t>
            </w:r>
          </w:p>
        </w:tc>
        <w:tc>
          <w:tcPr>
            <w:tcW w:type="dxa" w:w="1728"/>
          </w:tcPr>
          <w:p>
            <w:r>
              <w:t>-20.75%</w:t>
            </w:r>
          </w:p>
        </w:tc>
        <w:tc>
          <w:tcPr>
            <w:tcW w:type="dxa" w:w="1728"/>
          </w:tcPr>
          <w:p>
            <w:r>
              <w:t>ACHAT</w:t>
            </w:r>
          </w:p>
        </w:tc>
      </w:tr>
      <w:tr>
        <w:tc>
          <w:tcPr>
            <w:tcW w:type="dxa" w:w="1728"/>
          </w:tcPr>
          <w:p>
            <w:r>
              <w:t>ABJC (ABJC - SERVAIR ABIDJAN CI)</w:t>
            </w:r>
          </w:p>
        </w:tc>
        <w:tc>
          <w:tcPr>
            <w:tcW w:type="dxa" w:w="1728"/>
          </w:tcPr>
          <w:p>
            <w:r>
              <w:t>3087</w:t>
            </w:r>
          </w:p>
        </w:tc>
        <w:tc>
          <w:tcPr>
            <w:tcW w:type="dxa" w:w="1728"/>
          </w:tcPr>
          <w:p>
            <w:r>
              <w:t>10293119 FCFA</w:t>
            </w:r>
          </w:p>
        </w:tc>
        <w:tc>
          <w:tcPr>
            <w:tcW w:type="dxa" w:w="1728"/>
          </w:tcPr>
          <w:p>
            <w:r>
              <w:t>5.56%</w:t>
            </w:r>
          </w:p>
        </w:tc>
        <w:tc>
          <w:tcPr>
            <w:tcW w:type="dxa" w:w="1728"/>
          </w:tcPr>
          <w:p>
            <w:r>
              <w:t>ACHAT</w:t>
            </w:r>
          </w:p>
        </w:tc>
      </w:tr>
      <w:tr>
        <w:tc>
          <w:tcPr>
            <w:tcW w:type="dxa" w:w="1728"/>
          </w:tcPr>
          <w:p>
            <w:r>
              <w:t>BNBC (BNBC - BERNABE CI)</w:t>
            </w:r>
          </w:p>
        </w:tc>
        <w:tc>
          <w:tcPr>
            <w:tcW w:type="dxa" w:w="1728"/>
          </w:tcPr>
          <w:p>
            <w:r>
              <w:t>2803</w:t>
            </w:r>
          </w:p>
        </w:tc>
        <w:tc>
          <w:tcPr>
            <w:tcW w:type="dxa" w:w="1728"/>
          </w:tcPr>
          <w:p>
            <w:r>
              <w:t>5635115 FCFA</w:t>
            </w:r>
          </w:p>
        </w:tc>
        <w:tc>
          <w:tcPr>
            <w:tcW w:type="dxa" w:w="1728"/>
          </w:tcPr>
          <w:p>
            <w:r>
              <w:t>51.49%</w:t>
            </w:r>
          </w:p>
        </w:tc>
        <w:tc>
          <w:tcPr>
            <w:tcW w:type="dxa" w:w="1728"/>
          </w:tcPr>
          <w:p>
            <w:r>
              <w:t>ACHAT</w:t>
            </w:r>
          </w:p>
        </w:tc>
      </w:tr>
      <w:tr>
        <w:tc>
          <w:tcPr>
            <w:tcW w:type="dxa" w:w="1728"/>
          </w:tcPr>
          <w:p>
            <w:r>
              <w:t>NSBC (NSBC - NSIA BANQUE COTE D'IVOIRE)</w:t>
            </w:r>
          </w:p>
        </w:tc>
        <w:tc>
          <w:tcPr>
            <w:tcW w:type="dxa" w:w="1728"/>
          </w:tcPr>
          <w:p>
            <w:r>
              <w:t>2791</w:t>
            </w:r>
          </w:p>
        </w:tc>
        <w:tc>
          <w:tcPr>
            <w:tcW w:type="dxa" w:w="1728"/>
          </w:tcPr>
          <w:p>
            <w:r>
              <w:t>64469702 FCFA</w:t>
            </w:r>
          </w:p>
        </w:tc>
        <w:tc>
          <w:tcPr>
            <w:tcW w:type="dxa" w:w="1728"/>
          </w:tcPr>
          <w:p>
            <w:r>
              <w:t>62.17%</w:t>
            </w:r>
          </w:p>
        </w:tc>
        <w:tc>
          <w:tcPr>
            <w:tcW w:type="dxa" w:w="1728"/>
          </w:tcPr>
          <w:p>
            <w:r>
              <w:t>ACHAT</w:t>
            </w:r>
          </w:p>
        </w:tc>
      </w:tr>
      <w:tr>
        <w:tc>
          <w:tcPr>
            <w:tcW w:type="dxa" w:w="1728"/>
          </w:tcPr>
          <w:p>
            <w:r>
              <w:t>CABC (CABC - SICABLE COTE D'IVOIRE)</w:t>
            </w:r>
          </w:p>
        </w:tc>
        <w:tc>
          <w:tcPr>
            <w:tcW w:type="dxa" w:w="1728"/>
          </w:tcPr>
          <w:p>
            <w:r>
              <w:t>2566</w:t>
            </w:r>
          </w:p>
        </w:tc>
        <w:tc>
          <w:tcPr>
            <w:tcW w:type="dxa" w:w="1728"/>
          </w:tcPr>
          <w:p>
            <w:r>
              <w:t>9053503 FCFA</w:t>
            </w:r>
          </w:p>
        </w:tc>
        <w:tc>
          <w:tcPr>
            <w:tcW w:type="dxa" w:w="1728"/>
          </w:tcPr>
          <w:p>
            <w:r>
              <w:t>-11.41%</w:t>
            </w:r>
          </w:p>
        </w:tc>
        <w:tc>
          <w:tcPr>
            <w:tcW w:type="dxa" w:w="1728"/>
          </w:tcPr>
          <w:p>
            <w:r>
              <w:t>ACHAT</w:t>
            </w:r>
          </w:p>
        </w:tc>
      </w:tr>
      <w:tr>
        <w:tc>
          <w:tcPr>
            <w:tcW w:type="dxa" w:w="1728"/>
          </w:tcPr>
          <w:p>
            <w:r>
              <w:t>ORAC (ORAC - ORANGE COTE D'IVOIRE)</w:t>
            </w:r>
          </w:p>
        </w:tc>
        <w:tc>
          <w:tcPr>
            <w:tcW w:type="dxa" w:w="1728"/>
          </w:tcPr>
          <w:p>
            <w:r>
              <w:t>2420</w:t>
            </w:r>
          </w:p>
        </w:tc>
        <w:tc>
          <w:tcPr>
            <w:tcW w:type="dxa" w:w="1728"/>
          </w:tcPr>
          <w:p>
            <w:r>
              <w:t>47171838 FCFA</w:t>
            </w:r>
          </w:p>
        </w:tc>
        <w:tc>
          <w:tcPr>
            <w:tcW w:type="dxa" w:w="1728"/>
          </w:tcPr>
          <w:p>
            <w:r>
              <w:t>40.03%</w:t>
            </w:r>
          </w:p>
        </w:tc>
        <w:tc>
          <w:tcPr>
            <w:tcW w:type="dxa" w:w="1728"/>
          </w:tcPr>
          <w:p>
            <w:r>
              <w:t>ACHAT</w:t>
            </w:r>
          </w:p>
        </w:tc>
      </w:tr>
      <w:tr>
        <w:tc>
          <w:tcPr>
            <w:tcW w:type="dxa" w:w="1728"/>
          </w:tcPr>
          <w:p>
            <w:r>
              <w:t>PALC (PALC - PALM COTE D'IVOIRE)</w:t>
            </w:r>
          </w:p>
        </w:tc>
        <w:tc>
          <w:tcPr>
            <w:tcW w:type="dxa" w:w="1728"/>
          </w:tcPr>
          <w:p>
            <w:r>
              <w:t>2376</w:t>
            </w:r>
          </w:p>
        </w:tc>
        <w:tc>
          <w:tcPr>
            <w:tcW w:type="dxa" w:w="1728"/>
          </w:tcPr>
          <w:p>
            <w:r>
              <w:t>21851086 FCFA</w:t>
            </w:r>
          </w:p>
        </w:tc>
        <w:tc>
          <w:tcPr>
            <w:tcW w:type="dxa" w:w="1728"/>
          </w:tcPr>
          <w:p>
            <w:r>
              <w:t>15.28%</w:t>
            </w:r>
          </w:p>
        </w:tc>
        <w:tc>
          <w:tcPr>
            <w:tcW w:type="dxa" w:w="1728"/>
          </w:tcPr>
          <w:p>
            <w:r>
              <w:t>ACHAT</w:t>
            </w:r>
          </w:p>
        </w:tc>
      </w:tr>
      <w:tr>
        <w:tc>
          <w:tcPr>
            <w:tcW w:type="dxa" w:w="1728"/>
          </w:tcPr>
          <w:p>
            <w:r>
              <w:t>TTLS (TTLS - TOTAL ENERGIES MARKETING SENEGAL)</w:t>
            </w:r>
          </w:p>
        </w:tc>
        <w:tc>
          <w:tcPr>
            <w:tcW w:type="dxa" w:w="1728"/>
          </w:tcPr>
          <w:p>
            <w:r>
              <w:t>2374</w:t>
            </w:r>
          </w:p>
        </w:tc>
        <w:tc>
          <w:tcPr>
            <w:tcW w:type="dxa" w:w="1728"/>
          </w:tcPr>
          <w:p>
            <w:r>
              <w:t>8812724 FCFA</w:t>
            </w:r>
          </w:p>
        </w:tc>
        <w:tc>
          <w:tcPr>
            <w:tcW w:type="dxa" w:w="1728"/>
          </w:tcPr>
          <w:p>
            <w:r>
              <w:t>12.09%</w:t>
            </w:r>
          </w:p>
        </w:tc>
        <w:tc>
          <w:tcPr>
            <w:tcW w:type="dxa" w:w="1728"/>
          </w:tcPr>
          <w:p>
            <w:r>
              <w:t>ACHAT</w:t>
            </w:r>
          </w:p>
        </w:tc>
      </w:tr>
      <w:tr>
        <w:tc>
          <w:tcPr>
            <w:tcW w:type="dxa" w:w="1728"/>
          </w:tcPr>
          <w:p>
            <w:r>
              <w:t>SMBC (SMBC - Société Multinationale de Bitumes COTE D'IVOIRE)</w:t>
            </w:r>
          </w:p>
        </w:tc>
        <w:tc>
          <w:tcPr>
            <w:tcW w:type="dxa" w:w="1728"/>
          </w:tcPr>
          <w:p>
            <w:r>
              <w:t>2224</w:t>
            </w:r>
          </w:p>
        </w:tc>
        <w:tc>
          <w:tcPr>
            <w:tcW w:type="dxa" w:w="1728"/>
          </w:tcPr>
          <w:p>
            <w:r>
              <w:t>36588984 FCFA</w:t>
            </w:r>
          </w:p>
        </w:tc>
        <w:tc>
          <w:tcPr>
            <w:tcW w:type="dxa" w:w="1728"/>
          </w:tcPr>
          <w:p>
            <w:r>
              <w:t>43.33%</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3.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4. ORGT - ORGT - ORAGROUP TOGO</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5. SDCC - SDCC - Société de Distribution d'Eau de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SDSC - SDSC - AFRICA GLOBAL LOGISTICS CI</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7. SLBC - SLBC - SOLIBRA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SMBC - SMBC - Société Multinationale de Bitumes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9. SOGC - SOGC - Société des caoutchoucs de Grand-Béréby</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STAC - STAC - SETAO COTE D'IVOIRE</w:t>
      </w:r>
    </w:p>
    <w:p>
      <w:r>
        <w:rPr>
          <w:b/>
        </w:rPr>
        <w:t xml:space="preserve">Score de divergence: </w:t>
      </w:r>
      <w:r>
        <w:t>4/8</w:t>
        <w:br/>
      </w:r>
      <w:r>
        <w:rPr>
          <w:b/>
        </w:rPr>
        <w:t xml:space="preserve">Description: </w:t>
      </w:r>
      <w:r>
        <w:t>Signaux d'achat: MACD | Signaux de vente: MM,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20</w:t>
            </w:r>
          </w:p>
        </w:tc>
        <w:tc>
          <w:tcPr>
            <w:tcW w:type="dxa" w:w="2160"/>
          </w:tcPr>
          <w:p>
            <w:r>
              <w:t>0</w:t>
            </w:r>
          </w:p>
        </w:tc>
      </w:tr>
      <w:tr>
        <w:tc>
          <w:tcPr>
            <w:tcW w:type="dxa" w:w="2160"/>
          </w:tcPr>
          <w:p>
            <w:r>
              <w:t>Risque Moyen</w:t>
            </w:r>
          </w:p>
        </w:tc>
        <w:tc>
          <w:tcPr>
            <w:tcW w:type="dxa" w:w="2160"/>
          </w:tcPr>
          <w:p>
            <w:r>
              <w:t>0</w:t>
            </w:r>
          </w:p>
        </w:tc>
        <w:tc>
          <w:tcPr>
            <w:tcW w:type="dxa" w:w="2160"/>
          </w:tcPr>
          <w:p>
            <w:r>
              <w:t>27</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BOABF (BANK OF AFRICA BURKINA FASO)</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L'indice MXV des matières premières sort de la zone des 2 900 points, signalant une volatilité accrue sur les marchés de matières premières. Parallèlement, la BCE envisage de plus en plus probablement une hausse de ses taux directeurs en septembre, ce qui pourrait renforcer l'euro et modifier les flux de capitaux vers les marchés émergents. Les données d'inflation américaines soutiennent une appréciation du dollar, ce qui pourrait peser sur les devises des pays émergents et renchérir le service de la dette libellée en USD.</w:t>
      </w:r>
    </w:p>
    <w:p>
      <w:pPr>
        <w:pStyle w:val="Heading3"/>
      </w:pPr>
      <w:r>
        <w:rPr>
          <w:color w:val="500050"/>
        </w:rPr>
        <w:t>⚡ Impact estimé sur la BRVM</w:t>
      </w:r>
    </w:p>
    <w:p>
      <w:pPr>
        <w:spacing w:before="20" w:after="40"/>
        <w:ind w:left="280"/>
      </w:pPr>
      <w:r>
        <w:rPr>
          <w:i/>
          <w:sz w:val="18"/>
        </w:rPr>
        <w:t>La hausse probable des taux de la BCE pourrait réduire l'appétit pour le risque sur les marchés émergents, y compris la BRVM. Un dollar fort pénalise les importateurs et les sociétés endettées en devises, notamment dans les secteurs industriels (FTSC, SIVC) et énergétiques (SHEC, TTLC). La volatilité des matières premières affecte directement les entreprises agro-industrielles comme SPHC et CABC.</w:t>
      </w:r>
    </w:p>
    <w:p>
      <w:pPr>
        <w:pStyle w:val="Heading2"/>
      </w:pPr>
      <w:r>
        <w:rPr>
          <w:color w:val="006E32"/>
        </w:rPr>
        <w:t>🌍 Plan Africain</w:t>
      </w:r>
    </w:p>
    <w:p>
      <w:pPr>
        <w:spacing w:before="20" w:after="40"/>
        <w:ind w:left="0"/>
      </w:pPr>
      <w:r>
        <w:rPr>
          <w:sz w:val="18"/>
        </w:rPr>
        <w:t>L'Afrique du Sud prévoit un investissement public massif de 56 milliards de dollars, mais cette initiative est confrontée à une croissance économique atone, ce qui reflète les défis structurels du continent. Les secteurs porteurs identifiés par Bpifrance incluent les infrastructures, l'agro-industrie et les énergies renouvelables, offrant des perspectives positives pour les investisseurs. L'investissement dans l'économie des soins est présenté comme un levier de croissance stratégique, notamment au Sénégal.</w:t>
      </w:r>
    </w:p>
    <w:p>
      <w:pPr>
        <w:pStyle w:val="Heading3"/>
      </w:pPr>
      <w:r>
        <w:rPr>
          <w:color w:val="500050"/>
        </w:rPr>
        <w:t>⚡ Impact estimé sur la BRVM</w:t>
      </w:r>
    </w:p>
    <w:p>
      <w:pPr>
        <w:spacing w:before="20" w:after="40"/>
        <w:ind w:left="280"/>
      </w:pPr>
      <w:r>
        <w:rPr>
          <w:i/>
          <w:sz w:val="18"/>
        </w:rPr>
        <w:t>Les secteurs porteurs identifiés (infrastructures, agro-industrie, énergies renouvelables) correspondent à des domaines où opèrent plusieurs sociétés cotées à la BRVM, comme SIVC et CABC dans les infrastructures. Les perspectives positives pour l'agro-industrie pourraient bénéficier à SPHC et PALC. L'économie des soins pourrait soutenir les services financiers (BOAS, BOAN) via le financement de ce secteur.</w:t>
      </w:r>
    </w:p>
    <w:p>
      <w:pPr>
        <w:pStyle w:val="Heading2"/>
      </w:pPr>
      <w:r>
        <w:rPr>
          <w:color w:val="145A28"/>
        </w:rPr>
        <w:t>🌍 Plan Afrique de l'Ouest</w:t>
      </w:r>
    </w:p>
    <w:p>
      <w:pPr>
        <w:spacing w:before="20" w:after="40"/>
        <w:ind w:left="0"/>
      </w:pPr>
      <w:r>
        <w:rPr>
          <w:sz w:val="18"/>
        </w:rPr>
        <w:t>L'Afrique de l'Ouest veut accélérer la circulation des semences agricoles pour renforcer la sécurité alimentaire régionale, une initiative positive pour le secteur agricole. L'UE a dressé un bilan de dix ans d'APE avec la Côte d'Ivoire et le Ghana, soulignant des progrès réalisés mais aussi des défis persistants. La question monétaire en Afrique de l'Ouest reste un sujet de débat, avec des interrogations sur le choix de la monnaie pour la région.</w:t>
      </w:r>
    </w:p>
    <w:p>
      <w:pPr>
        <w:pStyle w:val="Heading3"/>
      </w:pPr>
      <w:r>
        <w:rPr>
          <w:color w:val="500050"/>
        </w:rPr>
        <w:t>⚡ Impact estimé sur la BRVM</w:t>
      </w:r>
    </w:p>
    <w:p>
      <w:pPr>
        <w:spacing w:before="20" w:after="40"/>
        <w:ind w:left="280"/>
      </w:pPr>
      <w:r>
        <w:rPr>
          <w:i/>
          <w:sz w:val="18"/>
        </w:rPr>
        <w:t>L'accélération de la circulation des semences agricoles pourrait stimuler la production agricole et bénéficier aux sociétés agro-industrielles cotées comme SPHC et PALC. Les APE avec l'UE offrent des débouchés commerciaux pour les entreprises exportatrices de la zone, notamment dans l'agro-industrie et le textile (UNXC, BNBC). Les incertitudes monétaires régionales pourraient créer de la volatilité à court terme.</w:t>
      </w:r>
    </w:p>
    <w:p>
      <w:pPr>
        <w:pStyle w:val="Heading2"/>
      </w:pPr>
      <w:r>
        <w:rPr>
          <w:color w:val="8C4600"/>
        </w:rPr>
        <w:t>🏦 Plan UEMOA / Zone Franc</w:t>
      </w:r>
    </w:p>
    <w:p>
      <w:pPr>
        <w:spacing w:before="20" w:after="40"/>
        <w:ind w:left="0"/>
      </w:pPr>
      <w:r>
        <w:rPr>
          <w:sz w:val="18"/>
        </w:rPr>
        <w:t>La Côte d'Ivoire, premier producteur mondial de cacao, prévoit de maintenir le prix bord champ réduit pour la campagne 2026/27, avec un possible passage à 1 000 FCFA le kilo sous la pression des producteurs. Le nouveau prix bord champ sera annoncé mardi 1er septembre, une annonce très attendue par les acteurs du marché. Cette décision aura un impact direct sur les revenus des producteurs et les marges des exportateurs.</w:t>
      </w:r>
    </w:p>
    <w:p>
      <w:pPr>
        <w:pStyle w:val="Heading3"/>
      </w:pPr>
      <w:r>
        <w:rPr>
          <w:color w:val="500050"/>
        </w:rPr>
        <w:t>⚡ Impact estimé sur la BRVM</w:t>
      </w:r>
    </w:p>
    <w:p>
      <w:pPr>
        <w:spacing w:before="20" w:after="40"/>
        <w:ind w:left="280"/>
      </w:pPr>
      <w:r>
        <w:rPr>
          <w:i/>
          <w:sz w:val="18"/>
        </w:rPr>
        <w:t>Le prix du cacao est un facteur clé pour l'économie ivoirienne et les sociétés cotées liées à cette filière. Un prix bord champ plus élevé pourrait réduire les marges des exportateurs mais augmenter le pouvoir d'achat des producteurs, stimulant la consommation intérieure (BNBC, UNXC). Les banques (BOAS, BOAN, SIBC) pourraient bénéficier d'une meilleure liquidité dans l'économie rurale.</w:t>
      </w:r>
    </w:p>
    <w:p>
      <w:pPr>
        <w:pStyle w:val="Heading2"/>
      </w:pPr>
      <w:r>
        <w:rPr>
          <w:color w:val="003366"/>
        </w:rPr>
        <w:t>📈 Plan BRVM</w:t>
      </w:r>
    </w:p>
    <w:p>
      <w:pPr>
        <w:spacing w:before="20" w:after="40"/>
        <w:ind w:left="0"/>
      </w:pPr>
      <w:r>
        <w:rPr>
          <w:sz w:val="18"/>
        </w:rPr>
        <w:t>L'indice BRVM Composite se situe à 530.92 points, avec des résultats encourageants des sociétés cotées ivoiriennes selon La Tribune. La BRVM est présentée comme une "bourse solidaire" de l'Afrique de l'Ouest, jouant un rôle clé dans le financement des économies régionales. L'État du Sénégal a proposé le meilleur rendement sur le marché obligataire de la BRVM, attirant l'attention des investisseurs.</w:t>
      </w:r>
    </w:p>
    <w:p>
      <w:pPr>
        <w:pStyle w:val="Heading3"/>
      </w:pPr>
      <w:r>
        <w:rPr>
          <w:color w:val="500050"/>
        </w:rPr>
        <w:t>⚡ Impact estimé sur la BRVM</w:t>
      </w:r>
    </w:p>
    <w:p>
      <w:pPr>
        <w:spacing w:before="20" w:after="40"/>
        <w:ind w:left="280"/>
      </w:pPr>
      <w:r>
        <w:rPr>
          <w:i/>
          <w:sz w:val="18"/>
        </w:rPr>
        <w:t>Les résultats encourageants des sociétés ivoiriennes soutiennent la confiance des investisseurs dans les valeurs comme SGBC, BICB et CFAC. La performance obligataire du Sénégal pourrait attirer des capitaux vers les titres publics au détriment des actions, créant un arbitrage pour les investisseurs. Les fondamentaux du marché restent positifs avec un potentiel de hausse pour les valeurs bancaires et industrielles.</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données d'inflation américaines soutiennent une appréciation du dollar, ce qui pourrait influencer les politiques monétaires mondiales. La BCE envisage une hausse de ses taux en septembre, un signal de resserrement monétaire qui pourrait affecter les flux de capitaux vers les marchés émergents. Aucun conflit majeur ou sanction récente n'est rapporté dans les actualités fournies.</w:t>
      </w:r>
    </w:p>
    <w:p>
      <w:pPr>
        <w:pStyle w:val="Heading3"/>
      </w:pPr>
      <w:r>
        <w:rPr>
          <w:color w:val="500050"/>
        </w:rPr>
        <w:t>⚡ Impact estimé sur la BRVM</w:t>
      </w:r>
    </w:p>
    <w:p>
      <w:pPr>
        <w:spacing w:before="20" w:after="40"/>
        <w:ind w:left="280"/>
      </w:pPr>
      <w:r>
        <w:rPr>
          <w:i/>
          <w:sz w:val="18"/>
        </w:rPr>
        <w:t>Le resserrement monétaire mondial pourrait réduire l'appétit pour le risque des investisseurs internationaux, limitant les flux vers la BRVM. Un dollar fort pourrait toutefois bénéficier aux exportateurs de la zone UEMOA. La stabilité géopolitique relative permet de maintenir un environnement favorable aux investissements.</w:t>
      </w:r>
    </w:p>
    <w:p>
      <w:pPr>
        <w:pStyle w:val="Heading2"/>
      </w:pPr>
      <w:r>
        <w:rPr>
          <w:color w:val="006E32"/>
        </w:rPr>
        <w:t>🌍 Plan Africain</w:t>
      </w:r>
    </w:p>
    <w:p>
      <w:pPr>
        <w:spacing w:before="20" w:after="40"/>
        <w:ind w:left="0"/>
      </w:pPr>
      <w:r>
        <w:rPr>
          <w:sz w:val="18"/>
        </w:rPr>
        <w:t>Les actualités ne rapportent pas d'événements politiques majeurs sur le continent africain. Les discussions sur la monnaie en Afrique de l'Ouest et les APE avec l'UE sont les principaux sujets géopolitiques. La stabilité politique relative dans la région est un facteur positif pour les investisseurs.</w:t>
      </w:r>
    </w:p>
    <w:p>
      <w:pPr>
        <w:pStyle w:val="Heading3"/>
      </w:pPr>
      <w:r>
        <w:rPr>
          <w:color w:val="500050"/>
        </w:rPr>
        <w:t>⚡ Impact estimé sur la BRVM</w:t>
      </w:r>
    </w:p>
    <w:p>
      <w:pPr>
        <w:spacing w:before="20" w:after="40"/>
        <w:ind w:left="280"/>
      </w:pPr>
      <w:r>
        <w:rPr>
          <w:i/>
          <w:sz w:val="18"/>
        </w:rPr>
        <w:t>La stabilité politique africaine soutient la confiance des investisseurs et maintient les flux de capitaux vers la BRVM. Les discussions monétaires en Afrique de l'Ouest pourraient créer des incertitudes à long terme, mais n'affectent pas immédiatement le marché. Les sociétés cotées opérant à l'échelle africaine (BOAS, BOAN) bénéficient d'un environnement stable.</w:t>
      </w:r>
    </w:p>
    <w:p>
      <w:pPr>
        <w:pStyle w:val="Heading2"/>
      </w:pPr>
      <w:r>
        <w:rPr>
          <w:color w:val="145A28"/>
        </w:rPr>
        <w:t>🌍 Plan Afrique de l'Ouest</w:t>
      </w:r>
    </w:p>
    <w:p>
      <w:pPr>
        <w:spacing w:before="20" w:after="40"/>
        <w:ind w:left="0"/>
      </w:pPr>
      <w:r>
        <w:rPr>
          <w:sz w:val="18"/>
        </w:rPr>
        <w:t>Les actualités ne rapportent pas de crises sécuritaires majeures dans la région CEDEAO. La question monétaire en Afrique de l'Ouest et les APE avec l'UE sont les principaux sujets politiques. La coopération régionale sur les semences agricoles est un signe positif d'intégration.</w:t>
      </w:r>
    </w:p>
    <w:p>
      <w:pPr>
        <w:pStyle w:val="Heading3"/>
      </w:pPr>
      <w:r>
        <w:rPr>
          <w:color w:val="500050"/>
        </w:rPr>
        <w:t>⚡ Impact estimé sur la BRVM</w:t>
      </w:r>
    </w:p>
    <w:p>
      <w:pPr>
        <w:spacing w:before="20" w:after="40"/>
        <w:ind w:left="280"/>
      </w:pPr>
      <w:r>
        <w:rPr>
          <w:i/>
          <w:sz w:val="18"/>
        </w:rPr>
        <w:t>L'absence de crises sécuritaires majeures dans la région soutient la stabilité des opérations des sociétés cotées. Les incertitudes monétaires pourraient toutefois affecter la confiance des investisseurs à long terme. Les entreprises opérant dans plusieurs pays de la CEDEAO (SGBC, BICB) bénéficient d'un environnement régional stable.</w:t>
      </w:r>
    </w:p>
    <w:p>
      <w:pPr>
        <w:pStyle w:val="Heading2"/>
      </w:pPr>
      <w:r>
        <w:rPr>
          <w:color w:val="8C4600"/>
        </w:rPr>
        <w:t>🏦 Plan UEMOA / Zone Franc</w:t>
      </w:r>
    </w:p>
    <w:p>
      <w:pPr>
        <w:spacing w:before="20" w:after="40"/>
        <w:ind w:left="0"/>
      </w:pPr>
      <w:r>
        <w:rPr>
          <w:sz w:val="18"/>
        </w:rPr>
        <w:t>La Côte d'Ivoire fait face à des pressions des producteurs de cacao pour augmenter le prix bord champ à 1 000 FCFA, une décision politique sensible. L'annonce du nouveau prix est prévue pour mardi 1er septembre, un moment clé pour la filière. Aucune autre réforme institutionnelle majeure n'est rapportée dans la zone UEMOA.</w:t>
      </w:r>
    </w:p>
    <w:p>
      <w:pPr>
        <w:pStyle w:val="Heading3"/>
      </w:pPr>
      <w:r>
        <w:rPr>
          <w:color w:val="500050"/>
        </w:rPr>
        <w:t>⚡ Impact estimé sur la BRVM</w:t>
      </w:r>
    </w:p>
    <w:p>
      <w:pPr>
        <w:spacing w:before="20" w:after="40"/>
        <w:ind w:left="280"/>
      </w:pPr>
      <w:r>
        <w:rPr>
          <w:i/>
          <w:sz w:val="18"/>
        </w:rPr>
        <w:t>La décision sur le prix du cacao est un enjeu politique majeur qui pourrait affecter la stabilité sociale en Côte d'Ivoire, principal marché de la BRVM. Une augmentation significative du prix pourrait être bien accueillie par les producteurs mais peser sur les finances publiques. Les banques ivoiriennes (BOAS, BOAN, SIBC) sont exposées à ce risque politique.</w:t>
      </w:r>
    </w:p>
    <w:p>
      <w:pPr>
        <w:pStyle w:val="Heading2"/>
      </w:pPr>
      <w:r>
        <w:rPr>
          <w:color w:val="003366"/>
        </w:rPr>
        <w:t>📈 Plan BRVM</w:t>
      </w:r>
    </w:p>
    <w:p>
      <w:pPr>
        <w:spacing w:before="20" w:after="40"/>
        <w:ind w:left="0"/>
      </w:pPr>
      <w:r>
        <w:rPr>
          <w:sz w:val="18"/>
        </w:rPr>
        <w:t>Aucune nouvelle réglementation du CREPMF ou nouvelle cotation n'est rapportée dans les actualités fournies. La BRVM est présentée comme une "bourse solidaire" jouant un rôle clé dans le financement des économies de l'Afrique de l'Ouest. L'État du Sénégal a réalisé une performance remarquable sur le marché obligataire régional.</w:t>
      </w:r>
    </w:p>
    <w:p>
      <w:pPr>
        <w:pStyle w:val="Heading3"/>
      </w:pPr>
      <w:r>
        <w:rPr>
          <w:color w:val="500050"/>
        </w:rPr>
        <w:t>⚡ Impact estimé sur la BRVM</w:t>
      </w:r>
    </w:p>
    <w:p>
      <w:pPr>
        <w:spacing w:before="20" w:after="40"/>
        <w:ind w:left="280"/>
      </w:pPr>
      <w:r>
        <w:rPr>
          <w:i/>
          <w:sz w:val="18"/>
        </w:rPr>
        <w:t>L'absence de nouvelles réglementations maintient un environnement stable pour les investisseurs. La perception positive de la BRVM comme "bourse solidaire" renforce son attractivité régionale. La performance du Sénégal sur le marché obligataire pourrait encourager d'autres États à émettre sur la place.</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mondiaux sont influencés par les données d'inflation américaines qui soutiennent le dollar et par les perspectives de hausse des taux de la BCE. L'indice MXV des matières premières montre une volatilité accrue. Aucune information spécifique sur Wall Street ou les cryptomonnaies n'est fournie dans les actualités collectées.</w:t>
      </w:r>
    </w:p>
    <w:p>
      <w:pPr>
        <w:pStyle w:val="Heading3"/>
      </w:pPr>
      <w:r>
        <w:rPr>
          <w:color w:val="500050"/>
        </w:rPr>
        <w:t>⚡ Impact estimé sur la BRVM</w:t>
      </w:r>
    </w:p>
    <w:p>
      <w:pPr>
        <w:spacing w:before="20" w:after="40"/>
        <w:ind w:left="280"/>
      </w:pPr>
      <w:r>
        <w:rPr>
          <w:i/>
          <w:sz w:val="18"/>
        </w:rPr>
        <w:t>La vigueur du dollar et le resserrement monétaire mondial pourraient limiter l'appétit des investisseurs internationaux pour les actifs émergents comme la BRVM. La volatilité des matières premières affecte les secteurs énergétiques (SHEC, TTLC) et agro-industriels (SPHC, CABC). Les investisseurs pourraient privilégier les valeurs refuges.</w:t>
      </w:r>
    </w:p>
    <w:p>
      <w:pPr>
        <w:pStyle w:val="Heading2"/>
      </w:pPr>
      <w:r>
        <w:rPr>
          <w:color w:val="006E32"/>
        </w:rPr>
        <w:t>🌍 Plan Africain</w:t>
      </w:r>
    </w:p>
    <w:p>
      <w:pPr>
        <w:spacing w:before="20" w:after="40"/>
        <w:ind w:left="0"/>
      </w:pPr>
      <w:r>
        <w:rPr>
          <w:sz w:val="18"/>
        </w:rPr>
        <w:t>L'Afrique du Sud prévoit un investissement public massif de 56 milliards de dollars, ce qui pourrait attirer des capitaux vers ce pays au détriment d'autres marchés africains. Les secteurs porteurs identifiés par Bpifrance (infrastructures, agro-industrie, énergies renouvelables) offrent des perspectives d'investissement attractives. Aucune information sur les eurobonds ou les notations souveraines n'est fournie.</w:t>
      </w:r>
    </w:p>
    <w:p>
      <w:pPr>
        <w:pStyle w:val="Heading3"/>
      </w:pPr>
      <w:r>
        <w:rPr>
          <w:color w:val="500050"/>
        </w:rPr>
        <w:t>⚡ Impact estimé sur la BRVM</w:t>
      </w:r>
    </w:p>
    <w:p>
      <w:pPr>
        <w:spacing w:before="20" w:after="40"/>
        <w:ind w:left="280"/>
      </w:pPr>
      <w:r>
        <w:rPr>
          <w:i/>
          <w:sz w:val="18"/>
        </w:rPr>
        <w:t>L'investissement massif en Afrique du Sud pourrait détourner une partie des capitaux destinés à l'Afrique de l'Ouest. Cependant, les secteurs porteurs identifiés correspondent à des domaines où la BRVM est bien positionnée. Les sociétés cotées comme SIVC et CABC pourraient bénéficier de l'intérêt accru pour les infrastructures africaines.</w:t>
      </w:r>
    </w:p>
    <w:p>
      <w:pPr>
        <w:pStyle w:val="Heading2"/>
      </w:pPr>
      <w:r>
        <w:rPr>
          <w:color w:val="145A28"/>
        </w:rPr>
        <w:t>🌍 Plan Afrique de l'Ouest</w:t>
      </w:r>
    </w:p>
    <w:p>
      <w:pPr>
        <w:spacing w:before="20" w:after="40"/>
        <w:ind w:left="0"/>
      </w:pPr>
      <w:r>
        <w:rPr>
          <w:sz w:val="18"/>
        </w:rPr>
        <w:t>La BRVM est présentée comme la principale bourse de la région, avec l'État du Sénégal réalisant la meilleure performance obligataire. Aucune bourse régionale concurrente n'est mentionnée dans les actualités. Les flux de capitaux sous-régionaux semblent se concentrer sur la BRVM et les émissions obligataires des États.</w:t>
      </w:r>
    </w:p>
    <w:p>
      <w:pPr>
        <w:pStyle w:val="Heading3"/>
      </w:pPr>
      <w:r>
        <w:rPr>
          <w:color w:val="500050"/>
        </w:rPr>
        <w:t>⚡ Impact estimé sur la BRVM</w:t>
      </w:r>
    </w:p>
    <w:p>
      <w:pPr>
        <w:spacing w:before="20" w:after="40"/>
        <w:ind w:left="280"/>
      </w:pPr>
      <w:r>
        <w:rPr>
          <w:i/>
          <w:sz w:val="18"/>
        </w:rPr>
        <w:t>La position dominante de la BRVM dans la région est renforcée par la performance obligataire du Sénégal. Les émissions obligataires des États pourraient toutefois créer une concurrence pour les actions cotées. La BRVM reste la place financière de référence pour les investisseurs de la sous-région.</w:t>
      </w:r>
    </w:p>
    <w:p>
      <w:pPr>
        <w:pStyle w:val="Heading2"/>
      </w:pPr>
      <w:r>
        <w:rPr>
          <w:color w:val="8C4600"/>
        </w:rPr>
        <w:t>🏦 Plan UEMOA / Zone Franc</w:t>
      </w:r>
    </w:p>
    <w:p>
      <w:pPr>
        <w:spacing w:before="20" w:after="40"/>
        <w:ind w:left="0"/>
      </w:pPr>
      <w:r>
        <w:rPr>
          <w:sz w:val="18"/>
        </w:rPr>
        <w:t>Le marché des titres publics UEMOA est actif, avec l'État du Sénégal proposant le meilleur rendement sur la BRVM. Le prix du cacao est un facteur clé pour l'économie de la zone, avec une annonce attendue le 1er septembre. Aucune information sur le taux interbancaire ou la liquidité bancaire n'est fournie.</w:t>
      </w:r>
    </w:p>
    <w:p>
      <w:pPr>
        <w:pStyle w:val="Heading3"/>
      </w:pPr>
      <w:r>
        <w:rPr>
          <w:color w:val="500050"/>
        </w:rPr>
        <w:t>⚡ Impact estimé sur la BRVM</w:t>
      </w:r>
    </w:p>
    <w:p>
      <w:pPr>
        <w:spacing w:before="20" w:after="40"/>
        <w:ind w:left="280"/>
      </w:pPr>
      <w:r>
        <w:rPr>
          <w:i/>
          <w:sz w:val="18"/>
        </w:rPr>
        <w:t>Les rendements attractifs des titres publics pourraient inciter les investisseurs à arbitrer entre obligations d'État et actions BRVM. La décision sur le prix du cacao affectera directement les secteurs agricoles et financiers. Les banques (BOAS, BOAN, SIBC) pourraient voir leur liquidité affectée par les émissions obligataires des États.</w:t>
      </w:r>
    </w:p>
    <w:p>
      <w:pPr>
        <w:pStyle w:val="Heading2"/>
      </w:pPr>
      <w:r>
        <w:rPr>
          <w:color w:val="003366"/>
        </w:rPr>
        <w:t>📈 Plan BRVM</w:t>
      </w:r>
    </w:p>
    <w:p>
      <w:pPr>
        <w:spacing w:before="20" w:after="40"/>
        <w:ind w:left="0"/>
      </w:pPr>
      <w:r>
        <w:rPr>
          <w:sz w:val="18"/>
        </w:rPr>
        <w:t>L'indice BRVM Composite se maintient à 530.92 points, avec des résultats encourageants des sociétés cotées ivoiriennes. La BRVM est perçue positivement comme une "bourse solidaire" de l'Afrique de l'Ouest. Aucune information spécifique sur les volumes ou les sociétés en mouvement n'est fournie dans les actualités collectées.</w:t>
      </w:r>
    </w:p>
    <w:p>
      <w:pPr>
        <w:pStyle w:val="Heading3"/>
      </w:pPr>
      <w:r>
        <w:rPr>
          <w:color w:val="500050"/>
        </w:rPr>
        <w:t>⚡ Impact estimé sur la BRVM</w:t>
      </w:r>
    </w:p>
    <w:p>
      <w:pPr>
        <w:spacing w:before="20" w:after="40"/>
        <w:ind w:left="280"/>
      </w:pPr>
      <w:r>
        <w:rPr>
          <w:i/>
          <w:sz w:val="18"/>
        </w:rPr>
        <w:t>Les fondamentaux du marché restent solides avec des perspectives positives pour les valeurs bancaires (SGBC, BICB) et industrielles (SIVC, CFAC). Les sociétés agro-industrielles (SPHC, PALC) sont en attente de la décision sur le prix du cacao. Les investisseurs devraient surveiller les annonces à venir et les opportunités d'achat sur les valeurs sous-évaluées comme NTLC et ONTBF.</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 marché de la BRVM évolue dans un environnement globalement stable, soutenu par des résultats encourageants des sociétés cotées et une perception positive de la place financière régionale. Les principales incertitudes concernent la décision sur le prix du cacao en Côte d'Ivoire et le resserrement monétaire mondial, mais ces facteurs ne remettent pas en cause la tendance positive du marché. Recommandation concrète : maintenir une position investie sur les valeurs bancaires (SGBC, BICB) et industrielles (SIVC, CFAC), tout en surveillant l'annonce du prix du cacao pour ajuster les positions sur les valeurs agro-industrielles (SPHC, PALC).</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2026-08-26</w:t>
            </w:r>
          </w:p>
        </w:tc>
        <w:tc>
          <w:tcPr>
            <w:tcW w:type="dxa" w:w="1728"/>
          </w:tcPr>
          <w:p>
            <w:r>
              <w:rPr>
                <w:sz w:val="14"/>
              </w:rPr>
              <w:t>La Banque centrale européenne peut-elle racheter la dette publique fra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Les prix du pétrole brut ont continué de chuter de plus de 3 %. - Viet</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Marché des matières premières : Les prix du pétrole remontent, l'huile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2026-08-30</w:t>
            </w:r>
          </w:p>
        </w:tc>
        <w:tc>
          <w:tcPr>
            <w:tcW w:type="dxa" w:w="1728"/>
          </w:tcPr>
          <w:p>
            <w:r>
              <w:rPr>
                <w:sz w:val="14"/>
              </w:rPr>
              <w:t>L’UE dresse le bilan de dix ans d’APE avec Abidjan et Accra - Africtel</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2026-08-27</w:t>
            </w:r>
          </w:p>
        </w:tc>
        <w:tc>
          <w:tcPr>
            <w:tcW w:type="dxa" w:w="1728"/>
          </w:tcPr>
          <w:p>
            <w:r>
              <w:rPr>
                <w:sz w:val="14"/>
              </w:rPr>
              <w:t>Agriculture : l’Afrique de l’Ouest veut accélérer la circulation des s</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 xml:space="preserve">La Côte d'Ivoire va maintenir le prix bord champ réduit du cacao pour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2026-08-27</w:t>
            </w:r>
          </w:p>
        </w:tc>
        <w:tc>
          <w:tcPr>
            <w:tcW w:type="dxa" w:w="1728"/>
          </w:tcPr>
          <w:p>
            <w:r>
              <w:rPr>
                <w:sz w:val="14"/>
              </w:rPr>
              <w:t>US Dollar: Inflation data supports gains – UOB - tmgm.com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2026-08-27</w:t>
            </w:r>
          </w:p>
        </w:tc>
        <w:tc>
          <w:tcPr>
            <w:tcW w:type="dxa" w:w="1728"/>
          </w:tcPr>
          <w:p>
            <w:r>
              <w:rPr>
                <w:sz w:val="14"/>
              </w:rPr>
              <w:t>BCE : le scénario d’une hausse des taux en septembre est de plus en pl</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2026-08-30</w:t>
            </w:r>
          </w:p>
        </w:tc>
        <w:tc>
          <w:tcPr>
            <w:tcW w:type="dxa" w:w="1728"/>
          </w:tcPr>
          <w:p>
            <w:r>
              <w:rPr>
                <w:sz w:val="14"/>
              </w:rPr>
              <w:t>AFRIQUE DE L’OUEST - QUELLE MONNAIE POUR QUELLE AFRIQUE DE L’OUEST ?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2026-08-28</w:t>
            </w:r>
          </w:p>
        </w:tc>
        <w:tc>
          <w:tcPr>
            <w:tcW w:type="dxa" w:w="1728"/>
          </w:tcPr>
          <w:p>
            <w:r>
              <w:rPr>
                <w:sz w:val="14"/>
              </w:rPr>
              <w:t>Sénégal : l'école Mariama Bâ, l'ambition au féminin - DW.com</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 xml:space="preserve">La Côte d'Ivoire va maintenir le prix bord champ réduit du cacao pour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 xml:space="preserve">La Côte d'Ivoire va maintenir le prix bord champ réduit du cacao pour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Côte d'Ivoire : Cacao, le kilo pourrait passer à 1 000 FCFA pour la ca</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cacao prix UEMOA</w:t>
            </w:r>
          </w:p>
        </w:tc>
      </w:tr>
      <w:tr>
        <w:tc>
          <w:tcPr>
            <w:tcW w:type="dxa" w:w="1728"/>
          </w:tcPr>
          <w:p>
            <w:r>
              <w:rPr>
                <w:sz w:val="14"/>
              </w:rPr>
              <w:t>2026-08-31</w:t>
            </w:r>
          </w:p>
        </w:tc>
        <w:tc>
          <w:tcPr>
            <w:tcW w:type="dxa" w:w="1728"/>
          </w:tcPr>
          <w:p>
            <w:r>
              <w:rPr>
                <w:sz w:val="14"/>
              </w:rPr>
              <w:t>Prix du cacao en Côte d’Ivoire : le nouveau prix bord champ sera annon</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r>
        <w:tc>
          <w:tcPr>
            <w:tcW w:type="dxa" w:w="1728"/>
          </w:tcPr>
          <w:p>
            <w:r>
              <w:rPr>
                <w:sz w:val="14"/>
              </w:rPr>
              <w:t>2026-08-30</w:t>
            </w:r>
          </w:p>
        </w:tc>
        <w:tc>
          <w:tcPr>
            <w:tcW w:type="dxa" w:w="1728"/>
          </w:tcPr>
          <w:p>
            <w:r>
              <w:rPr>
                <w:sz w:val="14"/>
              </w:rPr>
              <w:t xml:space="preserve">Bourse régionale des valeurs mobilières : Comment l'État du Sénégal a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2026-08-31</w:t>
            </w:r>
          </w:p>
        </w:tc>
        <w:tc>
          <w:tcPr>
            <w:tcW w:type="dxa" w:w="1728"/>
          </w:tcPr>
          <w:p>
            <w:r>
              <w:rPr>
                <w:sz w:val="14"/>
              </w:rPr>
              <w:t>Afrique économie - BRVM, la bourse solidaire de l’Afrique de l’Ouest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bourse</w:t>
            </w:r>
          </w:p>
        </w:tc>
      </w:tr>
      <w:tr>
        <w:tc>
          <w:tcPr>
            <w:tcW w:type="dxa" w:w="1728"/>
          </w:tcPr>
          <w:p>
            <w:r>
              <w:rPr>
                <w:sz w:val="14"/>
              </w:rPr>
              <w:t>2026-08-26</w:t>
            </w:r>
          </w:p>
        </w:tc>
        <w:tc>
          <w:tcPr>
            <w:tcW w:type="dxa" w:w="1728"/>
          </w:tcPr>
          <w:p>
            <w:r>
              <w:rPr>
                <w:sz w:val="14"/>
              </w:rPr>
              <w:t>MARCHÉ DES MATIÈRES PREMIÈRES : L'indice MXV sort de la zone des 2 900</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marche_financier  (2 alerte(s))</w:t>
      </w:r>
    </w:p>
    <w:p>
      <w:pPr>
        <w:spacing w:before="40" w:after="40"/>
        <w:ind w:left="360"/>
      </w:pPr>
      <w:r>
        <w:rPr>
          <w:color w:val="646464"/>
          <w:sz w:val="17"/>
        </w:rPr>
        <w:t xml:space="preserve">[31/08/2026] 🟢  </w:t>
      </w:r>
      <w:r>
        <w:rPr>
          <w:b/>
          <w:color w:val="008000"/>
          <w:sz w:val="18"/>
        </w:rPr>
        <w:t>Afrique économie - BRVM, la bourse solidaire de l’Afrique de l’Ouest [2/5] - RFI</w:t>
      </w:r>
      <w:r>
        <w:rPr>
          <w:color w:val="787878"/>
          <w:sz w:val="15"/>
        </w:rPr>
        <w:t xml:space="preserve">  [marche_financier]</w:t>
      </w:r>
      <w:r>
        <w:rPr>
          <w:color w:val="B47800"/>
          <w:sz w:val="16"/>
        </w:rPr>
        <w:t xml:space="preserve">  ★ 50/10</w:t>
      </w:r>
    </w:p>
    <w:p>
      <w:pPr>
        <w:spacing w:before="0" w:after="20"/>
        <w:ind w:left="600"/>
      </w:pPr>
      <w:r>
        <w:rPr>
          <w:color w:val="323232"/>
          <w:sz w:val="17"/>
        </w:rPr>
        <w:t>Cet article de RFI présente la BRVM comme une bourse solidaire en Afrique de l'Ouest, mettant en avant son rôle dans le financement des économies de l'UEMOA. Il souligne son intégration régionale et son potentiel de développement, tout en évoquant les défis de liquidité et d'accès aux marchés. La BRVM est présentée comme un acteur clé pour l'invest</w:t>
      </w:r>
    </w:p>
    <w:p>
      <w:pPr>
        <w:spacing w:before="0" w:after="40"/>
        <w:ind w:left="600"/>
      </w:pPr>
      <w:r>
        <w:rPr>
          <w:color w:val="00643C"/>
          <w:sz w:val="16"/>
        </w:rPr>
        <w:t>Points clés : La BRVM est une bourse régionale intégrée couvrant huit pays de l'UEMOA.  •  Elle joue un rôle de financement des entreprises et des États, avec une dimension solidaire.  •  L'article met en avant les opportunités de croissance et les défis de liquidité du marché.</w:t>
      </w:r>
    </w:p>
    <w:p>
      <w:pPr>
        <w:spacing w:before="0" w:after="60"/>
        <w:ind w:left="600"/>
      </w:pPr>
      <w:r>
        <w:rPr>
          <w:color w:val="0064B4"/>
          <w:sz w:val="15"/>
        </w:rPr>
        <w:t>Source : https://news.google.com/rss/articles/CBMitAFBVV95cUxNR0VhUklZQ0piV0tnUV9zQXZoS2l</w:t>
      </w:r>
    </w:p>
    <w:p>
      <w:pPr>
        <w:spacing w:before="40" w:after="40"/>
        <w:ind w:left="360"/>
      </w:pPr>
      <w:r>
        <w:rPr>
          <w:color w:val="646464"/>
          <w:sz w:val="17"/>
        </w:rPr>
        <w:t xml:space="preserve">[30/08/2026] 🟢  </w:t>
      </w:r>
      <w:r>
        <w:rPr>
          <w:b/>
          <w:color w:val="008000"/>
          <w:sz w:val="18"/>
        </w:rPr>
        <w:t>Bourse régionale des valeurs mobilières : Comment l'État du Sénégal a proposé le meilleur rendement - SeneNews</w:t>
      </w:r>
      <w:r>
        <w:rPr>
          <w:color w:val="787878"/>
          <w:sz w:val="15"/>
        </w:rPr>
        <w:t xml:space="preserve">  [marche_financier]</w:t>
      </w:r>
      <w:r>
        <w:rPr>
          <w:color w:val="B47800"/>
          <w:sz w:val="16"/>
        </w:rPr>
        <w:t xml:space="preserve">  ★ 50/10</w:t>
      </w:r>
    </w:p>
    <w:p>
      <w:pPr>
        <w:spacing w:before="0" w:after="20"/>
        <w:ind w:left="600"/>
      </w:pPr>
      <w:r>
        <w:rPr>
          <w:color w:val="323232"/>
          <w:sz w:val="17"/>
        </w:rPr>
        <w:t>L'article de SeneNews met en avant la performance de l'État du Sénégal sur le marché obligataire de la BRVM, où il a réussi à obtenir le meilleur rendement parmi les émetteurs. Cette performance est attribuée à une stratégie financière efficace et à une bonne gestion de la dette souveraine. L'article souligne l'attractivité du Sénégal pour les inve</w:t>
      </w:r>
    </w:p>
    <w:p>
      <w:pPr>
        <w:spacing w:before="0" w:after="40"/>
        <w:ind w:left="600"/>
      </w:pPr>
      <w:r>
        <w:rPr>
          <w:color w:val="00643C"/>
          <w:sz w:val="16"/>
        </w:rPr>
        <w:t>Points clés : L'État du Sénégal a proposé le meilleur rendement sur le marché obligataire de la BRVM.  •  Cette performance reflète une stratégie financière efficace et une bonne gestion de la dette.  •  L'article renforce l'attractivité du Sénégal auprès des investisseurs de l'UEMOA.</w:t>
      </w:r>
    </w:p>
    <w:p>
      <w:pPr>
        <w:spacing w:before="0" w:after="60"/>
        <w:ind w:left="600"/>
      </w:pPr>
      <w:r>
        <w:rPr>
          <w:color w:val="0064B4"/>
          <w:sz w:val="15"/>
        </w:rPr>
        <w:t>Source : https://news.google.com/rss/articles/CBMi6AFBVV95cUxNWGo5TVJ2dnVSaXpNQWJwQ09tTUx</w:t>
      </w:r>
    </w:p>
    <w:p>
      <w:pPr>
        <w:spacing w:before="120" w:after="40"/>
      </w:pPr>
      <w:r>
        <w:rPr>
          <w:b/>
          <w:color w:val="00467F"/>
          <w:sz w:val="20"/>
        </w:rPr>
        <w:t>🔑 matieres_premieres  (3 alerte(s))</w:t>
      </w:r>
    </w:p>
    <w:p>
      <w:pPr>
        <w:spacing w:before="40" w:after="40"/>
        <w:ind w:left="360"/>
      </w:pPr>
      <w:r>
        <w:rPr>
          <w:color w:val="646464"/>
          <w:sz w:val="17"/>
        </w:rPr>
        <w:t xml:space="preserve">[31/08/2026] ⚪  </w:t>
      </w:r>
      <w:r>
        <w:rPr>
          <w:b/>
          <w:color w:val="505050"/>
          <w:sz w:val="18"/>
        </w:rPr>
        <w:t>Côte d'Ivoire : Cacao, le kilo pourrait passer à 1 000 FCFA pour la campagne 2026-2027, le gouvernement entre prudence e</w:t>
      </w:r>
      <w:r>
        <w:rPr>
          <w:color w:val="787878"/>
          <w:sz w:val="15"/>
        </w:rPr>
        <w:t xml:space="preserve">  [matieres_premieres]</w:t>
      </w:r>
      <w:r>
        <w:rPr>
          <w:color w:val="B47800"/>
          <w:sz w:val="16"/>
        </w:rPr>
        <w:t xml:space="preserve">  ★ 50/10</w:t>
      </w:r>
    </w:p>
    <w:p>
      <w:pPr>
        <w:spacing w:before="0" w:after="20"/>
        <w:ind w:left="600"/>
      </w:pPr>
      <w:r>
        <w:rPr>
          <w:color w:val="323232"/>
          <w:sz w:val="17"/>
        </w:rPr>
        <w:t>Le gouvernement ivoirien envisage de porter le prix du kilo de cacao à 1 000 FCFA pour la campagne 2026-2027, sous la pression des producteurs. Cette hausse potentielle, bien que favorable aux revenus des agriculteurs, suscite des débats sur son impact sur la compétitivité et les finances publiques. Le gouvernement reste prudent face aux risques de</w:t>
      </w:r>
    </w:p>
    <w:p>
      <w:pPr>
        <w:spacing w:before="0" w:after="40"/>
        <w:ind w:left="600"/>
      </w:pPr>
      <w:r>
        <w:rPr>
          <w:color w:val="00643C"/>
          <w:sz w:val="16"/>
        </w:rPr>
        <w:t>Points clés : Prix du cacao envisagé à 1 000 FCFA/kg pour 2026-2027  •  Pression des producteurs pour une hausse des revenus  •  Prudence du gouvernement face aux risques économiques  •  Impact potentiel sur les entreprises agro-industrielles de la BRVM</w:t>
      </w:r>
    </w:p>
    <w:p>
      <w:pPr>
        <w:spacing w:before="0" w:after="60"/>
        <w:ind w:left="600"/>
      </w:pPr>
      <w:r>
        <w:rPr>
          <w:color w:val="0064B4"/>
          <w:sz w:val="15"/>
        </w:rPr>
        <w:t>Source : https://news.google.com/rss/articles/CBMivAJBVV95cUxQTlpYcDJSNVVBb2UyUl9WVVhsWm0</w:t>
      </w:r>
    </w:p>
    <w:p>
      <w:pPr>
        <w:spacing w:before="40" w:after="40"/>
        <w:ind w:left="360"/>
      </w:pPr>
      <w:r>
        <w:rPr>
          <w:color w:val="646464"/>
          <w:sz w:val="17"/>
        </w:rPr>
        <w:t xml:space="preserve">[31/08/2026] ⚪  </w:t>
      </w:r>
      <w:r>
        <w:rPr>
          <w:b/>
          <w:color w:val="505050"/>
          <w:sz w:val="18"/>
        </w:rPr>
        <w:t>La Côte d'Ivoire va maintenir le prix bord champ réduit du cacao pour 2026/27, selon des sources (Reuters) - Abidjan.net</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prévoit de maintenir le prix bord champ réduit pour la campagne 2026/27, selon des sources proches du dossier. Cette décision vise à stabiliser le marché tout en tenant compte des fluctuations des cours mondiaux. Le prix réduit pourrait affecter les revenus des producteurs, mais vise à préserve</w:t>
      </w:r>
    </w:p>
    <w:p>
      <w:pPr>
        <w:spacing w:before="0" w:after="40"/>
        <w:ind w:left="600"/>
      </w:pPr>
      <w:r>
        <w:rPr>
          <w:color w:val="00643C"/>
          <w:sz w:val="16"/>
        </w:rPr>
        <w:t>Points clés : Maintien du prix bord champ réduit pour 2026/27 en Côte d'Ivoire.  •  Décision influencée par les cours mondiaux et la nécessité de stabiliser le marché.  •  Impact potentiel sur les revenus des producteurs ivoiriens.</w:t>
      </w:r>
    </w:p>
    <w:p>
      <w:pPr>
        <w:spacing w:before="0" w:after="60"/>
        <w:ind w:left="600"/>
      </w:pPr>
      <w:r>
        <w:rPr>
          <w:color w:val="0064B4"/>
          <w:sz w:val="15"/>
        </w:rPr>
        <w:t>Source : https://news.google.com/rss/articles/CBMi2wFBVV95cUxNN01Ocnd5MWZzN0U5UkNqcVNEcmE</w:t>
      </w:r>
    </w:p>
    <w:p>
      <w:pPr>
        <w:spacing w:before="40" w:after="40"/>
        <w:ind w:left="360"/>
      </w:pPr>
      <w:r>
        <w:rPr>
          <w:color w:val="646464"/>
          <w:sz w:val="17"/>
        </w:rPr>
        <w:t xml:space="preserve">[31/08/2026] ⚪  </w:t>
      </w:r>
      <w:r>
        <w:rPr>
          <w:b/>
          <w:color w:val="505050"/>
          <w:sz w:val="18"/>
        </w:rPr>
        <w:t>Prix du cacao en Côte d’Ivoire : le nouveau prix bord champ sera annoncé mardi 1er septembre - africaradio.com</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Le prix bord champ du cacao en Côte d'Ivoire sera annoncé mardi 1er septembre. Cette annonce est très attendue par les producteurs et les acteurs du marché. Le nouveau prix pourrait influencer les revenus des planteurs et la compétitivité du cacao ivoirien. Les fluctuations du prix du cacao ont un impact direct sur l'économie ivoirienne et sur les </w:t>
      </w:r>
    </w:p>
    <w:p>
      <w:pPr>
        <w:spacing w:before="0" w:after="40"/>
        <w:ind w:left="600"/>
      </w:pPr>
      <w:r>
        <w:rPr>
          <w:color w:val="00643C"/>
          <w:sz w:val="16"/>
        </w:rPr>
        <w:t>Points clés : Annonce du nouveau prix bord champ du cacao prévue le 1er septembre.  •  Impact potentiel sur les revenus des producteurs et sur le marché du cacao.</w:t>
      </w:r>
    </w:p>
    <w:p>
      <w:pPr>
        <w:spacing w:before="0" w:after="60"/>
        <w:ind w:left="600"/>
      </w:pPr>
      <w:r>
        <w:rPr>
          <w:color w:val="0064B4"/>
          <w:sz w:val="15"/>
        </w:rPr>
        <w:t>Source : https://news.google.com/rss/articles/CBMi0AFBVV95cUxPRkZFcTdWdXJLam1SRjVoczJ4TFN</w:t>
      </w:r>
    </w:p>
    <w:p>
      <w:pPr>
        <w:spacing w:before="120" w:after="40"/>
      </w:pPr>
      <w:r>
        <w:rPr>
          <w:b/>
          <w:color w:val="00467F"/>
          <w:sz w:val="20"/>
        </w:rPr>
        <w:t>🔑 politique  (11 alerte(s))</w:t>
      </w:r>
    </w:p>
    <w:p>
      <w:pPr>
        <w:spacing w:before="40" w:after="40"/>
        <w:ind w:left="360"/>
      </w:pPr>
      <w:r>
        <w:rPr>
          <w:color w:val="646464"/>
          <w:sz w:val="17"/>
        </w:rPr>
        <w:t xml:space="preserve">[31/08/2026] 🔴  </w:t>
      </w:r>
      <w:r>
        <w:rPr>
          <w:b/>
          <w:color w:val="C00000"/>
          <w:sz w:val="18"/>
        </w:rPr>
        <w:t>Burkina Faso : l’ex-ministre Lionel Bilgo placé sous mandat de dépôt - Africtelegraph</w:t>
      </w:r>
      <w:r>
        <w:rPr>
          <w:color w:val="787878"/>
          <w:sz w:val="15"/>
        </w:rPr>
        <w:t xml:space="preserve">  [politique]</w:t>
      </w:r>
      <w:r>
        <w:rPr>
          <w:color w:val="B47800"/>
          <w:sz w:val="16"/>
        </w:rPr>
        <w:t xml:space="preserve">  ★ 50/10</w:t>
      </w:r>
    </w:p>
    <w:p>
      <w:pPr>
        <w:spacing w:before="0" w:after="20"/>
        <w:ind w:left="600"/>
      </w:pPr>
      <w:r>
        <w:rPr>
          <w:color w:val="323232"/>
          <w:sz w:val="17"/>
        </w:rPr>
        <w:t>L'ancien ministre burkinabè Lionel Bilgo a été placé sous mandat de dépôt, selon Africtelegraph. Cette information relève de la politique intérieure du Burkina Faso, un pays membre de l'UEMOA. L'arrestation s'inscrit dans un contexte de lutte contre la corruption et de transition politique. Aucun détail supplémentaire n'est fourni dans l'article.</w:t>
      </w:r>
    </w:p>
    <w:p>
      <w:pPr>
        <w:spacing w:before="0" w:after="40"/>
        <w:ind w:left="600"/>
      </w:pPr>
      <w:r>
        <w:rPr>
          <w:color w:val="00643C"/>
          <w:sz w:val="16"/>
        </w:rPr>
        <w:t>Points clés : Lionel Bilgo, ex-ministre, est placé sous mandat de dépôt.  •  L'information provient d'Africtelegraph et concerne le Burkina Faso.</w:t>
      </w:r>
    </w:p>
    <w:p>
      <w:pPr>
        <w:spacing w:before="0" w:after="60"/>
        <w:ind w:left="600"/>
      </w:pPr>
      <w:r>
        <w:rPr>
          <w:color w:val="0064B4"/>
          <w:sz w:val="15"/>
        </w:rPr>
        <w:t>Source : https://news.google.com/rss/articles/CBMinwFBVV95cUxNdGx2bWp4ZmUyMWZhTUdSMkNKWkd</w:t>
      </w:r>
    </w:p>
    <w:p>
      <w:pPr>
        <w:spacing w:before="40" w:after="40"/>
        <w:ind w:left="360"/>
      </w:pPr>
      <w:r>
        <w:rPr>
          <w:color w:val="646464"/>
          <w:sz w:val="17"/>
        </w:rPr>
        <w:t xml:space="preserve">[30/08/2026] 🟢  </w:t>
      </w:r>
      <w:r>
        <w:rPr>
          <w:b/>
          <w:color w:val="008000"/>
          <w:sz w:val="18"/>
        </w:rPr>
        <w:t>Le Maroc renforce ses relations avec le Sénégal et la RDCongo - Atalayar</w:t>
      </w:r>
      <w:r>
        <w:rPr>
          <w:color w:val="787878"/>
          <w:sz w:val="15"/>
        </w:rPr>
        <w:t xml:space="preserve">  [politique]</w:t>
      </w:r>
      <w:r>
        <w:rPr>
          <w:color w:val="B47800"/>
          <w:sz w:val="16"/>
        </w:rPr>
        <w:t xml:space="preserve">  ★ 50/10</w:t>
      </w:r>
    </w:p>
    <w:p>
      <w:pPr>
        <w:spacing w:before="0" w:after="20"/>
        <w:ind w:left="600"/>
      </w:pPr>
      <w:r>
        <w:rPr>
          <w:color w:val="323232"/>
          <w:sz w:val="17"/>
        </w:rPr>
        <w:t xml:space="preserve">Le Maroc intensifie sa coopération diplomatique et économique avec le Sénégal et la République démocratique du Congo, dans le cadre de sa stratégie africaine. Cette dynamique pourrait favoriser les échanges commerciaux et les investissements croisés, notamment dans les secteurs bancaires, des télécommunications et de l'agro-industrie. Pour la zone </w:t>
      </w:r>
    </w:p>
    <w:p>
      <w:pPr>
        <w:spacing w:before="0" w:after="40"/>
        <w:ind w:left="600"/>
      </w:pPr>
      <w:r>
        <w:rPr>
          <w:color w:val="00643C"/>
          <w:sz w:val="16"/>
        </w:rPr>
        <w:t>Points clés : Renforcement des relations bilatérales Maroc-Sénégal et Maroc-RDC  •  Potentiel d'accroissement des investissements marocains en Afrique de l'Ouest  •  Impact possible sur les secteurs bancaires et télécoms de la BRVM</w:t>
      </w:r>
    </w:p>
    <w:p>
      <w:pPr>
        <w:spacing w:before="0" w:after="60"/>
        <w:ind w:left="600"/>
      </w:pPr>
      <w:r>
        <w:rPr>
          <w:color w:val="0064B4"/>
          <w:sz w:val="15"/>
        </w:rPr>
        <w:t>Source : https://news.google.com/rss/articles/CBMiwwFBVV95cUxPSWJORzZlQ3BtNTB1M2lEYnRuSzV</w:t>
      </w:r>
    </w:p>
    <w:p>
      <w:pPr>
        <w:spacing w:before="40" w:after="40"/>
        <w:ind w:left="360"/>
      </w:pPr>
      <w:r>
        <w:rPr>
          <w:color w:val="646464"/>
          <w:sz w:val="17"/>
        </w:rPr>
        <w:t xml:space="preserve">[30/08/2026] 🟢  </w:t>
      </w:r>
      <w:r>
        <w:rPr>
          <w:b/>
          <w:color w:val="008000"/>
          <w:sz w:val="18"/>
        </w:rPr>
        <w:t>Le Maroc renforce ses relations avec le Sénégal et la RDCongo - Atalayar</w:t>
      </w:r>
      <w:r>
        <w:rPr>
          <w:color w:val="787878"/>
          <w:sz w:val="15"/>
        </w:rPr>
        <w:t xml:space="preserve">  [politique]</w:t>
      </w:r>
      <w:r>
        <w:rPr>
          <w:color w:val="B47800"/>
          <w:sz w:val="16"/>
        </w:rPr>
        <w:t xml:space="preserve">  ★ 50/10</w:t>
      </w:r>
    </w:p>
    <w:p>
      <w:pPr>
        <w:spacing w:before="0" w:after="20"/>
        <w:ind w:left="600"/>
      </w:pPr>
      <w:r>
        <w:rPr>
          <w:color w:val="323232"/>
          <w:sz w:val="17"/>
        </w:rPr>
        <w:t xml:space="preserve">Le Maroc intensifie sa coopération diplomatique et économique avec le Sénégal et la République démocratique du Congo, dans le cadre de sa stratégie africaine. Cette initiative vise à renforcer les partenariats commerciaux, les investissements et la stabilité régionale en Afrique de l'Ouest et centrale. Pour la zone UEMOA, cela pourrait se traduire </w:t>
      </w:r>
    </w:p>
    <w:p>
      <w:pPr>
        <w:spacing w:before="0" w:after="40"/>
        <w:ind w:left="600"/>
      </w:pPr>
      <w:r>
        <w:rPr>
          <w:color w:val="00643C"/>
          <w:sz w:val="16"/>
        </w:rPr>
        <w:t>Points clés : Renforcement des relations bilatérales entre le Maroc, le Sénégal et la RDC.  •  Potentiel d'accroissement des investissements marocains dans la zone UEMOA.  •  Impact possible sur la stabilité et l'intégration économique régionale.</w:t>
      </w:r>
    </w:p>
    <w:p>
      <w:pPr>
        <w:spacing w:before="0" w:after="60"/>
        <w:ind w:left="600"/>
      </w:pPr>
      <w:r>
        <w:rPr>
          <w:color w:val="0064B4"/>
          <w:sz w:val="15"/>
        </w:rPr>
        <w:t>Source : https://news.google.com/rss/articles/CBMiyAFBVV95cUxOQTlVeXZQZVZBUV8wUmNyczY4ZHE</w:t>
      </w:r>
    </w:p>
    <w:p>
      <w:pPr>
        <w:spacing w:before="40" w:after="40"/>
        <w:ind w:left="360"/>
      </w:pPr>
      <w:r>
        <w:rPr>
          <w:color w:val="646464"/>
          <w:sz w:val="17"/>
        </w:rPr>
        <w:t xml:space="preserve">[30/08/2026] ⚪  </w:t>
      </w:r>
      <w:r>
        <w:rPr>
          <w:b/>
          <w:color w:val="505050"/>
          <w:sz w:val="18"/>
        </w:rPr>
        <w:t>À Ziguinchor, Pastef fustige la « politique sale » et défend la justice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rapporte un meeting politique de Pastef à Ziguinchor, où le parti dénonce une 'politique sale' et réaffirme son engagement en faveur de la justice. Cette prise de position s'inscrit dans un contexte politique tendu au Sénégal, mais sans lien direct avec les marchés financiers. L'actualité politique peut influencer la confiance des investi</w:t>
      </w:r>
    </w:p>
    <w:p>
      <w:pPr>
        <w:spacing w:before="0" w:after="40"/>
        <w:ind w:left="600"/>
      </w:pPr>
      <w:r>
        <w:rPr>
          <w:color w:val="00643C"/>
          <w:sz w:val="16"/>
        </w:rPr>
        <w:t>Points clés : Pastef critique la 'politique sale' lors d'un meeting à Ziguinchor.  •  Le parti défend la justice comme principe central de son action.</w:t>
      </w:r>
    </w:p>
    <w:p>
      <w:pPr>
        <w:spacing w:before="0" w:after="60"/>
        <w:ind w:left="600"/>
      </w:pPr>
      <w:r>
        <w:rPr>
          <w:color w:val="0064B4"/>
          <w:sz w:val="15"/>
        </w:rPr>
        <w:t>Source : https://news.google.com/rss/articles/CBMioAFBVV95cUxPdVJaZWU4WWQ1S1RXenlxdVZLbXR</w:t>
      </w:r>
    </w:p>
    <w:p>
      <w:pPr>
        <w:spacing w:before="40" w:after="40"/>
        <w:ind w:left="360"/>
      </w:pPr>
      <w:r>
        <w:rPr>
          <w:color w:val="646464"/>
          <w:sz w:val="17"/>
        </w:rPr>
        <w:t xml:space="preserve">[29/08/2026] 🟢  </w:t>
      </w:r>
      <w:r>
        <w:rPr>
          <w:b/>
          <w:color w:val="008000"/>
          <w:sz w:val="18"/>
        </w:rPr>
        <w:t>Burkina Faso - Coopération avec la Belgique : Maxime Prévot en visite de travail à Ouagadougou - Africa24 TV</w:t>
      </w:r>
      <w:r>
        <w:rPr>
          <w:color w:val="787878"/>
          <w:sz w:val="15"/>
        </w:rPr>
        <w:t xml:space="preserve">  [politique]</w:t>
      </w:r>
      <w:r>
        <w:rPr>
          <w:color w:val="B47800"/>
          <w:sz w:val="16"/>
        </w:rPr>
        <w:t xml:space="preserve">  ★ 50/10</w:t>
      </w:r>
    </w:p>
    <w:p>
      <w:pPr>
        <w:spacing w:before="0" w:after="20"/>
        <w:ind w:left="600"/>
      </w:pPr>
      <w:r>
        <w:rPr>
          <w:color w:val="323232"/>
          <w:sz w:val="17"/>
        </w:rPr>
        <w:t>Le ministre belge des Affaires étrangères, Maxime Prévot, effectue une visite de travail à Ouagadougou, marquant une étape dans la coopération entre le Burkina Faso et la Belgique. Cette rencontre intervient dans un contexte de redéfinition des partenariats internationaux du Burkina, qui s'est tourné vers de nouveaux alliés. Les discussions portent</w:t>
      </w:r>
    </w:p>
    <w:p>
      <w:pPr>
        <w:spacing w:before="0" w:after="40"/>
        <w:ind w:left="600"/>
      </w:pPr>
      <w:r>
        <w:rPr>
          <w:color w:val="00643C"/>
          <w:sz w:val="16"/>
        </w:rPr>
        <w:t>Points clés : Visite de travail de Maxime Prévot à Ouagadougou pour renforcer la coopération bilatérale.  •  Sujets probables : économie, sécurité et développement, dans un contexte de diversification des partenaires du Burkina Faso.  •  Impact potentiel sur les relations entre la Belgique et les pays de l'UEMOA, notamment via des accords commerciaux.</w:t>
      </w:r>
    </w:p>
    <w:p>
      <w:pPr>
        <w:spacing w:before="0" w:after="60"/>
        <w:ind w:left="600"/>
      </w:pPr>
      <w:r>
        <w:rPr>
          <w:color w:val="0064B4"/>
          <w:sz w:val="15"/>
        </w:rPr>
        <w:t>Source : https://news.google.com/rss/articles/CBMitAFBVV95cUxPbVVtN1hXUW1nMmhENE5qYVpHS01</w:t>
      </w:r>
    </w:p>
    <w:p>
      <w:pPr>
        <w:spacing w:before="120" w:after="40"/>
      </w:pPr>
      <w:r>
        <w:rPr>
          <w:b/>
          <w:color w:val="00467F"/>
          <w:sz w:val="20"/>
        </w:rPr>
        <w:t>🔑 politique_monetaire  (1 alerte(s))</w:t>
      </w:r>
    </w:p>
    <w:p>
      <w:pPr>
        <w:spacing w:before="40" w:after="40"/>
        <w:ind w:left="360"/>
      </w:pPr>
      <w:r>
        <w:rPr>
          <w:color w:val="646464"/>
          <w:sz w:val="17"/>
        </w:rPr>
        <w:t xml:space="preserve">[31/08/2026] 🟢  </w:t>
      </w:r>
      <w:r>
        <w:rPr>
          <w:b/>
          <w:color w:val="008000"/>
          <w:sz w:val="18"/>
        </w:rPr>
        <w:t>BCEAO : le taux directeur maintenu à 3 %, l'inflation régionale sous contrôle - Leral.net</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BCEAO a décidé de maintenir son taux directeur à 3 %, signalant une stabilité monétaire dans l'UEMOA. L'inflation régionale est jugée sous contrôle, ce qui réduit les pressions sur les coûts de financement. Cette décision vise à soutenir la croissance économique tout en préservant la stabilité des prix. Les marchés financiers de la région, dont </w:t>
      </w:r>
    </w:p>
    <w:p>
      <w:pPr>
        <w:spacing w:before="0" w:after="40"/>
        <w:ind w:left="600"/>
      </w:pPr>
      <w:r>
        <w:rPr>
          <w:color w:val="00643C"/>
          <w:sz w:val="16"/>
        </w:rPr>
        <w:t>Points clés : Taux directeur maintenu à 3 % par la BCEAO.  •  Inflation régionale sous contrôle dans l'UEMOA.</w:t>
      </w:r>
    </w:p>
    <w:p>
      <w:pPr>
        <w:spacing w:before="0" w:after="60"/>
        <w:ind w:left="600"/>
      </w:pPr>
      <w:r>
        <w:rPr>
          <w:color w:val="0064B4"/>
          <w:sz w:val="15"/>
        </w:rPr>
        <w:t>Source : https://news.google.com/rss/articles/CBMirAFBVV95cUxQSU0xc2dsZFRneWZTTWlHRndFeGR</w:t>
      </w:r>
    </w:p>
    <w:p>
      <w:pPr>
        <w:spacing w:before="120" w:after="40"/>
      </w:pPr>
      <w:r>
        <w:rPr>
          <w:b/>
          <w:color w:val="00467F"/>
          <w:sz w:val="20"/>
        </w:rPr>
        <w:t>🔑 économique  (3 alerte(s))</w:t>
      </w:r>
    </w:p>
    <w:p>
      <w:pPr>
        <w:spacing w:before="40" w:after="40"/>
        <w:ind w:left="360"/>
      </w:pPr>
      <w:r>
        <w:rPr>
          <w:color w:val="646464"/>
          <w:sz w:val="17"/>
        </w:rPr>
        <w:t xml:space="preserve">[30/08/2026] ⚪  </w:t>
      </w:r>
      <w:r>
        <w:rPr>
          <w:b/>
          <w:color w:val="505050"/>
          <w:sz w:val="18"/>
        </w:rPr>
        <w:t>Afrique du Sud : 56 milliards de dollars d'investissement public face à une croissance atone - lenouveleconomiste.fr</w:t>
      </w:r>
      <w:r>
        <w:rPr>
          <w:color w:val="787878"/>
          <w:sz w:val="15"/>
        </w:rPr>
        <w:t xml:space="preserve">  [économique]</w:t>
      </w:r>
      <w:r>
        <w:rPr>
          <w:color w:val="B47800"/>
          <w:sz w:val="16"/>
        </w:rPr>
        <w:t xml:space="preserve">  ★ 50/10</w:t>
      </w:r>
    </w:p>
    <w:p>
      <w:pPr>
        <w:spacing w:before="0" w:after="20"/>
        <w:ind w:left="600"/>
      </w:pPr>
      <w:r>
        <w:rPr>
          <w:color w:val="323232"/>
          <w:sz w:val="17"/>
        </w:rPr>
        <w:t>L'Afrique du Sud prévoit un investissement public massif de 56 milliards de dollars, mais cette initiative est confrontée à une croissance économique atone. Ce contraste soulève des inquiétudes quant à l'efficacité de ces dépenses pour relancer l'économie. Le pays cherche à stimuler son développement malgré des défis structurels persistants.</w:t>
      </w:r>
    </w:p>
    <w:p>
      <w:pPr>
        <w:spacing w:before="0" w:after="40"/>
        <w:ind w:left="600"/>
      </w:pPr>
      <w:r>
        <w:rPr>
          <w:color w:val="00643C"/>
          <w:sz w:val="16"/>
        </w:rPr>
        <w:t>Points clés : Investissement public de 56 milliards de dollars en Afrique du Sud.  •  Croissance économique atone, remettant en cause l'impact de ces investissements.</w:t>
      </w:r>
    </w:p>
    <w:p>
      <w:pPr>
        <w:spacing w:before="0" w:after="60"/>
        <w:ind w:left="600"/>
      </w:pPr>
      <w:r>
        <w:rPr>
          <w:color w:val="0064B4"/>
          <w:sz w:val="15"/>
        </w:rPr>
        <w:t>Source : https://news.google.com/rss/articles/CBMiywFBVV95cUxNZU41WF8zRzBicC1nTTJCbElSZXN</w:t>
      </w:r>
    </w:p>
    <w:p>
      <w:pPr>
        <w:spacing w:before="40" w:after="40"/>
        <w:ind w:left="360"/>
      </w:pPr>
      <w:r>
        <w:rPr>
          <w:color w:val="646464"/>
          <w:sz w:val="17"/>
        </w:rPr>
        <w:t xml:space="preserve">[30/08/2026] ⚪  </w:t>
      </w:r>
      <w:r>
        <w:rPr>
          <w:b/>
          <w:color w:val="505050"/>
          <w:sz w:val="18"/>
        </w:rPr>
        <w:t>AFRIQUE DE L’OUEST - QUELLE MONNAIE POUR QUELLE AFRIQUE DE L’OUEST ? - Le Club de Mediapart</w:t>
      </w:r>
      <w:r>
        <w:rPr>
          <w:color w:val="787878"/>
          <w:sz w:val="15"/>
        </w:rPr>
        <w:t xml:space="preserve">  [économique]</w:t>
      </w:r>
      <w:r>
        <w:rPr>
          <w:color w:val="B47800"/>
          <w:sz w:val="16"/>
        </w:rPr>
        <w:t xml:space="preserve">  ★ 50/10</w:t>
      </w:r>
    </w:p>
    <w:p>
      <w:pPr>
        <w:spacing w:before="0" w:after="20"/>
        <w:ind w:left="600"/>
      </w:pPr>
      <w:r>
        <w:rPr>
          <w:color w:val="323232"/>
          <w:sz w:val="17"/>
        </w:rPr>
        <w:t>L'article traite de la question monétaire en Afrique de l'Ouest, en interrogeant le choix de la monnaie pour la région. Il aborde les enjeux économiques et politiques liés à la monnaie unique, notamment le franc CFA et les projets de réforme. L'analyse porte sur les implications pour les pays membres de la CEDEAO et les perspectives d'intégration r</w:t>
      </w:r>
    </w:p>
    <w:p>
      <w:pPr>
        <w:spacing w:before="0" w:after="40"/>
        <w:ind w:left="600"/>
      </w:pPr>
      <w:r>
        <w:rPr>
          <w:color w:val="00643C"/>
          <w:sz w:val="16"/>
        </w:rPr>
        <w:t>Points clés : Débat sur la pertinence du franc CFA et les alternatives possibles pour l'Afrique de l'Ouest.  •  Enjeux de souveraineté monétaire et d'intégration économique régionale.</w:t>
      </w:r>
    </w:p>
    <w:p>
      <w:pPr>
        <w:spacing w:before="0" w:after="60"/>
        <w:ind w:left="600"/>
      </w:pPr>
      <w:r>
        <w:rPr>
          <w:color w:val="0064B4"/>
          <w:sz w:val="15"/>
        </w:rPr>
        <w:t>Source : https://news.google.com/rss/articles/CBMivgFBVV95cUxOcGZTNW9FUzJpN29tQkIycUNweFJ</w:t>
      </w:r>
    </w:p>
    <w:p>
      <w:pPr>
        <w:spacing w:before="40" w:after="40"/>
        <w:ind w:left="360"/>
      </w:pPr>
      <w:r>
        <w:rPr>
          <w:color w:val="646464"/>
          <w:sz w:val="17"/>
        </w:rPr>
        <w:t xml:space="preserve">[30/08/2026] ⚪  </w:t>
      </w:r>
      <w:r>
        <w:rPr>
          <w:b/>
          <w:color w:val="505050"/>
          <w:sz w:val="18"/>
        </w:rPr>
        <w:t>L’UE dresse le bilan de dix ans d’APE avec Abidjan et Accra - Africtelegraph</w:t>
      </w:r>
      <w:r>
        <w:rPr>
          <w:color w:val="787878"/>
          <w:sz w:val="15"/>
        </w:rPr>
        <w:t xml:space="preserve">  [économique]</w:t>
      </w:r>
      <w:r>
        <w:rPr>
          <w:color w:val="B47800"/>
          <w:sz w:val="16"/>
        </w:rPr>
        <w:t xml:space="preserve">  ★ 50/10</w:t>
      </w:r>
    </w:p>
    <w:p>
      <w:pPr>
        <w:spacing w:before="0" w:after="20"/>
        <w:ind w:left="600"/>
      </w:pPr>
      <w:r>
        <w:rPr>
          <w:color w:val="323232"/>
          <w:sz w:val="17"/>
        </w:rPr>
        <w:t>L'Union européenne a dressé un bilan de dix ans d'accord de partenariat économique (APE) avec la Côte d'Ivoire et le Ghana, soulignant les progrès réalisés en matière de commerce et de développement. L'APE a permis de renforcer les échanges entre l'UE et ces deux pays, tout en soutenant leur intégration économique régionale. Le bilan met en avant l</w:t>
      </w:r>
    </w:p>
    <w:p>
      <w:pPr>
        <w:spacing w:before="0" w:after="40"/>
        <w:ind w:left="600"/>
      </w:pPr>
      <w:r>
        <w:rPr>
          <w:color w:val="00643C"/>
          <w:sz w:val="16"/>
        </w:rPr>
        <w:t>Points clés : Dix ans de mise en œuvre de l'APE entre l'UE et la Côte d'Ivoire et le Ghana.  •  Renforcement des échanges commerciaux et soutien à l'intégration économique régionale.  •  Bénéfices pour les exportations locales, mais défis de diversification et de mise en œuvre.</w:t>
      </w:r>
    </w:p>
    <w:p>
      <w:pPr>
        <w:spacing w:before="0" w:after="60"/>
        <w:ind w:left="600"/>
      </w:pPr>
      <w:r>
        <w:rPr>
          <w:color w:val="0064B4"/>
          <w:sz w:val="15"/>
        </w:rPr>
        <w:t>Source : https://news.google.com/rss/articles/CBMilAFBVV95cUxPMUZvbzVOdjJJR0V6dm1yX3dma2l</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8,295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2,440</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5,480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6,480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2,155</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SIBC</w:t>
            </w:r>
          </w:p>
        </w:tc>
        <w:tc>
          <w:tcPr>
            <w:tcW w:type="dxa" w:w="1080"/>
            <w:shd w:fill="C6EFCE" w:val="clear"/>
          </w:tcPr>
          <w:p>
            <w:r>
              <w:rPr>
                <w:sz w:val="16"/>
              </w:rPr>
              <w:t>SERVICES FINANCIER</w:t>
            </w:r>
          </w:p>
        </w:tc>
        <w:tc>
          <w:tcPr>
            <w:tcW w:type="dxa" w:w="1080"/>
            <w:shd w:fill="C6EFCE" w:val="clear"/>
          </w:tcPr>
          <w:p>
            <w:r>
              <w:rPr>
                <w:sz w:val="16"/>
              </w:rPr>
              <w:t>9,000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3,800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10,235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3,495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2,425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2,330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9,500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3,375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2,295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21,005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36,600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8,800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12,295</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6,690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5,900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12,995</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8,900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16,510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2,890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SCRC</w:t>
            </w:r>
          </w:p>
        </w:tc>
        <w:tc>
          <w:tcPr>
            <w:tcW w:type="dxa" w:w="1080"/>
            <w:shd w:fill="EBF5FB" w:val="clear"/>
          </w:tcPr>
          <w:p>
            <w:r>
              <w:rPr>
                <w:sz w:val="16"/>
              </w:rPr>
              <w:t>CONSOMMATION DE BA</w:t>
            </w:r>
          </w:p>
        </w:tc>
        <w:tc>
          <w:tcPr>
            <w:tcW w:type="dxa" w:w="1080"/>
            <w:shd w:fill="EBF5FB" w:val="clear"/>
          </w:tcPr>
          <w:p>
            <w:r>
              <w:rPr>
                <w:sz w:val="16"/>
              </w:rPr>
              <w:t>3,625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2,800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38,000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8,250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16,750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3,165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9,395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17,200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2,740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29,630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22,995</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8,295</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4,435</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1,550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2,990</w:t>
            </w:r>
          </w:p>
        </w:tc>
        <w:tc>
          <w:tcPr>
            <w:tcW w:type="dxa" w:w="1080"/>
            <w:shd w:fill="EBF5FB" w:val="clear"/>
          </w:tcPr>
          <w:p>
            <w:r>
              <w:rPr>
                <w:b/>
                <w:sz w:val="16"/>
              </w:rPr>
              <w:t>57/100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46</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54,800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22,500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8,295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2,440</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6,480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2,155</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SIBC</w:t>
            </w:r>
          </w:p>
        </w:tc>
        <w:tc>
          <w:tcPr>
            <w:tcW w:type="dxa" w:w="1728"/>
            <w:shd w:fill="DEEAF1" w:val="clear"/>
          </w:tcPr>
          <w:p>
            <w:r>
              <w:rPr>
                <w:sz w:val="17"/>
              </w:rPr>
              <w:t>SIBC - SOCIETE IVOIRIENNE DE</w:t>
            </w:r>
          </w:p>
        </w:tc>
        <w:tc>
          <w:tcPr>
            <w:tcW w:type="dxa" w:w="1728"/>
            <w:shd w:fill="DEEAF1" w:val="clear"/>
          </w:tcPr>
          <w:p>
            <w:r>
              <w:rPr>
                <w:sz w:val="17"/>
              </w:rPr>
              <w:t>9,000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3,495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2,425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2,330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8,295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2,440</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5,480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6,480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FTSC</w:t>
            </w:r>
          </w:p>
        </w:tc>
        <w:tc>
          <w:tcPr>
            <w:tcW w:type="dxa" w:w="1728"/>
            <w:shd w:fill="E2EFDA" w:val="clear"/>
          </w:tcPr>
          <w:p>
            <w:r>
              <w:rPr>
                <w:sz w:val="17"/>
              </w:rPr>
              <w:t>FTSC - FILTISAC COTE D'IVOIR</w:t>
            </w:r>
          </w:p>
        </w:tc>
        <w:tc>
          <w:tcPr>
            <w:tcW w:type="dxa" w:w="1728"/>
            <w:shd w:fill="E2EFDA" w:val="clear"/>
          </w:tcPr>
          <w:p>
            <w:r>
              <w:rPr>
                <w:sz w:val="17"/>
              </w:rPr>
              <w:t>2,155</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SIBC</w:t>
            </w:r>
          </w:p>
        </w:tc>
        <w:tc>
          <w:tcPr>
            <w:tcW w:type="dxa" w:w="1728"/>
            <w:shd w:fill="E2EFDA" w:val="clear"/>
          </w:tcPr>
          <w:p>
            <w:r>
              <w:rPr>
                <w:sz w:val="17"/>
              </w:rPr>
              <w:t>SIBC - SOCIETE IVOIRIENNE DE</w:t>
            </w:r>
          </w:p>
        </w:tc>
        <w:tc>
          <w:tcPr>
            <w:tcW w:type="dxa" w:w="1728"/>
            <w:shd w:fill="E2EFDA" w:val="clear"/>
          </w:tcPr>
          <w:p>
            <w:r>
              <w:rPr>
                <w:sz w:val="17"/>
              </w:rPr>
              <w:t>9,000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3,800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10,235</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8,295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2,440</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5,480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6,480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FTSC</w:t>
            </w:r>
          </w:p>
        </w:tc>
        <w:tc>
          <w:tcPr>
            <w:tcW w:type="dxa" w:w="1728"/>
            <w:shd w:fill="FCE4D6" w:val="clear"/>
          </w:tcPr>
          <w:p>
            <w:r>
              <w:rPr>
                <w:sz w:val="17"/>
              </w:rPr>
              <w:t>FTSC - FILTISAC COTE D'IVOIR</w:t>
            </w:r>
          </w:p>
        </w:tc>
        <w:tc>
          <w:tcPr>
            <w:tcW w:type="dxa" w:w="1728"/>
            <w:shd w:fill="FCE4D6" w:val="clear"/>
          </w:tcPr>
          <w:p>
            <w:r>
              <w:rPr>
                <w:sz w:val="17"/>
              </w:rPr>
              <w:t>2,155</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SIBC</w:t>
            </w:r>
          </w:p>
        </w:tc>
        <w:tc>
          <w:tcPr>
            <w:tcW w:type="dxa" w:w="1728"/>
            <w:shd w:fill="FCE4D6" w:val="clear"/>
          </w:tcPr>
          <w:p>
            <w:r>
              <w:rPr>
                <w:sz w:val="17"/>
              </w:rPr>
              <w:t>SIBC - SOCIETE IVOIRIENNE DE</w:t>
            </w:r>
          </w:p>
        </w:tc>
        <w:tc>
          <w:tcPr>
            <w:tcW w:type="dxa" w:w="1728"/>
            <w:shd w:fill="FCE4D6" w:val="clear"/>
          </w:tcPr>
          <w:p>
            <w:r>
              <w:rPr>
                <w:sz w:val="17"/>
              </w:rPr>
              <w:t>9,000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3,800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10,235</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(79.7 &gt; 70) — risque de correction</w:t>
      </w:r>
    </w:p>
    <w:p>
      <w:pPr>
        <w:pStyle w:val="ListBullet"/>
        <w:spacing w:before="20"/>
        <w:ind w:left="400"/>
      </w:pPr>
      <w:r>
        <w:rPr>
          <w:sz w:val="18"/>
        </w:rPr>
        <w:t>⚠️ Cours à 0.0% du plus haut 100j (8,900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(94.3 &gt; 70) — risque de correction</w:t>
      </w:r>
    </w:p>
    <w:p>
      <w:pPr>
        <w:pStyle w:val="ListBullet"/>
        <w:spacing w:before="20"/>
        <w:ind w:left="400"/>
      </w:pPr>
      <w:r>
        <w:rPr>
          <w:sz w:val="18"/>
        </w:rPr>
        <w:t>⚠️ Cours à 0.2% du plus haut 100j (2,300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(89.2 &gt; 70) — risque de correction</w:t>
      </w:r>
    </w:p>
    <w:p>
      <w:pPr>
        <w:pStyle w:val="ListBullet"/>
        <w:spacing w:before="20"/>
        <w:ind w:left="400"/>
      </w:pPr>
      <w:r>
        <w:rPr>
          <w:sz w:val="18"/>
        </w:rPr>
        <w:t>⚠️ Cours à 0.3% du plus haut 100j (3,000 FCFA)</w:t>
      </w:r>
    </w:p>
    <w:p>
      <w:pPr>
        <w:pStyle w:val="ListBullet"/>
        <w:spacing w:before="20"/>
        <w:ind w:left="400"/>
      </w:pPr>
      <w:r>
        <w:rPr>
          <w:sz w:val="18"/>
        </w:rPr>
        <w:t>🟠 Divergence tech(VENTE) / fond(NEUTRE) — recommandation ajustée à CONSERVER ⚠️</w:t>
      </w:r>
    </w:p>
    <w:p>
      <w:pPr>
        <w:spacing w:before="120"/>
      </w:pPr>
      <w:r>
        <w:rPr>
          <w:b/>
          <w:color w:val="0050A0"/>
          <w:sz w:val="20"/>
        </w:rPr>
        <w:t>SDCC — SDCC - Société de Distribution d'Eau de Côte d'Ivoire</w:t>
      </w:r>
    </w:p>
    <w:p>
      <w:pPr>
        <w:pStyle w:val="ListBullet"/>
        <w:spacing w:before="20"/>
        <w:ind w:left="400"/>
      </w:pPr>
      <w:r>
        <w:rPr>
          <w:sz w:val="18"/>
        </w:rPr>
        <w:t>🔴 RSI surachat (76.5 &gt; 70) — risque de correction</w:t>
      </w:r>
    </w:p>
    <w:p>
      <w:pPr>
        <w:pStyle w:val="ListBullet"/>
        <w:spacing w:before="20"/>
        <w:ind w:left="400"/>
      </w:pPr>
      <w:r>
        <w:rPr>
          <w:sz w:val="18"/>
        </w:rPr>
        <w:t>⚠️ Cours à 0.0% du plus haut 100j (13,000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(92.5 &gt; 70) — risque de correction</w:t>
      </w:r>
    </w:p>
    <w:p>
      <w:pPr>
        <w:pStyle w:val="ListBullet"/>
        <w:spacing w:before="20"/>
        <w:ind w:left="400"/>
      </w:pPr>
      <w:r>
        <w:rPr>
          <w:sz w:val="18"/>
        </w:rPr>
        <w:t>⚠️ Cours à 0.0% du plus haut 100j (3,800 FCFA)</w:t>
      </w:r>
    </w:p>
    <w:p>
      <w:pPr>
        <w:spacing w:before="120"/>
      </w:pPr>
      <w:r>
        <w:rPr>
          <w:b/>
          <w:color w:val="0050A0"/>
          <w:sz w:val="20"/>
        </w:rPr>
        <w:t>BOAB — BANK OF AFRICA BENIN</w:t>
      </w:r>
    </w:p>
    <w:p>
      <w:pPr>
        <w:pStyle w:val="ListBullet"/>
        <w:spacing w:before="20"/>
        <w:ind w:left="400"/>
      </w:pPr>
      <w:r>
        <w:rPr>
          <w:sz w:val="18"/>
        </w:rPr>
        <w:t>🔴 RSI surachat (77.5 &gt; 70) — risque de correction</w:t>
      </w:r>
    </w:p>
    <w:p>
      <w:pPr>
        <w:pStyle w:val="ListBullet"/>
        <w:spacing w:before="20"/>
        <w:ind w:left="400"/>
      </w:pPr>
      <w:r>
        <w:rPr>
          <w:sz w:val="18"/>
        </w:rPr>
        <w:t>⚠️ Cours à 1.1% du plus haut 100j (10,350 FCFA)</w:t>
      </w:r>
    </w:p>
    <w:p>
      <w:pPr>
        <w:spacing w:before="120"/>
      </w:pPr>
      <w:r>
        <w:rPr>
          <w:b/>
          <w:color w:val="0050A0"/>
          <w:sz w:val="20"/>
        </w:rPr>
        <w:t>BOAS — BANK OF AFRICA SENEGAL</w:t>
      </w:r>
    </w:p>
    <w:p>
      <w:pPr>
        <w:pStyle w:val="ListBullet"/>
        <w:spacing w:before="20"/>
        <w:ind w:left="400"/>
      </w:pPr>
      <w:r>
        <w:rPr>
          <w:sz w:val="18"/>
        </w:rPr>
        <w:t>🔴 RSI surachat (75.3 &gt; 70) — risque de correction</w:t>
      </w:r>
    </w:p>
    <w:p>
      <w:pPr>
        <w:pStyle w:val="ListBullet"/>
        <w:spacing w:before="20"/>
        <w:ind w:left="400"/>
      </w:pPr>
      <w:r>
        <w:rPr>
          <w:sz w:val="18"/>
        </w:rPr>
        <w:t>⚠️ Cours à 2.4% du plus haut 100j (8,500 FCFA)</w:t>
      </w:r>
    </w:p>
    <w:p>
      <w:pPr>
        <w:spacing w:before="120"/>
      </w:pPr>
      <w:r>
        <w:rPr>
          <w:b/>
          <w:color w:val="0050A0"/>
          <w:sz w:val="20"/>
        </w:rPr>
        <w:t>ORAC — ORAC - ORANGE COTE D'IVOIRE</w:t>
      </w:r>
    </w:p>
    <w:p>
      <w:pPr>
        <w:pStyle w:val="ListBullet"/>
        <w:spacing w:before="20"/>
        <w:ind w:left="400"/>
      </w:pPr>
      <w:r>
        <w:rPr>
          <w:sz w:val="18"/>
        </w:rPr>
        <w:t>🔴 RSI surachat (85.7 &gt; 70) — risque de correction</w:t>
      </w:r>
    </w:p>
    <w:p>
      <w:pPr>
        <w:pStyle w:val="ListBullet"/>
        <w:spacing w:before="20"/>
        <w:ind w:left="400"/>
      </w:pPr>
      <w:r>
        <w:rPr>
          <w:sz w:val="18"/>
        </w:rPr>
        <w:t>⚠️ Cours à 1.8% du plus haut 100j (21,400 FCFA)</w:t>
      </w:r>
    </w:p>
    <w:p>
      <w:pPr>
        <w:spacing w:before="120"/>
      </w:pPr>
      <w:r>
        <w:rPr>
          <w:b/>
          <w:color w:val="0050A0"/>
          <w:sz w:val="20"/>
        </w:rPr>
        <w:t>SDSC — SDSC - AFRICA GLOBAL LOGISTICS CI</w:t>
      </w:r>
    </w:p>
    <w:p>
      <w:pPr>
        <w:pStyle w:val="ListBullet"/>
        <w:spacing w:before="20"/>
        <w:ind w:left="400"/>
      </w:pPr>
      <w:r>
        <w:rPr>
          <w:sz w:val="18"/>
        </w:rPr>
        <w:t>⚠️ Cours à 0.7%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(73.6 &gt; 70) — risque de correction</w:t>
      </w:r>
    </w:p>
    <w:p>
      <w:pPr>
        <w:pStyle w:val="ListBullet"/>
        <w:spacing w:before="20"/>
        <w:ind w:left="400"/>
      </w:pPr>
      <w:r>
        <w:rPr>
          <w:sz w:val="18"/>
        </w:rPr>
        <w:t>⚠️ Cours à 1.0% du plus haut 100j (36,980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(72.3 &gt; 70) — risque de correction</w:t>
      </w:r>
    </w:p>
    <w:p>
      <w:pPr>
        <w:pStyle w:val="ListBullet"/>
        <w:spacing w:before="20"/>
        <w:ind w:left="400"/>
      </w:pPr>
      <w:r>
        <w:rPr>
          <w:sz w:val="18"/>
        </w:rPr>
        <w:t>⚠️ Cours à 1.7% du plus haut 100j (9,660 FCFA)</w:t>
      </w:r>
    </w:p>
    <w:p>
      <w:pPr>
        <w:spacing w:before="120"/>
      </w:pPr>
      <w:r>
        <w:rPr>
          <w:b/>
          <w:color w:val="0050A0"/>
          <w:sz w:val="20"/>
        </w:rPr>
        <w:t>UNXC — UNXC - UNIWAX COTE D'IVOIRE</w:t>
      </w:r>
    </w:p>
    <w:p>
      <w:pPr>
        <w:pStyle w:val="ListBullet"/>
        <w:spacing w:before="20"/>
        <w:ind w:left="400"/>
      </w:pPr>
      <w:r>
        <w:rPr>
          <w:sz w:val="18"/>
        </w:rPr>
        <w:t>🔴 RSI surachat (81.4 &gt; 70) — risque de correction</w:t>
      </w:r>
    </w:p>
    <w:p>
      <w:pPr>
        <w:pStyle w:val="ListBullet"/>
        <w:spacing w:before="20"/>
        <w:ind w:left="400"/>
      </w:pPr>
      <w:r>
        <w:rPr>
          <w:sz w:val="18"/>
        </w:rPr>
        <w:t>⚠️ Cours à 2.2% du plus haut 100j (2,495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0.2% du plus haut 100j (29,970 FCFA)</w:t>
      </w:r>
    </w:p>
    <w:p>
      <w:pPr>
        <w:spacing w:before="120"/>
      </w:pPr>
      <w:r>
        <w:rPr>
          <w:b/>
          <w:color w:val="0050A0"/>
          <w:sz w:val="20"/>
        </w:rPr>
        <w:t>BOABF — BANK OF AFRICA BURKINA FASO</w:t>
      </w:r>
    </w:p>
    <w:p>
      <w:pPr>
        <w:pStyle w:val="ListBullet"/>
        <w:spacing w:before="20"/>
        <w:ind w:left="400"/>
      </w:pPr>
      <w:r>
        <w:rPr>
          <w:sz w:val="18"/>
        </w:rPr>
        <w:t>🔴 RSI surachat (77.8 &gt; 70) — risque de correction</w:t>
      </w:r>
    </w:p>
    <w:p>
      <w:pPr>
        <w:spacing w:before="120"/>
      </w:pPr>
      <w:r>
        <w:rPr>
          <w:b/>
          <w:color w:val="0050A0"/>
          <w:sz w:val="20"/>
        </w:rPr>
        <w:t>BOAM — BANK OF AFRICA MALI</w:t>
      </w:r>
    </w:p>
    <w:p>
      <w:pPr>
        <w:pStyle w:val="ListBullet"/>
        <w:spacing w:before="20"/>
        <w:ind w:left="400"/>
      </w:pPr>
      <w:r>
        <w:rPr>
          <w:sz w:val="18"/>
        </w:rPr>
        <w:t>🔴 RSI surachat (79.5 &gt; 70) — risque de correction</w:t>
      </w:r>
    </w:p>
    <w:p>
      <w:pPr>
        <w:spacing w:before="120"/>
      </w:pPr>
      <w:r>
        <w:rPr>
          <w:b/>
          <w:color w:val="0050A0"/>
          <w:sz w:val="20"/>
        </w:rPr>
        <w:t>BOAN — BANK OF AFRICA NIGER</w:t>
      </w:r>
    </w:p>
    <w:p>
      <w:pPr>
        <w:pStyle w:val="ListBullet"/>
        <w:spacing w:before="20"/>
        <w:ind w:left="400"/>
      </w:pPr>
      <w:r>
        <w:rPr>
          <w:sz w:val="18"/>
        </w:rPr>
        <w:t>⚠️ Cours à 2.9% du plus haut 100j (5,645 FCFA)</w:t>
      </w:r>
    </w:p>
    <w:p>
      <w:pPr>
        <w:spacing w:before="120"/>
      </w:pPr>
      <w:r>
        <w:rPr>
          <w:b/>
          <w:color w:val="0050A0"/>
          <w:sz w:val="20"/>
        </w:rPr>
        <w:t>CBIBF — CBIBF - CORIS BANK INTERNATIONAL BURKINA FASO</w:t>
      </w:r>
    </w:p>
    <w:p>
      <w:pPr>
        <w:pStyle w:val="ListBullet"/>
        <w:spacing w:before="20"/>
        <w:ind w:left="400"/>
      </w:pPr>
      <w:r>
        <w:rPr>
          <w:sz w:val="18"/>
        </w:rPr>
        <w:t>⚠️ Cours à 1.2% du plus haut 100j (30,005 FCFA)</w:t>
      </w:r>
    </w:p>
    <w:p>
      <w:pPr>
        <w:spacing w:before="120"/>
      </w:pPr>
      <w:r>
        <w:rPr>
          <w:b/>
          <w:color w:val="0050A0"/>
          <w:sz w:val="20"/>
        </w:rPr>
        <w:t>CIEC — CIEC - Compagnie Ivoirienne d'Electricité</w:t>
      </w:r>
    </w:p>
    <w:p>
      <w:pPr>
        <w:pStyle w:val="ListBullet"/>
        <w:spacing w:before="20"/>
        <w:ind w:left="400"/>
      </w:pPr>
      <w:r>
        <w:rPr>
          <w:sz w:val="18"/>
        </w:rPr>
        <w:t>🔴 RSI surachat (78.3 &gt; 70) — risque de correction</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Cours à 2.5% du plus haut 100j (9,640 FCFA)</w:t>
      </w:r>
    </w:p>
    <w:p>
      <w:pPr>
        <w:spacing w:before="120"/>
      </w:pPr>
      <w:r>
        <w:rPr>
          <w:b/>
          <w:color w:val="0050A0"/>
          <w:sz w:val="20"/>
        </w:rPr>
        <w:t>SAFC — SAFCA CI</w:t>
      </w:r>
    </w:p>
    <w:p>
      <w:pPr>
        <w:pStyle w:val="ListBullet"/>
        <w:spacing w:before="20"/>
        <w:ind w:left="400"/>
      </w:pPr>
      <w:r>
        <w:rPr>
          <w:sz w:val="18"/>
        </w:rPr>
        <w:t>🔴 RSI surachat (74.9 &gt; 70) — risque de correction</w:t>
      </w:r>
    </w:p>
    <w:p>
      <w:pPr>
        <w:spacing w:before="120"/>
      </w:pPr>
      <w:r>
        <w:rPr>
          <w:b/>
          <w:color w:val="0050A0"/>
          <w:sz w:val="20"/>
        </w:rPr>
        <w:t>SHEC — SHEC - VIVO ENERGY COTE D'IVOIRE</w:t>
      </w:r>
    </w:p>
    <w:p>
      <w:pPr>
        <w:pStyle w:val="ListBullet"/>
        <w:spacing w:before="20"/>
        <w:ind w:left="400"/>
      </w:pPr>
      <w:r>
        <w:rPr>
          <w:sz w:val="18"/>
        </w:rPr>
        <w:t>⚠️ Cours à 2.2% du plus haut 100j (2,480 FCFA)</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STAC — STAC - SETAO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20 société(s) (43%)</w:t>
            </w:r>
          </w:p>
        </w:tc>
        <w:tc>
          <w:tcPr>
            <w:tcW w:type="dxa" w:w="1644"/>
            <w:shd w:fill="FFEB9C" w:val="clear"/>
          </w:tcPr>
          <w:p>
            <w:r>
              <w:rPr>
                <w:b/>
                <w:color w:val="825A00"/>
                <w:sz w:val="19"/>
              </w:rPr>
              <w:t>27 société(s) (57%)</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21.5/100</w:t>
            </w:r>
          </w:p>
        </w:tc>
        <w:tc>
          <w:tcPr>
            <w:tcW w:type="dxa" w:w="1644"/>
            <w:shd w:fill="DEEAF1" w:val="clear"/>
          </w:tcPr>
          <w:p>
            <w:r>
              <w:rPr>
                <w:b/>
                <w:color w:val="000000"/>
                <w:sz w:val="19"/>
              </w:rPr>
              <w:t>20.8/100</w:t>
            </w:r>
          </w:p>
        </w:tc>
      </w:tr>
    </w:tbl>
    <w:p/>
    <w:p>
      <w:r>
        <w:rPr>
          <w:i/>
          <w:color w:val="006400"/>
          <w:sz w:val="18"/>
        </w:rPr>
        <w:t>✅ Le marché BRVM présente globalement un profil de risque FAIBLE (score moyen 21.5/100).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31.9/100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SAFC (31.9/100 — Moyen) : </w:t>
      </w:r>
      <w:r>
        <w:rPr>
          <w:sz w:val="17"/>
        </w:rPr>
        <w:t>Volatilité=Élevée | Bêta=Défensif | Liquidité=Bonne | Divergence signaux=taux divergence=40% (Très divergent ❌) | Stabilité=Instable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31.9</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Instable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22.5</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-12.65%  |  Médiane : -9.27%</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38 sociétés sur 47 sont orientées à la baisse avec une variation moyenne de -12.65%.</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3,495 FCFA</w:t>
            </w:r>
          </w:p>
        </w:tc>
        <w:tc>
          <w:tcPr>
            <w:tcW w:type="dxa" w:w="1417"/>
            <w:shd w:fill="FFFFFF" w:val="clear"/>
          </w:tcPr>
          <w:p>
            <w:r>
              <w:rPr>
                <w:sz w:val="16"/>
              </w:rPr>
              <w:t>6,191 FCFA</w:t>
            </w:r>
          </w:p>
        </w:tc>
        <w:tc>
          <w:tcPr>
            <w:tcW w:type="dxa" w:w="1134"/>
            <w:shd w:fill="C6EFCE" w:val="clear"/>
          </w:tcPr>
          <w:p>
            <w:r>
              <w:rPr>
                <w:b/>
                <w:color w:val="007800"/>
                <w:sz w:val="16"/>
              </w:rPr>
              <w:t>+77.14%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22,995 FCFA</w:t>
            </w:r>
          </w:p>
        </w:tc>
        <w:tc>
          <w:tcPr>
            <w:tcW w:type="dxa" w:w="1417"/>
            <w:shd w:fill="FFFFFF" w:val="clear"/>
          </w:tcPr>
          <w:p>
            <w:r>
              <w:rPr>
                <w:sz w:val="16"/>
              </w:rPr>
              <w:t>26,910 FCFA</w:t>
            </w:r>
          </w:p>
        </w:tc>
        <w:tc>
          <w:tcPr>
            <w:tcW w:type="dxa" w:w="1134"/>
            <w:shd w:fill="C6EFCE" w:val="clear"/>
          </w:tcPr>
          <w:p>
            <w:r>
              <w:rPr>
                <w:b/>
                <w:color w:val="007800"/>
                <w:sz w:val="16"/>
              </w:rPr>
              <w:t>+17.02%</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22,500 FCFA</w:t>
            </w:r>
          </w:p>
        </w:tc>
        <w:tc>
          <w:tcPr>
            <w:tcW w:type="dxa" w:w="1417"/>
            <w:shd w:fill="FFFFFF" w:val="clear"/>
          </w:tcPr>
          <w:p>
            <w:r>
              <w:rPr>
                <w:sz w:val="16"/>
              </w:rPr>
              <w:t>24,839 FCFA</w:t>
            </w:r>
          </w:p>
        </w:tc>
        <w:tc>
          <w:tcPr>
            <w:tcW w:type="dxa" w:w="1134"/>
            <w:shd w:fill="C6EFCE" w:val="clear"/>
          </w:tcPr>
          <w:p>
            <w:r>
              <w:rPr>
                <w:b/>
                <w:color w:val="007800"/>
                <w:sz w:val="16"/>
              </w:rPr>
              <w:t>+10.40%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54,800 FCFA</w:t>
            </w:r>
          </w:p>
        </w:tc>
        <w:tc>
          <w:tcPr>
            <w:tcW w:type="dxa" w:w="1417"/>
            <w:shd w:fill="FFFFFF" w:val="clear"/>
          </w:tcPr>
          <w:p>
            <w:r>
              <w:rPr>
                <w:sz w:val="16"/>
              </w:rPr>
              <w:t>60,373 FCFA</w:t>
            </w:r>
          </w:p>
        </w:tc>
        <w:tc>
          <w:tcPr>
            <w:tcW w:type="dxa" w:w="1134"/>
            <w:shd w:fill="C6EFCE" w:val="clear"/>
          </w:tcPr>
          <w:p>
            <w:r>
              <w:rPr>
                <w:b/>
                <w:color w:val="007800"/>
                <w:sz w:val="16"/>
              </w:rPr>
              <w:t>+10.17%</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2,155 FCFA</w:t>
            </w:r>
          </w:p>
        </w:tc>
        <w:tc>
          <w:tcPr>
            <w:tcW w:type="dxa" w:w="1417"/>
            <w:shd w:fill="FFFFFF" w:val="clear"/>
          </w:tcPr>
          <w:p>
            <w:r>
              <w:rPr>
                <w:sz w:val="16"/>
              </w:rPr>
              <w:t>2,253 FCFA</w:t>
            </w:r>
          </w:p>
        </w:tc>
        <w:tc>
          <w:tcPr>
            <w:tcW w:type="dxa" w:w="1134"/>
            <w:shd w:fill="C6EFCE" w:val="clear"/>
          </w:tcPr>
          <w:p>
            <w:r>
              <w:rPr>
                <w:b/>
                <w:color w:val="007800"/>
                <w:sz w:val="16"/>
              </w:rPr>
              <w:t>+4.54%</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(+77.1%) — signal potentiellement excessif, à croiser avec l'analyse technique. Trajectoire : 📈 Hausse continue. Cours actuel : 3,495 FCFA → prédit J+10 : 6,191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(+17.0%) — potentiel de revalorisation notable. Trajectoire : 📈 Hausse continue. Cours actuel : 22,995 FCFA → prédit J+10 : 26,910 FCFA. ⚠️ Confiance limitée — volatilité élevée ou données insuffisantes. Résultat indicatif uniquement.</w:t>
      </w:r>
    </w:p>
    <w:p>
      <w:pPr>
        <w:pStyle w:val="ListBullet"/>
      </w:pPr>
      <w:r>
        <w:rPr>
          <w:b/>
          <w:color w:val="006400"/>
          <w:sz w:val="18"/>
        </w:rPr>
        <w:t xml:space="preserve">#3 STBC </w:t>
      </w:r>
      <w:r>
        <w:rPr>
          <w:sz w:val="17"/>
        </w:rPr>
        <w:t>(STBC - SITAB COTE D'IVOIRE) — hausse significative (+10.4%) — potentiel de revalorisation notable. Trajectoire : 📈 Hausse continue. Cours actuel : 22,500 FCFA → prédit J+10 : 24,839 FCFA. ⚠️ Confiance limitée — volatilité élevée ou données insuffisantes. Résultat indicatif uniquement.</w:t>
      </w:r>
    </w:p>
    <w:p>
      <w:pPr>
        <w:pStyle w:val="ListBullet"/>
      </w:pPr>
      <w:r>
        <w:rPr>
          <w:b/>
          <w:color w:val="006400"/>
          <w:sz w:val="18"/>
        </w:rPr>
        <w:t xml:space="preserve">#4 UNLC </w:t>
      </w:r>
      <w:r>
        <w:rPr>
          <w:sz w:val="17"/>
        </w:rPr>
        <w:t>(UNLC - UNILEVER COTE D'IVOIRE) — hausse significative (+10.2%) — potentiel de revalorisation notable. Trajectoire : 📈 Hausse continue. Cours actuel : 54,800 FCFA → prédit J+10 : 60,373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2,155 FCFA → prédit J+10 : 2,253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3,625 FCFA</w:t>
            </w:r>
          </w:p>
        </w:tc>
        <w:tc>
          <w:tcPr>
            <w:tcW w:type="dxa" w:w="1417"/>
            <w:shd w:fill="FFFFFF" w:val="clear"/>
          </w:tcPr>
          <w:p>
            <w:r>
              <w:rPr>
                <w:sz w:val="16"/>
              </w:rPr>
              <w:t>1,662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5,900 FCFA</w:t>
            </w:r>
          </w:p>
        </w:tc>
        <w:tc>
          <w:tcPr>
            <w:tcW w:type="dxa" w:w="1417"/>
            <w:shd w:fill="FFFFFF" w:val="clear"/>
          </w:tcPr>
          <w:p>
            <w:r>
              <w:rPr>
                <w:sz w:val="16"/>
              </w:rPr>
              <w:t>2,706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67 FCFA</w:t>
            </w:r>
          </w:p>
        </w:tc>
        <w:tc>
          <w:tcPr>
            <w:tcW w:type="dxa" w:w="1417"/>
            <w:shd w:fill="FFFFFF" w:val="clear"/>
          </w:tcPr>
          <w:p>
            <w:r>
              <w:rPr>
                <w:sz w:val="16"/>
              </w:rPr>
              <w:t>31 FCFA</w:t>
            </w:r>
          </w:p>
        </w:tc>
        <w:tc>
          <w:tcPr>
            <w:tcW w:type="dxa" w:w="1134"/>
            <w:shd w:fill="FFC7CE" w:val="clear"/>
          </w:tcPr>
          <w:p>
            <w:r>
              <w:rPr>
                <w:b/>
                <w:color w:val="B40000"/>
                <w:sz w:val="16"/>
              </w:rPr>
              <w:t>-54.13%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6,690 FCFA</w:t>
            </w:r>
          </w:p>
        </w:tc>
        <w:tc>
          <w:tcPr>
            <w:tcW w:type="dxa" w:w="1417"/>
            <w:shd w:fill="FFFFFF" w:val="clear"/>
          </w:tcPr>
          <w:p>
            <w:r>
              <w:rPr>
                <w:sz w:val="16"/>
              </w:rPr>
              <w:t>3,257 FCFA</w:t>
            </w:r>
          </w:p>
        </w:tc>
        <w:tc>
          <w:tcPr>
            <w:tcW w:type="dxa" w:w="1134"/>
            <w:shd w:fill="FFC7CE" w:val="clear"/>
          </w:tcPr>
          <w:p>
            <w:r>
              <w:rPr>
                <w:b/>
                <w:color w:val="B40000"/>
                <w:sz w:val="16"/>
              </w:rPr>
              <w:t>-51.31%</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2,990 FCFA</w:t>
            </w:r>
          </w:p>
        </w:tc>
        <w:tc>
          <w:tcPr>
            <w:tcW w:type="dxa" w:w="1417"/>
            <w:shd w:fill="FFFFFF" w:val="clear"/>
          </w:tcPr>
          <w:p>
            <w:r>
              <w:rPr>
                <w:sz w:val="16"/>
              </w:rPr>
              <w:t>1,498 FCFA</w:t>
            </w:r>
          </w:p>
        </w:tc>
        <w:tc>
          <w:tcPr>
            <w:tcW w:type="dxa" w:w="1134"/>
            <w:shd w:fill="FFC7CE" w:val="clear"/>
          </w:tcPr>
          <w:p>
            <w:r>
              <w:rPr>
                <w:b/>
                <w:color w:val="B40000"/>
                <w:sz w:val="16"/>
              </w:rPr>
              <w:t>-49.89%</w:t>
            </w:r>
          </w:p>
        </w:tc>
        <w:tc>
          <w:tcPr>
            <w:tcW w:type="dxa" w:w="1020"/>
            <w:shd w:fill="FFC7CE" w:val="clear"/>
          </w:tcPr>
          <w:p>
            <w:r>
              <w:rPr>
                <w:sz w:val="16"/>
              </w:rPr>
              <w:t>Faible</w:t>
            </w:r>
          </w:p>
        </w:tc>
      </w:tr>
    </w:tbl>
    <w:p/>
    <w:p>
      <w:pPr>
        <w:pStyle w:val="ListBullet"/>
      </w:pPr>
      <w:r>
        <w:rPr>
          <w:b/>
          <w:color w:val="B40000"/>
          <w:sz w:val="18"/>
        </w:rPr>
        <w:t xml:space="preserve">#1 SCRC </w:t>
      </w:r>
      <w:r>
        <w:rPr>
          <w:sz w:val="17"/>
        </w:rPr>
        <w:t>(SCRC - SUCRIVOIRE) — baisse très forte (-54.1%) — amplitude potentiellement surestimée par le modèle. Trajectoire : 📉 Baisse continue. Cours actuel : 3,625 FCFA → prédit J+10 : 1,662 FCFA. ⚠️ Confiance limitée — volatilité élevée. Ne pas agir sur ce seul signal.</w:t>
      </w:r>
    </w:p>
    <w:p>
      <w:pPr>
        <w:pStyle w:val="ListBullet"/>
      </w:pPr>
      <w:r>
        <w:rPr>
          <w:b/>
          <w:color w:val="B40000"/>
          <w:sz w:val="18"/>
        </w:rPr>
        <w:t xml:space="preserve">#2 SAFC </w:t>
      </w:r>
      <w:r>
        <w:rPr>
          <w:sz w:val="17"/>
        </w:rPr>
        <w:t>(SAFCA CI) — baisse très forte (-54.1%) — amplitude potentiellement surestimée par le modèle. Trajectoire : 📉 Baisse continue. Cours actuel : 5,900 FCFA → prédit J+10 : 2,706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67 FCFA → prédit J+10 : 31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(-51.3%) — amplitude potentiellement surestimée par le modèle. Trajectoire : 📉 Baisse continue. Cours actuel : 6,690 FCFA → prédit J+10 : 3,257 FCFA. ⚠️ Confiance limitée — volatilité élevée. Ne pas agir sur ce seul signal.</w:t>
      </w:r>
    </w:p>
    <w:p>
      <w:pPr>
        <w:pStyle w:val="ListBullet"/>
      </w:pPr>
      <w:r>
        <w:rPr>
          <w:b/>
          <w:color w:val="B40000"/>
          <w:sz w:val="18"/>
        </w:rPr>
        <w:t xml:space="preserve">#5 NEIC </w:t>
      </w:r>
      <w:r>
        <w:rPr>
          <w:sz w:val="17"/>
        </w:rPr>
        <w:t>(NEIC - NEI-CEDA CI) — baisse très forte (-49.9%) — amplitude potentiellement surestimée par le modèle. Trajectoire : 📉 Baisse continue. Cours actuel : 2,990 FCFA → prédit J+10 : 1,498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3,495</w:t>
            </w:r>
          </w:p>
        </w:tc>
        <w:tc>
          <w:tcPr>
            <w:tcW w:type="dxa" w:w="1417"/>
            <w:shd w:fill="FFFFFF" w:val="clear"/>
          </w:tcPr>
          <w:p>
            <w:r>
              <w:rPr>
                <w:sz w:val="16"/>
              </w:rPr>
              <w:t>6,191</w:t>
            </w:r>
          </w:p>
        </w:tc>
        <w:tc>
          <w:tcPr>
            <w:tcW w:type="dxa" w:w="1134"/>
            <w:shd w:fill="C6EFCE" w:val="clear"/>
          </w:tcPr>
          <w:p>
            <w:r>
              <w:rPr>
                <w:b/>
                <w:color w:val="007800"/>
                <w:sz w:val="16"/>
              </w:rPr>
              <w:t>+77.14%</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22,995</w:t>
            </w:r>
          </w:p>
        </w:tc>
        <w:tc>
          <w:tcPr>
            <w:tcW w:type="dxa" w:w="1417"/>
            <w:shd w:fill="FFFFFF" w:val="clear"/>
          </w:tcPr>
          <w:p>
            <w:r>
              <w:rPr>
                <w:sz w:val="16"/>
              </w:rPr>
              <w:t>26,910</w:t>
            </w:r>
          </w:p>
        </w:tc>
        <w:tc>
          <w:tcPr>
            <w:tcW w:type="dxa" w:w="1134"/>
            <w:shd w:fill="C6EFCE" w:val="clear"/>
          </w:tcPr>
          <w:p>
            <w:r>
              <w:rPr>
                <w:b/>
                <w:color w:val="007800"/>
                <w:sz w:val="16"/>
              </w:rPr>
              <w:t>+17.02%</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22,500</w:t>
            </w:r>
          </w:p>
        </w:tc>
        <w:tc>
          <w:tcPr>
            <w:tcW w:type="dxa" w:w="1417"/>
            <w:shd w:fill="FFFFFF" w:val="clear"/>
          </w:tcPr>
          <w:p>
            <w:r>
              <w:rPr>
                <w:sz w:val="16"/>
              </w:rPr>
              <w:t>24,839</w:t>
            </w:r>
          </w:p>
        </w:tc>
        <w:tc>
          <w:tcPr>
            <w:tcW w:type="dxa" w:w="1134"/>
            <w:shd w:fill="C6EFCE" w:val="clear"/>
          </w:tcPr>
          <w:p>
            <w:r>
              <w:rPr>
                <w:b/>
                <w:color w:val="007800"/>
                <w:sz w:val="16"/>
              </w:rPr>
              <w:t>+10.40%</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54,800</w:t>
            </w:r>
          </w:p>
        </w:tc>
        <w:tc>
          <w:tcPr>
            <w:tcW w:type="dxa" w:w="1417"/>
            <w:shd w:fill="FFFFFF" w:val="clear"/>
          </w:tcPr>
          <w:p>
            <w:r>
              <w:rPr>
                <w:sz w:val="16"/>
              </w:rPr>
              <w:t>60,373</w:t>
            </w:r>
          </w:p>
        </w:tc>
        <w:tc>
          <w:tcPr>
            <w:tcW w:type="dxa" w:w="1134"/>
            <w:shd w:fill="C6EFCE" w:val="clear"/>
          </w:tcPr>
          <w:p>
            <w:r>
              <w:rPr>
                <w:b/>
                <w:color w:val="007800"/>
                <w:sz w:val="16"/>
              </w:rPr>
              <w:t>+10.17%</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2,155</w:t>
            </w:r>
          </w:p>
        </w:tc>
        <w:tc>
          <w:tcPr>
            <w:tcW w:type="dxa" w:w="1417"/>
            <w:shd w:fill="FFFFFF" w:val="clear"/>
          </w:tcPr>
          <w:p>
            <w:r>
              <w:rPr>
                <w:sz w:val="16"/>
              </w:rPr>
              <w:t>2,253</w:t>
            </w:r>
          </w:p>
        </w:tc>
        <w:tc>
          <w:tcPr>
            <w:tcW w:type="dxa" w:w="1134"/>
            <w:shd w:fill="C6EFCE" w:val="clear"/>
          </w:tcPr>
          <w:p>
            <w:r>
              <w:rPr>
                <w:b/>
                <w:color w:val="007800"/>
                <w:sz w:val="16"/>
              </w:rPr>
              <w:t>+4.54%</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9,395</w:t>
            </w:r>
          </w:p>
        </w:tc>
        <w:tc>
          <w:tcPr>
            <w:tcW w:type="dxa" w:w="1417"/>
            <w:shd w:fill="FFFFFF" w:val="clear"/>
          </w:tcPr>
          <w:p>
            <w:r>
              <w:rPr>
                <w:sz w:val="16"/>
              </w:rPr>
              <w:t>9,640</w:t>
            </w:r>
          </w:p>
        </w:tc>
        <w:tc>
          <w:tcPr>
            <w:tcW w:type="dxa" w:w="1134"/>
            <w:shd w:fill="C6EFCE" w:val="clear"/>
          </w:tcPr>
          <w:p>
            <w:r>
              <w:rPr>
                <w:b/>
                <w:color w:val="007800"/>
                <w:sz w:val="16"/>
              </w:rPr>
              <w:t>+2.60%</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8,250</w:t>
            </w:r>
          </w:p>
        </w:tc>
        <w:tc>
          <w:tcPr>
            <w:tcW w:type="dxa" w:w="1417"/>
            <w:shd w:fill="FFFFFF" w:val="clear"/>
          </w:tcPr>
          <w:p>
            <w:r>
              <w:rPr>
                <w:sz w:val="16"/>
              </w:rPr>
              <w:t>8,347</w:t>
            </w:r>
          </w:p>
        </w:tc>
        <w:tc>
          <w:tcPr>
            <w:tcW w:type="dxa" w:w="1134"/>
            <w:shd w:fill="C6EFCE" w:val="clear"/>
          </w:tcPr>
          <w:p>
            <w:r>
              <w:rPr>
                <w:b/>
                <w:color w:val="007800"/>
                <w:sz w:val="16"/>
              </w:rPr>
              <w:t>+1.17%</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4,000</w:t>
            </w:r>
          </w:p>
        </w:tc>
        <w:tc>
          <w:tcPr>
            <w:tcW w:type="dxa" w:w="1417"/>
            <w:shd w:fill="FFFFFF" w:val="clear"/>
          </w:tcPr>
          <w:p>
            <w:r>
              <w:rPr>
                <w:sz w:val="16"/>
              </w:rPr>
              <w:t>4,010</w:t>
            </w:r>
          </w:p>
        </w:tc>
        <w:tc>
          <w:tcPr>
            <w:tcW w:type="dxa" w:w="1134"/>
            <w:shd w:fill="FFEB9C" w:val="clear"/>
          </w:tcPr>
          <w:p>
            <w:r>
              <w:rPr>
                <w:b/>
                <w:color w:val="646400"/>
                <w:sz w:val="16"/>
              </w:rPr>
              <w:t>+0.25%</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16,510</w:t>
            </w:r>
          </w:p>
        </w:tc>
        <w:tc>
          <w:tcPr>
            <w:tcW w:type="dxa" w:w="1417"/>
            <w:shd w:fill="FFFFFF" w:val="clear"/>
          </w:tcPr>
          <w:p>
            <w:r>
              <w:rPr>
                <w:sz w:val="16"/>
              </w:rPr>
              <w:t>16,481</w:t>
            </w:r>
          </w:p>
        </w:tc>
        <w:tc>
          <w:tcPr>
            <w:tcW w:type="dxa" w:w="1134"/>
            <w:shd w:fill="FFEB9C" w:val="clear"/>
          </w:tcPr>
          <w:p>
            <w:r>
              <w:rPr>
                <w:b/>
                <w:color w:val="646400"/>
                <w:sz w:val="16"/>
              </w:rPr>
              <w:t>-0.18%</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3,165</w:t>
            </w:r>
          </w:p>
        </w:tc>
        <w:tc>
          <w:tcPr>
            <w:tcW w:type="dxa" w:w="1417"/>
            <w:shd w:fill="FFFFFF" w:val="clear"/>
          </w:tcPr>
          <w:p>
            <w:r>
              <w:rPr>
                <w:sz w:val="16"/>
              </w:rPr>
              <w:t>3,130</w:t>
            </w:r>
          </w:p>
        </w:tc>
        <w:tc>
          <w:tcPr>
            <w:tcW w:type="dxa" w:w="1134"/>
            <w:shd w:fill="FFC7CE" w:val="clear"/>
          </w:tcPr>
          <w:p>
            <w:r>
              <w:rPr>
                <w:b/>
                <w:color w:val="B40000"/>
                <w:sz w:val="16"/>
              </w:rPr>
              <w:t>-1.10%</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38,000</w:t>
            </w:r>
          </w:p>
        </w:tc>
        <w:tc>
          <w:tcPr>
            <w:tcW w:type="dxa" w:w="1417"/>
            <w:shd w:fill="FFFFFF" w:val="clear"/>
          </w:tcPr>
          <w:p>
            <w:r>
              <w:rPr>
                <w:sz w:val="16"/>
              </w:rPr>
              <w:t>37,297</w:t>
            </w:r>
          </w:p>
        </w:tc>
        <w:tc>
          <w:tcPr>
            <w:tcW w:type="dxa" w:w="1134"/>
            <w:shd w:fill="FFC7CE" w:val="clear"/>
          </w:tcPr>
          <w:p>
            <w:r>
              <w:rPr>
                <w:b/>
                <w:color w:val="B40000"/>
                <w:sz w:val="16"/>
              </w:rPr>
              <w:t>-1.85%</w:t>
            </w:r>
          </w:p>
        </w:tc>
        <w:tc>
          <w:tcPr>
            <w:tcW w:type="dxa" w:w="1134"/>
            <w:shd w:fill="FFEB9C" w:val="clear"/>
          </w:tcPr>
          <w:p>
            <w:r>
              <w:rPr>
                <w:sz w:val="16"/>
              </w:rPr>
              <w:t>Moyenne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38,000</w:t>
            </w:r>
          </w:p>
        </w:tc>
        <w:tc>
          <w:tcPr>
            <w:tcW w:type="dxa" w:w="1417"/>
            <w:shd w:fill="FFFFFF" w:val="clear"/>
          </w:tcPr>
          <w:p>
            <w:r>
              <w:rPr>
                <w:sz w:val="16"/>
              </w:rPr>
              <w:t>37,279</w:t>
            </w:r>
          </w:p>
        </w:tc>
        <w:tc>
          <w:tcPr>
            <w:tcW w:type="dxa" w:w="1134"/>
            <w:shd w:fill="FFC7CE" w:val="clear"/>
          </w:tcPr>
          <w:p>
            <w:r>
              <w:rPr>
                <w:b/>
                <w:color w:val="B40000"/>
                <w:sz w:val="16"/>
              </w:rPr>
              <w:t>-1.90%</w:t>
            </w:r>
          </w:p>
        </w:tc>
        <w:tc>
          <w:tcPr>
            <w:tcW w:type="dxa" w:w="1134"/>
            <w:shd w:fill="FFC7CE" w:val="clear"/>
          </w:tcPr>
          <w:p>
            <w:r>
              <w:rPr>
                <w:sz w:val="16"/>
              </w:rPr>
              <w:t>Faible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2,890</w:t>
            </w:r>
          </w:p>
        </w:tc>
        <w:tc>
          <w:tcPr>
            <w:tcW w:type="dxa" w:w="1417"/>
            <w:shd w:fill="FFFFFF" w:val="clear"/>
          </w:tcPr>
          <w:p>
            <w:r>
              <w:rPr>
                <w:sz w:val="16"/>
              </w:rPr>
              <w:t>2,834</w:t>
            </w:r>
          </w:p>
        </w:tc>
        <w:tc>
          <w:tcPr>
            <w:tcW w:type="dxa" w:w="1134"/>
            <w:shd w:fill="FFC7CE" w:val="clear"/>
          </w:tcPr>
          <w:p>
            <w:r>
              <w:rPr>
                <w:b/>
                <w:color w:val="B40000"/>
                <w:sz w:val="16"/>
              </w:rPr>
              <w:t>-1.94%</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5,480</w:t>
            </w:r>
          </w:p>
        </w:tc>
        <w:tc>
          <w:tcPr>
            <w:tcW w:type="dxa" w:w="1417"/>
            <w:shd w:fill="FFFFFF" w:val="clear"/>
          </w:tcPr>
          <w:p>
            <w:r>
              <w:rPr>
                <w:sz w:val="16"/>
              </w:rPr>
              <w:t>5,352</w:t>
            </w:r>
          </w:p>
        </w:tc>
        <w:tc>
          <w:tcPr>
            <w:tcW w:type="dxa" w:w="1134"/>
            <w:shd w:fill="FFC7CE" w:val="clear"/>
          </w:tcPr>
          <w:p>
            <w:r>
              <w:rPr>
                <w:b/>
                <w:color w:val="B40000"/>
                <w:sz w:val="16"/>
              </w:rPr>
              <w:t>-2.33%</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3,375</w:t>
            </w:r>
          </w:p>
        </w:tc>
        <w:tc>
          <w:tcPr>
            <w:tcW w:type="dxa" w:w="1417"/>
            <w:shd w:fill="FFFFFF" w:val="clear"/>
          </w:tcPr>
          <w:p>
            <w:r>
              <w:rPr>
                <w:sz w:val="16"/>
              </w:rPr>
              <w:t>3,248</w:t>
            </w:r>
          </w:p>
        </w:tc>
        <w:tc>
          <w:tcPr>
            <w:tcW w:type="dxa" w:w="1134"/>
            <w:shd w:fill="FFC7CE" w:val="clear"/>
          </w:tcPr>
          <w:p>
            <w:r>
              <w:rPr>
                <w:b/>
                <w:color w:val="B40000"/>
                <w:sz w:val="16"/>
              </w:rPr>
              <w:t>-3.75%</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16,750</w:t>
            </w:r>
          </w:p>
        </w:tc>
        <w:tc>
          <w:tcPr>
            <w:tcW w:type="dxa" w:w="1417"/>
            <w:shd w:fill="FFFFFF" w:val="clear"/>
          </w:tcPr>
          <w:p>
            <w:r>
              <w:rPr>
                <w:sz w:val="16"/>
              </w:rPr>
              <w:t>16,080</w:t>
            </w:r>
          </w:p>
        </w:tc>
        <w:tc>
          <w:tcPr>
            <w:tcW w:type="dxa" w:w="1134"/>
            <w:shd w:fill="FFC7CE" w:val="clear"/>
          </w:tcPr>
          <w:p>
            <w:r>
              <w:rPr>
                <w:b/>
                <w:color w:val="B40000"/>
                <w:sz w:val="16"/>
              </w:rPr>
              <w:t>-4.00%</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4,435</w:t>
            </w:r>
          </w:p>
        </w:tc>
        <w:tc>
          <w:tcPr>
            <w:tcW w:type="dxa" w:w="1417"/>
            <w:shd w:fill="FFFFFF" w:val="clear"/>
          </w:tcPr>
          <w:p>
            <w:r>
              <w:rPr>
                <w:sz w:val="16"/>
              </w:rPr>
              <w:t>4,243</w:t>
            </w:r>
          </w:p>
        </w:tc>
        <w:tc>
          <w:tcPr>
            <w:tcW w:type="dxa" w:w="1134"/>
            <w:shd w:fill="FFC7CE" w:val="clear"/>
          </w:tcPr>
          <w:p>
            <w:r>
              <w:rPr>
                <w:b/>
                <w:color w:val="B40000"/>
                <w:sz w:val="16"/>
              </w:rPr>
              <w:t>-4.33%</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17,200</w:t>
            </w:r>
          </w:p>
        </w:tc>
        <w:tc>
          <w:tcPr>
            <w:tcW w:type="dxa" w:w="1417"/>
            <w:shd w:fill="FFFFFF" w:val="clear"/>
          </w:tcPr>
          <w:p>
            <w:r>
              <w:rPr>
                <w:sz w:val="16"/>
              </w:rPr>
              <w:t>16,432</w:t>
            </w:r>
          </w:p>
        </w:tc>
        <w:tc>
          <w:tcPr>
            <w:tcW w:type="dxa" w:w="1134"/>
            <w:shd w:fill="FFC7CE" w:val="clear"/>
          </w:tcPr>
          <w:p>
            <w:r>
              <w:rPr>
                <w:b/>
                <w:color w:val="B40000"/>
                <w:sz w:val="16"/>
              </w:rPr>
              <w:t>-4.47%</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36,600</w:t>
            </w:r>
          </w:p>
        </w:tc>
        <w:tc>
          <w:tcPr>
            <w:tcW w:type="dxa" w:w="1417"/>
            <w:shd w:fill="FFFFFF" w:val="clear"/>
          </w:tcPr>
          <w:p>
            <w:r>
              <w:rPr>
                <w:sz w:val="16"/>
              </w:rPr>
              <w:t>34,924</w:t>
            </w:r>
          </w:p>
        </w:tc>
        <w:tc>
          <w:tcPr>
            <w:tcW w:type="dxa" w:w="1134"/>
            <w:shd w:fill="FFC7CE" w:val="clear"/>
          </w:tcPr>
          <w:p>
            <w:r>
              <w:rPr>
                <w:b/>
                <w:color w:val="B40000"/>
                <w:sz w:val="16"/>
              </w:rPr>
              <w:t>-4.58%</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2,295</w:t>
            </w:r>
          </w:p>
        </w:tc>
        <w:tc>
          <w:tcPr>
            <w:tcW w:type="dxa" w:w="1417"/>
            <w:shd w:fill="FFFFFF" w:val="clear"/>
          </w:tcPr>
          <w:p>
            <w:r>
              <w:rPr>
                <w:sz w:val="16"/>
              </w:rPr>
              <w:t>2,183</w:t>
            </w:r>
          </w:p>
        </w:tc>
        <w:tc>
          <w:tcPr>
            <w:tcW w:type="dxa" w:w="1134"/>
            <w:shd w:fill="FFC7CE" w:val="clear"/>
          </w:tcPr>
          <w:p>
            <w:r>
              <w:rPr>
                <w:b/>
                <w:color w:val="B40000"/>
                <w:sz w:val="16"/>
              </w:rPr>
              <w:t>-4.90%</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9,500</w:t>
            </w:r>
          </w:p>
        </w:tc>
        <w:tc>
          <w:tcPr>
            <w:tcW w:type="dxa" w:w="1417"/>
            <w:shd w:fill="FFFFFF" w:val="clear"/>
          </w:tcPr>
          <w:p>
            <w:r>
              <w:rPr>
                <w:sz w:val="16"/>
              </w:rPr>
              <w:t>8,970</w:t>
            </w:r>
          </w:p>
        </w:tc>
        <w:tc>
          <w:tcPr>
            <w:tcW w:type="dxa" w:w="1134"/>
            <w:shd w:fill="FFC7CE" w:val="clear"/>
          </w:tcPr>
          <w:p>
            <w:r>
              <w:rPr>
                <w:b/>
                <w:color w:val="B40000"/>
                <w:sz w:val="16"/>
              </w:rPr>
              <w:t>-5.58%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2,440</w:t>
            </w:r>
          </w:p>
        </w:tc>
        <w:tc>
          <w:tcPr>
            <w:tcW w:type="dxa" w:w="1417"/>
            <w:shd w:fill="FFFFFF" w:val="clear"/>
          </w:tcPr>
          <w:p>
            <w:r>
              <w:rPr>
                <w:sz w:val="16"/>
              </w:rPr>
              <w:t>2,274</w:t>
            </w:r>
          </w:p>
        </w:tc>
        <w:tc>
          <w:tcPr>
            <w:tcW w:type="dxa" w:w="1134"/>
            <w:shd w:fill="FFC7CE" w:val="clear"/>
          </w:tcPr>
          <w:p>
            <w:r>
              <w:rPr>
                <w:b/>
                <w:color w:val="B40000"/>
                <w:sz w:val="16"/>
              </w:rPr>
              <w:t>-6.81%</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21,005</w:t>
            </w:r>
          </w:p>
        </w:tc>
        <w:tc>
          <w:tcPr>
            <w:tcW w:type="dxa" w:w="1417"/>
            <w:shd w:fill="FFFFFF" w:val="clear"/>
          </w:tcPr>
          <w:p>
            <w:r>
              <w:rPr>
                <w:sz w:val="16"/>
              </w:rPr>
              <w:t>19,574</w:t>
            </w:r>
          </w:p>
        </w:tc>
        <w:tc>
          <w:tcPr>
            <w:tcW w:type="dxa" w:w="1134"/>
            <w:shd w:fill="FFC7CE" w:val="clear"/>
          </w:tcPr>
          <w:p>
            <w:r>
              <w:rPr>
                <w:b/>
                <w:color w:val="B40000"/>
                <w:sz w:val="16"/>
              </w:rPr>
              <w:t>-6.81%</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2,800</w:t>
            </w:r>
          </w:p>
        </w:tc>
        <w:tc>
          <w:tcPr>
            <w:tcW w:type="dxa" w:w="1417"/>
            <w:shd w:fill="FFFFFF" w:val="clear"/>
          </w:tcPr>
          <w:p>
            <w:r>
              <w:rPr>
                <w:sz w:val="16"/>
              </w:rPr>
              <w:t>2,540</w:t>
            </w:r>
          </w:p>
        </w:tc>
        <w:tc>
          <w:tcPr>
            <w:tcW w:type="dxa" w:w="1134"/>
            <w:shd w:fill="FFC7CE" w:val="clear"/>
          </w:tcPr>
          <w:p>
            <w:r>
              <w:rPr>
                <w:b/>
                <w:color w:val="B40000"/>
                <w:sz w:val="16"/>
              </w:rPr>
              <w:t>-9.27%</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29,900</w:t>
            </w:r>
          </w:p>
        </w:tc>
        <w:tc>
          <w:tcPr>
            <w:tcW w:type="dxa" w:w="1417"/>
            <w:shd w:fill="FFFFFF" w:val="clear"/>
          </w:tcPr>
          <w:p>
            <w:r>
              <w:rPr>
                <w:sz w:val="16"/>
              </w:rPr>
              <w:t>26,589</w:t>
            </w:r>
          </w:p>
        </w:tc>
        <w:tc>
          <w:tcPr>
            <w:tcW w:type="dxa" w:w="1134"/>
            <w:shd w:fill="FFC7CE" w:val="clear"/>
          </w:tcPr>
          <w:p>
            <w:r>
              <w:rPr>
                <w:b/>
                <w:color w:val="B40000"/>
                <w:sz w:val="16"/>
              </w:rPr>
              <w:t>-11.07%</w:t>
            </w:r>
          </w:p>
        </w:tc>
        <w:tc>
          <w:tcPr>
            <w:tcW w:type="dxa" w:w="1134"/>
            <w:shd w:fill="FFEB9C" w:val="clear"/>
          </w:tcPr>
          <w:p>
            <w:r>
              <w:rPr>
                <w:sz w:val="16"/>
              </w:rPr>
              <w:t>Moyenne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1,550</w:t>
            </w:r>
          </w:p>
        </w:tc>
        <w:tc>
          <w:tcPr>
            <w:tcW w:type="dxa" w:w="1417"/>
            <w:shd w:fill="FFFFFF" w:val="clear"/>
          </w:tcPr>
          <w:p>
            <w:r>
              <w:rPr>
                <w:sz w:val="16"/>
              </w:rPr>
              <w:t>1,352</w:t>
            </w:r>
          </w:p>
        </w:tc>
        <w:tc>
          <w:tcPr>
            <w:tcW w:type="dxa" w:w="1134"/>
            <w:shd w:fill="FFC7CE" w:val="clear"/>
          </w:tcPr>
          <w:p>
            <w:r>
              <w:rPr>
                <w:b/>
                <w:color w:val="B40000"/>
                <w:sz w:val="16"/>
              </w:rPr>
              <w:t>-12.79%</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12,995</w:t>
            </w:r>
          </w:p>
        </w:tc>
        <w:tc>
          <w:tcPr>
            <w:tcW w:type="dxa" w:w="1417"/>
            <w:shd w:fill="FFFFFF" w:val="clear"/>
          </w:tcPr>
          <w:p>
            <w:r>
              <w:rPr>
                <w:sz w:val="16"/>
              </w:rPr>
              <w:t>11,236</w:t>
            </w:r>
          </w:p>
        </w:tc>
        <w:tc>
          <w:tcPr>
            <w:tcW w:type="dxa" w:w="1134"/>
            <w:shd w:fill="FFC7CE" w:val="clear"/>
          </w:tcPr>
          <w:p>
            <w:r>
              <w:rPr>
                <w:b/>
                <w:color w:val="B40000"/>
                <w:sz w:val="16"/>
              </w:rPr>
              <w:t>-13.54%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3,800</w:t>
            </w:r>
          </w:p>
        </w:tc>
        <w:tc>
          <w:tcPr>
            <w:tcW w:type="dxa" w:w="1417"/>
            <w:shd w:fill="FFFFFF" w:val="clear"/>
          </w:tcPr>
          <w:p>
            <w:r>
              <w:rPr>
                <w:sz w:val="16"/>
              </w:rPr>
              <w:t>3,264</w:t>
            </w:r>
          </w:p>
        </w:tc>
        <w:tc>
          <w:tcPr>
            <w:tcW w:type="dxa" w:w="1134"/>
            <w:shd w:fill="FFC7CE" w:val="clear"/>
          </w:tcPr>
          <w:p>
            <w:r>
              <w:rPr>
                <w:b/>
                <w:color w:val="B40000"/>
                <w:sz w:val="16"/>
              </w:rPr>
              <w:t>-14.12%</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1,485</w:t>
            </w:r>
          </w:p>
        </w:tc>
        <w:tc>
          <w:tcPr>
            <w:tcW w:type="dxa" w:w="1134"/>
            <w:shd w:fill="FFC7CE" w:val="clear"/>
          </w:tcPr>
          <w:p>
            <w:r>
              <w:rPr>
                <w:b/>
                <w:color w:val="B40000"/>
                <w:sz w:val="16"/>
              </w:rPr>
              <w:t>-14.66%</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8,295</w:t>
            </w:r>
          </w:p>
        </w:tc>
        <w:tc>
          <w:tcPr>
            <w:tcW w:type="dxa" w:w="1417"/>
            <w:shd w:fill="FFFFFF" w:val="clear"/>
          </w:tcPr>
          <w:p>
            <w:r>
              <w:rPr>
                <w:sz w:val="16"/>
              </w:rPr>
              <w:t>7,034</w:t>
            </w:r>
          </w:p>
        </w:tc>
        <w:tc>
          <w:tcPr>
            <w:tcW w:type="dxa" w:w="1134"/>
            <w:shd w:fill="FFC7CE" w:val="clear"/>
          </w:tcPr>
          <w:p>
            <w:r>
              <w:rPr>
                <w:b/>
                <w:color w:val="B40000"/>
                <w:sz w:val="16"/>
              </w:rPr>
              <w:t>-15.20%</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6,480</w:t>
            </w:r>
          </w:p>
        </w:tc>
        <w:tc>
          <w:tcPr>
            <w:tcW w:type="dxa" w:w="1417"/>
            <w:shd w:fill="FFFFFF" w:val="clear"/>
          </w:tcPr>
          <w:p>
            <w:r>
              <w:rPr>
                <w:sz w:val="16"/>
              </w:rPr>
              <w:t>5,463</w:t>
            </w:r>
          </w:p>
        </w:tc>
        <w:tc>
          <w:tcPr>
            <w:tcW w:type="dxa" w:w="1134"/>
            <w:shd w:fill="FFC7CE" w:val="clear"/>
          </w:tcPr>
          <w:p>
            <w:r>
              <w:rPr>
                <w:b/>
                <w:color w:val="B40000"/>
                <w:sz w:val="16"/>
              </w:rPr>
              <w:t>-15.69%</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3,800</w:t>
            </w:r>
          </w:p>
        </w:tc>
        <w:tc>
          <w:tcPr>
            <w:tcW w:type="dxa" w:w="1417"/>
            <w:shd w:fill="FFFFFF" w:val="clear"/>
          </w:tcPr>
          <w:p>
            <w:r>
              <w:rPr>
                <w:sz w:val="16"/>
              </w:rPr>
              <w:t>3,132</w:t>
            </w:r>
          </w:p>
        </w:tc>
        <w:tc>
          <w:tcPr>
            <w:tcW w:type="dxa" w:w="1134"/>
            <w:shd w:fill="FFC7CE" w:val="clear"/>
          </w:tcPr>
          <w:p>
            <w:r>
              <w:rPr>
                <w:b/>
                <w:color w:val="B40000"/>
                <w:sz w:val="16"/>
              </w:rPr>
              <w:t>-17.58%</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8,800</w:t>
            </w:r>
          </w:p>
        </w:tc>
        <w:tc>
          <w:tcPr>
            <w:tcW w:type="dxa" w:w="1417"/>
            <w:shd w:fill="FFFFFF" w:val="clear"/>
          </w:tcPr>
          <w:p>
            <w:r>
              <w:rPr>
                <w:sz w:val="16"/>
              </w:rPr>
              <w:t>7,233</w:t>
            </w:r>
          </w:p>
        </w:tc>
        <w:tc>
          <w:tcPr>
            <w:tcW w:type="dxa" w:w="1134"/>
            <w:shd w:fill="FFC7CE" w:val="clear"/>
          </w:tcPr>
          <w:p>
            <w:r>
              <w:rPr>
                <w:b/>
                <w:color w:val="B40000"/>
                <w:sz w:val="16"/>
              </w:rPr>
              <w:t>-17.80%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10,235</w:t>
            </w:r>
          </w:p>
        </w:tc>
        <w:tc>
          <w:tcPr>
            <w:tcW w:type="dxa" w:w="1417"/>
            <w:shd w:fill="FFFFFF" w:val="clear"/>
          </w:tcPr>
          <w:p>
            <w:r>
              <w:rPr>
                <w:sz w:val="16"/>
              </w:rPr>
              <w:t>8,394</w:t>
            </w:r>
          </w:p>
        </w:tc>
        <w:tc>
          <w:tcPr>
            <w:tcW w:type="dxa" w:w="1134"/>
            <w:shd w:fill="FFC7CE" w:val="clear"/>
          </w:tcPr>
          <w:p>
            <w:r>
              <w:rPr>
                <w:b/>
                <w:color w:val="B40000"/>
                <w:sz w:val="16"/>
              </w:rPr>
              <w:t>-17.99%</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8,295</w:t>
            </w:r>
          </w:p>
        </w:tc>
        <w:tc>
          <w:tcPr>
            <w:tcW w:type="dxa" w:w="1417"/>
            <w:shd w:fill="FFFFFF" w:val="clear"/>
          </w:tcPr>
          <w:p>
            <w:r>
              <w:rPr>
                <w:sz w:val="16"/>
              </w:rPr>
              <w:t>6,789</w:t>
            </w:r>
          </w:p>
        </w:tc>
        <w:tc>
          <w:tcPr>
            <w:tcW w:type="dxa" w:w="1134"/>
            <w:shd w:fill="FFC7CE" w:val="clear"/>
          </w:tcPr>
          <w:p>
            <w:r>
              <w:rPr>
                <w:b/>
                <w:color w:val="B40000"/>
                <w:sz w:val="16"/>
              </w:rPr>
              <w:t>-18.16%</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7,152</w:t>
            </w:r>
          </w:p>
        </w:tc>
        <w:tc>
          <w:tcPr>
            <w:tcW w:type="dxa" w:w="1134"/>
            <w:shd w:fill="FFC7CE" w:val="clear"/>
          </w:tcPr>
          <w:p>
            <w:r>
              <w:rPr>
                <w:b/>
                <w:color w:val="B40000"/>
                <w:sz w:val="16"/>
              </w:rPr>
              <w:t>-20.53%</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2,330</w:t>
            </w:r>
          </w:p>
        </w:tc>
        <w:tc>
          <w:tcPr>
            <w:tcW w:type="dxa" w:w="1417"/>
            <w:shd w:fill="FFFFFF" w:val="clear"/>
          </w:tcPr>
          <w:p>
            <w:r>
              <w:rPr>
                <w:sz w:val="16"/>
              </w:rPr>
              <w:t>1,805</w:t>
            </w:r>
          </w:p>
        </w:tc>
        <w:tc>
          <w:tcPr>
            <w:tcW w:type="dxa" w:w="1134"/>
            <w:shd w:fill="FFC7CE" w:val="clear"/>
          </w:tcPr>
          <w:p>
            <w:r>
              <w:rPr>
                <w:b/>
                <w:color w:val="B40000"/>
                <w:sz w:val="16"/>
              </w:rPr>
              <w:t>-22.53%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12,295</w:t>
            </w:r>
          </w:p>
        </w:tc>
        <w:tc>
          <w:tcPr>
            <w:tcW w:type="dxa" w:w="1417"/>
            <w:shd w:fill="FFFFFF" w:val="clear"/>
          </w:tcPr>
          <w:p>
            <w:r>
              <w:rPr>
                <w:sz w:val="16"/>
              </w:rPr>
              <w:t>8,696</w:t>
            </w:r>
          </w:p>
        </w:tc>
        <w:tc>
          <w:tcPr>
            <w:tcW w:type="dxa" w:w="1134"/>
            <w:shd w:fill="FFC7CE" w:val="clear"/>
          </w:tcPr>
          <w:p>
            <w:r>
              <w:rPr>
                <w:b/>
                <w:color w:val="B40000"/>
                <w:sz w:val="16"/>
              </w:rPr>
              <w:t>-29.27%</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2,425</w:t>
            </w:r>
          </w:p>
        </w:tc>
        <w:tc>
          <w:tcPr>
            <w:tcW w:type="dxa" w:w="1417"/>
            <w:shd w:fill="FFFFFF" w:val="clear"/>
          </w:tcPr>
          <w:p>
            <w:r>
              <w:rPr>
                <w:sz w:val="16"/>
              </w:rPr>
              <w:t>1,698</w:t>
            </w:r>
          </w:p>
        </w:tc>
        <w:tc>
          <w:tcPr>
            <w:tcW w:type="dxa" w:w="1134"/>
            <w:shd w:fill="FFC7CE" w:val="clear"/>
          </w:tcPr>
          <w:p>
            <w:r>
              <w:rPr>
                <w:b/>
                <w:color w:val="B40000"/>
                <w:sz w:val="16"/>
              </w:rPr>
              <w:t>-29.98%</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8,900</w:t>
            </w:r>
          </w:p>
        </w:tc>
        <w:tc>
          <w:tcPr>
            <w:tcW w:type="dxa" w:w="1417"/>
            <w:shd w:fill="FFFFFF" w:val="clear"/>
          </w:tcPr>
          <w:p>
            <w:r>
              <w:rPr>
                <w:sz w:val="16"/>
              </w:rPr>
              <w:t>5,531</w:t>
            </w:r>
          </w:p>
        </w:tc>
        <w:tc>
          <w:tcPr>
            <w:tcW w:type="dxa" w:w="1134"/>
            <w:shd w:fill="FFC7CE" w:val="clear"/>
          </w:tcPr>
          <w:p>
            <w:r>
              <w:rPr>
                <w:b/>
                <w:color w:val="B40000"/>
                <w:sz w:val="16"/>
              </w:rPr>
              <w:t>-37.85%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2,740</w:t>
            </w:r>
          </w:p>
        </w:tc>
        <w:tc>
          <w:tcPr>
            <w:tcW w:type="dxa" w:w="1417"/>
            <w:shd w:fill="FFFFFF" w:val="clear"/>
          </w:tcPr>
          <w:p>
            <w:r>
              <w:rPr>
                <w:sz w:val="16"/>
              </w:rPr>
              <w:t>1,624</w:t>
            </w:r>
          </w:p>
        </w:tc>
        <w:tc>
          <w:tcPr>
            <w:tcW w:type="dxa" w:w="1134"/>
            <w:shd w:fill="FFC7CE" w:val="clear"/>
          </w:tcPr>
          <w:p>
            <w:r>
              <w:rPr>
                <w:b/>
                <w:color w:val="B40000"/>
                <w:sz w:val="16"/>
              </w:rPr>
              <w:t>-40.73%</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29,630</w:t>
            </w:r>
          </w:p>
        </w:tc>
        <w:tc>
          <w:tcPr>
            <w:tcW w:type="dxa" w:w="1417"/>
            <w:shd w:fill="FFFFFF" w:val="clear"/>
          </w:tcPr>
          <w:p>
            <w:r>
              <w:rPr>
                <w:sz w:val="16"/>
              </w:rPr>
              <w:t>17,493</w:t>
            </w:r>
          </w:p>
        </w:tc>
        <w:tc>
          <w:tcPr>
            <w:tcW w:type="dxa" w:w="1134"/>
            <w:shd w:fill="FFC7CE" w:val="clear"/>
          </w:tcPr>
          <w:p>
            <w:r>
              <w:rPr>
                <w:b/>
                <w:color w:val="B40000"/>
                <w:sz w:val="16"/>
              </w:rPr>
              <w:t>-40.96%</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2,990</w:t>
            </w:r>
          </w:p>
        </w:tc>
        <w:tc>
          <w:tcPr>
            <w:tcW w:type="dxa" w:w="1417"/>
            <w:shd w:fill="FFFFFF" w:val="clear"/>
          </w:tcPr>
          <w:p>
            <w:r>
              <w:rPr>
                <w:sz w:val="16"/>
              </w:rPr>
              <w:t>1,498</w:t>
            </w:r>
          </w:p>
        </w:tc>
        <w:tc>
          <w:tcPr>
            <w:tcW w:type="dxa" w:w="1134"/>
            <w:shd w:fill="FFC7CE" w:val="clear"/>
          </w:tcPr>
          <w:p>
            <w:r>
              <w:rPr>
                <w:b/>
                <w:color w:val="B40000"/>
                <w:sz w:val="16"/>
              </w:rPr>
              <w:t>-49.89%</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6,690</w:t>
            </w:r>
          </w:p>
        </w:tc>
        <w:tc>
          <w:tcPr>
            <w:tcW w:type="dxa" w:w="1417"/>
            <w:shd w:fill="FFFFFF" w:val="clear"/>
          </w:tcPr>
          <w:p>
            <w:r>
              <w:rPr>
                <w:sz w:val="16"/>
              </w:rPr>
              <w:t>3,257</w:t>
            </w:r>
          </w:p>
        </w:tc>
        <w:tc>
          <w:tcPr>
            <w:tcW w:type="dxa" w:w="1134"/>
            <w:shd w:fill="FFC7CE" w:val="clear"/>
          </w:tcPr>
          <w:p>
            <w:r>
              <w:rPr>
                <w:b/>
                <w:color w:val="B40000"/>
                <w:sz w:val="16"/>
              </w:rPr>
              <w:t>-51.31%</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31</w:t>
            </w:r>
          </w:p>
        </w:tc>
        <w:tc>
          <w:tcPr>
            <w:tcW w:type="dxa" w:w="1134"/>
            <w:shd w:fill="FFC7CE" w:val="clear"/>
          </w:tcPr>
          <w:p>
            <w:r>
              <w:rPr>
                <w:b/>
                <w:color w:val="B40000"/>
                <w:sz w:val="16"/>
              </w:rPr>
              <w:t>-54.13%</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5,900</w:t>
            </w:r>
          </w:p>
        </w:tc>
        <w:tc>
          <w:tcPr>
            <w:tcW w:type="dxa" w:w="1417"/>
            <w:shd w:fill="FFFFFF" w:val="clear"/>
          </w:tcPr>
          <w:p>
            <w:r>
              <w:rPr>
                <w:sz w:val="16"/>
              </w:rPr>
              <w:t>2,706</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3,625</w:t>
            </w:r>
          </w:p>
        </w:tc>
        <w:tc>
          <w:tcPr>
            <w:tcW w:type="dxa" w:w="1417"/>
            <w:shd w:fill="FFFFFF" w:val="clear"/>
          </w:tcPr>
          <w:p>
            <w:r>
              <w:rPr>
                <w:sz w:val="16"/>
              </w:rPr>
              <w:t>1,662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41.47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3,210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+5.56%</w:t>
            </w:r>
          </w:p>
          <w:p>
            <w:r>
              <w:rPr>
                <w:b/>
                <w:color w:val="503200"/>
                <w:sz w:val="16"/>
              </w:rPr>
              <w:t xml:space="preserve">Plus haut 100j : </w:t>
            </w:r>
            <w:r>
              <w:rPr>
                <w:color w:val="000000"/>
                <w:sz w:val="17"/>
              </w:rPr>
              <w:t>3,800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7.33% (Moyenne) — μ=3,211 FCFA, σ=235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β=0.1659 (Défensif) — Cov=0.000006, Var(idx)=0.000036, ρ=0.032,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3,210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σ_j=3.11%/j (Modérée) — Vol. annualisée≈49.4%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3,488</w:t>
            </w:r>
          </w:p>
        </w:tc>
        <w:tc>
          <w:tcPr>
            <w:tcW w:type="dxa" w:w="1440"/>
            <w:shd w:fill="FFDCE0" w:val="clear"/>
          </w:tcPr>
          <w:p>
            <w:r>
              <w:rPr>
                <w:b/>
                <w:sz w:val="17"/>
              </w:rPr>
              <w:t>3,666</w:t>
            </w:r>
          </w:p>
        </w:tc>
        <w:tc>
          <w:tcPr>
            <w:tcW w:type="dxa" w:w="1440"/>
            <w:shd w:fill="FFDCE0" w:val="clear"/>
          </w:tcPr>
          <w:p>
            <w:r>
              <w:rPr>
                <w:sz w:val="17"/>
              </w:rPr>
              <w:t>3,844</w:t>
            </w:r>
          </w:p>
        </w:tc>
        <w:tc>
          <w:tcPr>
            <w:tcW w:type="dxa" w:w="1440"/>
            <w:shd w:fill="FFDCE0" w:val="clear"/>
          </w:tcPr>
          <w:p>
            <w:r>
              <w:rPr>
                <w:b/>
                <w:color w:val="C00000"/>
                <w:sz w:val="17"/>
              </w:rPr>
              <w:t>-3.5%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3,348</w:t>
            </w:r>
          </w:p>
        </w:tc>
        <w:tc>
          <w:tcPr>
            <w:tcW w:type="dxa" w:w="1440"/>
            <w:shd w:fill="FFDCE0" w:val="clear"/>
          </w:tcPr>
          <w:p>
            <w:r>
              <w:rPr>
                <w:b/>
                <w:sz w:val="17"/>
              </w:rPr>
              <w:t>3,595</w:t>
            </w:r>
          </w:p>
        </w:tc>
        <w:tc>
          <w:tcPr>
            <w:tcW w:type="dxa" w:w="1440"/>
            <w:shd w:fill="FFDCE0" w:val="clear"/>
          </w:tcPr>
          <w:p>
            <w:r>
              <w:rPr>
                <w:sz w:val="17"/>
              </w:rPr>
              <w:t>3,842</w:t>
            </w:r>
          </w:p>
        </w:tc>
        <w:tc>
          <w:tcPr>
            <w:tcW w:type="dxa" w:w="1440"/>
            <w:shd w:fill="FFDCE0" w:val="clear"/>
          </w:tcPr>
          <w:p>
            <w:r>
              <w:rPr>
                <w:b/>
                <w:color w:val="C00000"/>
                <w:sz w:val="17"/>
              </w:rPr>
              <w:t>-5.4%</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3,216</w:t>
            </w:r>
          </w:p>
        </w:tc>
        <w:tc>
          <w:tcPr>
            <w:tcW w:type="dxa" w:w="1440"/>
            <w:shd w:fill="FFDCE0" w:val="clear"/>
          </w:tcPr>
          <w:p>
            <w:r>
              <w:rPr>
                <w:b/>
                <w:sz w:val="17"/>
              </w:rPr>
              <w:t>3,511</w:t>
            </w:r>
          </w:p>
        </w:tc>
        <w:tc>
          <w:tcPr>
            <w:tcW w:type="dxa" w:w="1440"/>
            <w:shd w:fill="FFDCE0" w:val="clear"/>
          </w:tcPr>
          <w:p>
            <w:r>
              <w:rPr>
                <w:sz w:val="17"/>
              </w:rPr>
              <w:t>3,806</w:t>
            </w:r>
          </w:p>
        </w:tc>
        <w:tc>
          <w:tcPr>
            <w:tcW w:type="dxa" w:w="1440"/>
            <w:shd w:fill="FFDCE0" w:val="clear"/>
          </w:tcPr>
          <w:p>
            <w:r>
              <w:rPr>
                <w:b/>
                <w:color w:val="C00000"/>
                <w:sz w:val="17"/>
              </w:rPr>
              <w:t>-7.6%</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3,106</w:t>
            </w:r>
          </w:p>
        </w:tc>
        <w:tc>
          <w:tcPr>
            <w:tcW w:type="dxa" w:w="1440"/>
            <w:shd w:fill="FFDCE0" w:val="clear"/>
          </w:tcPr>
          <w:p>
            <w:r>
              <w:rPr>
                <w:b/>
                <w:sz w:val="17"/>
              </w:rPr>
              <w:t>3,440</w:t>
            </w:r>
          </w:p>
        </w:tc>
        <w:tc>
          <w:tcPr>
            <w:tcW w:type="dxa" w:w="1440"/>
            <w:shd w:fill="FFDCE0" w:val="clear"/>
          </w:tcPr>
          <w:p>
            <w:r>
              <w:rPr>
                <w:sz w:val="17"/>
              </w:rPr>
              <w:t>3,774</w:t>
            </w:r>
          </w:p>
        </w:tc>
        <w:tc>
          <w:tcPr>
            <w:tcW w:type="dxa" w:w="1440"/>
            <w:shd w:fill="FFDCE0" w:val="clear"/>
          </w:tcPr>
          <w:p>
            <w:r>
              <w:rPr>
                <w:b/>
                <w:color w:val="C00000"/>
                <w:sz w:val="17"/>
              </w:rPr>
              <w:t>-9.5%</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3,012</w:t>
            </w:r>
          </w:p>
        </w:tc>
        <w:tc>
          <w:tcPr>
            <w:tcW w:type="dxa" w:w="1440"/>
            <w:shd w:fill="FFDCE0" w:val="clear"/>
          </w:tcPr>
          <w:p>
            <w:r>
              <w:rPr>
                <w:b/>
                <w:sz w:val="17"/>
              </w:rPr>
              <w:t>3,378</w:t>
            </w:r>
          </w:p>
        </w:tc>
        <w:tc>
          <w:tcPr>
            <w:tcW w:type="dxa" w:w="1440"/>
            <w:shd w:fill="FFDCE0" w:val="clear"/>
          </w:tcPr>
          <w:p>
            <w:r>
              <w:rPr>
                <w:sz w:val="17"/>
              </w:rPr>
              <w:t>3,745</w:t>
            </w:r>
          </w:p>
        </w:tc>
        <w:tc>
          <w:tcPr>
            <w:tcW w:type="dxa" w:w="1440"/>
            <w:shd w:fill="FFDCE0" w:val="clear"/>
          </w:tcPr>
          <w:p>
            <w:r>
              <w:rPr>
                <w:b/>
                <w:color w:val="C00000"/>
                <w:sz w:val="17"/>
              </w:rPr>
              <w:t>-11.1%</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2,927</w:t>
            </w:r>
          </w:p>
        </w:tc>
        <w:tc>
          <w:tcPr>
            <w:tcW w:type="dxa" w:w="1440"/>
            <w:shd w:fill="FFDCE0" w:val="clear"/>
          </w:tcPr>
          <w:p>
            <w:r>
              <w:rPr>
                <w:b/>
                <w:sz w:val="17"/>
              </w:rPr>
              <w:t>3,322</w:t>
            </w:r>
          </w:p>
        </w:tc>
        <w:tc>
          <w:tcPr>
            <w:tcW w:type="dxa" w:w="1440"/>
            <w:shd w:fill="FFDCE0" w:val="clear"/>
          </w:tcPr>
          <w:p>
            <w:r>
              <w:rPr>
                <w:sz w:val="17"/>
              </w:rPr>
              <w:t>3,717</w:t>
            </w:r>
          </w:p>
        </w:tc>
        <w:tc>
          <w:tcPr>
            <w:tcW w:type="dxa" w:w="1440"/>
            <w:shd w:fill="FFDCE0" w:val="clear"/>
          </w:tcPr>
          <w:p>
            <w:r>
              <w:rPr>
                <w:b/>
                <w:color w:val="C00000"/>
                <w:sz w:val="17"/>
              </w:rPr>
              <w:t>-12.6%</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2,850</w:t>
            </w:r>
          </w:p>
        </w:tc>
        <w:tc>
          <w:tcPr>
            <w:tcW w:type="dxa" w:w="1440"/>
            <w:shd w:fill="FFDCE0" w:val="clear"/>
          </w:tcPr>
          <w:p>
            <w:r>
              <w:rPr>
                <w:b/>
                <w:sz w:val="17"/>
              </w:rPr>
              <w:t>3,270</w:t>
            </w:r>
          </w:p>
        </w:tc>
        <w:tc>
          <w:tcPr>
            <w:tcW w:type="dxa" w:w="1440"/>
            <w:shd w:fill="FFDCE0" w:val="clear"/>
          </w:tcPr>
          <w:p>
            <w:r>
              <w:rPr>
                <w:sz w:val="17"/>
              </w:rPr>
              <w:t>3,690</w:t>
            </w:r>
          </w:p>
        </w:tc>
        <w:tc>
          <w:tcPr>
            <w:tcW w:type="dxa" w:w="1440"/>
            <w:shd w:fill="FFDCE0" w:val="clear"/>
          </w:tcPr>
          <w:p>
            <w:r>
              <w:rPr>
                <w:b/>
                <w:color w:val="C00000"/>
                <w:sz w:val="17"/>
              </w:rPr>
              <w:t>-13.9%</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2,779</w:t>
            </w:r>
          </w:p>
        </w:tc>
        <w:tc>
          <w:tcPr>
            <w:tcW w:type="dxa" w:w="1440"/>
            <w:shd w:fill="FFDCE0" w:val="clear"/>
          </w:tcPr>
          <w:p>
            <w:r>
              <w:rPr>
                <w:b/>
                <w:sz w:val="17"/>
              </w:rPr>
              <w:t>3,221</w:t>
            </w:r>
          </w:p>
        </w:tc>
        <w:tc>
          <w:tcPr>
            <w:tcW w:type="dxa" w:w="1440"/>
            <w:shd w:fill="FFDCE0" w:val="clear"/>
          </w:tcPr>
          <w:p>
            <w:r>
              <w:rPr>
                <w:sz w:val="17"/>
              </w:rPr>
              <w:t>3,664</w:t>
            </w:r>
          </w:p>
        </w:tc>
        <w:tc>
          <w:tcPr>
            <w:tcW w:type="dxa" w:w="1440"/>
            <w:shd w:fill="FFDCE0" w:val="clear"/>
          </w:tcPr>
          <w:p>
            <w:r>
              <w:rPr>
                <w:b/>
                <w:color w:val="C00000"/>
                <w:sz w:val="17"/>
              </w:rPr>
              <w:t>-15.2%</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2,713</w:t>
            </w:r>
          </w:p>
        </w:tc>
        <w:tc>
          <w:tcPr>
            <w:tcW w:type="dxa" w:w="1440"/>
            <w:shd w:fill="FFDCE0" w:val="clear"/>
          </w:tcPr>
          <w:p>
            <w:r>
              <w:rPr>
                <w:b/>
                <w:sz w:val="17"/>
              </w:rPr>
              <w:t>3,175</w:t>
            </w:r>
          </w:p>
        </w:tc>
        <w:tc>
          <w:tcPr>
            <w:tcW w:type="dxa" w:w="1440"/>
            <w:shd w:fill="FFDCE0" w:val="clear"/>
          </w:tcPr>
          <w:p>
            <w:r>
              <w:rPr>
                <w:sz w:val="17"/>
              </w:rPr>
              <w:t>3,638</w:t>
            </w:r>
          </w:p>
        </w:tc>
        <w:tc>
          <w:tcPr>
            <w:tcW w:type="dxa" w:w="1440"/>
            <w:shd w:fill="FFDCE0" w:val="clear"/>
          </w:tcPr>
          <w:p>
            <w:r>
              <w:rPr>
                <w:b/>
                <w:color w:val="C00000"/>
                <w:sz w:val="17"/>
              </w:rPr>
              <w:t>-16.4%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2,651</w:t>
            </w:r>
          </w:p>
        </w:tc>
        <w:tc>
          <w:tcPr>
            <w:tcW w:type="dxa" w:w="1440"/>
            <w:shd w:fill="FFDCE0" w:val="clear"/>
          </w:tcPr>
          <w:p>
            <w:r>
              <w:rPr>
                <w:b/>
                <w:sz w:val="17"/>
              </w:rPr>
              <w:t>3,132</w:t>
            </w:r>
          </w:p>
        </w:tc>
        <w:tc>
          <w:tcPr>
            <w:tcW w:type="dxa" w:w="1440"/>
            <w:shd w:fill="FFDCE0" w:val="clear"/>
          </w:tcPr>
          <w:p>
            <w:r>
              <w:rPr>
                <w:sz w:val="17"/>
              </w:rPr>
              <w:t>3,613</w:t>
            </w:r>
          </w:p>
        </w:tc>
        <w:tc>
          <w:tcPr>
            <w:tcW w:type="dxa" w:w="1440"/>
            <w:shd w:fill="FFDCE0" w:val="clear"/>
          </w:tcPr>
          <w:p>
            <w:r>
              <w:rPr>
                <w:b/>
                <w:color w:val="C00000"/>
                <w:sz w:val="17"/>
              </w:rPr>
              <w:t>-17.6%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Absolument. Voici un rapport d'analyse professionnel structuré pour l'action ABJC (Servair Abidjan)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41,47 milliards FCFA, un niveau significatif qui la positionne comme une valeur de taille moyenne sur la BRVM. Avec un BPA de 124 FCFA, le titre se négocie à un PER de 30,7x, un niveau extrêmement élevé comparé à la moyenne du marché qui se situe généralement entre 8 et 12x. Cette décote suggère que les investisseurs intègrent des attentes de croissance future très fortes, ou bien que le titre est surévalué par rapport à ses bénéfices actuels. Le P/B de 8,04x confirme cette prime, indiquant que le marché valorise l'actif net de la société plus de huit fois au-dessus de sa valeur comptable. Enfin, un EV/EBITDA de 15,8x, bien que supérieur au seuil de 15x considéré comme exigeant, doit être nuancé par la solidité du bilan et la forte génération de cash-flow opérationnel de l'entreprise.</w:t>
      </w:r>
    </w:p>
    <w:p>
      <w:pPr>
        <w:spacing w:after="120" w:line="276" w:lineRule="auto"/>
      </w:pPr>
      <w:r>
        <w:t>### PARTIE 1 : ANALYSE DU COURS — STATISTIQUES ET ÉVOLUTION (100 derniers jours)</w:t>
      </w:r>
    </w:p>
    <w:p>
      <w:pPr>
        <w:spacing w:after="120" w:line="276" w:lineRule="auto"/>
      </w:pPr>
      <w:r>
        <w:t>Sur les 100 derniers jours, l'action ABJC a affiché une progression de +5,56%, avec une accélération notable lors de la dernière séance (+2,98%), clôturant à 3 800 FCFA, son plus haut niveau sur la période. Le titre a évolué dans une fourchette de 1 000 FCFA, entre un plus bas de 2 800 FCFA et ce plus haut de 3 800 FCFA, démontrant une tendance haussière soutenue. La moyenne du cours sur la période est de 3 211 FCFA, légèrement supérieure à la médiane (3 182 FCFA), ce qui, combiné à un skewness positif (0.357), indique une distribution légèrement asymétrique avec une queue de distribution vers les hauts cours. L'écart-type de 236 FCFA (CV=7,4%) révèle une dispersion relativement faible autour de la moyenne, tandis que le kurtosis négatif (-0.537) suggère une distribution mésokurtique, sans risque de variations extrêmes ou de "pics" de volatilité. La volatilité annualisée de 49,4% est toutefois élevée, signalant un risque de prix substantiel pour un investisseur à court terme.</w:t>
      </w:r>
    </w:p>
    <w:p>
      <w:pPr>
        <w:spacing w:after="120" w:line="276" w:lineRule="auto"/>
      </w:pPr>
      <w:r>
        <w:t>### PARTIE 2 : ANALYSE TECHNIQUE DÉTAILLÉE</w:t>
      </w:r>
    </w:p>
    <w:p>
      <w:pPr>
        <w:spacing w:after="120" w:line="276" w:lineRule="auto"/>
      </w:pPr>
      <w:r>
        <w:t>**Moyennes Mobiles**: Le cours actuel de 3 800 FCFA est nettement au-dessus de la MM20 (3 287 FCFA) et de la MM50 (3 216,7 FCFA). Cette configuration, avec des moyennes mobiles orientées à la hausse et un cours qui les dépasse, confirme une dynamique haussière forte et justifie le signal d'**Achat**.</w:t>
      </w:r>
    </w:p>
    <w:p>
      <w:pPr>
        <w:spacing w:after="120" w:line="276" w:lineRule="auto"/>
      </w:pPr>
      <w:r>
        <w:t>**Bandes de Bollinger**: Le prix se situe à 3 800 FCFA, très proche de la borne supérieure (3 858,9 FCFA). Cette position indique que le titre est en zone de surachat à court terme, mais cela reflète aussi une forte pression acheteuse. La décision est jugée **Neutre**, car si la tendance est haussière, le risque d'un retour vers la moyenne (3 287 FCFA) augmente.</w:t>
      </w:r>
    </w:p>
    <w:p>
      <w:pPr>
        <w:spacing w:after="120" w:line="276" w:lineRule="auto"/>
      </w:pPr>
      <w:r>
        <w:t>**MACD**: Le MACD (161,07) est nettement au-dessus de son signal (99,56), avec un écart positif et croissant. Cette configuration est un signal classique de momentum haussier, indiquant que la tendance de fond est positive et que la dynamique d'achat s'accélère. La décision est **Achat**.</w:t>
      </w:r>
    </w:p>
    <w:p>
      <w:pPr>
        <w:spacing w:after="120" w:line="276" w:lineRule="auto"/>
      </w:pPr>
      <w:r>
        <w:t>**RSI**: Le RSI est à 92,47, une valeur extrêmement élevée, bien au-delà du seuil de surachat de 70. Cela signifie que le titre est massivement suracheté à court terme. Ce niveau est historiquement associé à un risque élevé de correction technique ou de consolidation. La décision est **Vente**.</w:t>
      </w:r>
    </w:p>
    <w:p>
      <w:pPr>
        <w:spacing w:after="120" w:line="276" w:lineRule="auto"/>
      </w:pPr>
      <w:r>
        <w:t>**Stochastique**: Les valeurs %K et %D sont toutes deux à 100,0, confirmant la situation de surachat extrême. Le titre est en territoire de surachat depuis plusieurs séances, ce qui renforce le signal de prudence et suggère un épuisement potentiel de la dynamique haussière à très court terme. La décision est **Vente**.</w:t>
      </w:r>
    </w:p>
    <w:p>
      <w:pPr>
        <w:spacing w:after="120" w:line="276" w:lineRule="auto"/>
      </w:pPr>
      <w:r>
        <w:t>**Conclusion technique**: Les indicateurs de tendance (MM, MACD) sont résolument positifs et confirment une tendance haussière de fond. Cependant, les oscillateurs de momentum (RSI, Stochastique) sont en zone de surachat extrême, signalant une exubérance à court terme. Cette divergence entre la tendance et le momentum suggère qu'un repli technique est probable avant que la tendance haussière ne puisse se poursuivre durablement.</w:t>
      </w:r>
    </w:p>
    <w:p>
      <w:pPr>
        <w:spacing w:after="120" w:line="276" w:lineRule="auto"/>
      </w:pPr>
      <w:r>
        <w:t>### PARTIE 3 : ANALYSE FONDAMENTALE (SECTION CRITIQUE)</w:t>
      </w:r>
    </w:p>
    <w:p>
      <w:pPr>
        <w:spacing w:after="120" w:line="276" w:lineRule="auto"/>
      </w:pPr>
      <w:r>
        <w:t>Les données structurées pour l'exercice 2025 révèlent une situation financière solide pour Servair Abidjan. Le chiffre d'affaires s'établit à 13,298 milliards FCFA, en croissance de 6,67%, avec un résultat net de 1,351 milliard FCFA. La rentabilité est excellente, avec un ROE de 26,18% et un ROA de 14,64%, démontrant une utilisation très efficace des capitaux propres et des actifs. La structure financière est saine, avec une autonomie financière de 55,92% et une trésorerie nette positive de 4,035 milliards FCFA. Les délais de paiement clients (70 jours) et fournisseurs (92 jours) sont bien gérés, et le BFR est faible (257 millions FCFA). Cependant, les rapports trimestriels de 2025 (T1 et T3) montrent une année en dents de scie, avec un T1 marqué par une baisse du résultat net (-6,8%) due à un litige avec la BCEAO, suivi d'un T3 en forte croissance (+17,1%). Le rapport annuel 2025 confirme une baisse du résultat net de 12,1% malgré la hausse du CA, principalement à cause d'une charge d'impôt en forte augmentation (+46,7%). Enfin, le rapport du T1 2026 est préoccupant, avec un résultat net en chute de 35,6% (à 222,6 millions FCFA) en raison d'ajustements de redevances aéroportuaires. Sur la base de ce T1 2026, on estime que l'exercice 2026 pourrait voir une contraction significative de la rentabilité si cette tendance se poursuit, malgré une croissance du CA de 1,9%.</w:t>
      </w:r>
    </w:p>
    <w:p>
      <w:pPr>
        <w:spacing w:after="120" w:line="276" w:lineRule="auto"/>
      </w:pPr>
      <w:r>
        <w:t>### PARTIE 4 : CONCLUSION D'INVESTISSEMENT</w:t>
      </w:r>
    </w:p>
    <w:p>
      <w:pPr>
        <w:spacing w:after="120" w:line="276" w:lineRule="auto"/>
      </w:pPr>
      <w:r>
        <w:t>La valorisation d'ABJC est extrêmement exigeante, avec un PER de 30,7x et un P/B de 8,04x, indiquant une **surévaluation** par rapport aux fondamentaux actuels. Le comportement du cours est haussier mais avec une volatilité élevée (49,4%), et les statistiques suggèrent une distribution normale sans risque de krach majeur, mais un risque de correction est présent. Les signaux techniques sont **divergents** : la tendance (MM, MACD) est positive, mais les oscillateurs (RSI, Stochastique) sont en surachat extrême, annonçant un repli probable. Les fondamentaux sont solides (ROE &gt; 26%, bilan sain), mais la dynamique de croissance se dégrade nettement au T1 2026 (-35,6% du résultat net). Les prédictions IA pour les 10 prochains jours (baisse de 3 666 à 3 378 FCFA) **confirment** le scénario de correction technique suggéré par les oscillateurs. En synthèse, la convergence entre la surévaluation, les signaux de surachat technique et la dégradation des fondamentaux récents plaide pour une prudence maximale. La recommandation finale est **VENTE** pour les investisseurs à court et moyen terme, avec un niveau de confiance **Élevé** et un risque global **Élevé**. Pour les investisseurs à long terme (&gt;1 an), la solidité financière de l'entreprise et sa position de leader pourraient justifier de conserver la ligne, mais il serait plus opportun d'attendre une correction du cours pour renforcer la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514.06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11,842 titres</w:t>
            </w:r>
          </w:p>
        </w:tc>
        <w:tc>
          <w:tcPr>
            <w:tcW w:type="dxa" w:w="2268"/>
            <w:shd w:fill="FFF2CC" w:val="clear"/>
          </w:tcPr>
          <w:p>
            <w:r>
              <w:rPr>
                <w:b/>
                <w:color w:val="503200"/>
                <w:sz w:val="16"/>
              </w:rPr>
              <w:t xml:space="preserve">Cours actuel : </w:t>
            </w:r>
            <w:r>
              <w:rPr>
                <w:color w:val="000000"/>
                <w:sz w:val="17"/>
              </w:rPr>
              <w:t>8,900 FCFA</w:t>
            </w:r>
          </w:p>
          <w:p>
            <w:r>
              <w:rPr>
                <w:b/>
                <w:color w:val="503200"/>
                <w:sz w:val="16"/>
              </w:rPr>
              <w:t xml:space="preserve">Var. 100 jours : </w:t>
            </w:r>
            <w:r>
              <w:rPr>
                <w:b/>
                <w:color w:val="007800"/>
                <w:sz w:val="17"/>
              </w:rPr>
              <w:t>+71.98%</w:t>
            </w:r>
          </w:p>
          <w:p>
            <w:r>
              <w:rPr>
                <w:b/>
                <w:color w:val="503200"/>
                <w:sz w:val="16"/>
              </w:rPr>
              <w:t xml:space="preserve">Plus haut 100j : </w:t>
            </w:r>
            <w:r>
              <w:rPr>
                <w:color w:val="000000"/>
                <w:sz w:val="17"/>
              </w:rPr>
              <w:t>8,900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18.90% (Élevée) — μ=6,212 FCFA, σ=1,174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β=0.2204 (Défensif) — Cov=0.000008, Var(idx)=0.000036, ρ=0.067,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11,842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7,873</w:t>
            </w:r>
          </w:p>
        </w:tc>
        <w:tc>
          <w:tcPr>
            <w:tcW w:type="dxa" w:w="1440"/>
            <w:shd w:fill="FFDCE0" w:val="clear"/>
          </w:tcPr>
          <w:p>
            <w:r>
              <w:rPr>
                <w:b/>
                <w:sz w:val="17"/>
              </w:rPr>
              <w:t>8,232</w:t>
            </w:r>
          </w:p>
        </w:tc>
        <w:tc>
          <w:tcPr>
            <w:tcW w:type="dxa" w:w="1440"/>
            <w:shd w:fill="FFDCE0" w:val="clear"/>
          </w:tcPr>
          <w:p>
            <w:r>
              <w:rPr>
                <w:sz w:val="17"/>
              </w:rPr>
              <w:t>8,592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7,145</w:t>
            </w:r>
          </w:p>
        </w:tc>
        <w:tc>
          <w:tcPr>
            <w:tcW w:type="dxa" w:w="1440"/>
            <w:shd w:fill="FFDCE0" w:val="clear"/>
          </w:tcPr>
          <w:p>
            <w:r>
              <w:rPr>
                <w:b/>
                <w:sz w:val="17"/>
              </w:rPr>
              <w:t>7,615</w:t>
            </w:r>
          </w:p>
        </w:tc>
        <w:tc>
          <w:tcPr>
            <w:tcW w:type="dxa" w:w="1440"/>
            <w:shd w:fill="FFDCE0" w:val="clear"/>
          </w:tcPr>
          <w:p>
            <w:r>
              <w:rPr>
                <w:sz w:val="17"/>
              </w:rPr>
              <w:t>8,085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6,512</w:t>
            </w:r>
          </w:p>
        </w:tc>
        <w:tc>
          <w:tcPr>
            <w:tcW w:type="dxa" w:w="1440"/>
            <w:shd w:fill="FFDCE0" w:val="clear"/>
          </w:tcPr>
          <w:p>
            <w:r>
              <w:rPr>
                <w:b/>
                <w:sz w:val="17"/>
              </w:rPr>
              <w:t>7,044</w:t>
            </w:r>
          </w:p>
        </w:tc>
        <w:tc>
          <w:tcPr>
            <w:tcW w:type="dxa" w:w="1440"/>
            <w:shd w:fill="FFDCE0" w:val="clear"/>
          </w:tcPr>
          <w:p>
            <w:r>
              <w:rPr>
                <w:sz w:val="17"/>
              </w:rPr>
              <w:t>7,576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5,947</w:t>
            </w:r>
          </w:p>
        </w:tc>
        <w:tc>
          <w:tcPr>
            <w:tcW w:type="dxa" w:w="1440"/>
            <w:shd w:fill="FFDCE0" w:val="clear"/>
          </w:tcPr>
          <w:p>
            <w:r>
              <w:rPr>
                <w:b/>
                <w:sz w:val="17"/>
              </w:rPr>
              <w:t>6,516</w:t>
            </w:r>
          </w:p>
        </w:tc>
        <w:tc>
          <w:tcPr>
            <w:tcW w:type="dxa" w:w="1440"/>
            <w:shd w:fill="FFDCE0" w:val="clear"/>
          </w:tcPr>
          <w:p>
            <w:r>
              <w:rPr>
                <w:sz w:val="17"/>
              </w:rPr>
              <w:t>7,084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5,514</w:t>
            </w:r>
          </w:p>
        </w:tc>
        <w:tc>
          <w:tcPr>
            <w:tcW w:type="dxa" w:w="1440"/>
            <w:shd w:fill="FFDCE0" w:val="clear"/>
          </w:tcPr>
          <w:p>
            <w:r>
              <w:rPr>
                <w:b/>
                <w:sz w:val="17"/>
              </w:rPr>
              <w:t>6,110</w:t>
            </w:r>
          </w:p>
        </w:tc>
        <w:tc>
          <w:tcPr>
            <w:tcW w:type="dxa" w:w="1440"/>
            <w:shd w:fill="FFDCE0" w:val="clear"/>
          </w:tcPr>
          <w:p>
            <w:r>
              <w:rPr>
                <w:sz w:val="17"/>
              </w:rPr>
              <w:t>6,706</w:t>
            </w:r>
          </w:p>
        </w:tc>
        <w:tc>
          <w:tcPr>
            <w:tcW w:type="dxa" w:w="1440"/>
            <w:shd w:fill="FFDCE0" w:val="clear"/>
          </w:tcPr>
          <w:p>
            <w:r>
              <w:rPr>
                <w:b/>
                <w:color w:val="C00000"/>
                <w:sz w:val="17"/>
              </w:rPr>
              <w:t>-31.3%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5,322</w:t>
            </w:r>
          </w:p>
        </w:tc>
        <w:tc>
          <w:tcPr>
            <w:tcW w:type="dxa" w:w="1440"/>
            <w:shd w:fill="FFDCE0" w:val="clear"/>
          </w:tcPr>
          <w:p>
            <w:r>
              <w:rPr>
                <w:b/>
                <w:sz w:val="17"/>
              </w:rPr>
              <w:t>5,959</w:t>
            </w:r>
          </w:p>
        </w:tc>
        <w:tc>
          <w:tcPr>
            <w:tcW w:type="dxa" w:w="1440"/>
            <w:shd w:fill="FFDCE0" w:val="clear"/>
          </w:tcPr>
          <w:p>
            <w:r>
              <w:rPr>
                <w:sz w:val="17"/>
              </w:rPr>
              <w:t>6,596</w:t>
            </w:r>
          </w:p>
        </w:tc>
        <w:tc>
          <w:tcPr>
            <w:tcW w:type="dxa" w:w="1440"/>
            <w:shd w:fill="FFDCE0" w:val="clear"/>
          </w:tcPr>
          <w:p>
            <w:r>
              <w:rPr>
                <w:b/>
                <w:color w:val="C00000"/>
                <w:sz w:val="17"/>
              </w:rPr>
              <w:t>-33.0%</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5,155</w:t>
            </w:r>
          </w:p>
        </w:tc>
        <w:tc>
          <w:tcPr>
            <w:tcW w:type="dxa" w:w="1440"/>
            <w:shd w:fill="FFDCE0" w:val="clear"/>
          </w:tcPr>
          <w:p>
            <w:r>
              <w:rPr>
                <w:b/>
                <w:sz w:val="17"/>
              </w:rPr>
              <w:t>5,828</w:t>
            </w:r>
          </w:p>
        </w:tc>
        <w:tc>
          <w:tcPr>
            <w:tcW w:type="dxa" w:w="1440"/>
            <w:shd w:fill="FFDCE0" w:val="clear"/>
          </w:tcPr>
          <w:p>
            <w:r>
              <w:rPr>
                <w:sz w:val="17"/>
              </w:rPr>
              <w:t>6,500</w:t>
            </w:r>
          </w:p>
        </w:tc>
        <w:tc>
          <w:tcPr>
            <w:tcW w:type="dxa" w:w="1440"/>
            <w:shd w:fill="FFDCE0" w:val="clear"/>
          </w:tcPr>
          <w:p>
            <w:r>
              <w:rPr>
                <w:b/>
                <w:color w:val="C00000"/>
                <w:sz w:val="17"/>
              </w:rPr>
              <w:t>-34.5%</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5,009</w:t>
            </w:r>
          </w:p>
        </w:tc>
        <w:tc>
          <w:tcPr>
            <w:tcW w:type="dxa" w:w="1440"/>
            <w:shd w:fill="FFDCE0" w:val="clear"/>
          </w:tcPr>
          <w:p>
            <w:r>
              <w:rPr>
                <w:b/>
                <w:sz w:val="17"/>
              </w:rPr>
              <w:t>5,714</w:t>
            </w:r>
          </w:p>
        </w:tc>
        <w:tc>
          <w:tcPr>
            <w:tcW w:type="dxa" w:w="1440"/>
            <w:shd w:fill="FFDCE0" w:val="clear"/>
          </w:tcPr>
          <w:p>
            <w:r>
              <w:rPr>
                <w:sz w:val="17"/>
              </w:rPr>
              <w:t>6,419</w:t>
            </w:r>
          </w:p>
        </w:tc>
        <w:tc>
          <w:tcPr>
            <w:tcW w:type="dxa" w:w="1440"/>
            <w:shd w:fill="FFDCE0" w:val="clear"/>
          </w:tcPr>
          <w:p>
            <w:r>
              <w:rPr>
                <w:b/>
                <w:color w:val="C00000"/>
                <w:sz w:val="17"/>
              </w:rPr>
              <w:t>-35.8%</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4,881</w:t>
            </w:r>
          </w:p>
        </w:tc>
        <w:tc>
          <w:tcPr>
            <w:tcW w:type="dxa" w:w="1440"/>
            <w:shd w:fill="FFDCE0" w:val="clear"/>
          </w:tcPr>
          <w:p>
            <w:r>
              <w:rPr>
                <w:b/>
                <w:sz w:val="17"/>
              </w:rPr>
              <w:t>5,616</w:t>
            </w:r>
          </w:p>
        </w:tc>
        <w:tc>
          <w:tcPr>
            <w:tcW w:type="dxa" w:w="1440"/>
            <w:shd w:fill="FFDCE0" w:val="clear"/>
          </w:tcPr>
          <w:p>
            <w:r>
              <w:rPr>
                <w:sz w:val="17"/>
              </w:rPr>
              <w:t>6,351</w:t>
            </w:r>
          </w:p>
        </w:tc>
        <w:tc>
          <w:tcPr>
            <w:tcW w:type="dxa" w:w="1440"/>
            <w:shd w:fill="FFDCE0" w:val="clear"/>
          </w:tcPr>
          <w:p>
            <w:r>
              <w:rPr>
                <w:b/>
                <w:color w:val="C00000"/>
                <w:sz w:val="17"/>
              </w:rPr>
              <w:t>-36.9%</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4,768</w:t>
            </w:r>
          </w:p>
        </w:tc>
        <w:tc>
          <w:tcPr>
            <w:tcW w:type="dxa" w:w="1440"/>
            <w:shd w:fill="FFDCE0" w:val="clear"/>
          </w:tcPr>
          <w:p>
            <w:r>
              <w:rPr>
                <w:b/>
                <w:sz w:val="17"/>
              </w:rPr>
              <w:t>5,531</w:t>
            </w:r>
          </w:p>
        </w:tc>
        <w:tc>
          <w:tcPr>
            <w:tcW w:type="dxa" w:w="1440"/>
            <w:shd w:fill="FFDCE0" w:val="clear"/>
          </w:tcPr>
          <w:p>
            <w:r>
              <w:rPr>
                <w:sz w:val="17"/>
              </w:rPr>
              <w:t>6,294</w:t>
            </w:r>
          </w:p>
        </w:tc>
        <w:tc>
          <w:tcPr>
            <w:tcW w:type="dxa" w:w="1440"/>
            <w:shd w:fill="FFDCE0" w:val="clear"/>
          </w:tcPr>
          <w:p>
            <w:r>
              <w:rPr>
                <w:b/>
                <w:color w:val="C00000"/>
                <w:sz w:val="17"/>
              </w:rPr>
              <w:t>-37.8%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1er septembre 2026**</w:t>
        <w:br/>
        <w:t>**Cours de référence : 8 900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BICB s'établit à 514,06 milliards FCFA, ce qui en fait l'une des capitalisations les plus significatives de la BRVM, reflétant la taille et l'importance systémique de la banque dans la zone UEMOA. Avec un BPA de 627 FCFA, chaque action génère un bénéfice substantiel, mais le PER de 14,2x se situe au-dessus de la moyenne historique de la BRVM (8-12x), indiquant que les investisseurs paient une prime de valorisation pour la croissance future de la banque. Le P/B de 3,80x confirme cette prime, le marché valorisant l'actif net comptable bien au-dessus de sa valeur, signe d'une confiance dans la création de valeur future. Enfin, l'EV/EBITDA de 24,7x est très exigeant, suggérant que le marché anticipe une amélioration significative de la capacité opérationnelle de la banque pour justifier une telle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enregistré une performance spectaculaire de +71,98%, avec une dernière séance en hausse de +4,71%, clôturant à 8 900 FCFA, son plus haut niveau sur la période. Le titre a évolué dans une fourchette de 5 100 à 8 900 FCFA, démontrant une tendance haussière très marquée. Les statistiques descriptives révèlent une moyenne de 6 212 FCFA et une médiane de 5 770 FCFA, l'écart entre les deux indiquant une distribution asymétrique positive (skewness de 0,865), avec plus de journées sous la moyenne mais des gains importants qui tirent la moyenne vers le haut. L'écart-type de 1 180 FCFA (CV=19,0%) montre une dispersion modérée, tandis que le kurtosis de -0,708 (mésokurtique) suggère une distribution proche de la normale, sans pics de volatilité extrêmes. La volatilité annualisée de 31,3% classe le titre comme très volatil, un niveau élevé qui reflète l'ampleur du mouvement haussier récent.</w:t>
      </w:r>
    </w:p>
    <w:p>
      <w:pPr>
        <w:spacing w:after="120" w:line="276" w:lineRule="auto"/>
      </w:pPr>
      <w:r>
        <w:t>---</w:t>
      </w:r>
    </w:p>
    <w:p>
      <w:pPr>
        <w:spacing w:after="120" w:line="276" w:lineRule="auto"/>
      </w:pPr>
      <w:r>
        <w:t>### PARTIE 2 : ANALYSE TECHNIQUE DÉTAILLÉE</w:t>
      </w:r>
    </w:p>
    <w:p>
      <w:pPr>
        <w:spacing w:after="120" w:line="276" w:lineRule="auto"/>
      </w:pPr>
      <w:r>
        <w:t>**Moyennes Mobiles** : La MM20 à 8 172,5 FCFA et la MM50 à 7 138,2 FCFA sont toutes deux largement dépassées par le cours actuel de 8 900 FCFA, confirmant une tendance haussière robuste à court et moyen terme. La configuration des MM (MM20 &gt; MM50) génère un signal d'achat, mais l'écart important entre le cours et les moyennes suggère une possible correction à venir.</w:t>
      </w:r>
    </w:p>
    <w:p>
      <w:pPr>
        <w:spacing w:after="120" w:line="276" w:lineRule="auto"/>
      </w:pPr>
      <w:r>
        <w:t>**Bandes de Bollinger** : Le cours à 8 900 FCFA se situe très près de la borne supérieure à 9 004,8 FCFA, indiquant que le titre est en zone de surachat technique. La largeur des bandes (borne inférieure à 7 340,2 FCFA) reflète une volatilité élevée. La décision "Neutre" suggère que le marché attend une consolidation avant de poursuivre.</w:t>
      </w:r>
    </w:p>
    <w:p>
      <w:pPr>
        <w:spacing w:after="120" w:line="276" w:lineRule="auto"/>
      </w:pPr>
      <w:r>
        <w:t>**MACD** : Avec une valeur de 433,4 et un signal à 445,5, le MACD est passé sous sa ligne de signal, générant un signal de vente. Ce croisement baissier, après une période de forte hausse, indique un affaiblissement du momentum haussier et pourrait précéder une correction technique.</w:t>
      </w:r>
    </w:p>
    <w:p>
      <w:pPr>
        <w:spacing w:after="120" w:line="276" w:lineRule="auto"/>
      </w:pPr>
      <w:r>
        <w:t>**RSI** : Le RSI à 79,71 est en zone de surachat (au-dessus de 70), signalant que le titre est techniquement surévalué à court terme. Ce niveau extrême suggère une probabilité élevée de consolidation ou de repli, les acheteurs ayant potentiellement épuisé leur force.</w:t>
      </w:r>
    </w:p>
    <w:p>
      <w:pPr>
        <w:spacing w:after="120" w:line="276" w:lineRule="auto"/>
      </w:pPr>
      <w:r>
        <w:t>**Stochastique** : Le %K à 100,0 et le %D à 99,6 sont en zone de surachat extrême, confirmant la pression vendeuse potentielle. Le croisement baissier imminent entre %K et %D renforce le signal de vente, indiquant que le mouvement haussier est arrivé à maturité.</w:t>
      </w:r>
    </w:p>
    <w:p>
      <w:pPr>
        <w:spacing w:after="120" w:line="276" w:lineRule="auto"/>
      </w:pPr>
      <w:r>
        <w:t>**Conclusion technique** : L'ensemble des indicateurs de momentum (MACD, RSI, Stochastique) émet des signaux de vente, tandis que les moyennes mobiles restent en configuration d'achat. Cette divergence entre la tendance de fond et les indicateurs de court terme suggère une probabilité élevée de correction technique dans les prochaines séances, malgré la tendance haussière de long terme.</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fondamentaux solides avec un Produit Net Bancaire (PNB) de 52,805 milliards FCFA, en croissance de 16,5%, et un résultat net de 36,237 milliards FCFA, en progression de 24,7%. La banque démontre une excellente efficacité opérationnelle avec un coefficient d'exploitation de 31,1%, bien en dessous du seuil de 60% considéré comme efficace dans le secteur bancaire. Le ROE de 26,8% et le ROA de 1,96% confirment une rentabilité exceptionnelle. Cependant, le coût du risque de 9,61% reste élevé, reflétant une politique de provisionnement prudente face à l'expansion rapide des crédits (+37,3%). Le ratio crédits/dépôts de 97,5% indique une transformation tendue, avec un risque de liquidité à surveiller. Sur la base des rapports trimestriels 2025 (S1 : PNB +28,1%, résultat net -26,7% ; T3 : PNB +26%, résultat net -9%), on estime que l'exercice 2026 devrait bénéficier d'une normalisation du coût du risque. Le rapport T1 2026 confirme cette tendance avec un PNB en hausse de 35% et un résultat net en progression de 48%, suggérant une amélioration significative de la rentabilité pour l'exercice en cours. La banque, leader au Bénin, bénéficie d'une position concurrentielle solide et d'un ratio de solvabilité de 19,64%, bien au-dessus des exigences réglementaires.</w:t>
      </w:r>
    </w:p>
    <w:p>
      <w:pPr>
        <w:spacing w:after="120" w:line="276" w:lineRule="auto"/>
      </w:pPr>
      <w:r>
        <w:t>---</w:t>
      </w:r>
    </w:p>
    <w:p>
      <w:pPr>
        <w:spacing w:after="120" w:line="276" w:lineRule="auto"/>
      </w:pPr>
      <w:r>
        <w:t>### PARTIE 4 : CONCLUSION D'INVESTISSEMENT</w:t>
      </w:r>
    </w:p>
    <w:p>
      <w:pPr>
        <w:spacing w:after="120" w:line="276" w:lineRule="auto"/>
      </w:pPr>
      <w:r>
        <w:t>La valorisation de BICB (PER 14,2x, P/B 3,80x, EV/EBITDA 24,7x) indique une prime de croissance significative, le marché anticipant une poursuite de la forte dynamique de la banque. Le comportement du cours (+71,98% sur 100 jours) avec une volatilité élevée (31,3%) et une asymétrie positive suggère un momentum haussier, mais les statistiques révèlent un risque de retour à la moyenne. Les signaux techniques sont clairement divergents : les moyennes mobiles restent haussières, mais le MACD, le RSI (79,71) et le Stochastique (100/99,6) sont en zone de surachat extrême, signalant une correction imminente. Les fondamentaux sont excellents (ROE 26,8%, coefficient d'exploitation 31,1%, croissance du PNB de 16,5% en 2025), et les estimations basées sur le T1 2026 (résultat net +48%) confirment une dynamique positive. Les prédictions IA (8 232 à 6 110 FCFA sur 10 jours) contredisent fortement la tendance actuelle, anticipant une correction brutale. La convergence entre les indicateurs techniques surachetés et les prédictions IA suggère une recommandation de **VENTE** à court terme, avec un niveau de confiance **Moyen** et un risque global **Élevé**. L'horizon d'investissement optimal serait de **moyen terme (3-12 mois)**, après une probable correction, pour profiter de la solidité fondamentale de la banque à un prix plus attractif.</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498.33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684 titres</w:t>
            </w:r>
          </w:p>
        </w:tc>
        <w:tc>
          <w:tcPr>
            <w:tcW w:type="dxa" w:w="2268"/>
            <w:shd w:fill="FFF2CC" w:val="clear"/>
          </w:tcPr>
          <w:p>
            <w:r>
              <w:rPr>
                <w:b/>
                <w:color w:val="503200"/>
                <w:sz w:val="16"/>
              </w:rPr>
              <w:t xml:space="preserve">Cours actuel : </w:t>
            </w:r>
            <w:r>
              <w:rPr>
                <w:color w:val="000000"/>
                <w:sz w:val="17"/>
              </w:rPr>
              <w:t>29,900 FCFA</w:t>
            </w:r>
          </w:p>
          <w:p>
            <w:r>
              <w:rPr>
                <w:b/>
                <w:color w:val="503200"/>
                <w:sz w:val="16"/>
              </w:rPr>
              <w:t xml:space="preserve">Var. 100 jours : </w:t>
            </w:r>
            <w:r>
              <w:rPr>
                <w:b/>
                <w:color w:val="007800"/>
                <w:sz w:val="17"/>
              </w:rPr>
              <w:t>+24.58%</w:t>
            </w:r>
          </w:p>
          <w:p>
            <w:r>
              <w:rPr>
                <w:b/>
                <w:color w:val="503200"/>
                <w:sz w:val="16"/>
              </w:rPr>
              <w:t xml:space="preserve">Plus haut 100j : </w:t>
            </w:r>
            <w:r>
              <w:rPr>
                <w:color w:val="000000"/>
                <w:sz w:val="17"/>
              </w:rPr>
              <w:t>29,970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7.27% (Moyenne) — μ=27,393 FCFA, σ=1,992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β=0.2524 (Défensif) — Cov=0.000009, Var(idx)=0.000036, ρ=0.089,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684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σ_j=1.70%/j (Stable) — Vol. annualisée≈27.0%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28,366</w:t>
            </w:r>
          </w:p>
        </w:tc>
        <w:tc>
          <w:tcPr>
            <w:tcW w:type="dxa" w:w="1440"/>
            <w:shd w:fill="FFDCE0" w:val="clear"/>
          </w:tcPr>
          <w:p>
            <w:r>
              <w:rPr>
                <w:b/>
                <w:sz w:val="17"/>
              </w:rPr>
              <w:t>28,921</w:t>
            </w:r>
          </w:p>
        </w:tc>
        <w:tc>
          <w:tcPr>
            <w:tcW w:type="dxa" w:w="1440"/>
            <w:shd w:fill="FFDCE0" w:val="clear"/>
          </w:tcPr>
          <w:p>
            <w:r>
              <w:rPr>
                <w:sz w:val="17"/>
              </w:rPr>
              <w:t>29,475</w:t>
            </w:r>
          </w:p>
        </w:tc>
        <w:tc>
          <w:tcPr>
            <w:tcW w:type="dxa" w:w="1440"/>
            <w:shd w:fill="FFDCE0" w:val="clear"/>
          </w:tcPr>
          <w:p>
            <w:r>
              <w:rPr>
                <w:b/>
                <w:color w:val="C00000"/>
                <w:sz w:val="17"/>
              </w:rPr>
              <w:t>-3.3%</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27,875</w:t>
            </w:r>
          </w:p>
        </w:tc>
        <w:tc>
          <w:tcPr>
            <w:tcW w:type="dxa" w:w="1440"/>
            <w:shd w:fill="FFDCE0" w:val="clear"/>
          </w:tcPr>
          <w:p>
            <w:r>
              <w:rPr>
                <w:b/>
                <w:sz w:val="17"/>
              </w:rPr>
              <w:t>28,652</w:t>
            </w:r>
          </w:p>
        </w:tc>
        <w:tc>
          <w:tcPr>
            <w:tcW w:type="dxa" w:w="1440"/>
            <w:shd w:fill="FFDCE0" w:val="clear"/>
          </w:tcPr>
          <w:p>
            <w:r>
              <w:rPr>
                <w:sz w:val="17"/>
              </w:rPr>
              <w:t>29,429</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27,385</w:t>
            </w:r>
          </w:p>
        </w:tc>
        <w:tc>
          <w:tcPr>
            <w:tcW w:type="dxa" w:w="1440"/>
            <w:shd w:fill="FFDCE0" w:val="clear"/>
          </w:tcPr>
          <w:p>
            <w:r>
              <w:rPr>
                <w:b/>
                <w:sz w:val="17"/>
              </w:rPr>
              <w:t>28,326</w:t>
            </w:r>
          </w:p>
        </w:tc>
        <w:tc>
          <w:tcPr>
            <w:tcW w:type="dxa" w:w="1440"/>
            <w:shd w:fill="FFDCE0" w:val="clear"/>
          </w:tcPr>
          <w:p>
            <w:r>
              <w:rPr>
                <w:sz w:val="17"/>
              </w:rPr>
              <w:t>29,266</w:t>
            </w:r>
          </w:p>
        </w:tc>
        <w:tc>
          <w:tcPr>
            <w:tcW w:type="dxa" w:w="1440"/>
            <w:shd w:fill="FFDCE0" w:val="clear"/>
          </w:tcPr>
          <w:p>
            <w:r>
              <w:rPr>
                <w:b/>
                <w:color w:val="C00000"/>
                <w:sz w:val="17"/>
              </w:rPr>
              <w:t>-5.3%</w:t>
            </w:r>
          </w:p>
        </w:tc>
      </w:tr>
      <w:tr>
        <w:tc>
          <w:tcPr>
            <w:tcW w:type="dxa" w:w="1440"/>
            <w:shd w:fill="FFDCE0" w:val="clear"/>
          </w:tcPr>
          <w:p>
            <w:r>
              <w:rPr>
                <w:sz w:val="17"/>
              </w:rPr>
              <w:t>J+4  Moyenne</w:t>
            </w:r>
          </w:p>
        </w:tc>
        <w:tc>
          <w:tcPr>
            <w:tcW w:type="dxa" w:w="1440"/>
            <w:shd w:fill="FFDCE0" w:val="clear"/>
          </w:tcPr>
          <w:p>
            <w:r>
              <w:rPr>
                <w:sz w:val="17"/>
              </w:rPr>
              <w:t>2026-09-04</w:t>
            </w:r>
          </w:p>
        </w:tc>
        <w:tc>
          <w:tcPr>
            <w:tcW w:type="dxa" w:w="1440"/>
            <w:shd w:fill="FFDCE0" w:val="clear"/>
          </w:tcPr>
          <w:p>
            <w:r>
              <w:rPr>
                <w:sz w:val="17"/>
              </w:rPr>
              <w:t>26,955</w:t>
            </w:r>
          </w:p>
        </w:tc>
        <w:tc>
          <w:tcPr>
            <w:tcW w:type="dxa" w:w="1440"/>
            <w:shd w:fill="FFDCE0" w:val="clear"/>
          </w:tcPr>
          <w:p>
            <w:r>
              <w:rPr>
                <w:b/>
                <w:sz w:val="17"/>
              </w:rPr>
              <w:t>28,030</w:t>
            </w:r>
          </w:p>
        </w:tc>
        <w:tc>
          <w:tcPr>
            <w:tcW w:type="dxa" w:w="1440"/>
            <w:shd w:fill="FFDCE0" w:val="clear"/>
          </w:tcPr>
          <w:p>
            <w:r>
              <w:rPr>
                <w:sz w:val="17"/>
              </w:rPr>
              <w:t>29,104</w:t>
            </w:r>
          </w:p>
        </w:tc>
        <w:tc>
          <w:tcPr>
            <w:tcW w:type="dxa" w:w="1440"/>
            <w:shd w:fill="FFDCE0" w:val="clear"/>
          </w:tcPr>
          <w:p>
            <w:r>
              <w:rPr>
                <w:b/>
                <w:color w:val="C00000"/>
                <w:sz w:val="17"/>
              </w:rPr>
              <w:t>-6.3%</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26,571</w:t>
            </w:r>
          </w:p>
        </w:tc>
        <w:tc>
          <w:tcPr>
            <w:tcW w:type="dxa" w:w="1440"/>
            <w:shd w:fill="FFDCE0" w:val="clear"/>
          </w:tcPr>
          <w:p>
            <w:r>
              <w:rPr>
                <w:b/>
                <w:sz w:val="17"/>
              </w:rPr>
              <w:t>27,761</w:t>
            </w:r>
          </w:p>
        </w:tc>
        <w:tc>
          <w:tcPr>
            <w:tcW w:type="dxa" w:w="1440"/>
            <w:shd w:fill="FFDCE0" w:val="clear"/>
          </w:tcPr>
          <w:p>
            <w:r>
              <w:rPr>
                <w:sz w:val="17"/>
              </w:rPr>
              <w:t>28,951</w:t>
            </w:r>
          </w:p>
        </w:tc>
        <w:tc>
          <w:tcPr>
            <w:tcW w:type="dxa" w:w="1440"/>
            <w:shd w:fill="FFDCE0" w:val="clear"/>
          </w:tcPr>
          <w:p>
            <w:r>
              <w:rPr>
                <w:b/>
                <w:color w:val="C00000"/>
                <w:sz w:val="17"/>
              </w:rPr>
              <w:t>-7.2%</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26,216</w:t>
            </w:r>
          </w:p>
        </w:tc>
        <w:tc>
          <w:tcPr>
            <w:tcW w:type="dxa" w:w="1440"/>
            <w:shd w:fill="FFDCE0" w:val="clear"/>
          </w:tcPr>
          <w:p>
            <w:r>
              <w:rPr>
                <w:b/>
                <w:sz w:val="17"/>
              </w:rPr>
              <w:t>27,508</w:t>
            </w:r>
          </w:p>
        </w:tc>
        <w:tc>
          <w:tcPr>
            <w:tcW w:type="dxa" w:w="1440"/>
            <w:shd w:fill="FFDCE0" w:val="clear"/>
          </w:tcPr>
          <w:p>
            <w:r>
              <w:rPr>
                <w:sz w:val="17"/>
              </w:rPr>
              <w:t>28,800</w:t>
            </w:r>
          </w:p>
        </w:tc>
        <w:tc>
          <w:tcPr>
            <w:tcW w:type="dxa" w:w="1440"/>
            <w:shd w:fill="FFDCE0" w:val="clear"/>
          </w:tcPr>
          <w:p>
            <w:r>
              <w:rPr>
                <w:b/>
                <w:color w:val="C00000"/>
                <w:sz w:val="17"/>
              </w:rPr>
              <w:t>-8.0%</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25,882</w:t>
            </w:r>
          </w:p>
        </w:tc>
        <w:tc>
          <w:tcPr>
            <w:tcW w:type="dxa" w:w="1440"/>
            <w:shd w:fill="FFDCE0" w:val="clear"/>
          </w:tcPr>
          <w:p>
            <w:r>
              <w:rPr>
                <w:b/>
                <w:sz w:val="17"/>
              </w:rPr>
              <w:t>27,265</w:t>
            </w:r>
          </w:p>
        </w:tc>
        <w:tc>
          <w:tcPr>
            <w:tcW w:type="dxa" w:w="1440"/>
            <w:shd w:fill="FFDCE0" w:val="clear"/>
          </w:tcPr>
          <w:p>
            <w:r>
              <w:rPr>
                <w:sz w:val="17"/>
              </w:rPr>
              <w:t>28,648</w:t>
            </w:r>
          </w:p>
        </w:tc>
        <w:tc>
          <w:tcPr>
            <w:tcW w:type="dxa" w:w="1440"/>
            <w:shd w:fill="FFDCE0" w:val="clear"/>
          </w:tcPr>
          <w:p>
            <w:r>
              <w:rPr>
                <w:b/>
                <w:color w:val="C00000"/>
                <w:sz w:val="17"/>
              </w:rPr>
              <w:t>-8.8%</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25,565</w:t>
            </w:r>
          </w:p>
        </w:tc>
        <w:tc>
          <w:tcPr>
            <w:tcW w:type="dxa" w:w="1440"/>
            <w:shd w:fill="FFDCE0" w:val="clear"/>
          </w:tcPr>
          <w:p>
            <w:r>
              <w:rPr>
                <w:b/>
                <w:sz w:val="17"/>
              </w:rPr>
              <w:t>27,031</w:t>
            </w:r>
          </w:p>
        </w:tc>
        <w:tc>
          <w:tcPr>
            <w:tcW w:type="dxa" w:w="1440"/>
            <w:shd w:fill="FFDCE0" w:val="clear"/>
          </w:tcPr>
          <w:p>
            <w:r>
              <w:rPr>
                <w:sz w:val="17"/>
              </w:rPr>
              <w:t>28,497</w:t>
            </w:r>
          </w:p>
        </w:tc>
        <w:tc>
          <w:tcPr>
            <w:tcW w:type="dxa" w:w="1440"/>
            <w:shd w:fill="FFDCE0" w:val="clear"/>
          </w:tcPr>
          <w:p>
            <w:r>
              <w:rPr>
                <w:b/>
                <w:color w:val="C00000"/>
                <w:sz w:val="17"/>
              </w:rPr>
              <w:t>-9.6%</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25,264</w:t>
            </w:r>
          </w:p>
        </w:tc>
        <w:tc>
          <w:tcPr>
            <w:tcW w:type="dxa" w:w="1440"/>
            <w:shd w:fill="FFDCE0" w:val="clear"/>
          </w:tcPr>
          <w:p>
            <w:r>
              <w:rPr>
                <w:b/>
                <w:sz w:val="17"/>
              </w:rPr>
              <w:t>26,806</w:t>
            </w:r>
          </w:p>
        </w:tc>
        <w:tc>
          <w:tcPr>
            <w:tcW w:type="dxa" w:w="1440"/>
            <w:shd w:fill="FFDCE0" w:val="clear"/>
          </w:tcPr>
          <w:p>
            <w:r>
              <w:rPr>
                <w:sz w:val="17"/>
              </w:rPr>
              <w:t>28,348</w:t>
            </w:r>
          </w:p>
        </w:tc>
        <w:tc>
          <w:tcPr>
            <w:tcW w:type="dxa" w:w="1440"/>
            <w:shd w:fill="FFDCE0" w:val="clear"/>
          </w:tcPr>
          <w:p>
            <w:r>
              <w:rPr>
                <w:b/>
                <w:color w:val="C00000"/>
                <w:sz w:val="17"/>
              </w:rPr>
              <w:t>-10.3%</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24,977</w:t>
            </w:r>
          </w:p>
        </w:tc>
        <w:tc>
          <w:tcPr>
            <w:tcW w:type="dxa" w:w="1440"/>
            <w:shd w:fill="FFDCE0" w:val="clear"/>
          </w:tcPr>
          <w:p>
            <w:r>
              <w:rPr>
                <w:b/>
                <w:sz w:val="17"/>
              </w:rPr>
              <w:t>26,589</w:t>
            </w:r>
          </w:p>
        </w:tc>
        <w:tc>
          <w:tcPr>
            <w:tcW w:type="dxa" w:w="1440"/>
            <w:shd w:fill="FFDCE0" w:val="clear"/>
          </w:tcPr>
          <w:p>
            <w:r>
              <w:rPr>
                <w:sz w:val="17"/>
              </w:rPr>
              <w:t>28,201</w:t>
            </w:r>
          </w:p>
        </w:tc>
        <w:tc>
          <w:tcPr>
            <w:tcW w:type="dxa" w:w="1440"/>
            <w:shd w:fill="FFDCE0" w:val="clear"/>
          </w:tcPr>
          <w:p>
            <w:r>
              <w:rPr>
                <w:b/>
                <w:color w:val="C00000"/>
                <w:sz w:val="17"/>
              </w:rPr>
              <w:t>-11.1%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498,33 milliards FCFA, ce qui en fait l'une des valeurs les plus significatives de la BRVM, reflétant la confiance des investisseurs dans ce pilier du secteur bancaire ivoirien. Avec un BPA de 2 191 FCFA, chaque action génère un bénéfice substantiel, justifiant un PER de 13,6x. Ce ratio, bien que supérieur à la moyenne historique de la BRVM (8-12x), reste modéré et témoigne d'une valorisation raisonnable pour une banque affichant une croissance aussi robuste. Le P/B de 4,13x indique que le marché valorise fortement la banque au-dessus de sa valeur comptable, une prime qui s'explique par une rentabilité des fonds propres exceptionnelle de 30,29%. Enfin, l'EV/EBITDA de 9,7x, dans la fourchette haute des 5-10x considérés comme raisonnables, confirme une valorisation globalement cohérente avec la qualité des actifs et la performance opérationnelle de l'établissement.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+24,58%, avec une dernière séance en hausse de +1,36%, clôturant à 29 900 FCFA. Le titre a évolué dans une fourchette de 22 500 FCFA (plus bas) à 29 970 FCFA (plus haut), démontrant une dynamique haussière soutenue. La moyenne du cours sur la période (27 393 FCFA) est inférieure à la médiane (28 272 FCFA), et le skewness négatif de -0,953 indique une asymétrie avec des journées plus nombreuses au-dessus de la moyenne, signe d'une pression acheteuse dominante. L'écart-type de 2 002 FCFA, avec un coefficient de variation de 7,3%, révèle une dispersion modérée des prix autour de la moyenne. Le kurtosis de -0,501 (mésokurtique) suggère une distribution proche de la normale, sans risque de variations extrêmes. La volatilité annualisée de 27,0% classe le titre dans la catégorie modérée (15-30%), offrant un équilibre entre potentiel de rendement et maîtrise du risque.</w:t>
      </w:r>
    </w:p>
    <w:p>
      <w:pPr>
        <w:spacing w:after="120" w:line="276" w:lineRule="auto" w:before="240"/>
      </w:pPr>
      <w:r>
        <w:rPr>
          <w:b/>
          <w:color w:val="003366"/>
          <w:sz w:val="24"/>
        </w:rPr>
        <w:t>**PARTIE 2 : ANALYSE TECHNIQUE DÉTAILLÉE**</w:t>
      </w:r>
    </w:p>
    <w:p>
      <w:pPr>
        <w:spacing w:after="120" w:line="276" w:lineRule="auto"/>
      </w:pPr>
      <w:r>
        <w:t>**Moyennes Mobiles** : Le cours actuel de 29 900 FCFA se positionne nettement au-dessus de la MM20 (29 106 FCFA) et de la MM50 (28 721 FCFA), confirmant une tendance haussière solide à court et moyen terme. La configuration des moyennes mobiles, avec la MM20 au-dessus de la MM50, valide la dynamique positive et justifie la décision d'achat.</w:t>
      </w:r>
    </w:p>
    <w:p>
      <w:pPr>
        <w:spacing w:after="120" w:line="276" w:lineRule="auto"/>
      </w:pPr>
      <w:r>
        <w:t>**Bandes de Bollinger** : Le prix évolue à la borne supérieure (29 813,74 FCFA), signalant une pression acheteuse intense et une phase de surachat temporaire. Cette position, couplée à une volatilité en expansion, suggère un possible repli technique à court terme, d'où la décision de vente indiquée.</w:t>
      </w:r>
    </w:p>
    <w:p>
      <w:pPr>
        <w:spacing w:after="120" w:line="276" w:lineRule="auto"/>
      </w:pPr>
      <w:r>
        <w:t>**MACD** : Le MACD (250,18) est nettement supérieur à son signal (180,91), indiquant un momentum haussier puissant. La divergence positive confirme la vigueur de la tendance actuelle, justifiant la décision d'achat.</w:t>
      </w:r>
    </w:p>
    <w:p>
      <w:pPr>
        <w:spacing w:after="120" w:line="276" w:lineRule="auto"/>
      </w:pPr>
      <w:r>
        <w:t>**RSI** : À 59,26, le RSI se situe en zone neutre, sans signal de surachat (70) ni de survente (30). Cette valeur reflète un équilibre entre acheteurs et vendeurs, laissant une marge de progression avant d'atteindre des niveaux extrêmes.</w:t>
      </w:r>
    </w:p>
    <w:p>
      <w:pPr>
        <w:spacing w:after="120" w:line="276" w:lineRule="auto"/>
      </w:pPr>
      <w:r>
        <w:t>**Stochastique** : Le %K (94,89) et le %D (86,86) sont en zone de surachat, indiquant une possible correction à venir. Le croisement potentiel de ces lignes pourrait signaler un retournement baissier à court terme, justifiant la décision de vente.</w:t>
      </w:r>
    </w:p>
    <w:p>
      <w:pPr>
        <w:spacing w:after="120" w:line="276" w:lineRule="auto"/>
      </w:pPr>
      <w:r>
        <w:t>**Conclusion technique** : La tendance de fond demeure résolument haussière, portée par des fondamentaux solides et un momentum positif. Toutefois, les indicateurs de surachat (Bollinger, Stochastique) suggèrent une consolidation ou un léger repli à très court terme avant la poursuite de la tendance. Les signaux sont donc mitigés à court terme mais positifs à moyen terme.</w:t>
      </w:r>
    </w:p>
    <w:p>
      <w:pPr>
        <w:spacing w:after="120" w:line="276" w:lineRule="auto" w:before="240"/>
      </w:pPr>
      <w:r>
        <w:rPr>
          <w:b/>
          <w:color w:val="003366"/>
          <w:sz w:val="24"/>
        </w:rPr>
        <w:t>**PARTIE 3 : ANALYSE FONDAMENTALE (SECTION CRITIQUE)**</w:t>
      </w:r>
    </w:p>
    <w:p>
      <w:pPr>
        <w:spacing w:after="120" w:line="276" w:lineRule="auto"/>
      </w:pPr>
      <w:r>
        <w:t>En 2025, BICC affiche des performances financières exceptionnelles. Le Produit Net Bancaire s'établit à 79,563 milliards FCFA, en croissance de 16,9% par rapport à 2024, porté par une marge d'intermédiation solide et des commissions en hausse. Le résultat net atteint 36,520 milliards FCFA, avec une marge nette de 45,9% et un ROE de 30,29%, parmi les meilleurs du secteur bancaire de l'UEMOA. Le coefficient d'exploitation de 50,83% témoigne d'une excellente maîtrise des charges, tandis que le coût du risque de -12,15% indique une gestion prudente du portefeuille de crédits. Les dépôts clientèle (952,872 milliards FCFA) financent largement les créances sur la clientèle (524,439 milliards FCFA), assurant une liquidité confortable. Les rapports trimestriels 2025 confirment cette dynamique : le T1 2025 (PNB +9,3%, résultat net +23%) et le S1 2025 (PNB +16,6%, résultat net +42,5%) montrent une accélération progressive. Le T3 2025 cumulé affiche un PNB de 58,119 milliards FCFA (+16,4%) et un résultat net de 27,402 milliards FCFA (+50,8%). Sur la base du T1 2026 (PNB de 21,214 milliards FCFA, +17,0% et résultat net de 10,387 milliards FCFA, +29,7%), on estime que l'exercice 2026 devrait confirmer cette trajectoire, avec un PNB annuel potentiel dépassant 85 milliards FCFA et un résultat net supérieur à 40 milliards FCFA. La banque démontre une capacité unique à combiner croissance rentable, maîtrise des risques et efficacité opérationnelle.</w:t>
      </w:r>
    </w:p>
    <w:p>
      <w:pPr>
        <w:spacing w:after="120" w:line="276" w:lineRule="auto" w:before="240"/>
      </w:pPr>
      <w:r>
        <w:rPr>
          <w:b/>
          <w:color w:val="003366"/>
          <w:sz w:val="24"/>
        </w:rPr>
        <w:t>**PARTIE 4 : CONCLUSION D'INVESTISSEMENT**</w:t>
      </w:r>
    </w:p>
    <w:p>
      <w:pPr>
        <w:spacing w:after="120" w:line="276" w:lineRule="auto"/>
      </w:pPr>
      <w:r>
        <w:t>La synthèse des analyses révèle une convergence remarquable entre les signaux. La valorisation (PER de 13,6x, P/B de 4,13x) reflète une prime justifiée par des fondamentaux d'exception, tandis que le comportement du cours (+24,58% sur 100 jours) confirme une tendance haussière robuste, soutenue par une volatilité modérée et une distribution statistique saine. Les signaux techniques, bien que mitigés à très court terme (surachat), restent positifs à moyen terme. Les fondamentaux sont indiscutablement solides : ROE de 30,29%, marge nette de 45,9%, coefficient d'exploitation de 50,83% et croissance soutenue du PNB et du résultat net. Les prédictions IA (29 900 FCFA à 27 761 FCFA sur 10 jours) suggèrent une correction technique à court terme, mais ne remettent pas en cause la tendance de fond. **Recommandation finale : ACHAT** avec un niveau de confiance Élevé et un risque global Moyen. L'horizon d'investissement optimal est le moyen terme (3-12 mois), permettant d'absorber une éventuelle consolidation technique tout en bénéficiant de la poursuite de la croissance des bénéfices. Les investisseurs à long terme (&gt;1 an) peuvent également conserver le titre, adossé à un modèle économique résilient et à une gestion exemplaire.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2,362 titres</w:t>
            </w:r>
          </w:p>
        </w:tc>
        <w:tc>
          <w:tcPr>
            <w:tcW w:type="dxa" w:w="2268"/>
            <w:shd w:fill="FFF2CC" w:val="clear"/>
          </w:tcPr>
          <w:p>
            <w:r>
              <w:rPr>
                <w:b/>
                <w:color w:val="503200"/>
                <w:sz w:val="16"/>
              </w:rPr>
              <w:t xml:space="preserve">Cours actuel : </w:t>
            </w:r>
            <w:r>
              <w:rPr>
                <w:color w:val="000000"/>
                <w:sz w:val="17"/>
              </w:rPr>
              <w:t>2,295 FCFA</w:t>
            </w:r>
          </w:p>
          <w:p>
            <w:r>
              <w:rPr>
                <w:b/>
                <w:color w:val="503200"/>
                <w:sz w:val="16"/>
              </w:rPr>
              <w:t xml:space="preserve">Var. 100 jours : </w:t>
            </w:r>
            <w:r>
              <w:rPr>
                <w:b/>
                <w:color w:val="007800"/>
                <w:sz w:val="17"/>
              </w:rPr>
              <w:t>+51.49%</w:t>
            </w:r>
          </w:p>
          <w:p>
            <w:r>
              <w:rPr>
                <w:b/>
                <w:color w:val="503200"/>
                <w:sz w:val="16"/>
              </w:rPr>
              <w:t xml:space="preserve">Plus haut 100j : </w:t>
            </w:r>
            <w:r>
              <w:rPr>
                <w:color w:val="000000"/>
                <w:sz w:val="17"/>
              </w:rPr>
              <w:t>2,300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12.74% (Moyenne) — μ=1,784 FCFA, σ=227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β=-0.0047 (Contre-cyclique) — Cov=-0.000000, Var(idx)=0.000036, ρ=-0.001,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2,362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2,180</w:t>
            </w:r>
          </w:p>
        </w:tc>
        <w:tc>
          <w:tcPr>
            <w:tcW w:type="dxa" w:w="1440"/>
            <w:shd w:fill="FAFAFA" w:val="clear"/>
          </w:tcPr>
          <w:p>
            <w:r>
              <w:rPr>
                <w:b/>
                <w:sz w:val="17"/>
              </w:rPr>
              <w:t>2,272</w:t>
            </w:r>
          </w:p>
        </w:tc>
        <w:tc>
          <w:tcPr>
            <w:tcW w:type="dxa" w:w="1440"/>
            <w:shd w:fill="FAFAFA" w:val="clear"/>
          </w:tcPr>
          <w:p>
            <w:r>
              <w:rPr>
                <w:sz w:val="17"/>
              </w:rPr>
              <w:t>2,363</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2026-09-02</w:t>
            </w:r>
          </w:p>
        </w:tc>
        <w:tc>
          <w:tcPr>
            <w:tcW w:type="dxa" w:w="1440"/>
            <w:shd w:fill="FAFAFA" w:val="clear"/>
          </w:tcPr>
          <w:p>
            <w:r>
              <w:rPr>
                <w:sz w:val="17"/>
              </w:rPr>
              <w:t>2,126</w:t>
            </w:r>
          </w:p>
        </w:tc>
        <w:tc>
          <w:tcPr>
            <w:tcW w:type="dxa" w:w="1440"/>
            <w:shd w:fill="FAFAFA" w:val="clear"/>
          </w:tcPr>
          <w:p>
            <w:r>
              <w:rPr>
                <w:b/>
                <w:sz w:val="17"/>
              </w:rPr>
              <w:t>2,254</w:t>
            </w:r>
          </w:p>
        </w:tc>
        <w:tc>
          <w:tcPr>
            <w:tcW w:type="dxa" w:w="1440"/>
            <w:shd w:fill="FAFAFA" w:val="clear"/>
          </w:tcPr>
          <w:p>
            <w:r>
              <w:rPr>
                <w:sz w:val="17"/>
              </w:rPr>
              <w:t>2,382</w:t>
            </w:r>
          </w:p>
        </w:tc>
        <w:tc>
          <w:tcPr>
            <w:tcW w:type="dxa" w:w="1440"/>
            <w:shd w:fill="FAFAFA" w:val="clear"/>
          </w:tcPr>
          <w:p>
            <w:r>
              <w:rPr>
                <w:b/>
                <w:color w:val="C00000"/>
                <w:sz w:val="17"/>
              </w:rPr>
              <w:t>-1.8%</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2,084</w:t>
            </w:r>
          </w:p>
        </w:tc>
        <w:tc>
          <w:tcPr>
            <w:tcW w:type="dxa" w:w="1440"/>
            <w:shd w:fill="FFDCE0" w:val="clear"/>
          </w:tcPr>
          <w:p>
            <w:r>
              <w:rPr>
                <w:b/>
                <w:sz w:val="17"/>
              </w:rPr>
              <w:t>2,239</w:t>
            </w:r>
          </w:p>
        </w:tc>
        <w:tc>
          <w:tcPr>
            <w:tcW w:type="dxa" w:w="1440"/>
            <w:shd w:fill="FFDCE0" w:val="clear"/>
          </w:tcPr>
          <w:p>
            <w:r>
              <w:rPr>
                <w:sz w:val="17"/>
              </w:rPr>
              <w:t>2,395</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2,049</w:t>
            </w:r>
          </w:p>
        </w:tc>
        <w:tc>
          <w:tcPr>
            <w:tcW w:type="dxa" w:w="1440"/>
            <w:shd w:fill="FFDCE0" w:val="clear"/>
          </w:tcPr>
          <w:p>
            <w:r>
              <w:rPr>
                <w:b/>
                <w:sz w:val="17"/>
              </w:rPr>
              <w:t>2,228</w:t>
            </w:r>
          </w:p>
        </w:tc>
        <w:tc>
          <w:tcPr>
            <w:tcW w:type="dxa" w:w="1440"/>
            <w:shd w:fill="FFDCE0" w:val="clear"/>
          </w:tcPr>
          <w:p>
            <w:r>
              <w:rPr>
                <w:sz w:val="17"/>
              </w:rPr>
              <w:t>2,407</w:t>
            </w:r>
          </w:p>
        </w:tc>
        <w:tc>
          <w:tcPr>
            <w:tcW w:type="dxa" w:w="1440"/>
            <w:shd w:fill="FFDCE0" w:val="clear"/>
          </w:tcPr>
          <w:p>
            <w:r>
              <w:rPr>
                <w:b/>
                <w:color w:val="C00000"/>
                <w:sz w:val="17"/>
              </w:rPr>
              <w:t>-2.9%</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2,019</w:t>
            </w:r>
          </w:p>
        </w:tc>
        <w:tc>
          <w:tcPr>
            <w:tcW w:type="dxa" w:w="1440"/>
            <w:shd w:fill="FFDCE0" w:val="clear"/>
          </w:tcPr>
          <w:p>
            <w:r>
              <w:rPr>
                <w:b/>
                <w:sz w:val="17"/>
              </w:rPr>
              <w:t>2,219</w:t>
            </w:r>
          </w:p>
        </w:tc>
        <w:tc>
          <w:tcPr>
            <w:tcW w:type="dxa" w:w="1440"/>
            <w:shd w:fill="FFDCE0" w:val="clear"/>
          </w:tcPr>
          <w:p>
            <w:r>
              <w:rPr>
                <w:sz w:val="17"/>
              </w:rPr>
              <w:t>2,418</w:t>
            </w:r>
          </w:p>
        </w:tc>
        <w:tc>
          <w:tcPr>
            <w:tcW w:type="dxa" w:w="1440"/>
            <w:shd w:fill="FFDCE0" w:val="clear"/>
          </w:tcPr>
          <w:p>
            <w:r>
              <w:rPr>
                <w:b/>
                <w:color w:val="C00000"/>
                <w:sz w:val="17"/>
              </w:rPr>
              <w:t>-3.3%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1,993</w:t>
            </w:r>
          </w:p>
        </w:tc>
        <w:tc>
          <w:tcPr>
            <w:tcW w:type="dxa" w:w="1440"/>
            <w:shd w:fill="FFDCE0" w:val="clear"/>
          </w:tcPr>
          <w:p>
            <w:r>
              <w:rPr>
                <w:b/>
                <w:sz w:val="17"/>
              </w:rPr>
              <w:t>2,210</w:t>
            </w:r>
          </w:p>
        </w:tc>
        <w:tc>
          <w:tcPr>
            <w:tcW w:type="dxa" w:w="1440"/>
            <w:shd w:fill="FFDCE0" w:val="clear"/>
          </w:tcPr>
          <w:p>
            <w:r>
              <w:rPr>
                <w:sz w:val="17"/>
              </w:rPr>
              <w:t>2,428</w:t>
            </w:r>
          </w:p>
        </w:tc>
        <w:tc>
          <w:tcPr>
            <w:tcW w:type="dxa" w:w="1440"/>
            <w:shd w:fill="FFDCE0" w:val="clear"/>
          </w:tcPr>
          <w:p>
            <w:r>
              <w:rPr>
                <w:b/>
                <w:color w:val="C00000"/>
                <w:sz w:val="17"/>
              </w:rPr>
              <w:t>-3.7%</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1,968</w:t>
            </w:r>
          </w:p>
        </w:tc>
        <w:tc>
          <w:tcPr>
            <w:tcW w:type="dxa" w:w="1440"/>
            <w:shd w:fill="FFDCE0" w:val="clear"/>
          </w:tcPr>
          <w:p>
            <w:r>
              <w:rPr>
                <w:b/>
                <w:sz w:val="17"/>
              </w:rPr>
              <w:t>2,203</w:t>
            </w:r>
          </w:p>
        </w:tc>
        <w:tc>
          <w:tcPr>
            <w:tcW w:type="dxa" w:w="1440"/>
            <w:shd w:fill="FFDCE0" w:val="clear"/>
          </w:tcPr>
          <w:p>
            <w:r>
              <w:rPr>
                <w:sz w:val="17"/>
              </w:rPr>
              <w:t>2,437</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1,946</w:t>
            </w:r>
          </w:p>
        </w:tc>
        <w:tc>
          <w:tcPr>
            <w:tcW w:type="dxa" w:w="1440"/>
            <w:shd w:fill="FFDCE0" w:val="clear"/>
          </w:tcPr>
          <w:p>
            <w:r>
              <w:rPr>
                <w:b/>
                <w:sz w:val="17"/>
              </w:rPr>
              <w:t>2,196</w:t>
            </w:r>
          </w:p>
        </w:tc>
        <w:tc>
          <w:tcPr>
            <w:tcW w:type="dxa" w:w="1440"/>
            <w:shd w:fill="FFDCE0" w:val="clear"/>
          </w:tcPr>
          <w:p>
            <w:r>
              <w:rPr>
                <w:sz w:val="17"/>
              </w:rPr>
              <w:t>2,445</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1,925</w:t>
            </w:r>
          </w:p>
        </w:tc>
        <w:tc>
          <w:tcPr>
            <w:tcW w:type="dxa" w:w="1440"/>
            <w:shd w:fill="FFDCE0" w:val="clear"/>
          </w:tcPr>
          <w:p>
            <w:r>
              <w:rPr>
                <w:b/>
                <w:sz w:val="17"/>
              </w:rPr>
              <w:t>2,189</w:t>
            </w:r>
          </w:p>
        </w:tc>
        <w:tc>
          <w:tcPr>
            <w:tcW w:type="dxa" w:w="1440"/>
            <w:shd w:fill="FFDCE0" w:val="clear"/>
          </w:tcPr>
          <w:p>
            <w:r>
              <w:rPr>
                <w:sz w:val="17"/>
              </w:rPr>
              <w:t>2,453</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1,905</w:t>
            </w:r>
          </w:p>
        </w:tc>
        <w:tc>
          <w:tcPr>
            <w:tcW w:type="dxa" w:w="1440"/>
            <w:shd w:fill="FFDCE0" w:val="clear"/>
          </w:tcPr>
          <w:p>
            <w:r>
              <w:rPr>
                <w:b/>
                <w:sz w:val="17"/>
              </w:rPr>
              <w:t>2,183</w:t>
            </w:r>
          </w:p>
        </w:tc>
        <w:tc>
          <w:tcPr>
            <w:tcW w:type="dxa" w:w="1440"/>
            <w:shd w:fill="FFDCE0" w:val="clear"/>
          </w:tcPr>
          <w:p>
            <w:r>
              <w:rPr>
                <w:sz w:val="17"/>
              </w:rPr>
              <w:t>2,460</w:t>
            </w:r>
          </w:p>
        </w:tc>
        <w:tc>
          <w:tcPr>
            <w:tcW w:type="dxa" w:w="1440"/>
            <w:shd w:fill="FFDCE0" w:val="clear"/>
          </w:tcPr>
          <w:p>
            <w:r>
              <w:rPr>
                <w:b/>
                <w:color w:val="C00000"/>
                <w:sz w:val="17"/>
              </w:rPr>
              <w:t>-4.9%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(BERNABE CÔTE D'IVOIRE)**</w:t>
        <w:br/>
        <w:t>**Date de l'analyse :** 1er septembre 2026</w:t>
        <w:br/>
        <w:t>**Cours de référence :** 2 295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15,20 milliards FCFA, un niveau modeste sur la BRVM qui reflète la taille moyenne de l'entreprise dans le secteur de la distribution de matériaux. Le BPA de 3 FCFA par action est extrêmement faible, ce qui explique un PER de 681,2x, très largement supérieur à la moyenne du marché BRVM (8-12x). Ce ratio indique que les investisseurs paient un prix très élevé pour des bénéfices quasi inexistants, signe d'une valorisation spéculative. En revanche, le P/B de 0,86x est inférieur à 1, ce qui signifie que le marché valorise la société en dessous de sa valeur comptable, suggérant une décote potentielle sur les actifs. Enfin, l'EV/EBITDA de 25,2x est exigeant, indiquant que la valeur d'entreprise est élevée par rapport à sa capacité opérationnelle brute, ce qui renforce la prudence.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hausse spectaculaire de +51,49%, avec une légère baisse de -0,22% lors de la dernière séance. Le cours a évolué dans une fourchette large, entre un plus bas de 1 300 FCFA et un plus haut de 2 300 FCFA, démontrant une forte dynamique haussière. La moyenne du cours sur la période est de 1 784 FCFA, tandis que la médiane est de 1 875 FCFA, indiquant une distribution légèrement asymétrique avec des valeurs extrêmes à la hausse. L'écart-type de 228 FCFA (CV=12,8%) révèle une dispersion modérée, tandis que le kurtosis de -0,830 (mésokurtique) et le skewness de -0,072 indiquent une distribution proche de la normale, sans risque de pics extrêmes. La volatilité annualisée de 49,6% est très élevée, positionnant le titre comme spéculatif et risqué.</w:t>
      </w:r>
    </w:p>
    <w:p>
      <w:pPr>
        <w:spacing w:after="120" w:line="276" w:lineRule="auto"/>
      </w:pPr>
      <w:r>
        <w:t>---</w:t>
      </w:r>
    </w:p>
    <w:p>
      <w:pPr>
        <w:spacing w:after="120" w:line="276" w:lineRule="auto"/>
      </w:pPr>
      <w:r>
        <w:t>### PARTIE 2 : ANALYSE TECHNIQUE DÉTAILLÉE</w:t>
      </w:r>
    </w:p>
    <w:p>
      <w:pPr>
        <w:spacing w:after="120" w:line="276" w:lineRule="auto"/>
      </w:pPr>
      <w:r>
        <w:t>**Moyennes Mobiles** : La MM20 à 2 020,75 FCFA et la MM50 à 1 968,4 FCFA sont toutes deux inférieures au cours actuel de 2 295 FCFA, confirmant une tendance haussière solide. Le croisement des moyennes mobiles et la position du prix au-dessus de celles-ci justifient la décision d'achat, indiquant un momentum positif.</w:t>
      </w:r>
    </w:p>
    <w:p>
      <w:pPr>
        <w:spacing w:after="120" w:line="276" w:lineRule="auto"/>
      </w:pPr>
      <w:r>
        <w:t>**Bandes de Bollinger** : Le cours actuel se situe au-dessus de la borne supérieure (2 281,40 FCFA), signalant une condition de surachat extrême. La largeur des bandes reflète une volatilité élevée, et la sortie du cours au-delà de la borne supérieure justifie la décision de vente, suggérant un possible retour vers la moyenne.</w:t>
      </w:r>
    </w:p>
    <w:p>
      <w:pPr>
        <w:spacing w:after="120" w:line="276" w:lineRule="auto"/>
      </w:pPr>
      <w:r>
        <w:t>**MACD** : La valeur du MACD (84,829) est nettement supérieure à sa ligne de signal (49,845), indiquant un momentum haussier fort. La divergence positive entre le MACD et le signal confirme la dynamique ascendante, justifiant la décision d'achat malgré des conditions de surachat.</w:t>
      </w:r>
    </w:p>
    <w:p>
      <w:pPr>
        <w:spacing w:after="120" w:line="276" w:lineRule="auto"/>
      </w:pPr>
      <w:r>
        <w:t>**RSI** : Le RSI à 94,318 est extrêmement élevé, bien au-dessus du seuil de surachat de 70. Cette valeur indique que le titre est massivement suracheté, avec un risque élevé de correction à court terme. La décision de vente est donc justifiée pour anticiper un repli technique.</w:t>
      </w:r>
    </w:p>
    <w:p>
      <w:pPr>
        <w:spacing w:after="120" w:line="276" w:lineRule="auto"/>
      </w:pPr>
      <w:r>
        <w:t>**Stochastique** : Le %K (98,413) et le %D (99,471) sont tous deux proches de 100, confirmant une condition de surachat extrême. Le croisement des deux lignes à ces niveaux suggère un épuisement potentiel du mouvement haussier, justifiant la décision de vente.</w:t>
      </w:r>
    </w:p>
    <w:p>
      <w:pPr>
        <w:spacing w:after="120" w:line="276" w:lineRule="auto"/>
      </w:pPr>
      <w:r>
        <w:t>**Conclusion technique** : La convergence des indicateurs de surachat (RSI, Stochastique, Bandes de Bollinger) avec un momentum haussier (MACD, MM) crée un conflit. Bien que la tendance soit clairement haussière, les conditions de surachat extrême signalent un risque élevé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BNBC a réalisé un chiffre d'affaires de 42,454 milliards FCFA, en baisse de -6,31% par rapport à 2024 (45,312 milliards FCFA), avec un résultat net de 22,32 millions FCFA, en amélioration par rapport aux 7,31 millions de 2024. La marge nette reste anémique à 0,05%, et le ROE est de 0,13%, tandis que le ROA est de 0,05%, reflétant une rentabilité quasi nulle. Le BFR de 29,373 milliards FCFA est positif, indiquant un besoin de financement important, avec un délai clients de 104 jours et un délai fournisseurs de 116 jours, ce qui crée une pression sur la trésorerie. La trésorerie nette est fortement négative à -16,689 milliards FCFA, un risque de liquidité majeur. Sur la base du rapport T1 2026, le chiffre d'affaires est stable à 11,194 milliards FCFA (-0,12%), mais le résultat net s'est redressé à 65,57 millions FCFA, contre une perte de 16,15 millions au T1 2025, grâce à l'intégration de la division Équipement. On estime que l'exercice 2026 pourrait voir une amélioration progressive de la rentabilité, mais la situation reste fragile avec une dépendance aux affaires exceptionnelles et une capacité de remboursement de 19,17 ans, très élevée.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avec un PER de 681,2x, bien que le P/B de 0,86x suggère une décote sur les actifs. Le comportement du cours montre une hausse spectaculaire de +51,49% sur 100 jours, mais avec une volatilité annualisée de 49,6% et des conditions de surachat extrême (RSI à 94,3, Stochastique à 98,4), signalant un risque de correction. Les signaux techniques sont divergents : les moyennes mobiles et le MACD sont positifs, mais les bandes de Bollinger et le RSI indiquent un épuisement du mouvement. Fondamentalement, la société est fragile avec une rentabilité quasi nulle, une trésorerie négative et un endettement élevé, malgré une amélioration au T1 2026. Les prédictions IA prévoient une baisse progressive du cours vers 2 219 FCFA sur 10 jours, confirmant le risque de correction. En synthèse, la recommandation est **VENTE**, avec un niveau de confiance **Moyen** et un risque global **Élevé**. L'horizon d'investissement optimal est le **court terme (&lt;3 mois)** pour les investisseurs cherchant à sécuriser des gains, tandis que les fondamentaux ne justifient pas une détention à long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415.14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5,928 titres</w:t>
            </w:r>
          </w:p>
        </w:tc>
        <w:tc>
          <w:tcPr>
            <w:tcW w:type="dxa" w:w="2268"/>
            <w:shd w:fill="FFF2CC" w:val="clear"/>
          </w:tcPr>
          <w:p>
            <w:r>
              <w:rPr>
                <w:b/>
                <w:color w:val="503200"/>
                <w:sz w:val="16"/>
              </w:rPr>
              <w:t xml:space="preserve">Cours actuel : </w:t>
            </w:r>
            <w:r>
              <w:rPr>
                <w:color w:val="000000"/>
                <w:sz w:val="17"/>
              </w:rPr>
              <w:t>10,235 FCFA</w:t>
            </w:r>
          </w:p>
          <w:p>
            <w:r>
              <w:rPr>
                <w:b/>
                <w:color w:val="503200"/>
                <w:sz w:val="16"/>
              </w:rPr>
              <w:t xml:space="preserve">Var. 100 jours : </w:t>
            </w:r>
            <w:r>
              <w:rPr>
                <w:b/>
                <w:color w:val="007800"/>
                <w:sz w:val="17"/>
              </w:rPr>
              <w:t>+34.67%</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6.56% (Moyenne) — μ=8,807 FCFA, σ=578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β=-0.3091 (Contre-cyclique) — Cov=-0.000011, Var(idx)=0.000036, ρ=-0.108,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9,404</w:t>
            </w:r>
          </w:p>
        </w:tc>
        <w:tc>
          <w:tcPr>
            <w:tcW w:type="dxa" w:w="1440"/>
            <w:shd w:fill="FFDCE0" w:val="clear"/>
          </w:tcPr>
          <w:p>
            <w:r>
              <w:rPr>
                <w:b/>
                <w:sz w:val="17"/>
              </w:rPr>
              <w:t>9,746</w:t>
            </w:r>
          </w:p>
        </w:tc>
        <w:tc>
          <w:tcPr>
            <w:tcW w:type="dxa" w:w="1440"/>
            <w:shd w:fill="FFDCE0" w:val="clear"/>
          </w:tcPr>
          <w:p>
            <w:r>
              <w:rPr>
                <w:sz w:val="17"/>
              </w:rPr>
              <w:t>10,088</w:t>
            </w:r>
          </w:p>
        </w:tc>
        <w:tc>
          <w:tcPr>
            <w:tcW w:type="dxa" w:w="1440"/>
            <w:shd w:fill="FFDCE0" w:val="clear"/>
          </w:tcPr>
          <w:p>
            <w:r>
              <w:rPr>
                <w:b/>
                <w:color w:val="C00000"/>
                <w:sz w:val="17"/>
              </w:rPr>
              <w:t>-4.8%</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9,020</w:t>
            </w:r>
          </w:p>
        </w:tc>
        <w:tc>
          <w:tcPr>
            <w:tcW w:type="dxa" w:w="1440"/>
            <w:shd w:fill="FFDCE0" w:val="clear"/>
          </w:tcPr>
          <w:p>
            <w:r>
              <w:rPr>
                <w:b/>
                <w:sz w:val="17"/>
              </w:rPr>
              <w:t>9,491</w:t>
            </w:r>
          </w:p>
        </w:tc>
        <w:tc>
          <w:tcPr>
            <w:tcW w:type="dxa" w:w="1440"/>
            <w:shd w:fill="FFDCE0" w:val="clear"/>
          </w:tcPr>
          <w:p>
            <w:r>
              <w:rPr>
                <w:sz w:val="17"/>
              </w:rPr>
              <w:t>9,962</w:t>
            </w:r>
          </w:p>
        </w:tc>
        <w:tc>
          <w:tcPr>
            <w:tcW w:type="dxa" w:w="1440"/>
            <w:shd w:fill="FFDCE0" w:val="clear"/>
          </w:tcPr>
          <w:p>
            <w:r>
              <w:rPr>
                <w:b/>
                <w:color w:val="C00000"/>
                <w:sz w:val="17"/>
              </w:rPr>
              <w:t>-7.3%</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8,714</w:t>
            </w:r>
          </w:p>
        </w:tc>
        <w:tc>
          <w:tcPr>
            <w:tcW w:type="dxa" w:w="1440"/>
            <w:shd w:fill="FFDCE0" w:val="clear"/>
          </w:tcPr>
          <w:p>
            <w:r>
              <w:rPr>
                <w:b/>
                <w:sz w:val="17"/>
              </w:rPr>
              <w:t>9,278</w:t>
            </w:r>
          </w:p>
        </w:tc>
        <w:tc>
          <w:tcPr>
            <w:tcW w:type="dxa" w:w="1440"/>
            <w:shd w:fill="FFDCE0" w:val="clear"/>
          </w:tcPr>
          <w:p>
            <w:r>
              <w:rPr>
                <w:sz w:val="17"/>
              </w:rPr>
              <w:t>9,842</w:t>
            </w:r>
          </w:p>
        </w:tc>
        <w:tc>
          <w:tcPr>
            <w:tcW w:type="dxa" w:w="1440"/>
            <w:shd w:fill="FFDCE0" w:val="clear"/>
          </w:tcPr>
          <w:p>
            <w:r>
              <w:rPr>
                <w:b/>
                <w:color w:val="C00000"/>
                <w:sz w:val="17"/>
              </w:rPr>
              <w:t>-9.4%</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8,474</w:t>
            </w:r>
          </w:p>
        </w:tc>
        <w:tc>
          <w:tcPr>
            <w:tcW w:type="dxa" w:w="1440"/>
            <w:shd w:fill="FFDCE0" w:val="clear"/>
          </w:tcPr>
          <w:p>
            <w:r>
              <w:rPr>
                <w:b/>
                <w:sz w:val="17"/>
              </w:rPr>
              <w:t>9,114</w:t>
            </w:r>
          </w:p>
        </w:tc>
        <w:tc>
          <w:tcPr>
            <w:tcW w:type="dxa" w:w="1440"/>
            <w:shd w:fill="FFDCE0" w:val="clear"/>
          </w:tcPr>
          <w:p>
            <w:r>
              <w:rPr>
                <w:sz w:val="17"/>
              </w:rPr>
              <w:t>9,753</w:t>
            </w:r>
          </w:p>
        </w:tc>
        <w:tc>
          <w:tcPr>
            <w:tcW w:type="dxa" w:w="1440"/>
            <w:shd w:fill="FFDCE0" w:val="clear"/>
          </w:tcPr>
          <w:p>
            <w:r>
              <w:rPr>
                <w:b/>
                <w:color w:val="C00000"/>
                <w:sz w:val="17"/>
              </w:rPr>
              <w:t>-11.0%</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8,267</w:t>
            </w:r>
          </w:p>
        </w:tc>
        <w:tc>
          <w:tcPr>
            <w:tcW w:type="dxa" w:w="1440"/>
            <w:shd w:fill="FFDCE0" w:val="clear"/>
          </w:tcPr>
          <w:p>
            <w:r>
              <w:rPr>
                <w:b/>
                <w:sz w:val="17"/>
              </w:rPr>
              <w:t>8,971</w:t>
            </w:r>
          </w:p>
        </w:tc>
        <w:tc>
          <w:tcPr>
            <w:tcW w:type="dxa" w:w="1440"/>
            <w:shd w:fill="FFDCE0" w:val="clear"/>
          </w:tcPr>
          <w:p>
            <w:r>
              <w:rPr>
                <w:sz w:val="17"/>
              </w:rPr>
              <w:t>9,674</w:t>
            </w:r>
          </w:p>
        </w:tc>
        <w:tc>
          <w:tcPr>
            <w:tcW w:type="dxa" w:w="1440"/>
            <w:shd w:fill="FFDCE0" w:val="clear"/>
          </w:tcPr>
          <w:p>
            <w:r>
              <w:rPr>
                <w:b/>
                <w:color w:val="C00000"/>
                <w:sz w:val="17"/>
              </w:rPr>
              <w:t>-12.4%</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8,080</w:t>
            </w:r>
          </w:p>
        </w:tc>
        <w:tc>
          <w:tcPr>
            <w:tcW w:type="dxa" w:w="1440"/>
            <w:shd w:fill="FFDCE0" w:val="clear"/>
          </w:tcPr>
          <w:p>
            <w:r>
              <w:rPr>
                <w:b/>
                <w:sz w:val="17"/>
              </w:rPr>
              <w:t>8,839</w:t>
            </w:r>
          </w:p>
        </w:tc>
        <w:tc>
          <w:tcPr>
            <w:tcW w:type="dxa" w:w="1440"/>
            <w:shd w:fill="FFDCE0" w:val="clear"/>
          </w:tcPr>
          <w:p>
            <w:r>
              <w:rPr>
                <w:sz w:val="17"/>
              </w:rPr>
              <w:t>9,599</w:t>
            </w:r>
          </w:p>
        </w:tc>
        <w:tc>
          <w:tcPr>
            <w:tcW w:type="dxa" w:w="1440"/>
            <w:shd w:fill="FFDCE0" w:val="clear"/>
          </w:tcPr>
          <w:p>
            <w:r>
              <w:rPr>
                <w:b/>
                <w:color w:val="C00000"/>
                <w:sz w:val="17"/>
              </w:rPr>
              <w:t>-13.6%</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7,908</w:t>
            </w:r>
          </w:p>
        </w:tc>
        <w:tc>
          <w:tcPr>
            <w:tcW w:type="dxa" w:w="1440"/>
            <w:shd w:fill="FFDCE0" w:val="clear"/>
          </w:tcPr>
          <w:p>
            <w:r>
              <w:rPr>
                <w:b/>
                <w:sz w:val="17"/>
              </w:rPr>
              <w:t>8,717</w:t>
            </w:r>
          </w:p>
        </w:tc>
        <w:tc>
          <w:tcPr>
            <w:tcW w:type="dxa" w:w="1440"/>
            <w:shd w:fill="FFDCE0" w:val="clear"/>
          </w:tcPr>
          <w:p>
            <w:r>
              <w:rPr>
                <w:sz w:val="17"/>
              </w:rPr>
              <w:t>9,526</w:t>
            </w:r>
          </w:p>
        </w:tc>
        <w:tc>
          <w:tcPr>
            <w:tcW w:type="dxa" w:w="1440"/>
            <w:shd w:fill="FFDCE0" w:val="clear"/>
          </w:tcPr>
          <w:p>
            <w:r>
              <w:rPr>
                <w:b/>
                <w:color w:val="C00000"/>
                <w:sz w:val="17"/>
              </w:rPr>
              <w:t>-14.8%</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7,749</w:t>
            </w:r>
          </w:p>
        </w:tc>
        <w:tc>
          <w:tcPr>
            <w:tcW w:type="dxa" w:w="1440"/>
            <w:shd w:fill="FFDCE0" w:val="clear"/>
          </w:tcPr>
          <w:p>
            <w:r>
              <w:rPr>
                <w:b/>
                <w:sz w:val="17"/>
              </w:rPr>
              <w:t>8,603</w:t>
            </w:r>
          </w:p>
        </w:tc>
        <w:tc>
          <w:tcPr>
            <w:tcW w:type="dxa" w:w="1440"/>
            <w:shd w:fill="FFDCE0" w:val="clear"/>
          </w:tcPr>
          <w:p>
            <w:r>
              <w:rPr>
                <w:sz w:val="17"/>
              </w:rPr>
              <w:t>9,456</w:t>
            </w:r>
          </w:p>
        </w:tc>
        <w:tc>
          <w:tcPr>
            <w:tcW w:type="dxa" w:w="1440"/>
            <w:shd w:fill="FFDCE0" w:val="clear"/>
          </w:tcPr>
          <w:p>
            <w:r>
              <w:rPr>
                <w:b/>
                <w:color w:val="C00000"/>
                <w:sz w:val="17"/>
              </w:rPr>
              <w:t>-15.9%</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7,601</w:t>
            </w:r>
          </w:p>
        </w:tc>
        <w:tc>
          <w:tcPr>
            <w:tcW w:type="dxa" w:w="1440"/>
            <w:shd w:fill="FFDCE0" w:val="clear"/>
          </w:tcPr>
          <w:p>
            <w:r>
              <w:rPr>
                <w:b/>
                <w:sz w:val="17"/>
              </w:rPr>
              <w:t>8,495</w:t>
            </w:r>
          </w:p>
        </w:tc>
        <w:tc>
          <w:tcPr>
            <w:tcW w:type="dxa" w:w="1440"/>
            <w:shd w:fill="FFDCE0" w:val="clear"/>
          </w:tcPr>
          <w:p>
            <w:r>
              <w:rPr>
                <w:sz w:val="17"/>
              </w:rPr>
              <w:t>9,389</w:t>
            </w:r>
          </w:p>
        </w:tc>
        <w:tc>
          <w:tcPr>
            <w:tcW w:type="dxa" w:w="1440"/>
            <w:shd w:fill="FFDCE0" w:val="clear"/>
          </w:tcPr>
          <w:p>
            <w:r>
              <w:rPr>
                <w:b/>
                <w:color w:val="C00000"/>
                <w:sz w:val="17"/>
              </w:rPr>
              <w:t>-17.0%</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7,462</w:t>
            </w:r>
          </w:p>
        </w:tc>
        <w:tc>
          <w:tcPr>
            <w:tcW w:type="dxa" w:w="1440"/>
            <w:shd w:fill="FFDCE0" w:val="clear"/>
          </w:tcPr>
          <w:p>
            <w:r>
              <w:rPr>
                <w:b/>
                <w:sz w:val="17"/>
              </w:rPr>
              <w:t>8,394</w:t>
            </w:r>
          </w:p>
        </w:tc>
        <w:tc>
          <w:tcPr>
            <w:tcW w:type="dxa" w:w="1440"/>
            <w:shd w:fill="FFDCE0" w:val="clear"/>
          </w:tcPr>
          <w:p>
            <w:r>
              <w:rPr>
                <w:sz w:val="17"/>
              </w:rPr>
              <w:t>9,325</w:t>
            </w:r>
          </w:p>
        </w:tc>
        <w:tc>
          <w:tcPr>
            <w:tcW w:type="dxa" w:w="1440"/>
            <w:shd w:fill="FFDCE0" w:val="clear"/>
          </w:tcPr>
          <w:p>
            <w:r>
              <w:rPr>
                <w:b/>
                <w:color w:val="C00000"/>
                <w:sz w:val="17"/>
              </w:rPr>
              <w:t>-18.0%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415,14 milliards FCFA, ce qui en fait l'une des valeurs significatives de la BRVM, reflétant la confiance des investisseurs dans le secteur bancaire béninois. Le BPA de 496 FCFA indique que chaque action génère un bénéfice substantiel, mais le PER de 20,6x est nettement supérieur à la moyenne historique de la BRVM (8-12x), signalant que les investisseurs paient une prime significative, anticipant probablement une croissance future soutenue. Le P/B de 3,53x confirme cette prime, le marché valorisant la banque bien au-dessus de sa valeur comptable, ce qui est typique des institutions financières jugées performantes. Enfin, l'EV/EBITDA de 20,9x, très exigeant, indique que la valeur totale de l'entreprise est élevée par rapport à sa capacité opérationnelle, renforçant l'idée d'une valorisation qui intègre des attentes de croissance ambitieuses.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progression remarquable de +34,67%, avec un cours actuel de 10 235 FCFA, bien que la dernière séance soit restée stable. Le titre a évolué dans une fourchette de 7 400 FCFA (plus bas) à 10 350 FCFA (plus haut), démontrant une dynamique haussière soutenue. La moyenne de 8 807 FCFA, très proche de la médiane de 8 795 FCFA, indique une distribution relativement symétrique, confirmée par un skewness de -0,110. L'écart-type de 581 FCFA (CV=6,6%) révèle une dispersion modérée, tandis que le kurtosis de 1,015 (leptokurtique) suggère un risque de mouvements extrêmes, avec des queues de distribution épaisses. La volatilité annualisée de 27,2% classe le titre dans la catégorie modérée à élevée, indiquant un risque non négligeable mais cohérent avec la forte appréciation observée.</w:t>
      </w:r>
    </w:p>
    <w:p>
      <w:pPr>
        <w:spacing w:after="120" w:line="276" w:lineRule="auto" w:before="240"/>
      </w:pPr>
      <w:r>
        <w:rPr>
          <w:b/>
          <w:color w:val="003366"/>
          <w:sz w:val="24"/>
        </w:rPr>
        <w:t>**PARTIE 2 : ANALYSE TECHNIQUE DÉTAILLÉE**</w:t>
      </w:r>
    </w:p>
    <w:p>
      <w:pPr>
        <w:spacing w:after="120" w:line="276" w:lineRule="auto"/>
      </w:pPr>
      <w:r>
        <w:t>Les **Moyennes Mobiles** indiquent une tendance haussière claire : la MM20 (9 223,5 FCFA) est supérieure à la MM50 (8 993,1 FCFA), et le cours actuel (10 235 FCFA) se situe nettement au-dessus des deux, confirmant la dynamique positive et justifiant la décision d'achat.</w:t>
      </w:r>
    </w:p>
    <w:p>
      <w:pPr>
        <w:spacing w:after="120" w:line="276" w:lineRule="auto"/>
      </w:pPr>
      <w:r>
        <w:t>Les **Bandes de Bollinger** montrent que le cours se positionne près de la borne supérieure (10 542,7 FCFA), indiquant une pression acheteuse soutenue. La décision "Neutre" suggère que malgré la proximité de la borne, le titre n'est pas encore en situation de surachat extrême, mais la volatilité reste élevée.</w:t>
      </w:r>
    </w:p>
    <w:p>
      <w:pPr>
        <w:spacing w:after="120" w:line="276" w:lineRule="auto"/>
      </w:pPr>
      <w:r>
        <w:t>Le **MACD** affiche une valeur de 385,54, nettement supérieure au signal (243,18), confirmant un momentum haussier robuste. Cette divergence positive indique que la tendance haussière est solidement ancrée, justifiant la décision d'achat.</w:t>
      </w:r>
    </w:p>
    <w:p>
      <w:pPr>
        <w:spacing w:after="120" w:line="276" w:lineRule="auto"/>
      </w:pPr>
      <w:r>
        <w:t>Le **RSI** à 77,47 est en zone de surachat (au-dessus de 70), signalant que le titre est techniquement surévalué à court terme. La décision de vente suggère un risque de correction, malgré la force de la tendance.</w:t>
      </w:r>
    </w:p>
    <w:p>
      <w:pPr>
        <w:spacing w:after="120" w:line="276" w:lineRule="auto"/>
      </w:pPr>
      <w:r>
        <w:t>Le **Stochastique** avec %K à 93,215 et %D à 88,621 confirme également la zone de surachat, les deux lignes étant à des niveaux extrêmes. La décision de vente indique un potentiel de repli technique imminent.</w:t>
      </w:r>
    </w:p>
    <w:p>
      <w:pPr>
        <w:spacing w:after="120" w:line="276" w:lineRule="auto"/>
      </w:pPr>
      <w:r>
        <w:t>En conclusion, les indicateurs de tendance (MM, MACD) sont positifs, mais les oscillateurs (RSI, Stochastique) signalent un surachat prononcé. Cette divergence suggère qu'un repli technique est probable à court terme, bien que la tendance de fond reste haussière.</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banque performante : le PNB s'établit à 51,274 milliards FCFA, avec un résultat net de 20,107 milliards FCFA, soit un ROE de 17,11% et un ROA de 2,08%, démontrant une excellente rentabilité. Le coefficient d'exploitation de 49,53% est remarquable, indiquant une gestion efficace des charges. Cependant, le coût du risque de 22,50% est élevé, signalant un risque de crédit significatif. Les dépôts clients (711,642 milliards FCFA) dépassent largement les créances (391,724 milliards FCFA), assurant une transformation saine. Les rapports trimestriels 2025 montrent une progression : le T3 2025 affiche un PNB de 37,065 milliards FCFA (+9% en glissement annuel) et un résultat net de 15,880 milliards FCFA (+13%), malgré une contraction des crédits (-10%) et dépôts (-5%). Le rapport T1 2026 confirme cette dynamique avec un PNB de 12,329 milliards FCFA (+11%), porté par les commissions (+18,9%). On estime que l'exercice 2026 devrait dépasser les performances de 2025, avec une amélioration continue de la rentabilité, bien que la contraction du bilan reste un point de vigilance.</w:t>
      </w:r>
    </w:p>
    <w:p>
      <w:pPr>
        <w:spacing w:after="120" w:line="276" w:lineRule="auto" w:before="240"/>
      </w:pPr>
      <w:r>
        <w:rPr>
          <w:b/>
          <w:color w:val="003366"/>
          <w:sz w:val="24"/>
        </w:rPr>
        <w:t>**PARTIE 4 : CONCLUSION D'INVESTISSEMENT**</w:t>
      </w:r>
    </w:p>
    <w:p>
      <w:pPr>
        <w:spacing w:after="120" w:line="276" w:lineRule="auto"/>
      </w:pPr>
      <w:r>
        <w:t>La valorisation de BOAB (PER 20,6x, P/B 3,53x, EV/EBITDA 20,9x) indique une surévaluation relative par rapport au marché, intégrant des attentes de croissance élevées. Le comportement du cours montre une tendance haussière forte (+34,67% sur 100 jours) mais avec une volatilité modérée-élevée (27,2%) et un risque de pics (kurtosis leptokurtique). Les signaux techniques sont mitigés : les indicateurs de tendance (MM, MACD) sont positifs, mais les oscillateurs (RSI 77,47, Stochastique 93,2) signalent un surachat extrême, suggérant un repli imminent. Les fondamentaux sont solides, avec une rentabilité excellente (ROE 17,11%) et une efficacité opérationnelle remarquable, soutenue par les rapports trimestriels 2025 et T1 2026. Les prédictions IA (9 746 à 8 971 FCFA sur 10 jours) confirment une correction attendue. En synthèse, la convergence entre le surachat technique et les prédictions IA suggère une consolidation à court terme, mais les fondamentaux solides justifient une perspective positive à moyen terme. Recommandation : **CONSERVER** avec un niveau de confiance **Moyen**, un risque global **Moyen**, et un horizon d'investissement optimal à **moyen terme (3-12 mois)**, en attendant un point d'entrée plus favorable après la correction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387.20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6,800 titres</w:t>
            </w:r>
          </w:p>
        </w:tc>
        <w:tc>
          <w:tcPr>
            <w:tcW w:type="dxa" w:w="2268"/>
            <w:shd w:fill="FFF2CC" w:val="clear"/>
          </w:tcPr>
          <w:p>
            <w:r>
              <w:rPr>
                <w:b/>
                <w:color w:val="503200"/>
                <w:sz w:val="16"/>
              </w:rPr>
              <w:t xml:space="preserve">Cours actuel : </w:t>
            </w:r>
            <w:r>
              <w:rPr>
                <w:color w:val="000000"/>
                <w:sz w:val="17"/>
              </w:rPr>
              <w:t>8,800 FCFA</w:t>
            </w:r>
          </w:p>
          <w:p>
            <w:r>
              <w:rPr>
                <w:b/>
                <w:color w:val="503200"/>
                <w:sz w:val="16"/>
              </w:rPr>
              <w:t xml:space="preserve">Var. 100 jours : </w:t>
            </w:r>
            <w:r>
              <w:rPr>
                <w:b/>
                <w:color w:val="007800"/>
                <w:sz w:val="17"/>
              </w:rPr>
              <w:t>+57.42%</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15.02% (Élevée) — μ=6,182 FCFA, σ=928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β=0.1676 (Défensif) — Cov=0.000006, Var(idx)=0.000036,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σ_j=2.11%/j (Stable) — Vol. annualisée≈33.4%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8,006</w:t>
            </w:r>
          </w:p>
        </w:tc>
        <w:tc>
          <w:tcPr>
            <w:tcW w:type="dxa" w:w="1440"/>
            <w:shd w:fill="FFDCE0" w:val="clear"/>
          </w:tcPr>
          <w:p>
            <w:r>
              <w:rPr>
                <w:b/>
                <w:sz w:val="17"/>
              </w:rPr>
              <w:t>8,355</w:t>
            </w:r>
          </w:p>
        </w:tc>
        <w:tc>
          <w:tcPr>
            <w:tcW w:type="dxa" w:w="1440"/>
            <w:shd w:fill="FFDCE0" w:val="clear"/>
          </w:tcPr>
          <w:p>
            <w:r>
              <w:rPr>
                <w:sz w:val="17"/>
              </w:rPr>
              <w:t>8,705</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7,591</w:t>
            </w:r>
          </w:p>
        </w:tc>
        <w:tc>
          <w:tcPr>
            <w:tcW w:type="dxa" w:w="1440"/>
            <w:shd w:fill="FFDCE0" w:val="clear"/>
          </w:tcPr>
          <w:p>
            <w:r>
              <w:rPr>
                <w:b/>
                <w:sz w:val="17"/>
              </w:rPr>
              <w:t>8,069</w:t>
            </w:r>
          </w:p>
        </w:tc>
        <w:tc>
          <w:tcPr>
            <w:tcW w:type="dxa" w:w="1440"/>
            <w:shd w:fill="FFDCE0" w:val="clear"/>
          </w:tcPr>
          <w:p>
            <w:r>
              <w:rPr>
                <w:sz w:val="17"/>
              </w:rPr>
              <w:t>8,547</w:t>
            </w:r>
          </w:p>
        </w:tc>
        <w:tc>
          <w:tcPr>
            <w:tcW w:type="dxa" w:w="1440"/>
            <w:shd w:fill="FFDCE0" w:val="clear"/>
          </w:tcPr>
          <w:p>
            <w:r>
              <w:rPr>
                <w:b/>
                <w:color w:val="C00000"/>
                <w:sz w:val="17"/>
              </w:rPr>
              <w:t>-8.3%</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7,304</w:t>
            </w:r>
          </w:p>
        </w:tc>
        <w:tc>
          <w:tcPr>
            <w:tcW w:type="dxa" w:w="1440"/>
            <w:shd w:fill="FFDCE0" w:val="clear"/>
          </w:tcPr>
          <w:p>
            <w:r>
              <w:rPr>
                <w:b/>
                <w:sz w:val="17"/>
              </w:rPr>
              <w:t>7,875</w:t>
            </w:r>
          </w:p>
        </w:tc>
        <w:tc>
          <w:tcPr>
            <w:tcW w:type="dxa" w:w="1440"/>
            <w:shd w:fill="FFDCE0" w:val="clear"/>
          </w:tcPr>
          <w:p>
            <w:r>
              <w:rPr>
                <w:sz w:val="17"/>
              </w:rPr>
              <w:t>8,446</w:t>
            </w:r>
          </w:p>
        </w:tc>
        <w:tc>
          <w:tcPr>
            <w:tcW w:type="dxa" w:w="1440"/>
            <w:shd w:fill="FFDCE0" w:val="clear"/>
          </w:tcPr>
          <w:p>
            <w:r>
              <w:rPr>
                <w:b/>
                <w:color w:val="C00000"/>
                <w:sz w:val="17"/>
              </w:rPr>
              <w:t>-10.5%</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7,096</w:t>
            </w:r>
          </w:p>
        </w:tc>
        <w:tc>
          <w:tcPr>
            <w:tcW w:type="dxa" w:w="1440"/>
            <w:shd w:fill="FFDCE0" w:val="clear"/>
          </w:tcPr>
          <w:p>
            <w:r>
              <w:rPr>
                <w:b/>
                <w:sz w:val="17"/>
              </w:rPr>
              <w:t>7,744</w:t>
            </w:r>
          </w:p>
        </w:tc>
        <w:tc>
          <w:tcPr>
            <w:tcW w:type="dxa" w:w="1440"/>
            <w:shd w:fill="FFDCE0" w:val="clear"/>
          </w:tcPr>
          <w:p>
            <w:r>
              <w:rPr>
                <w:sz w:val="17"/>
              </w:rPr>
              <w:t>8,393</w:t>
            </w:r>
          </w:p>
        </w:tc>
        <w:tc>
          <w:tcPr>
            <w:tcW w:type="dxa" w:w="1440"/>
            <w:shd w:fill="FFDCE0" w:val="clear"/>
          </w:tcPr>
          <w:p>
            <w:r>
              <w:rPr>
                <w:b/>
                <w:color w:val="C00000"/>
                <w:sz w:val="17"/>
              </w:rPr>
              <w:t>-12.0%</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6,927</w:t>
            </w:r>
          </w:p>
        </w:tc>
        <w:tc>
          <w:tcPr>
            <w:tcW w:type="dxa" w:w="1440"/>
            <w:shd w:fill="FFDCE0" w:val="clear"/>
          </w:tcPr>
          <w:p>
            <w:r>
              <w:rPr>
                <w:b/>
                <w:sz w:val="17"/>
              </w:rPr>
              <w:t>7,642</w:t>
            </w:r>
          </w:p>
        </w:tc>
        <w:tc>
          <w:tcPr>
            <w:tcW w:type="dxa" w:w="1440"/>
            <w:shd w:fill="FFDCE0" w:val="clear"/>
          </w:tcPr>
          <w:p>
            <w:r>
              <w:rPr>
                <w:sz w:val="17"/>
              </w:rPr>
              <w:t>8,358</w:t>
            </w:r>
          </w:p>
        </w:tc>
        <w:tc>
          <w:tcPr>
            <w:tcW w:type="dxa" w:w="1440"/>
            <w:shd w:fill="FFDCE0" w:val="clear"/>
          </w:tcPr>
          <w:p>
            <w:r>
              <w:rPr>
                <w:b/>
                <w:color w:val="C00000"/>
                <w:sz w:val="17"/>
              </w:rPr>
              <w:t>-13.2%</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6,778</w:t>
            </w:r>
          </w:p>
        </w:tc>
        <w:tc>
          <w:tcPr>
            <w:tcW w:type="dxa" w:w="1440"/>
            <w:shd w:fill="FFDCE0" w:val="clear"/>
          </w:tcPr>
          <w:p>
            <w:r>
              <w:rPr>
                <w:b/>
                <w:sz w:val="17"/>
              </w:rPr>
              <w:t>7,552</w:t>
            </w:r>
          </w:p>
        </w:tc>
        <w:tc>
          <w:tcPr>
            <w:tcW w:type="dxa" w:w="1440"/>
            <w:shd w:fill="FFDCE0" w:val="clear"/>
          </w:tcPr>
          <w:p>
            <w:r>
              <w:rPr>
                <w:sz w:val="17"/>
              </w:rPr>
              <w:t>8,327</w:t>
            </w:r>
          </w:p>
        </w:tc>
        <w:tc>
          <w:tcPr>
            <w:tcW w:type="dxa" w:w="1440"/>
            <w:shd w:fill="FFDCE0" w:val="clear"/>
          </w:tcPr>
          <w:p>
            <w:r>
              <w:rPr>
                <w:b/>
                <w:color w:val="C00000"/>
                <w:sz w:val="17"/>
              </w:rPr>
              <w:t>-14.2%</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6,641</w:t>
            </w:r>
          </w:p>
        </w:tc>
        <w:tc>
          <w:tcPr>
            <w:tcW w:type="dxa" w:w="1440"/>
            <w:shd w:fill="FFDCE0" w:val="clear"/>
          </w:tcPr>
          <w:p>
            <w:r>
              <w:rPr>
                <w:b/>
                <w:sz w:val="17"/>
              </w:rPr>
              <w:t>7,468</w:t>
            </w:r>
          </w:p>
        </w:tc>
        <w:tc>
          <w:tcPr>
            <w:tcW w:type="dxa" w:w="1440"/>
            <w:shd w:fill="FFDCE0" w:val="clear"/>
          </w:tcPr>
          <w:p>
            <w:r>
              <w:rPr>
                <w:sz w:val="17"/>
              </w:rPr>
              <w:t>8,296</w:t>
            </w:r>
          </w:p>
        </w:tc>
        <w:tc>
          <w:tcPr>
            <w:tcW w:type="dxa" w:w="1440"/>
            <w:shd w:fill="FFDCE0" w:val="clear"/>
          </w:tcPr>
          <w:p>
            <w:r>
              <w:rPr>
                <w:b/>
                <w:color w:val="C00000"/>
                <w:sz w:val="17"/>
              </w:rPr>
              <w:t>-15.1%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6,512</w:t>
            </w:r>
          </w:p>
        </w:tc>
        <w:tc>
          <w:tcPr>
            <w:tcW w:type="dxa" w:w="1440"/>
            <w:shd w:fill="FFDCE0" w:val="clear"/>
          </w:tcPr>
          <w:p>
            <w:r>
              <w:rPr>
                <w:b/>
                <w:sz w:val="17"/>
              </w:rPr>
              <w:t>7,387</w:t>
            </w:r>
          </w:p>
        </w:tc>
        <w:tc>
          <w:tcPr>
            <w:tcW w:type="dxa" w:w="1440"/>
            <w:shd w:fill="FFDCE0" w:val="clear"/>
          </w:tcPr>
          <w:p>
            <w:r>
              <w:rPr>
                <w:sz w:val="17"/>
              </w:rPr>
              <w:t>8,262</w:t>
            </w:r>
          </w:p>
        </w:tc>
        <w:tc>
          <w:tcPr>
            <w:tcW w:type="dxa" w:w="1440"/>
            <w:shd w:fill="FFDCE0" w:val="clear"/>
          </w:tcPr>
          <w:p>
            <w:r>
              <w:rPr>
                <w:b/>
                <w:color w:val="C00000"/>
                <w:sz w:val="17"/>
              </w:rPr>
              <w:t>-16.1%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6,391</w:t>
            </w:r>
          </w:p>
        </w:tc>
        <w:tc>
          <w:tcPr>
            <w:tcW w:type="dxa" w:w="1440"/>
            <w:shd w:fill="FFDCE0" w:val="clear"/>
          </w:tcPr>
          <w:p>
            <w:r>
              <w:rPr>
                <w:b/>
                <w:sz w:val="17"/>
              </w:rPr>
              <w:t>7,309</w:t>
            </w:r>
          </w:p>
        </w:tc>
        <w:tc>
          <w:tcPr>
            <w:tcW w:type="dxa" w:w="1440"/>
            <w:shd w:fill="FFDCE0" w:val="clear"/>
          </w:tcPr>
          <w:p>
            <w:r>
              <w:rPr>
                <w:sz w:val="17"/>
              </w:rPr>
              <w:t>8,227</w:t>
            </w:r>
          </w:p>
        </w:tc>
        <w:tc>
          <w:tcPr>
            <w:tcW w:type="dxa" w:w="1440"/>
            <w:shd w:fill="FFDCE0" w:val="clear"/>
          </w:tcPr>
          <w:p>
            <w:r>
              <w:rPr>
                <w:b/>
                <w:color w:val="C00000"/>
                <w:sz w:val="17"/>
              </w:rPr>
              <w:t>-16.9%</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6,275</w:t>
            </w:r>
          </w:p>
        </w:tc>
        <w:tc>
          <w:tcPr>
            <w:tcW w:type="dxa" w:w="1440"/>
            <w:shd w:fill="FFDCE0" w:val="clear"/>
          </w:tcPr>
          <w:p>
            <w:r>
              <w:rPr>
                <w:b/>
                <w:sz w:val="17"/>
              </w:rPr>
              <w:t>7,233</w:t>
            </w:r>
          </w:p>
        </w:tc>
        <w:tc>
          <w:tcPr>
            <w:tcW w:type="dxa" w:w="1440"/>
            <w:shd w:fill="FFDCE0" w:val="clear"/>
          </w:tcPr>
          <w:p>
            <w:r>
              <w:rPr>
                <w:sz w:val="17"/>
              </w:rPr>
              <w:t>8,191</w:t>
            </w:r>
          </w:p>
        </w:tc>
        <w:tc>
          <w:tcPr>
            <w:tcW w:type="dxa" w:w="1440"/>
            <w:shd w:fill="FFDCE0" w:val="clear"/>
          </w:tcPr>
          <w:p>
            <w:r>
              <w:rPr>
                <w:b/>
                <w:color w:val="C00000"/>
                <w:sz w:val="17"/>
              </w:rPr>
              <w:t>-17.8%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387,20 milliards FCFA, un niveau qui la positionne parmi les valeurs moyennes à grandes de la BRVM. Avec un BPA de 438 FCFA, le titre se négocie à un PER de 20,1x, nettement supérieur à la moyenne historique du marché (8-12x). Cette décote de valorisation suggère que les investisseurs intègrent une anticipation de croissance future des bénéfices, mais expose également à un risque de correction si ces attentes ne se matérialisent pas. Le P/B de 3,06x confirme cette prime de croissance, le marché valorisant la banque à plus de trois fois sa valeur comptable. Enfin, l'EV/EBITDA de 9,2x, bien que dans la fourchette haute, indique que la valeur totale de l'entreprise reste raisonnable par rapport à sa capacité opérationnelle, ce qui tempère quelque peu le signal du PER.</w:t>
      </w:r>
    </w:p>
    <w:p>
      <w:pPr>
        <w:spacing w:after="120" w:line="276" w:lineRule="auto"/>
      </w:pPr>
      <w:r>
        <w:t>### PARTIE 1 : ANALYSE DU COURS — STATISTIQUES ET ÉVOLUTION (100 derniers jours)</w:t>
      </w:r>
    </w:p>
    <w:p>
      <w:pPr>
        <w:spacing w:after="120" w:line="276" w:lineRule="auto"/>
      </w:pPr>
      <w:r>
        <w:t>Sur les 100 derniers jours, l'action BOABF a connu une progression spectaculaire de +57,42%, passant d'un plus bas de 5 235 FCFA à un plus haut de 9 090 FCFA, avant de clôturer à 8 800 FCFA, en léger repli de -1,12% sur la dernière séance. Cette tendance est résolument haussière. L'analyse statistique révèle une distribution asymétrique positive (Skewness de 1,180), signifiant que le cours a passé plus de journées sous sa moyenne (6 182 FCFA) que au-dessus, mais avec des pics de hausse importants. Le Kurtosis de 0,545 (mésokurtique) indique une distribution proche de la normale, sans risque de variations extrêmes plus élevé que la normale. La dispersion relative du cours, mesurée par un coefficient de variation de 15,1%, est modérée. Cependant, la volatilité annualisée de 33,4% classe le titre comme très volatil, un élément clé pour tout investisseur.</w:t>
      </w:r>
    </w:p>
    <w:p>
      <w:pPr>
        <w:spacing w:after="120" w:line="276" w:lineRule="auto"/>
      </w:pPr>
      <w:r>
        <w:t>### PARTIE 2 : ANALYSE TECHNIQUE DÉTAILLÉE</w:t>
      </w:r>
    </w:p>
    <w:p>
      <w:pPr>
        <w:spacing w:after="120" w:line="276" w:lineRule="auto"/>
      </w:pPr>
      <w:r>
        <w:t>**Moyennes Mobiles**: Le cours actuel (8 800 FCFA) se situe nettement au-dessus de sa MM20 (7 617,25 FCFA) et de sa MM50 (6 857,0 FCFA). Cette configuration haussière, où les moyennes sont orientées à la hausse, confirme la solidité de la tendance et justifie la décision d'**Achat**.</w:t>
      </w:r>
    </w:p>
    <w:p>
      <w:pPr>
        <w:spacing w:after="120" w:line="276" w:lineRule="auto"/>
      </w:pPr>
      <w:r>
        <w:t>**Bandes de Bollinger**: Le prix est proche de la borne supérieure (8 955,88 FCFA), indiquant que le titre est en territoire de surachat à court terme. L'écart entre les bornes (2 677,26 FCFA) reflète la volatilité élevée. La décision est **Neutre**, car le franchissement de la borne supérieure pourrait signaler une poursuite de la tendance, mais un retour vers la moyenne (7 617 FCFA) est également possible.</w:t>
      </w:r>
    </w:p>
    <w:p>
      <w:pPr>
        <w:spacing w:after="120" w:line="276" w:lineRule="auto"/>
      </w:pPr>
      <w:r>
        <w:t>**MACD**: La ligne MACD (519,406) est nettement au-dessus de sa ligne de signal (374,979), avec un écart positif et croissant. Ce croisement haussier indique un momentum de prix très fort et confirme la dynamique positive. La décision est **Achat**.</w:t>
      </w:r>
    </w:p>
    <w:p>
      <w:pPr>
        <w:spacing w:after="120" w:line="276" w:lineRule="auto"/>
      </w:pPr>
      <w:r>
        <w:t>**RSI**: Avec une valeur de 77,778, le RSI est en zone de surachat (au-dessus de 70). Cela signale que le titre a fortement monté et qu'une correction technique est probable à court terme. La décision est **Vente**.</w:t>
      </w:r>
    </w:p>
    <w:p>
      <w:pPr>
        <w:spacing w:after="120" w:line="276" w:lineRule="auto"/>
      </w:pPr>
      <w:r>
        <w:t>**Stochastique**: Le %K (85,427) est passé sous le %D (91,96), formant un croisement baissier en zone de surachat. Ce signal précurseur indique un essoufflement de la dynamique haussière et renforce la probabilité d'un repli. La décision est **Vente**.</w:t>
      </w:r>
    </w:p>
    <w:p>
      <w:pPr>
        <w:spacing w:after="120" w:line="276" w:lineRule="auto"/>
      </w:pPr>
      <w:r>
        <w:t>**Conclusion technique**: Les indicateurs de tendance (MM, MACD) sont résolument haussiers, mais les oscillateurs (RSI, Stochastique) sont en zone de surachat et envoient des signaux de vente. Cette divergence classique suggère que la tendance de fond reste positive, mais qu'un repli technique est imminent pour "respirer". La prudence est donc de mise à court terme.</w:t>
      </w:r>
    </w:p>
    <w:p>
      <w:pPr>
        <w:spacing w:after="120" w:line="276" w:lineRule="auto"/>
      </w:pPr>
      <w:r>
        <w:t>### PARTIE 3 : ANALYSE FONDAMENTALE (SECTION CRITIQUE)</w:t>
      </w:r>
    </w:p>
    <w:p>
      <w:pPr>
        <w:spacing w:after="120" w:line="276" w:lineRule="auto"/>
      </w:pPr>
      <w:r>
        <w:t>En 2025, les données financières annuelles de BOABF montrent une banque solide mais sous pression. Le Produit Net Bancaire (PNB) s'établit à 57,82 milliards FCFA, avec une marge nette très élevée de 33,3%. Le résultat net atteint 19,25 milliards FCFA, portant le ROE à un excellent niveau de 15,2% et le ROA à 1,68%. Le coefficient d'exploitation de 47,2% témoigne d'une excellente maîtrise des charges. Cependant, le coût du risque est élevé (33,9% des charges financières), reflétant une dégradation de la qualité du portefeuille de crédits. Les rapports trimestriels de 2025 confirment cette tendance : le T1 2025 (PNB 14,22 Mds, RN 5,20 Mds) et le S1 2025 (PNB 29,06 Mds, RN 8,22 Mds, -46,5% sur un an) montrent une stagnation de l'activité et une chute de la rentabilité due à une explosion des provisions. Le rapport du 3e trimestre 2025 (PNB 43,28 Mds, RN 13,45 Mds, -27,7%) confirme cette dégradation persistante. Enfin, le rapport du T1 2026 (PNB 12,69 Mds, RN 4,52 Mds) indique une poursuite de la baisse. Sur la base de ces données, on estime que l'exercice 2026 sera difficile, avec une rentabilité sous pression, malgré une collecte de dépôts dynamique.</w:t>
      </w:r>
    </w:p>
    <w:p>
      <w:pPr>
        <w:spacing w:after="120" w:line="276" w:lineRule="auto"/>
      </w:pPr>
      <w:r>
        <w:t>### PARTIE 4 : CONCLUSION D'INVESTISSEMENT</w:t>
      </w:r>
    </w:p>
    <w:p>
      <w:pPr>
        <w:spacing w:after="120" w:line="276" w:lineRule="auto"/>
      </w:pPr>
      <w:r>
        <w:t>La valorisation de BOABF (PER 20,1x, P/B 3,06x) est exigeante et reflète des attentes de croissance qui contrastent avec la réalité des fondamentaux, marqués par une dégradation de la rentabilité. Le comportement du cours, bien que fortement haussier (+57%), est devenu extrêmement volatil et statistiquement suracheté. Les signaux techniques sont contradictoires : la tendance de fond (MM, MACD) est positive, mais les oscillateurs (RSI, Stochastique) crient à la correction. Les fondamentaux, eux, montrent une banque efficace opérationnellement mais confrontée à un coût du risque élevé qui érode ses bénéfices, une situation qui devrait persister en 2026. Les prédictions IA (baisse de 8 355 à 7 642 FCFA sur 10 jours) confirment cette anticipation de correction technique. La convergence des signaux de surachat technique et de faiblesse fondamentale, malgré une tendance de fond positive, conduit à une recommandation de **CONSERVER** pour les investisseurs déjà en place, et d'attendre une correction pour les nouveaux entrants. Le niveau de confiance est **Moyen**, le risque global est **Élevé**. L'horizon d'investissement optimal est le **moyen terme (3-12 mois)**, après une probable phase de consolidation.</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12,490 titres</w:t>
            </w:r>
          </w:p>
        </w:tc>
        <w:tc>
          <w:tcPr>
            <w:tcW w:type="dxa" w:w="2268"/>
            <w:shd w:fill="FFF2CC" w:val="clear"/>
          </w:tcPr>
          <w:p>
            <w:r>
              <w:rPr>
                <w:b/>
                <w:color w:val="503200"/>
                <w:sz w:val="16"/>
              </w:rPr>
              <w:t xml:space="preserve">Cours actuel : </w:t>
            </w:r>
            <w:r>
              <w:rPr>
                <w:color w:val="000000"/>
                <w:sz w:val="17"/>
              </w:rPr>
              <w:t>12,295 FCFA</w:t>
            </w:r>
          </w:p>
          <w:p>
            <w:r>
              <w:rPr>
                <w:b/>
                <w:color w:val="503200"/>
                <w:sz w:val="16"/>
              </w:rPr>
              <w:t xml:space="preserve">Var. 100 jours : </w:t>
            </w:r>
            <w:r>
              <w:rPr>
                <w:b/>
                <w:color w:val="007800"/>
                <w:sz w:val="17"/>
              </w:rPr>
              <w:t>+44.73%</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15.00% (Moyenne) — μ=9,759 FCFA, σ=1,464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β=0.0106 (Défensif) — Cov=0.000000, Var(idx)=0.000036, ρ=0.004,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12,490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σ_j=1.63%/j (Stable) — Vol. annualisée≈25.9%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11,204</w:t>
            </w:r>
          </w:p>
        </w:tc>
        <w:tc>
          <w:tcPr>
            <w:tcW w:type="dxa" w:w="1440"/>
            <w:shd w:fill="FFDCE0" w:val="clear"/>
          </w:tcPr>
          <w:p>
            <w:r>
              <w:rPr>
                <w:b/>
                <w:sz w:val="17"/>
              </w:rPr>
              <w:t>11,623</w:t>
            </w:r>
          </w:p>
        </w:tc>
        <w:tc>
          <w:tcPr>
            <w:tcW w:type="dxa" w:w="1440"/>
            <w:shd w:fill="FFDCE0" w:val="clear"/>
          </w:tcPr>
          <w:p>
            <w:r>
              <w:rPr>
                <w:sz w:val="17"/>
              </w:rPr>
              <w:t>12,041</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10,571</w:t>
            </w:r>
          </w:p>
        </w:tc>
        <w:tc>
          <w:tcPr>
            <w:tcW w:type="dxa" w:w="1440"/>
            <w:shd w:fill="FFDCE0" w:val="clear"/>
          </w:tcPr>
          <w:p>
            <w:r>
              <w:rPr>
                <w:b/>
                <w:sz w:val="17"/>
              </w:rPr>
              <w:t>11,137</w:t>
            </w:r>
          </w:p>
        </w:tc>
        <w:tc>
          <w:tcPr>
            <w:tcW w:type="dxa" w:w="1440"/>
            <w:shd w:fill="FFDCE0" w:val="clear"/>
          </w:tcPr>
          <w:p>
            <w:r>
              <w:rPr>
                <w:sz w:val="17"/>
              </w:rPr>
              <w:t>11,704</w:t>
            </w:r>
          </w:p>
        </w:tc>
        <w:tc>
          <w:tcPr>
            <w:tcW w:type="dxa" w:w="1440"/>
            <w:shd w:fill="FFDCE0" w:val="clear"/>
          </w:tcPr>
          <w:p>
            <w:r>
              <w:rPr>
                <w:b/>
                <w:color w:val="C00000"/>
                <w:sz w:val="17"/>
              </w:rPr>
              <w:t>-9.4%</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10,002</w:t>
            </w:r>
          </w:p>
        </w:tc>
        <w:tc>
          <w:tcPr>
            <w:tcW w:type="dxa" w:w="1440"/>
            <w:shd w:fill="FFDCE0" w:val="clear"/>
          </w:tcPr>
          <w:p>
            <w:r>
              <w:rPr>
                <w:b/>
                <w:sz w:val="17"/>
              </w:rPr>
              <w:t>10,667</w:t>
            </w:r>
          </w:p>
        </w:tc>
        <w:tc>
          <w:tcPr>
            <w:tcW w:type="dxa" w:w="1440"/>
            <w:shd w:fill="FFDCE0" w:val="clear"/>
          </w:tcPr>
          <w:p>
            <w:r>
              <w:rPr>
                <w:sz w:val="17"/>
              </w:rPr>
              <w:t>11,332</w:t>
            </w:r>
          </w:p>
        </w:tc>
        <w:tc>
          <w:tcPr>
            <w:tcW w:type="dxa" w:w="1440"/>
            <w:shd w:fill="FFDCE0" w:val="clear"/>
          </w:tcPr>
          <w:p>
            <w:r>
              <w:rPr>
                <w:b/>
                <w:color w:val="C00000"/>
                <w:sz w:val="17"/>
              </w:rPr>
              <w:t>-13.2%</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9,518</w:t>
            </w:r>
          </w:p>
        </w:tc>
        <w:tc>
          <w:tcPr>
            <w:tcW w:type="dxa" w:w="1440"/>
            <w:shd w:fill="FFDCE0" w:val="clear"/>
          </w:tcPr>
          <w:p>
            <w:r>
              <w:rPr>
                <w:b/>
                <w:sz w:val="17"/>
              </w:rPr>
              <w:t>10,256</w:t>
            </w:r>
          </w:p>
        </w:tc>
        <w:tc>
          <w:tcPr>
            <w:tcW w:type="dxa" w:w="1440"/>
            <w:shd w:fill="FFDCE0" w:val="clear"/>
          </w:tcPr>
          <w:p>
            <w:r>
              <w:rPr>
                <w:sz w:val="17"/>
              </w:rPr>
              <w:t>10,994</w:t>
            </w:r>
          </w:p>
        </w:tc>
        <w:tc>
          <w:tcPr>
            <w:tcW w:type="dxa" w:w="1440"/>
            <w:shd w:fill="FFDCE0" w:val="clear"/>
          </w:tcPr>
          <w:p>
            <w:r>
              <w:rPr>
                <w:b/>
                <w:color w:val="C00000"/>
                <w:sz w:val="17"/>
              </w:rPr>
              <w:t>-16.6%</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9,104</w:t>
            </w:r>
          </w:p>
        </w:tc>
        <w:tc>
          <w:tcPr>
            <w:tcW w:type="dxa" w:w="1440"/>
            <w:shd w:fill="FFDCE0" w:val="clear"/>
          </w:tcPr>
          <w:p>
            <w:r>
              <w:rPr>
                <w:b/>
                <w:sz w:val="17"/>
              </w:rPr>
              <w:t>9,901</w:t>
            </w:r>
          </w:p>
        </w:tc>
        <w:tc>
          <w:tcPr>
            <w:tcW w:type="dxa" w:w="1440"/>
            <w:shd w:fill="FFDCE0" w:val="clear"/>
          </w:tcPr>
          <w:p>
            <w:r>
              <w:rPr>
                <w:sz w:val="17"/>
              </w:rPr>
              <w:t>10,697</w:t>
            </w:r>
          </w:p>
        </w:tc>
        <w:tc>
          <w:tcPr>
            <w:tcW w:type="dxa" w:w="1440"/>
            <w:shd w:fill="FFDCE0" w:val="clear"/>
          </w:tcPr>
          <w:p>
            <w:r>
              <w:rPr>
                <w:b/>
                <w:color w:val="C00000"/>
                <w:sz w:val="17"/>
              </w:rPr>
              <w:t>-19.5%</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8,747</w:t>
            </w:r>
          </w:p>
        </w:tc>
        <w:tc>
          <w:tcPr>
            <w:tcW w:type="dxa" w:w="1440"/>
            <w:shd w:fill="FFDCE0" w:val="clear"/>
          </w:tcPr>
          <w:p>
            <w:r>
              <w:rPr>
                <w:b/>
                <w:sz w:val="17"/>
              </w:rPr>
              <w:t>9,593</w:t>
            </w:r>
          </w:p>
        </w:tc>
        <w:tc>
          <w:tcPr>
            <w:tcW w:type="dxa" w:w="1440"/>
            <w:shd w:fill="FFDCE0" w:val="clear"/>
          </w:tcPr>
          <w:p>
            <w:r>
              <w:rPr>
                <w:sz w:val="17"/>
              </w:rPr>
              <w:t>10,439</w:t>
            </w:r>
          </w:p>
        </w:tc>
        <w:tc>
          <w:tcPr>
            <w:tcW w:type="dxa" w:w="1440"/>
            <w:shd w:fill="FFDCE0" w:val="clear"/>
          </w:tcPr>
          <w:p>
            <w:r>
              <w:rPr>
                <w:b/>
                <w:color w:val="C00000"/>
                <w:sz w:val="17"/>
              </w:rPr>
              <w:t>-22.0%</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8,437</w:t>
            </w:r>
          </w:p>
        </w:tc>
        <w:tc>
          <w:tcPr>
            <w:tcW w:type="dxa" w:w="1440"/>
            <w:shd w:fill="FFDCE0" w:val="clear"/>
          </w:tcPr>
          <w:p>
            <w:r>
              <w:rPr>
                <w:b/>
                <w:sz w:val="17"/>
              </w:rPr>
              <w:t>9,325</w:t>
            </w:r>
          </w:p>
        </w:tc>
        <w:tc>
          <w:tcPr>
            <w:tcW w:type="dxa" w:w="1440"/>
            <w:shd w:fill="FFDCE0" w:val="clear"/>
          </w:tcPr>
          <w:p>
            <w:r>
              <w:rPr>
                <w:sz w:val="17"/>
              </w:rPr>
              <w:t>10,213</w:t>
            </w:r>
          </w:p>
        </w:tc>
        <w:tc>
          <w:tcPr>
            <w:tcW w:type="dxa" w:w="1440"/>
            <w:shd w:fill="FFDCE0" w:val="clear"/>
          </w:tcPr>
          <w:p>
            <w:r>
              <w:rPr>
                <w:b/>
                <w:color w:val="C00000"/>
                <w:sz w:val="17"/>
              </w:rPr>
              <w:t>-24.2%</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8,164</w:t>
            </w:r>
          </w:p>
        </w:tc>
        <w:tc>
          <w:tcPr>
            <w:tcW w:type="dxa" w:w="1440"/>
            <w:shd w:fill="FFDCE0" w:val="clear"/>
          </w:tcPr>
          <w:p>
            <w:r>
              <w:rPr>
                <w:b/>
                <w:sz w:val="17"/>
              </w:rPr>
              <w:t>9,090</w:t>
            </w:r>
          </w:p>
        </w:tc>
        <w:tc>
          <w:tcPr>
            <w:tcW w:type="dxa" w:w="1440"/>
            <w:shd w:fill="FFDCE0" w:val="clear"/>
          </w:tcPr>
          <w:p>
            <w:r>
              <w:rPr>
                <w:sz w:val="17"/>
              </w:rPr>
              <w:t>10,015</w:t>
            </w:r>
          </w:p>
        </w:tc>
        <w:tc>
          <w:tcPr>
            <w:tcW w:type="dxa" w:w="1440"/>
            <w:shd w:fill="FFDCE0" w:val="clear"/>
          </w:tcPr>
          <w:p>
            <w:r>
              <w:rPr>
                <w:b/>
                <w:color w:val="C00000"/>
                <w:sz w:val="17"/>
              </w:rPr>
              <w:t>-26.1%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7,923</w:t>
            </w:r>
          </w:p>
        </w:tc>
        <w:tc>
          <w:tcPr>
            <w:tcW w:type="dxa" w:w="1440"/>
            <w:shd w:fill="FFDCE0" w:val="clear"/>
          </w:tcPr>
          <w:p>
            <w:r>
              <w:rPr>
                <w:b/>
                <w:sz w:val="17"/>
              </w:rPr>
              <w:t>8,882</w:t>
            </w:r>
          </w:p>
        </w:tc>
        <w:tc>
          <w:tcPr>
            <w:tcW w:type="dxa" w:w="1440"/>
            <w:shd w:fill="FFDCE0" w:val="clear"/>
          </w:tcPr>
          <w:p>
            <w:r>
              <w:rPr>
                <w:sz w:val="17"/>
              </w:rPr>
              <w:t>9,841</w:t>
            </w:r>
          </w:p>
        </w:tc>
        <w:tc>
          <w:tcPr>
            <w:tcW w:type="dxa" w:w="1440"/>
            <w:shd w:fill="FFDCE0" w:val="clear"/>
          </w:tcPr>
          <w:p>
            <w:r>
              <w:rPr>
                <w:b/>
                <w:color w:val="C00000"/>
                <w:sz w:val="17"/>
              </w:rPr>
              <w:t>-27.8%</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7,707</w:t>
            </w:r>
          </w:p>
        </w:tc>
        <w:tc>
          <w:tcPr>
            <w:tcW w:type="dxa" w:w="1440"/>
            <w:shd w:fill="FFDCE0" w:val="clear"/>
          </w:tcPr>
          <w:p>
            <w:r>
              <w:rPr>
                <w:b/>
                <w:sz w:val="17"/>
              </w:rPr>
              <w:t>8,696</w:t>
            </w:r>
          </w:p>
        </w:tc>
        <w:tc>
          <w:tcPr>
            <w:tcW w:type="dxa" w:w="1440"/>
            <w:shd w:fill="FFDCE0" w:val="clear"/>
          </w:tcPr>
          <w:p>
            <w:r>
              <w:rPr>
                <w:sz w:val="17"/>
              </w:rPr>
              <w:t>9,686</w:t>
            </w:r>
          </w:p>
        </w:tc>
        <w:tc>
          <w:tcPr>
            <w:tcW w:type="dxa" w:w="1440"/>
            <w:shd w:fill="FFDCE0" w:val="clear"/>
          </w:tcPr>
          <w:p>
            <w:r>
              <w:rPr>
                <w:b/>
                <w:color w:val="C00000"/>
                <w:sz w:val="17"/>
              </w:rPr>
              <w:t>-29.3%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28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491,80 milliards FCFA, BOAC se positionne comme l'une des valeurs les plus significatives de la BRVM, reflétant la confiance des investisseurs dans le secteur bancaire ivoirien. Le BPA de 888 FCFA indique que chaque action génère un bénéfice substantiel, justifiant un PER de 13,8x. Ce ratio est supérieur à la moyenne historique de la BRVM (8-12x), signifiant que le marché valorise déjà une prime de croissance pour la banque. Le P/B de 3,86x confirme cette prime, le marché acceptant de payer près de 4 fois la valeur comptable des actifs, un niveau qui souligne les attentes élevées de rentabilité future. Enfin, l'EV/EBITDA de 27,2x est particulièrement exigeant, indiquant que la valeur totale de l'entreprise (capitaux propres + dettes) est très élevée par rapport à sa capacité opérationnelle brute, un signal qui peut suggérer une valorisation tendue.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BOAC a enregistré une performance spectaculaire de +44,73%, bien que la dernière séance affiche un léger repli de -0,85% à 12 295 FCFA. Le titre a évolué dans une fourchette très large, oscillant entre un plus bas de 8 380 FCFA et un plus haut de 13 450 FCFA, démontrant une forte dynamique haussière. La moyenne du cours (9 759 FCFA) est nettement inférieure à la médiane (9 100 FCFA), et le skewness positif de 1,283 indique une distribution asymétrique avec des journées de forte hausse concentrées en fin de période. L'écart-type de 1 471 FCFA (CV de 15,1%) montre une dispersion modérée des prix autour de la moyenne. Le kurtosis de 0,288 (mésokurtique) suggère une distribution proche de la normale, sans risque extrême de pics de volatilité. Enfin, la volatilité annualisée de 25,9% classe le titre dans une zone de risque modéré à élevé, typique des valeurs en forte accélération.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(12 295 FCFA) est positionné au-dessus de la MM20 (12 401 FCFA) et largement au-dessus de la MM50 (10 773 FCFA). La configuration haussière des MM (MM20 &gt; MM50) confirme une tendance de fond positive. La décision d'« Achat » est justifiée par la dynamique haussière à moyen terme, bien que le cours soit légèrement sous sa MM20, signe d'un possible essoufflement à court terme.</w:t>
      </w:r>
    </w:p>
    <w:p>
      <w:pPr>
        <w:spacing w:after="120" w:line="276" w:lineRule="auto"/>
      </w:pPr>
      <w:r>
        <w:t>**Bandes de Bollinger** : Le prix se situe à 12 295 FCFA, entre la borne inférieure (10 851,67 FCFA) et la borne supérieure (13 950,83 FCFA), mais plus proche de la borne supérieure. La largeur des bandes reflète une volatilité accrue. La décision « Neutre » est cohérente : le titre n'est ni en situation de surachat extrême ni de survente, mais la pression acheteuse reste présente sans signal clair de cassure.</w:t>
      </w:r>
    </w:p>
    <w:p>
      <w:pPr>
        <w:spacing w:after="120" w:line="276" w:lineRule="auto"/>
      </w:pPr>
      <w:r>
        <w:t>**MACD** : Le MACD (579,806) est passé sous sa ligne de signal (725,227), indiquant un ralentissement du momentum haussier. Cette configuration baissière à court terme suggère une possible consolidation ou correction après la forte hausse. La décision de « Vente » est un signal d'alerte technique, même si la tendance de fond reste positive.</w:t>
      </w:r>
    </w:p>
    <w:p>
      <w:pPr>
        <w:spacing w:after="120" w:line="276" w:lineRule="auto"/>
      </w:pPr>
      <w:r>
        <w:t>**RSI** : Le RSI à 61,564 se situe en zone neutre, en dessous du seuil de surachat (70). Cela indique que le titre n'est pas encore surchauffé et qu'il conserve un potentiel haussier, mais la dynamique s'affaiblit. La décision « Neutre » est appropriée, le marché n'étant ni survendu ni suracheté.</w:t>
      </w:r>
    </w:p>
    <w:p>
      <w:pPr>
        <w:spacing w:after="120" w:line="276" w:lineRule="auto"/>
      </w:pPr>
      <w:r>
        <w:t>**Stochastique** : Le %K (25,243) est inférieur au %D (42,648), signalant une dynamique baissière à court terme. Ce croisement baissier suggère une pression vendeuse naissante. La décision « Neutre » reflète l'absence de signal fort, mais la configuration actuelle appelle à la prudence.</w:t>
      </w:r>
    </w:p>
    <w:p>
      <w:pPr>
        <w:spacing w:after="120" w:line="276" w:lineRule="auto"/>
      </w:pPr>
      <w:r>
        <w:t>**Conclusion technique** : La tendance de fond reste haussière (MM50, structure), mais les indicateurs de momentum (MACD, Stochastique) montrent des signes de fatigue. Le RSI et les Bandes de Bollinger suggèrent une phase de consolidation. Le titre pourrait connaître un repli technique à court terme avant de reprendre sa tendance haussière, à condition que le support des 11 000 FCFA tienne.</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BOAC font état d'un Produit Net Bancaire (PNB) de 73,545 milliards FCFA, en légère croissance de 1,13% par rapport à 2024. Le résultat net s'établit à 35,540 milliards FCFA, contre 32,044 milliards en 2024, soit une progression de 10,9%. La rentabilité des fonds propres (ROE) est exceptionnelle à 27,9%, et le ROA atteint 3,22%. Le coefficient d'exploitation de 36,7% témoigne d'une excellente maîtrise des coûts, bien en deçà du seuil de 60% considéré comme efficace. Le coût du risque (6,67%) reste un point de vigilance, indiquant un portefeuille de crédits avec un risque significatif. **Sur la base des rapports trimestriels 2025**, on observe une trajectoire contrastée : le T1 2025 (PNB de 18,39 milliards, +4,93%) était excellent, avec un résultat net en hausse de 14,59% grâce à une chute de 87% du coût du risque. Cependant, le S1 2025 (PNB de 36,21 milliards, -0,35%) et le T3 2025 (PNB cumulé de 53,49 milliards, +0,23%) montrent une stagnation de l'activité. Le résultat net cumulé sur 9 mois (26,63 milliards, +1,29%) confirme un ralentissement. On estime que l'exercice 2025 complet (données structurées) a bénéficié d'un excellent T4 pour atteindre les 35,54 milliards de bénéfice net. La banque affiche une collecte de dépôts robuste (850,5 milliards FCFA) mais une contraction des crédits (-11,97% au T3), signalant une stratégie prudente. Les objectifs triennaux (horizon 2027) visent une croissance du PNB de +11,6%, un signe de confiance dans la reprise de la dynamique commerciale.</w:t>
      </w:r>
    </w:p>
    <w:p>
      <w:pPr>
        <w:spacing w:after="120" w:line="276" w:lineRule="auto"/>
      </w:pPr>
      <w:r>
        <w:t>---</w:t>
      </w:r>
    </w:p>
    <w:p>
      <w:pPr>
        <w:spacing w:after="120" w:line="276" w:lineRule="auto"/>
      </w:pPr>
      <w:r>
        <w:t>### PARTIE 4 : CONCLUSION D'INVESTISSEMENT</w:t>
      </w:r>
    </w:p>
    <w:p>
      <w:pPr>
        <w:spacing w:after="120" w:line="276" w:lineRule="auto"/>
      </w:pPr>
      <w:r>
        <w:t>La valorisation de BOAC (PER 13,8x, P/B 3,86x, EV/EBITDA 27,2x) est exigeante, intégrant des attentes de croissance élevées. Le comportement du cours (+44,73% sur 100 jours) avec une volatilité de 25,9% et une asymétrie positive montre une forte dynamique, mais les statistiques suggèrent un risque de consolidation. Les signaux techniques sont mitigés : la tendance de fond est haussière (MM), mais le MACD et le Stochastique indiquent un essoufflement à court terme. Les fondamentaux sont solides (ROE de 27,9%, coefficient d'exploitation de 36,7%), mais la croissance du PNB est atone, et le coût du risque reste élevé. Les prédictions IA (J+1 à J+10) prévoient une correction significative du cours, passant de 11 623 FCFA à 9 901 FCFA, contredisant la tendance haussière récente et confirmant les signaux techniques de fatigue. En synthèse, la convergence entre les signaux techniques baissiers à court terme et les prédictions IA suggère une phase de correction imminente, malgré des fondamentaux de qualité. **Recommandation finale : CONSERVER**. Le niveau de confiance est **Moyen**, le risque global est **Élevé** à court terme. L'horizon d'investissement optimal est le **moyen terme (3-12 mois)**, en attendant que le titre se stabilise et que la croissance du PNB redémarre conformément aux objectifs stratégiques 2027.</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177.88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6,164 titres</w:t>
            </w:r>
          </w:p>
        </w:tc>
        <w:tc>
          <w:tcPr>
            <w:tcW w:type="dxa" w:w="2268"/>
            <w:shd w:fill="FFF2CC" w:val="clear"/>
          </w:tcPr>
          <w:p>
            <w:r>
              <w:rPr>
                <w:b/>
                <w:color w:val="503200"/>
                <w:sz w:val="16"/>
              </w:rPr>
              <w:t xml:space="preserve">Cours actuel : </w:t>
            </w:r>
            <w:r>
              <w:rPr>
                <w:color w:val="000000"/>
                <w:sz w:val="17"/>
              </w:rPr>
              <w:t>6,480 FCFA</w:t>
            </w:r>
          </w:p>
          <w:p>
            <w:r>
              <w:rPr>
                <w:b/>
                <w:color w:val="503200"/>
                <w:sz w:val="16"/>
              </w:rPr>
              <w:t xml:space="preserve">Var. 100 jours : </w:t>
            </w:r>
            <w:r>
              <w:rPr>
                <w:b/>
                <w:color w:val="007800"/>
                <w:sz w:val="17"/>
              </w:rPr>
              <w:t>+38.31%</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11.88% (Moyenne) — μ=5,161 FCFA, σ=613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β=0.3004 (Défensif) — Cov=0.000011, Var(idx)=0.000036, ρ=0.089,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6,190</w:t>
            </w:r>
          </w:p>
        </w:tc>
        <w:tc>
          <w:tcPr>
            <w:tcW w:type="dxa" w:w="1440"/>
            <w:shd w:fill="FAFAFA" w:val="clear"/>
          </w:tcPr>
          <w:p>
            <w:r>
              <w:rPr>
                <w:b/>
                <w:sz w:val="17"/>
              </w:rPr>
              <w:t>6,384</w:t>
            </w:r>
          </w:p>
        </w:tc>
        <w:tc>
          <w:tcPr>
            <w:tcW w:type="dxa" w:w="1440"/>
            <w:shd w:fill="FAFAFA" w:val="clear"/>
          </w:tcPr>
          <w:p>
            <w:r>
              <w:rPr>
                <w:sz w:val="17"/>
              </w:rPr>
              <w:t>6,578</w:t>
            </w:r>
          </w:p>
        </w:tc>
        <w:tc>
          <w:tcPr>
            <w:tcW w:type="dxa" w:w="1440"/>
            <w:shd w:fill="FAFAFA" w:val="clear"/>
          </w:tcPr>
          <w:p>
            <w:r>
              <w:rPr>
                <w:b/>
                <w:color w:val="C00000"/>
                <w:sz w:val="17"/>
              </w:rPr>
              <w:t>-1.5%</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5,976</w:t>
            </w:r>
          </w:p>
        </w:tc>
        <w:tc>
          <w:tcPr>
            <w:tcW w:type="dxa" w:w="1440"/>
            <w:shd w:fill="FFDCE0" w:val="clear"/>
          </w:tcPr>
          <w:p>
            <w:r>
              <w:rPr>
                <w:b/>
                <w:sz w:val="17"/>
              </w:rPr>
              <w:t>6,244</w:t>
            </w:r>
          </w:p>
        </w:tc>
        <w:tc>
          <w:tcPr>
            <w:tcW w:type="dxa" w:w="1440"/>
            <w:shd w:fill="FFDCE0" w:val="clear"/>
          </w:tcPr>
          <w:p>
            <w:r>
              <w:rPr>
                <w:sz w:val="17"/>
              </w:rPr>
              <w:t>6,512</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5,782</w:t>
            </w:r>
          </w:p>
        </w:tc>
        <w:tc>
          <w:tcPr>
            <w:tcW w:type="dxa" w:w="1440"/>
            <w:shd w:fill="FFDCE0" w:val="clear"/>
          </w:tcPr>
          <w:p>
            <w:r>
              <w:rPr>
                <w:b/>
                <w:sz w:val="17"/>
              </w:rPr>
              <w:t>6,104</w:t>
            </w:r>
          </w:p>
        </w:tc>
        <w:tc>
          <w:tcPr>
            <w:tcW w:type="dxa" w:w="1440"/>
            <w:shd w:fill="FFDCE0" w:val="clear"/>
          </w:tcPr>
          <w:p>
            <w:r>
              <w:rPr>
                <w:sz w:val="17"/>
              </w:rPr>
              <w:t>6,425</w:t>
            </w:r>
          </w:p>
        </w:tc>
        <w:tc>
          <w:tcPr>
            <w:tcW w:type="dxa" w:w="1440"/>
            <w:shd w:fill="FFDCE0" w:val="clear"/>
          </w:tcPr>
          <w:p>
            <w:r>
              <w:rPr>
                <w:b/>
                <w:color w:val="C00000"/>
                <w:sz w:val="17"/>
              </w:rPr>
              <w:t>-5.8%</w:t>
            </w:r>
          </w:p>
        </w:tc>
      </w:tr>
      <w:tr>
        <w:tc>
          <w:tcPr>
            <w:tcW w:type="dxa" w:w="1440"/>
            <w:shd w:fill="FFDCE0" w:val="clear"/>
          </w:tcPr>
          <w:p>
            <w:r>
              <w:rPr>
                <w:sz w:val="17"/>
              </w:rPr>
              <w:t>J+4  Moyenne</w:t>
            </w:r>
          </w:p>
        </w:tc>
        <w:tc>
          <w:tcPr>
            <w:tcW w:type="dxa" w:w="1440"/>
            <w:shd w:fill="FFDCE0" w:val="clear"/>
          </w:tcPr>
          <w:p>
            <w:r>
              <w:rPr>
                <w:sz w:val="17"/>
              </w:rPr>
              <w:t>2026-09-04</w:t>
            </w:r>
          </w:p>
        </w:tc>
        <w:tc>
          <w:tcPr>
            <w:tcW w:type="dxa" w:w="1440"/>
            <w:shd w:fill="FFDCE0" w:val="clear"/>
          </w:tcPr>
          <w:p>
            <w:r>
              <w:rPr>
                <w:sz w:val="17"/>
              </w:rPr>
              <w:t>5,617</w:t>
            </w:r>
          </w:p>
        </w:tc>
        <w:tc>
          <w:tcPr>
            <w:tcW w:type="dxa" w:w="1440"/>
            <w:shd w:fill="FFDCE0" w:val="clear"/>
          </w:tcPr>
          <w:p>
            <w:r>
              <w:rPr>
                <w:b/>
                <w:sz w:val="17"/>
              </w:rPr>
              <w:t>5,980</w:t>
            </w:r>
          </w:p>
        </w:tc>
        <w:tc>
          <w:tcPr>
            <w:tcW w:type="dxa" w:w="1440"/>
            <w:shd w:fill="FFDCE0" w:val="clear"/>
          </w:tcPr>
          <w:p>
            <w:r>
              <w:rPr>
                <w:sz w:val="17"/>
              </w:rPr>
              <w:t>6,344</w:t>
            </w:r>
          </w:p>
        </w:tc>
        <w:tc>
          <w:tcPr>
            <w:tcW w:type="dxa" w:w="1440"/>
            <w:shd w:fill="FFDCE0" w:val="clear"/>
          </w:tcPr>
          <w:p>
            <w:r>
              <w:rPr>
                <w:b/>
                <w:color w:val="C00000"/>
                <w:sz w:val="17"/>
              </w:rPr>
              <w:t>-7.7%</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5,474</w:t>
            </w:r>
          </w:p>
        </w:tc>
        <w:tc>
          <w:tcPr>
            <w:tcW w:type="dxa" w:w="1440"/>
            <w:shd w:fill="FFDCE0" w:val="clear"/>
          </w:tcPr>
          <w:p>
            <w:r>
              <w:rPr>
                <w:b/>
                <w:sz w:val="17"/>
              </w:rPr>
              <w:t>5,873</w:t>
            </w:r>
          </w:p>
        </w:tc>
        <w:tc>
          <w:tcPr>
            <w:tcW w:type="dxa" w:w="1440"/>
            <w:shd w:fill="FFDCE0" w:val="clear"/>
          </w:tcPr>
          <w:p>
            <w:r>
              <w:rPr>
                <w:sz w:val="17"/>
              </w:rPr>
              <w:t>6,272</w:t>
            </w:r>
          </w:p>
        </w:tc>
        <w:tc>
          <w:tcPr>
            <w:tcW w:type="dxa" w:w="1440"/>
            <w:shd w:fill="FFDCE0" w:val="clear"/>
          </w:tcPr>
          <w:p>
            <w:r>
              <w:rPr>
                <w:b/>
                <w:color w:val="C00000"/>
                <w:sz w:val="17"/>
              </w:rPr>
              <w:t>-9.4%</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5,348</w:t>
            </w:r>
          </w:p>
        </w:tc>
        <w:tc>
          <w:tcPr>
            <w:tcW w:type="dxa" w:w="1440"/>
            <w:shd w:fill="FFDCE0" w:val="clear"/>
          </w:tcPr>
          <w:p>
            <w:r>
              <w:rPr>
                <w:b/>
                <w:sz w:val="17"/>
              </w:rPr>
              <w:t>5,778</w:t>
            </w:r>
          </w:p>
        </w:tc>
        <w:tc>
          <w:tcPr>
            <w:tcW w:type="dxa" w:w="1440"/>
            <w:shd w:fill="FFDCE0" w:val="clear"/>
          </w:tcPr>
          <w:p>
            <w:r>
              <w:rPr>
                <w:sz w:val="17"/>
              </w:rPr>
              <w:t>6,208</w:t>
            </w:r>
          </w:p>
        </w:tc>
        <w:tc>
          <w:tcPr>
            <w:tcW w:type="dxa" w:w="1440"/>
            <w:shd w:fill="FFDCE0" w:val="clear"/>
          </w:tcPr>
          <w:p>
            <w:r>
              <w:rPr>
                <w:b/>
                <w:color w:val="C00000"/>
                <w:sz w:val="17"/>
              </w:rPr>
              <w:t>-10.8%</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5,233</w:t>
            </w:r>
          </w:p>
        </w:tc>
        <w:tc>
          <w:tcPr>
            <w:tcW w:type="dxa" w:w="1440"/>
            <w:shd w:fill="FFDCE0" w:val="clear"/>
          </w:tcPr>
          <w:p>
            <w:r>
              <w:rPr>
                <w:b/>
                <w:sz w:val="17"/>
              </w:rPr>
              <w:t>5,691</w:t>
            </w:r>
          </w:p>
        </w:tc>
        <w:tc>
          <w:tcPr>
            <w:tcW w:type="dxa" w:w="1440"/>
            <w:shd w:fill="FFDCE0" w:val="clear"/>
          </w:tcPr>
          <w:p>
            <w:r>
              <w:rPr>
                <w:sz w:val="17"/>
              </w:rPr>
              <w:t>6,148</w:t>
            </w:r>
          </w:p>
        </w:tc>
        <w:tc>
          <w:tcPr>
            <w:tcW w:type="dxa" w:w="1440"/>
            <w:shd w:fill="FFDCE0" w:val="clear"/>
          </w:tcPr>
          <w:p>
            <w:r>
              <w:rPr>
                <w:b/>
                <w:color w:val="C00000"/>
                <w:sz w:val="17"/>
              </w:rPr>
              <w:t>-12.2%</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5,127</w:t>
            </w:r>
          </w:p>
        </w:tc>
        <w:tc>
          <w:tcPr>
            <w:tcW w:type="dxa" w:w="1440"/>
            <w:shd w:fill="FFDCE0" w:val="clear"/>
          </w:tcPr>
          <w:p>
            <w:r>
              <w:rPr>
                <w:b/>
                <w:sz w:val="17"/>
              </w:rPr>
              <w:t>5,610</w:t>
            </w:r>
          </w:p>
        </w:tc>
        <w:tc>
          <w:tcPr>
            <w:tcW w:type="dxa" w:w="1440"/>
            <w:shd w:fill="FFDCE0" w:val="clear"/>
          </w:tcPr>
          <w:p>
            <w:r>
              <w:rPr>
                <w:sz w:val="17"/>
              </w:rPr>
              <w:t>6,092</w:t>
            </w:r>
          </w:p>
        </w:tc>
        <w:tc>
          <w:tcPr>
            <w:tcW w:type="dxa" w:w="1440"/>
            <w:shd w:fill="FFDCE0" w:val="clear"/>
          </w:tcPr>
          <w:p>
            <w:r>
              <w:rPr>
                <w:b/>
                <w:color w:val="C00000"/>
                <w:sz w:val="17"/>
              </w:rPr>
              <w:t>-13.4%</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5,029</w:t>
            </w:r>
          </w:p>
        </w:tc>
        <w:tc>
          <w:tcPr>
            <w:tcW w:type="dxa" w:w="1440"/>
            <w:shd w:fill="FFDCE0" w:val="clear"/>
          </w:tcPr>
          <w:p>
            <w:r>
              <w:rPr>
                <w:b/>
                <w:sz w:val="17"/>
              </w:rPr>
              <w:t>5,534</w:t>
            </w:r>
          </w:p>
        </w:tc>
        <w:tc>
          <w:tcPr>
            <w:tcW w:type="dxa" w:w="1440"/>
            <w:shd w:fill="FFDCE0" w:val="clear"/>
          </w:tcPr>
          <w:p>
            <w:r>
              <w:rPr>
                <w:sz w:val="17"/>
              </w:rPr>
              <w:t>6,038</w:t>
            </w:r>
          </w:p>
        </w:tc>
        <w:tc>
          <w:tcPr>
            <w:tcW w:type="dxa" w:w="1440"/>
            <w:shd w:fill="FFDCE0" w:val="clear"/>
          </w:tcPr>
          <w:p>
            <w:r>
              <w:rPr>
                <w:b/>
                <w:color w:val="C00000"/>
                <w:sz w:val="17"/>
              </w:rPr>
              <w:t>-14.6%</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4,938</w:t>
            </w:r>
          </w:p>
        </w:tc>
        <w:tc>
          <w:tcPr>
            <w:tcW w:type="dxa" w:w="1440"/>
            <w:shd w:fill="FFDCE0" w:val="clear"/>
          </w:tcPr>
          <w:p>
            <w:r>
              <w:rPr>
                <w:b/>
                <w:sz w:val="17"/>
              </w:rPr>
              <w:t>5,463</w:t>
            </w:r>
          </w:p>
        </w:tc>
        <w:tc>
          <w:tcPr>
            <w:tcW w:type="dxa" w:w="1440"/>
            <w:shd w:fill="FFDCE0" w:val="clear"/>
          </w:tcPr>
          <w:p>
            <w:r>
              <w:rPr>
                <w:sz w:val="17"/>
              </w:rPr>
              <w:t>5,988</w:t>
            </w:r>
          </w:p>
        </w:tc>
        <w:tc>
          <w:tcPr>
            <w:tcW w:type="dxa" w:w="1440"/>
            <w:shd w:fill="FFDCE0" w:val="clear"/>
          </w:tcPr>
          <w:p>
            <w:r>
              <w:rPr>
                <w:b/>
                <w:color w:val="C00000"/>
                <w:sz w:val="17"/>
              </w:rPr>
              <w:t>-15.7%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177,88 milliards FCFA, ce qui en fait une valeur de taille moyenne sur la BRVM, représentative d'un actif bancaire significatif dans l'UEMOA. Avec un BPA de 404 FCFA, chaque action génère un bénéfice confortable, justifiant un PER de 16,1x. Ce niveau est supérieur à la moyenne historique de la BRVM (8-12x), indiquant que les investisseurs acceptent de payer une prime pour la qualité perçue de l'actif et son potentiel de croissance. Le P/B de 3,57x confirme cette prime, le marché valorisant la société à plus de 3,5 fois ses capitaux propres, signe d'une forte confiance dans la création de valeur future. Enfin, un EV/EBITDA de 8,5x, dans la fourchette raisonnable de 5-10x, suggère que la valorisation globale de l'entreprise, rapportée à sa capacité opérationnelle, reste mesurée et cohérente avec ses pairs du secteur.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progression spectaculaire de +38,31%, avec une légère consolidation de -0,23% lors de la dernière séance. Le titre a évolué dans une fourchette large de 4 425 FCFA (plus bas) à 6 700 FCFA (plus haut), démontrant une dynamique haussière soutenue. La moyenne du cours sur la période (5 161 FCFA) est inférieure à la médiane (4 940 FCFA), et l'asymétrie positive (skewness de 0,856) indique que le cours a passé plus de temps sous sa moyenne, avec des pics de hausse marqués récemment. L'écart-type de 616 FCFA (CV de 11,9%) montre une dispersion modérée, tandis que le kurtosis de -0,414 (mésokurtique) suggère une distribution proche de la normale, sans risque de variations extrêmes imprévues. La volatilité annualisée de 32,2% classe le titre comme très volatil (&gt;30%), ce qui implique un risque élevé mais aussi un fort potentiel de rendement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(6 480 FCFA) se situe nettement au-dessus de la MM20 (6 110,5 FCFA) et de la MM50 (5 611,1 FCFA), confirmant une tendance haussière solide à court et moyen terme. La configuration des MM, avec la MM20 au-dessus de la MM50, valide la dynamique positive et justifie la décision d'achat.</w:t>
      </w:r>
    </w:p>
    <w:p>
      <w:pPr>
        <w:spacing w:after="120" w:line="276" w:lineRule="auto"/>
      </w:pPr>
      <w:r>
        <w:t>**Bandes de Bollinger** : Le prix évolue dans la partie supérieure des bandes, proche de la borne haute (6 880,48 FCFA), indiquant une pression acheteuse soutenue. La largeur des bandes reflète la volatilité élevée du titre. La décision est neutre, car le cours n'a pas encore touché la borne, laissant une marge de progression avant une éventuelle suraccélération.</w:t>
      </w:r>
    </w:p>
    <w:p>
      <w:pPr>
        <w:spacing w:after="120" w:line="276" w:lineRule="auto"/>
      </w:pPr>
      <w:r>
        <w:t>**MACD** : La valeur du MACD (283,9) est supérieure à son signal (262,9), avec un écart positif qui se creuse. Cette configuration signale un momentum haussier en renforcement, confirmant la dynamique positive du titre et justifiant la décision d'achat.</w:t>
      </w:r>
    </w:p>
    <w:p>
      <w:pPr>
        <w:spacing w:after="120" w:line="276" w:lineRule="auto"/>
      </w:pPr>
      <w:r>
        <w:t>**RSI** : Le RSI à 79,5 est en zone de surachat (&gt;70). Cela indique que le titre est temporairement survendu et qu'un repli technique est possible à court terme. La décision de vente est donc un signal de prudence, suggérant de ne pas acheter à ces niveaux sans correction préalable.</w:t>
      </w:r>
    </w:p>
    <w:p>
      <w:pPr>
        <w:spacing w:after="120" w:line="276" w:lineRule="auto"/>
      </w:pPr>
      <w:r>
        <w:t>**Stochastique** : Le %K (74,1) est inférieur au %D (83,0), avec une divergence baissière naissante. Bien que les deux lignes soient en zone élevée, ce croisement potentiel pourrait signaler un essoufflement de la dynamique haussière. La décision neutre reflète cette incertitude à court terme.</w:t>
      </w:r>
    </w:p>
    <w:p>
      <w:pPr>
        <w:spacing w:after="120" w:line="276" w:lineRule="auto"/>
      </w:pPr>
      <w:r>
        <w:t>**Conclusion technique** : Les indicateurs de tendance (MM, MACD) sont résolument haussiers, mais les oscillateurs (RSI, Stochastique) signalent une suraccumulation et un risque de correction. La prudence est de mise à court terme,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BOAM révèlent une banque solide et rentable. Le Produit Net Bancaire (PNB) s'établit à 37,996 milliards FCFA, avec un résultat net de 11,081 milliards FCFA, soit une marge nette de 29,16%. Le ROE est excellent à 22,24% et le ROA à 1,87%, démontrant une utilisation efficace des capitaux propres et des actifs. Le coefficient d'exploitation de 63,14% est légèrement supérieur au seuil d'efficacité de 60%, indiquant une marge de progression dans la maîtrise des charges. Le coût du risque, à 43,39% des charges financières, reste élevé, signalant un portefeuille de crédits encore risqué. La banque affiche une transformation saine avec des dépôts clientèle (502,89 Mds) largement supérieurs aux créances (253,65 Mds), assurant une liquidité confortable. Les rapports trimestriels 2025 confirment cette trajectoire : le T1 montre un résultat net en hausse de 91,2%, le S1 de +28,8% et le T3 de +26,2%, porté par une croissance du PNB de +5,8% et une maîtrise du coût du risque. On estime que l'exercice 2025 devrait clôturer avec un résultat net supérieur à 11 milliards FCFA, confirmant la robustesse du modèle malgré un environnement malien difficile. La solidité financière est réelle, mais les risques macroéconomiques et sécuritaires imposent une vigilance constante.</w:t>
      </w:r>
    </w:p>
    <w:p>
      <w:pPr>
        <w:spacing w:after="120" w:line="276" w:lineRule="auto" w:before="240"/>
      </w:pPr>
      <w:r>
        <w:rPr>
          <w:b/>
          <w:color w:val="003366"/>
          <w:sz w:val="24"/>
        </w:rPr>
        <w:t>**PARTIE 4 : CONCLUSION D'INVESTISSEMENT**</w:t>
      </w:r>
    </w:p>
    <w:p>
      <w:pPr>
        <w:spacing w:after="120" w:line="276" w:lineRule="auto"/>
      </w:pPr>
      <w:r>
        <w:t>La valorisation de BOAM (PER 16,1x, P/B 3,57x) est exigeante mais justifiée par une rentabilité exceptionnelle (ROE 22,2%) et une croissance soutenue du résultat net (+26% sur 9 mois). Le comportement du cours, avec une hausse de 38% en 100 jours et une volatilité de 32%, reflète un optimisme marqué, mais les statistiques (asymétrie positive) suggèrent un potentiel de consolidation. Les signaux techniques sont mitigés : la tendance (MM, MACD) est haussière, mais les oscillateurs (RSI à 79,5) crient à la surachat. Les fondamentaux sont solides, avec une banque bien capitalisée et liquide, mais le coût du risque et l'environnement malien restent des points de vigilance. Les prédictions IA pour les 10 prochains jours (baisse de 6 384 à 5 873 FCFA) contredisent la tendance haussière récente et suggèrent une correction technique. En synthèse, la convergence entre une valorisation élevée, des signaux techniques surachetés et une prédiction IA baissière incite à la prudence. **Recommandation : CONSERVER** avec un niveau de confiance **Moyen** et un risque global **Élevé**. L'horizon d'investissement optimal serait à **moyen terme (3-12 mois)**, en attendant une correction du cours pour renforcer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10,417 titres</w:t>
            </w:r>
          </w:p>
        </w:tc>
        <w:tc>
          <w:tcPr>
            <w:tcW w:type="dxa" w:w="2268"/>
            <w:shd w:fill="FFF2CC" w:val="clear"/>
          </w:tcPr>
          <w:p>
            <w:r>
              <w:rPr>
                <w:b/>
                <w:color w:val="503200"/>
                <w:sz w:val="16"/>
              </w:rPr>
              <w:t xml:space="preserve">Cours actuel : </w:t>
            </w:r>
            <w:r>
              <w:rPr>
                <w:color w:val="000000"/>
                <w:sz w:val="17"/>
              </w:rPr>
              <w:t>5,480 FCFA</w:t>
            </w:r>
          </w:p>
          <w:p>
            <w:r>
              <w:rPr>
                <w:b/>
                <w:color w:val="503200"/>
                <w:sz w:val="16"/>
              </w:rPr>
              <w:t xml:space="preserve">Var. 100 jours : </w:t>
            </w:r>
            <w:r>
              <w:rPr>
                <w:b/>
                <w:color w:val="007800"/>
                <w:sz w:val="17"/>
              </w:rPr>
              <w:t>+106.02%</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2,660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22.5/100 → Moyen</w:t>
      </w:r>
    </w:p>
    <w:p>
      <w:pPr>
        <w:spacing w:before="40" w:after="80"/>
      </w:pPr>
      <w:r>
        <w:rPr>
          <w:rFonts w:ascii="Courier New" w:hAnsi="Courier New"/>
          <w:color w:val="825A00"/>
          <w:sz w:val="18"/>
        </w:rPr>
        <w:t>████░░░░░░░░░░░░░░░░  22.5/100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20.12% (Élevée) — μ=4,177 FCFA, σ=840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β=0.3192 (Défensif) — Cov=0.000012, Var(idx)=0.000036, ρ=0.077,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10,417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5,322</w:t>
            </w:r>
          </w:p>
        </w:tc>
        <w:tc>
          <w:tcPr>
            <w:tcW w:type="dxa" w:w="1440"/>
            <w:shd w:fill="FAFAFA" w:val="clear"/>
          </w:tcPr>
          <w:p>
            <w:r>
              <w:rPr>
                <w:b/>
                <w:sz w:val="17"/>
              </w:rPr>
              <w:t>5,482</w:t>
            </w:r>
          </w:p>
        </w:tc>
        <w:tc>
          <w:tcPr>
            <w:tcW w:type="dxa" w:w="1440"/>
            <w:shd w:fill="FAFAFA" w:val="clear"/>
          </w:tcPr>
          <w:p>
            <w:r>
              <w:rPr>
                <w:sz w:val="17"/>
              </w:rPr>
              <w:t>5,642</w:t>
            </w:r>
          </w:p>
        </w:tc>
        <w:tc>
          <w:tcPr>
            <w:tcW w:type="dxa" w:w="1440"/>
            <w:shd w:fill="FAFAFA" w:val="clear"/>
          </w:tcPr>
          <w:p>
            <w:r>
              <w:rPr>
                <w:b/>
                <w:color w:val="008000"/>
                <w:sz w:val="17"/>
              </w:rPr>
              <w:t>+0.0%</w:t>
            </w:r>
          </w:p>
        </w:tc>
      </w:tr>
      <w:tr>
        <w:tc>
          <w:tcPr>
            <w:tcW w:type="dxa" w:w="1440"/>
            <w:shd w:fill="FAFAFA" w:val="clear"/>
          </w:tcPr>
          <w:p>
            <w:r>
              <w:rPr>
                <w:sz w:val="17"/>
              </w:rPr>
              <w:t>J+2  Moyenne</w:t>
            </w:r>
          </w:p>
        </w:tc>
        <w:tc>
          <w:tcPr>
            <w:tcW w:type="dxa" w:w="1440"/>
            <w:shd w:fill="FAFAFA" w:val="clear"/>
          </w:tcPr>
          <w:p>
            <w:r>
              <w:rPr>
                <w:sz w:val="17"/>
              </w:rPr>
              <w:t>2026-09-02</w:t>
            </w:r>
          </w:p>
        </w:tc>
        <w:tc>
          <w:tcPr>
            <w:tcW w:type="dxa" w:w="1440"/>
            <w:shd w:fill="FAFAFA" w:val="clear"/>
          </w:tcPr>
          <w:p>
            <w:r>
              <w:rPr>
                <w:sz w:val="17"/>
              </w:rPr>
              <w:t>5,239</w:t>
            </w:r>
          </w:p>
        </w:tc>
        <w:tc>
          <w:tcPr>
            <w:tcW w:type="dxa" w:w="1440"/>
            <w:shd w:fill="FAFAFA" w:val="clear"/>
          </w:tcPr>
          <w:p>
            <w:r>
              <w:rPr>
                <w:b/>
                <w:sz w:val="17"/>
              </w:rPr>
              <w:t>5,465</w:t>
            </w:r>
          </w:p>
        </w:tc>
        <w:tc>
          <w:tcPr>
            <w:tcW w:type="dxa" w:w="1440"/>
            <w:shd w:fill="FAFAFA" w:val="clear"/>
          </w:tcPr>
          <w:p>
            <w:r>
              <w:rPr>
                <w:sz w:val="17"/>
              </w:rPr>
              <w:t>5,691</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5,174</w:t>
            </w:r>
          </w:p>
        </w:tc>
        <w:tc>
          <w:tcPr>
            <w:tcW w:type="dxa" w:w="1440"/>
            <w:shd w:fill="FAFAFA" w:val="clear"/>
          </w:tcPr>
          <w:p>
            <w:r>
              <w:rPr>
                <w:b/>
                <w:sz w:val="17"/>
              </w:rPr>
              <w:t>5,450</w:t>
            </w:r>
          </w:p>
        </w:tc>
        <w:tc>
          <w:tcPr>
            <w:tcW w:type="dxa" w:w="1440"/>
            <w:shd w:fill="FAFAFA" w:val="clear"/>
          </w:tcPr>
          <w:p>
            <w:r>
              <w:rPr>
                <w:sz w:val="17"/>
              </w:rPr>
              <w:t>5,726</w:t>
            </w:r>
          </w:p>
        </w:tc>
        <w:tc>
          <w:tcPr>
            <w:tcW w:type="dxa" w:w="1440"/>
            <w:shd w:fill="FAFAFA" w:val="clear"/>
          </w:tcPr>
          <w:p>
            <w:r>
              <w:rPr>
                <w:b/>
                <w:color w:val="C00000"/>
                <w:sz w:val="17"/>
              </w:rPr>
              <w:t>-0.5%</w:t>
            </w:r>
          </w:p>
        </w:tc>
      </w:tr>
      <w:tr>
        <w:tc>
          <w:tcPr>
            <w:tcW w:type="dxa" w:w="1440"/>
            <w:shd w:fill="FAFAFA" w:val="clear"/>
          </w:tcPr>
          <w:p>
            <w:r>
              <w:rPr>
                <w:sz w:val="17"/>
              </w:rPr>
              <w:t>J+4  ⭐</w:t>
            </w:r>
          </w:p>
        </w:tc>
        <w:tc>
          <w:tcPr>
            <w:tcW w:type="dxa" w:w="1440"/>
            <w:shd w:fill="FAFAFA" w:val="clear"/>
          </w:tcPr>
          <w:p>
            <w:r>
              <w:rPr>
                <w:sz w:val="17"/>
              </w:rPr>
              <w:t>2026-09-04</w:t>
            </w:r>
          </w:p>
        </w:tc>
        <w:tc>
          <w:tcPr>
            <w:tcW w:type="dxa" w:w="1440"/>
            <w:shd w:fill="FAFAFA" w:val="clear"/>
          </w:tcPr>
          <w:p>
            <w:r>
              <w:rPr>
                <w:sz w:val="17"/>
              </w:rPr>
              <w:t>5,118</w:t>
            </w:r>
          </w:p>
        </w:tc>
        <w:tc>
          <w:tcPr>
            <w:tcW w:type="dxa" w:w="1440"/>
            <w:shd w:fill="FAFAFA" w:val="clear"/>
          </w:tcPr>
          <w:p>
            <w:r>
              <w:rPr>
                <w:b/>
                <w:sz w:val="17"/>
              </w:rPr>
              <w:t>5,435</w:t>
            </w:r>
          </w:p>
        </w:tc>
        <w:tc>
          <w:tcPr>
            <w:tcW w:type="dxa" w:w="1440"/>
            <w:shd w:fill="FAFAFA" w:val="clear"/>
          </w:tcPr>
          <w:p>
            <w:r>
              <w:rPr>
                <w:sz w:val="17"/>
              </w:rPr>
              <w:t>5,753</w:t>
            </w:r>
          </w:p>
        </w:tc>
        <w:tc>
          <w:tcPr>
            <w:tcW w:type="dxa" w:w="1440"/>
            <w:shd w:fill="FAFAFA" w:val="clear"/>
          </w:tcPr>
          <w:p>
            <w:r>
              <w:rPr>
                <w:b/>
                <w:color w:val="C00000"/>
                <w:sz w:val="17"/>
              </w:rPr>
              <w:t>-0.8%</w:t>
            </w:r>
          </w:p>
        </w:tc>
      </w:tr>
      <w:tr>
        <w:tc>
          <w:tcPr>
            <w:tcW w:type="dxa" w:w="1440"/>
            <w:shd w:fill="FAFAFA" w:val="clear"/>
          </w:tcPr>
          <w:p>
            <w:r>
              <w:rPr>
                <w:sz w:val="17"/>
              </w:rPr>
              <w:t>J+5  ⭐</w:t>
            </w:r>
          </w:p>
        </w:tc>
        <w:tc>
          <w:tcPr>
            <w:tcW w:type="dxa" w:w="1440"/>
            <w:shd w:fill="FAFAFA" w:val="clear"/>
          </w:tcPr>
          <w:p>
            <w:r>
              <w:rPr>
                <w:sz w:val="17"/>
              </w:rPr>
              <w:t>2026-09-07</w:t>
            </w:r>
          </w:p>
        </w:tc>
        <w:tc>
          <w:tcPr>
            <w:tcW w:type="dxa" w:w="1440"/>
            <w:shd w:fill="FAFAFA" w:val="clear"/>
          </w:tcPr>
          <w:p>
            <w:r>
              <w:rPr>
                <w:sz w:val="17"/>
              </w:rPr>
              <w:t>5,067</w:t>
            </w:r>
          </w:p>
        </w:tc>
        <w:tc>
          <w:tcPr>
            <w:tcW w:type="dxa" w:w="1440"/>
            <w:shd w:fill="FAFAFA" w:val="clear"/>
          </w:tcPr>
          <w:p>
            <w:r>
              <w:rPr>
                <w:b/>
                <w:sz w:val="17"/>
              </w:rPr>
              <w:t>5,421</w:t>
            </w:r>
          </w:p>
        </w:tc>
        <w:tc>
          <w:tcPr>
            <w:tcW w:type="dxa" w:w="1440"/>
            <w:shd w:fill="FAFAFA" w:val="clear"/>
          </w:tcPr>
          <w:p>
            <w:r>
              <w:rPr>
                <w:sz w:val="17"/>
              </w:rPr>
              <w:t>5,775</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2026-09-08</w:t>
            </w:r>
          </w:p>
        </w:tc>
        <w:tc>
          <w:tcPr>
            <w:tcW w:type="dxa" w:w="1440"/>
            <w:shd w:fill="FAFAFA" w:val="clear"/>
          </w:tcPr>
          <w:p>
            <w:r>
              <w:rPr>
                <w:sz w:val="17"/>
              </w:rPr>
              <w:t>5,020</w:t>
            </w:r>
          </w:p>
        </w:tc>
        <w:tc>
          <w:tcPr>
            <w:tcW w:type="dxa" w:w="1440"/>
            <w:shd w:fill="FAFAFA" w:val="clear"/>
          </w:tcPr>
          <w:p>
            <w:r>
              <w:rPr>
                <w:b/>
                <w:sz w:val="17"/>
              </w:rPr>
              <w:t>5,407</w:t>
            </w:r>
          </w:p>
        </w:tc>
        <w:tc>
          <w:tcPr>
            <w:tcW w:type="dxa" w:w="1440"/>
            <w:shd w:fill="FAFAFA" w:val="clear"/>
          </w:tcPr>
          <w:p>
            <w:r>
              <w:rPr>
                <w:sz w:val="17"/>
              </w:rPr>
              <w:t>5,794</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2026-09-09</w:t>
            </w:r>
          </w:p>
        </w:tc>
        <w:tc>
          <w:tcPr>
            <w:tcW w:type="dxa" w:w="1440"/>
            <w:shd w:fill="FAFAFA" w:val="clear"/>
          </w:tcPr>
          <w:p>
            <w:r>
              <w:rPr>
                <w:sz w:val="17"/>
              </w:rPr>
              <w:t>4,977</w:t>
            </w:r>
          </w:p>
        </w:tc>
        <w:tc>
          <w:tcPr>
            <w:tcW w:type="dxa" w:w="1440"/>
            <w:shd w:fill="FAFAFA" w:val="clear"/>
          </w:tcPr>
          <w:p>
            <w:r>
              <w:rPr>
                <w:b/>
                <w:sz w:val="17"/>
              </w:rPr>
              <w:t>5,393</w:t>
            </w:r>
          </w:p>
        </w:tc>
        <w:tc>
          <w:tcPr>
            <w:tcW w:type="dxa" w:w="1440"/>
            <w:shd w:fill="FAFAFA" w:val="clear"/>
          </w:tcPr>
          <w:p>
            <w:r>
              <w:rPr>
                <w:sz w:val="17"/>
              </w:rPr>
              <w:t>5,810</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2026-09-10</w:t>
            </w:r>
          </w:p>
        </w:tc>
        <w:tc>
          <w:tcPr>
            <w:tcW w:type="dxa" w:w="1440"/>
            <w:shd w:fill="FAFAFA" w:val="clear"/>
          </w:tcPr>
          <w:p>
            <w:r>
              <w:rPr>
                <w:sz w:val="17"/>
              </w:rPr>
              <w:t>4,935</w:t>
            </w:r>
          </w:p>
        </w:tc>
        <w:tc>
          <w:tcPr>
            <w:tcW w:type="dxa" w:w="1440"/>
            <w:shd w:fill="FAFAFA" w:val="clear"/>
          </w:tcPr>
          <w:p>
            <w:r>
              <w:rPr>
                <w:b/>
                <w:sz w:val="17"/>
              </w:rPr>
              <w:t>5,379</w:t>
            </w:r>
          </w:p>
        </w:tc>
        <w:tc>
          <w:tcPr>
            <w:tcW w:type="dxa" w:w="1440"/>
            <w:shd w:fill="FAFAFA" w:val="clear"/>
          </w:tcPr>
          <w:p>
            <w:r>
              <w:rPr>
                <w:sz w:val="17"/>
              </w:rPr>
              <w:t>5,824</w:t>
            </w:r>
          </w:p>
        </w:tc>
        <w:tc>
          <w:tcPr>
            <w:tcW w:type="dxa" w:w="1440"/>
            <w:shd w:fill="FAFAFA" w:val="clear"/>
          </w:tcPr>
          <w:p>
            <w:r>
              <w:rPr>
                <w:b/>
                <w:color w:val="C00000"/>
                <w:sz w:val="17"/>
              </w:rPr>
              <w:t>-1.8%</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4,896</w:t>
            </w:r>
          </w:p>
        </w:tc>
        <w:tc>
          <w:tcPr>
            <w:tcW w:type="dxa" w:w="1440"/>
            <w:shd w:fill="FFDCE0" w:val="clear"/>
          </w:tcPr>
          <w:p>
            <w:r>
              <w:rPr>
                <w:b/>
                <w:sz w:val="17"/>
              </w:rPr>
              <w:t>5,366</w:t>
            </w:r>
          </w:p>
        </w:tc>
        <w:tc>
          <w:tcPr>
            <w:tcW w:type="dxa" w:w="1440"/>
            <w:shd w:fill="FFDCE0" w:val="clear"/>
          </w:tcPr>
          <w:p>
            <w:r>
              <w:rPr>
                <w:sz w:val="17"/>
              </w:rPr>
              <w:t>5,836</w:t>
            </w:r>
          </w:p>
        </w:tc>
        <w:tc>
          <w:tcPr>
            <w:tcW w:type="dxa" w:w="1440"/>
            <w:shd w:fill="FFDCE0" w:val="clear"/>
          </w:tcPr>
          <w:p>
            <w:r>
              <w:rPr>
                <w:b/>
                <w:color w:val="C00000"/>
                <w:sz w:val="17"/>
              </w:rPr>
              <w:t>-2.1%</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4,858</w:t>
            </w:r>
          </w:p>
        </w:tc>
        <w:tc>
          <w:tcPr>
            <w:tcW w:type="dxa" w:w="1440"/>
            <w:shd w:fill="FFDCE0" w:val="clear"/>
          </w:tcPr>
          <w:p>
            <w:r>
              <w:rPr>
                <w:b/>
                <w:sz w:val="17"/>
              </w:rPr>
              <w:t>5,352</w:t>
            </w:r>
          </w:p>
        </w:tc>
        <w:tc>
          <w:tcPr>
            <w:tcW w:type="dxa" w:w="1440"/>
            <w:shd w:fill="FFDCE0" w:val="clear"/>
          </w:tcPr>
          <w:p>
            <w:r>
              <w:rPr>
                <w:sz w:val="17"/>
              </w:rPr>
              <w:t>5,847</w:t>
            </w:r>
          </w:p>
        </w:tc>
        <w:tc>
          <w:tcPr>
            <w:tcW w:type="dxa" w:w="1440"/>
            <w:shd w:fill="FFDCE0" w:val="clear"/>
          </w:tcPr>
          <w:p>
            <w:r>
              <w:rPr>
                <w:b/>
                <w:color w:val="C00000"/>
                <w:sz w:val="17"/>
              </w:rPr>
              <w:t>-2.3%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113,98 milliards FCFA, un niveau significatif qui la positionne parmi les valeurs moyennes de la BRVM. Le BPA de 20 FCFA par action est particulièrement faible, traduisant une capacité bénéficiaire très réduite. Le PER de 278,7x est extrêmement élevé, très largement au-dessus de la moyenne BRVM (8-12x), ce qui signifie que les investisseurs paient un prix très important pour chaque franc de bénéfice. Le P/B de 3,16x indique que le marché valorise la banque à plus de trois fois sa valeur comptable, une prime de croissance substantielle. Enfin, l'EV/EBITDA de 41,0x est très exigeant, suggérant que la valeur totale de l'entreprise est très élevée par rapport à sa capacité opérationnelle réelle. Ces ratios combinés signalent une valorisation boursière très généreuse, voire spéculative, compte tenu des fondamentaux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BOAN a enregistré une progression spectaculaire de +106,02%, passant d'un plus bas de 2 660 FCFA à un plus haut de 5 645 FCFA, avec un cours actuel de 5 480 FCFA. La dernière séance affiche un léger repli de -0,36%, suggérant une possible consolidation après cette forte hausse. La moyenne du cours sur la période est de 4 177 FCFA, tandis que la médiane est de 3 760 FCFA, l'écart entre ces deux valeurs indiquant une distribution asymétrique vers le haut, confirmée par un skewness positif de 0,188. L'écart-type de 844 FCFA, avec un coefficient de variation de 20,2%, révèle une dispersion modérée des prix autour de la moyenne. Le kurtosis de -1,279 (platykurtique) indique une distribution aplatie avec peu de valeurs extrêmes, ce qui est rassurant. La volatilité annualisée de 40,2% est élevée, positionnant BOAN comme un titre très risqué mais offrant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5 480 FCFA se situe nettement au-dessus de la MM20 (5 239,5 FCFA) et de la MM50 (4 894,2 FCFA), confirmant une tendance haussière solide. L'écart positif entre le prix et ces moyennes indique une dynamique positive, justifiant la décision d'achat.</w:t>
      </w:r>
    </w:p>
    <w:p>
      <w:pPr>
        <w:spacing w:after="120" w:line="276" w:lineRule="auto"/>
      </w:pPr>
      <w:r>
        <w:t>**Bandes de Bollinger** : Le prix est proche de la borne supérieure (5 552,985 FCFA), avec une borne inférieure à 4 926,015 FCFA. Cette position suggère une pression acheteuse soutenue, mais le fait que le prix n'ait pas encore franchi la borne supérieure indique une volatilité modérée. La décision est neutre, le marché attendant une direction claire.</w:t>
      </w:r>
    </w:p>
    <w:p>
      <w:pPr>
        <w:spacing w:after="120" w:line="276" w:lineRule="auto"/>
      </w:pPr>
      <w:r>
        <w:t>**MACD** : La valeur du MACD (149,564) est supérieure à son signal (138,587), indiquant un momentum haussier positif. Cette configuration, avec un MACD au-dessus de zéro, confirme la tendance haussière en cours, justifiant la décision d'achat.</w:t>
      </w:r>
    </w:p>
    <w:p>
      <w:pPr>
        <w:spacing w:after="120" w:line="276" w:lineRule="auto"/>
      </w:pPr>
      <w:r>
        <w:t>**RSI** : Le RSI de 67,284 se situe en zone neutre, proche du seuil de surachat (70). Cette valeur indique que le titre est fortement acheté mais pas encore en situation de surachat, laissant une marge de progression avant une éventuelle correction.</w:t>
      </w:r>
    </w:p>
    <w:p>
      <w:pPr>
        <w:spacing w:after="120" w:line="276" w:lineRule="auto"/>
      </w:pPr>
      <w:r>
        <w:t>**Stochastique** : Le %K (69,725) est inférieur au %D (81,04), indiquant un possible retournement baissier à court terme. Cette configuration, bien que neutre, suggère une prudence, car le croisement baissier pourrait se confirmer.</w:t>
      </w:r>
    </w:p>
    <w:p>
      <w:pPr>
        <w:spacing w:after="120" w:line="276" w:lineRule="auto"/>
      </w:pPr>
      <w:r>
        <w:t>**Conclusion technique** : Les indicateurs sont globalement positifs, avec une tendance haussière confirmée par les moyennes mobiles et le MACD. Cependant, le RSI proche du surachat et le stochastique en croisement baissier suggèrent un possible ralentissement à court terme. La tendance de fond reste haussière, mais une consolidation est probable.</w:t>
      </w:r>
    </w:p>
    <w:p>
      <w:pPr>
        <w:spacing w:after="120" w:line="276" w:lineRule="auto" w:before="240"/>
      </w:pPr>
      <w:r>
        <w:rPr>
          <w:b/>
          <w:color w:val="003366"/>
          <w:sz w:val="24"/>
        </w:rPr>
        <w:t>**PARTIE 3 : ANALYSE FONDAMENTALE (SECTION CRITIQUE)**</w:t>
      </w:r>
    </w:p>
    <w:p>
      <w:pPr>
        <w:spacing w:after="120" w:line="276" w:lineRule="auto"/>
      </w:pPr>
      <w:r>
        <w:t>En 2025, le Produit Net Bancaire (PNB) de BOAN s'établit à 21,125 milliards FCFA, en légère baisse de -1,2% par rapport à 2024 (21,380 milliards FCFA). Le résultat net est en chute libre, passant de 5,002 milliards FCFA en 2024 à seulement 409 millions FCFA en 2025, soit une dégringolade de -91,8%. Le ROE s'effondre à 1,05% (contre 11,39% en 2024) et le ROA à 0,13% (contre 1,49% en 2024). Le coefficient d'exploitation de 74,37% est préoccupant, bien au-dessus du seuil d'efficacité de 60%, indiquant une gestion des coûts dégradée. Le coût du risque est très élevé à 67,30%, reflétant un portefeuille de crédits de mauvaise qualité avec un taux de créances en souffrance de 24%. Les dépôts clientèle (183,280 milliards FCFA) couvrent largement les créances sur la clientèle (128,447 milliards FCFA), mais la contraction des crédits de -20,9% en 2025 témoigne d'une politique très prudente. Les rapports trimestriels 2025 montrent une dégradation progressive : T1 avec un résultat net de 1,138 milliards FCFA (-50,2%), S1 avec 2,39 milliards FCFA (-25,2%), et 9 mois avec 2,84 milliards FCFA (-33,1%). Cependant, le rapport T1 2026 (daté de 2026) est très encourageant : le résultat net progresse de +28,9% à 1 467,3 millions FCFA, le PNB de +7,9% à 5 170 millions FCFA, et le coefficient d'exploitation s'améliore à 56,2%. Sur cette base, on estime que l'exercice 2026 pourrait voir un PNB en hausse de +6,4% et un résultat avant impôts de 7,280 milliards FCFA, soit une multiplication par six du résultat net. La banque, soutenue par le groupe BOA, semble engagée dans une trajectoire de redressement, mais la prudence reste de mise.</w:t>
      </w:r>
    </w:p>
    <w:p>
      <w:pPr>
        <w:spacing w:after="120" w:line="276" w:lineRule="auto" w:before="240"/>
      </w:pPr>
      <w:r>
        <w:rPr>
          <w:b/>
          <w:color w:val="003366"/>
          <w:sz w:val="24"/>
        </w:rPr>
        <w:t>**PARTIE 4 : CONCLUSION D'INVESTISSEMENT**</w:t>
      </w:r>
    </w:p>
    <w:p>
      <w:pPr>
        <w:spacing w:after="120" w:line="276" w:lineRule="auto"/>
      </w:pPr>
      <w:r>
        <w:t>La valorisation de BOAN est extrêmement élevée (PER de 278,7x, P/B de 3,16x, EV/EBITDA de 41,0x), indiquant une surévaluation manifeste par rapport aux bénéfices actuels. Le comportement du cours montre une hausse spectaculaire de +106% sur 100 jours, avec une volatilité élevée de 40,2%, ce qui est préoccupant pour un titre aux fondamentaux aussi fragiles. Les signaux techniques sont globalement positifs (MM, MACD en achat) mais montrent des signes de fatigue (RSI proche du surachat, stochastique en croisement baissier). Les fondamentaux sont très dégradés en 2025, mais les perspectives 2026 sont encourageantes, avec un T1 2026 en forte amélioration. Les prédictions IA prévoient une légère baisse du cours sur les 10 prochains jours (de 5 482 à 5 421 FCFA), suggérant une consolidation. La convergence entre la surévaluation boursière, la volatilité élevée et les fondamentaux encore fragiles, malgré des perspectives positives, conduit à une recommandation de **CONSERVER** avec un niveau de confiance **Moyen**. Le risque global est **Élevé** en raison de la valorisation excessive et de l'environnement économique nigérien instable. L'horizon d'investissement optimal serait le **moyen terme (3-12 mois)**, en attendant la confirmation du redressement fondamental et une éventuelle correction du cours pour une meilleure entrée.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298.62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9,450 titres</w:t>
            </w:r>
          </w:p>
        </w:tc>
        <w:tc>
          <w:tcPr>
            <w:tcW w:type="dxa" w:w="2268"/>
            <w:shd w:fill="FFF2CC" w:val="clear"/>
          </w:tcPr>
          <w:p>
            <w:r>
              <w:rPr>
                <w:b/>
                <w:color w:val="503200"/>
                <w:sz w:val="16"/>
              </w:rPr>
              <w:t xml:space="preserve">Cours actuel : </w:t>
            </w:r>
            <w:r>
              <w:rPr>
                <w:color w:val="000000"/>
                <w:sz w:val="17"/>
              </w:rPr>
              <w:t>8,295 FCFA</w:t>
            </w:r>
          </w:p>
          <w:p>
            <w:r>
              <w:rPr>
                <w:b/>
                <w:color w:val="503200"/>
                <w:sz w:val="16"/>
              </w:rPr>
              <w:t xml:space="preserve">Var. 100 jours : </w:t>
            </w:r>
            <w:r>
              <w:rPr>
                <w:b/>
                <w:color w:val="007800"/>
                <w:sz w:val="17"/>
              </w:rPr>
              <w:t>+21.99%</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24.6%</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5.61% (Moyenne) — μ=7,436 FCFA, σ=417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β=0.3387 (Défensif) — Cov=0.000012, Var(idx)=0.000036,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9,450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σ_j=1.55%/j (Stable) — Vol. annualisée≈24.6%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7,835</w:t>
            </w:r>
          </w:p>
        </w:tc>
        <w:tc>
          <w:tcPr>
            <w:tcW w:type="dxa" w:w="1440"/>
            <w:shd w:fill="FFDCE0" w:val="clear"/>
          </w:tcPr>
          <w:p>
            <w:r>
              <w:rPr>
                <w:b/>
                <w:sz w:val="17"/>
              </w:rPr>
              <w:t>8,079</w:t>
            </w:r>
          </w:p>
        </w:tc>
        <w:tc>
          <w:tcPr>
            <w:tcW w:type="dxa" w:w="1440"/>
            <w:shd w:fill="FFDCE0" w:val="clear"/>
          </w:tcPr>
          <w:p>
            <w:r>
              <w:rPr>
                <w:sz w:val="17"/>
              </w:rPr>
              <w:t>8,322</w:t>
            </w:r>
          </w:p>
        </w:tc>
        <w:tc>
          <w:tcPr>
            <w:tcW w:type="dxa" w:w="1440"/>
            <w:shd w:fill="FFDCE0" w:val="clear"/>
          </w:tcPr>
          <w:p>
            <w:r>
              <w:rPr>
                <w:b/>
                <w:color w:val="C00000"/>
                <w:sz w:val="17"/>
              </w:rPr>
              <w:t>-2.6%</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7,594</w:t>
            </w:r>
          </w:p>
        </w:tc>
        <w:tc>
          <w:tcPr>
            <w:tcW w:type="dxa" w:w="1440"/>
            <w:shd w:fill="FFDCE0" w:val="clear"/>
          </w:tcPr>
          <w:p>
            <w:r>
              <w:rPr>
                <w:b/>
                <w:sz w:val="17"/>
              </w:rPr>
              <w:t>7,932</w:t>
            </w:r>
          </w:p>
        </w:tc>
        <w:tc>
          <w:tcPr>
            <w:tcW w:type="dxa" w:w="1440"/>
            <w:shd w:fill="FFDCE0" w:val="clear"/>
          </w:tcPr>
          <w:p>
            <w:r>
              <w:rPr>
                <w:sz w:val="17"/>
              </w:rPr>
              <w:t>8,270</w:t>
            </w:r>
          </w:p>
        </w:tc>
        <w:tc>
          <w:tcPr>
            <w:tcW w:type="dxa" w:w="1440"/>
            <w:shd w:fill="FFDCE0" w:val="clear"/>
          </w:tcPr>
          <w:p>
            <w:r>
              <w:rPr>
                <w:b/>
                <w:color w:val="C00000"/>
                <w:sz w:val="17"/>
              </w:rPr>
              <w:t>-4.4%</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7,383</w:t>
            </w:r>
          </w:p>
        </w:tc>
        <w:tc>
          <w:tcPr>
            <w:tcW w:type="dxa" w:w="1440"/>
            <w:shd w:fill="FFDCE0" w:val="clear"/>
          </w:tcPr>
          <w:p>
            <w:r>
              <w:rPr>
                <w:b/>
                <w:sz w:val="17"/>
              </w:rPr>
              <w:t>7,790</w:t>
            </w:r>
          </w:p>
        </w:tc>
        <w:tc>
          <w:tcPr>
            <w:tcW w:type="dxa" w:w="1440"/>
            <w:shd w:fill="FFDCE0" w:val="clear"/>
          </w:tcPr>
          <w:p>
            <w:r>
              <w:rPr>
                <w:sz w:val="17"/>
              </w:rPr>
              <w:t>8,197</w:t>
            </w:r>
          </w:p>
        </w:tc>
        <w:tc>
          <w:tcPr>
            <w:tcW w:type="dxa" w:w="1440"/>
            <w:shd w:fill="FFDCE0" w:val="clear"/>
          </w:tcPr>
          <w:p>
            <w:r>
              <w:rPr>
                <w:b/>
                <w:color w:val="C00000"/>
                <w:sz w:val="17"/>
              </w:rPr>
              <w:t>-6.1%</w:t>
            </w:r>
          </w:p>
        </w:tc>
      </w:tr>
      <w:tr>
        <w:tc>
          <w:tcPr>
            <w:tcW w:type="dxa" w:w="1440"/>
            <w:shd w:fill="FFDCE0" w:val="clear"/>
          </w:tcPr>
          <w:p>
            <w:r>
              <w:rPr>
                <w:sz w:val="17"/>
              </w:rPr>
              <w:t>J+4  Moyenne</w:t>
            </w:r>
          </w:p>
        </w:tc>
        <w:tc>
          <w:tcPr>
            <w:tcW w:type="dxa" w:w="1440"/>
            <w:shd w:fill="FFDCE0" w:val="clear"/>
          </w:tcPr>
          <w:p>
            <w:r>
              <w:rPr>
                <w:sz w:val="17"/>
              </w:rPr>
              <w:t>2026-09-04</w:t>
            </w:r>
          </w:p>
        </w:tc>
        <w:tc>
          <w:tcPr>
            <w:tcW w:type="dxa" w:w="1440"/>
            <w:shd w:fill="FFDCE0" w:val="clear"/>
          </w:tcPr>
          <w:p>
            <w:r>
              <w:rPr>
                <w:sz w:val="17"/>
              </w:rPr>
              <w:t>7,199</w:t>
            </w:r>
          </w:p>
        </w:tc>
        <w:tc>
          <w:tcPr>
            <w:tcW w:type="dxa" w:w="1440"/>
            <w:shd w:fill="FFDCE0" w:val="clear"/>
          </w:tcPr>
          <w:p>
            <w:r>
              <w:rPr>
                <w:b/>
                <w:sz w:val="17"/>
              </w:rPr>
              <w:t>7,661</w:t>
            </w:r>
          </w:p>
        </w:tc>
        <w:tc>
          <w:tcPr>
            <w:tcW w:type="dxa" w:w="1440"/>
            <w:shd w:fill="FFDCE0" w:val="clear"/>
          </w:tcPr>
          <w:p>
            <w:r>
              <w:rPr>
                <w:sz w:val="17"/>
              </w:rPr>
              <w:t>8,122</w:t>
            </w:r>
          </w:p>
        </w:tc>
        <w:tc>
          <w:tcPr>
            <w:tcW w:type="dxa" w:w="1440"/>
            <w:shd w:fill="FFDCE0" w:val="clear"/>
          </w:tcPr>
          <w:p>
            <w:r>
              <w:rPr>
                <w:b/>
                <w:color w:val="C00000"/>
                <w:sz w:val="17"/>
              </w:rPr>
              <w:t>-7.6%</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7,032</w:t>
            </w:r>
          </w:p>
        </w:tc>
        <w:tc>
          <w:tcPr>
            <w:tcW w:type="dxa" w:w="1440"/>
            <w:shd w:fill="FFDCE0" w:val="clear"/>
          </w:tcPr>
          <w:p>
            <w:r>
              <w:rPr>
                <w:b/>
                <w:sz w:val="17"/>
              </w:rPr>
              <w:t>7,540</w:t>
            </w:r>
          </w:p>
        </w:tc>
        <w:tc>
          <w:tcPr>
            <w:tcW w:type="dxa" w:w="1440"/>
            <w:shd w:fill="FFDCE0" w:val="clear"/>
          </w:tcPr>
          <w:p>
            <w:r>
              <w:rPr>
                <w:sz w:val="17"/>
              </w:rPr>
              <w:t>8,048</w:t>
            </w:r>
          </w:p>
        </w:tc>
        <w:tc>
          <w:tcPr>
            <w:tcW w:type="dxa" w:w="1440"/>
            <w:shd w:fill="FFDCE0" w:val="clear"/>
          </w:tcPr>
          <w:p>
            <w:r>
              <w:rPr>
                <w:b/>
                <w:color w:val="C00000"/>
                <w:sz w:val="17"/>
              </w:rPr>
              <w:t>-9.1%</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6,878</w:t>
            </w:r>
          </w:p>
        </w:tc>
        <w:tc>
          <w:tcPr>
            <w:tcW w:type="dxa" w:w="1440"/>
            <w:shd w:fill="FFDCE0" w:val="clear"/>
          </w:tcPr>
          <w:p>
            <w:r>
              <w:rPr>
                <w:b/>
                <w:sz w:val="17"/>
              </w:rPr>
              <w:t>7,426</w:t>
            </w:r>
          </w:p>
        </w:tc>
        <w:tc>
          <w:tcPr>
            <w:tcW w:type="dxa" w:w="1440"/>
            <w:shd w:fill="FFDCE0" w:val="clear"/>
          </w:tcPr>
          <w:p>
            <w:r>
              <w:rPr>
                <w:sz w:val="17"/>
              </w:rPr>
              <w:t>7,975</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6,736</w:t>
            </w:r>
          </w:p>
        </w:tc>
        <w:tc>
          <w:tcPr>
            <w:tcW w:type="dxa" w:w="1440"/>
            <w:shd w:fill="FFDCE0" w:val="clear"/>
          </w:tcPr>
          <w:p>
            <w:r>
              <w:rPr>
                <w:b/>
                <w:sz w:val="17"/>
              </w:rPr>
              <w:t>7,320</w:t>
            </w:r>
          </w:p>
        </w:tc>
        <w:tc>
          <w:tcPr>
            <w:tcW w:type="dxa" w:w="1440"/>
            <w:shd w:fill="FFDCE0" w:val="clear"/>
          </w:tcPr>
          <w:p>
            <w:r>
              <w:rPr>
                <w:sz w:val="17"/>
              </w:rPr>
              <w:t>7,903</w:t>
            </w:r>
          </w:p>
        </w:tc>
        <w:tc>
          <w:tcPr>
            <w:tcW w:type="dxa" w:w="1440"/>
            <w:shd w:fill="FFDCE0" w:val="clear"/>
          </w:tcPr>
          <w:p>
            <w:r>
              <w:rPr>
                <w:b/>
                <w:color w:val="C00000"/>
                <w:sz w:val="17"/>
              </w:rPr>
              <w:t>-11.8%</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6,604</w:t>
            </w:r>
          </w:p>
        </w:tc>
        <w:tc>
          <w:tcPr>
            <w:tcW w:type="dxa" w:w="1440"/>
            <w:shd w:fill="FFDCE0" w:val="clear"/>
          </w:tcPr>
          <w:p>
            <w:r>
              <w:rPr>
                <w:b/>
                <w:sz w:val="17"/>
              </w:rPr>
              <w:t>7,219</w:t>
            </w:r>
          </w:p>
        </w:tc>
        <w:tc>
          <w:tcPr>
            <w:tcW w:type="dxa" w:w="1440"/>
            <w:shd w:fill="FFDCE0" w:val="clear"/>
          </w:tcPr>
          <w:p>
            <w:r>
              <w:rPr>
                <w:sz w:val="17"/>
              </w:rPr>
              <w:t>7,834</w:t>
            </w:r>
          </w:p>
        </w:tc>
        <w:tc>
          <w:tcPr>
            <w:tcW w:type="dxa" w:w="1440"/>
            <w:shd w:fill="FFDCE0" w:val="clear"/>
          </w:tcPr>
          <w:p>
            <w:r>
              <w:rPr>
                <w:b/>
                <w:color w:val="C00000"/>
                <w:sz w:val="17"/>
              </w:rPr>
              <w:t>-13.0%</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6,480</w:t>
            </w:r>
          </w:p>
        </w:tc>
        <w:tc>
          <w:tcPr>
            <w:tcW w:type="dxa" w:w="1440"/>
            <w:shd w:fill="FFDCE0" w:val="clear"/>
          </w:tcPr>
          <w:p>
            <w:r>
              <w:rPr>
                <w:b/>
                <w:sz w:val="17"/>
              </w:rPr>
              <w:t>7,124</w:t>
            </w:r>
          </w:p>
        </w:tc>
        <w:tc>
          <w:tcPr>
            <w:tcW w:type="dxa" w:w="1440"/>
            <w:shd w:fill="FFDCE0" w:val="clear"/>
          </w:tcPr>
          <w:p>
            <w:r>
              <w:rPr>
                <w:sz w:val="17"/>
              </w:rPr>
              <w:t>7,768</w:t>
            </w:r>
          </w:p>
        </w:tc>
        <w:tc>
          <w:tcPr>
            <w:tcW w:type="dxa" w:w="1440"/>
            <w:shd w:fill="FFDCE0" w:val="clear"/>
          </w:tcPr>
          <w:p>
            <w:r>
              <w:rPr>
                <w:b/>
                <w:color w:val="C00000"/>
                <w:sz w:val="17"/>
              </w:rPr>
              <w:t>-14.1%</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6,364</w:t>
            </w:r>
          </w:p>
        </w:tc>
        <w:tc>
          <w:tcPr>
            <w:tcW w:type="dxa" w:w="1440"/>
            <w:shd w:fill="FFDCE0" w:val="clear"/>
          </w:tcPr>
          <w:p>
            <w:r>
              <w:rPr>
                <w:b/>
                <w:sz w:val="17"/>
              </w:rPr>
              <w:t>7,034</w:t>
            </w:r>
          </w:p>
        </w:tc>
        <w:tc>
          <w:tcPr>
            <w:tcW w:type="dxa" w:w="1440"/>
            <w:shd w:fill="FFDCE0" w:val="clear"/>
          </w:tcPr>
          <w:p>
            <w:r>
              <w:rPr>
                <w:sz w:val="17"/>
              </w:rPr>
              <w:t>7,705</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**RAPPORT D'ANALYSE FINANCIÈRE — BOA SÉNÉGAL (BOAS)**</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298,62 milliards FCFA, un niveau significatif qui positionne la banque parmi les poids lourds du compartiment financier de la BRVM. Avec un BPA de 608 FCFA, chaque action génère un bénéfice substantiel, justifiant un PER de 13,6x. Ce ratio est légèrement supérieur à la moyenne historique de la BRVM (8-12x), indiquant que le marché accorde une prime de croissance à la valeur, mais sans excès spéculatif. Le P/B de 3,09x confirme cette lecture, le marché valorisant la banque au-dessus de sa valeur comptable, signe d'une confiance dans sa capacité à créer de la valeur future. Enfin, un EV/EBITDA de 8,9x, dans la fourchette haute des valeurs raisonnables, suggère que la valorisation globale de l'entreprise (dette incluse)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affiche une performance remarquable de +21,99%, avec un cours actuel de 8 295 FCFA, proche de son plus haut sur la période (8 500 FCFA) et très éloigné de son plus bas (6 685 FCFA). La légère baisse de -0,06% enregistrée lors de la dernière séance suggère une consolidation après une forte progression. La tendance est clairement haussière. Les statistiques descriptives révèlent une distribution des cours relativement homogène : la moyenne (7 436 FCFA) et la médiane (7 400 FCFA) sont très proches, indiquant une symétrie de la répartition des prix. L'écart-type de 419 FCFA, avec un coefficient de variation de seulement 5,6%, démontre une dispersion modérée autour de la moyenne. Le kurtosis (-0.009) et le skewness (0.201) confirment une distribution quasi normale et symétrique, sans risque de mouvements extrêmes ou de pics de volatilité. La volatilité annualisée de 24,6% classe le titre dans une catégorie à risque modéré, typique des valeurs de croissance sur ce marché.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(8 295 FCFA) évolue nettement au-dessus de sa MM20 (7 922,75 FCFA) et de sa MM50 (7 647,5 FCFA). Cette configuration en pente ascendante, où le prix est supérieur aux deux moyennes, confirme une dynamique haussière solide à court et moyen terme. La décision "Achat" est justifiée par cette structure de tendance positive.</w:t>
      </w:r>
    </w:p>
    <w:p>
      <w:pPr>
        <w:spacing w:after="120" w:line="276" w:lineRule="auto"/>
      </w:pPr>
      <w:r>
        <w:t>**Bandes de Bollinger :** Le prix se situe à 8 295 FCFA, en dessous de la borne supérieure (8 536,25 FCFA) mais bien au-dessus de la borne inférieure (7 309,25 FCFA). Le titre n'est pas en zone de surachat extrême, mais sa position haute dans les bandes indique une pression acheteuse persistante. La décision "Neutre" est cohérente, car le prix, bien que proche du haut, n'a pas encore touché la borne, laissant une marge de progression avant une éventuelle correction.</w:t>
      </w:r>
    </w:p>
    <w:p>
      <w:pPr>
        <w:spacing w:after="120" w:line="276" w:lineRule="auto"/>
      </w:pPr>
      <w:r>
        <w:t>**MACD :** Le MACD (202,18) est nettement supérieur à sa ligne de signal (152,88), avec un écart positif et croissant. Cette configuration signale un momentum haussier puissant et une accélération de la tendance. La décision "Achat" est justifiée par cette dynamique positive qui suggère une poursuite du mouvement.</w:t>
      </w:r>
    </w:p>
    <w:p>
      <w:pPr>
        <w:spacing w:after="120" w:line="276" w:lineRule="auto"/>
      </w:pPr>
      <w:r>
        <w:t>**RSI :** Le RSI s'établit à 75,35, dépassant le seuil de surachat de 70. Cela indique que le titre est techniquement survendu à la hausse et qu'une correction ou une consolidation est probable à court terme. La décision "Vente" est un signal de prudence, avertissant les investisseurs de ne pas courir après le prix à ce niveau.</w:t>
      </w:r>
    </w:p>
    <w:p>
      <w:pPr>
        <w:spacing w:after="120" w:line="276" w:lineRule="auto"/>
      </w:pPr>
      <w:r>
        <w:t>**Stochastique :** Le %K (74,69) est inférieur à son %D (81,07), formant un croisement baissier potentiel en zone de surachat. Bien que les deux lignes soient encore élevées, ce croisement suggère un affaiblissement du momentum haussier. La décision "Neutre" est appropriée, car elle reflète une incertitude sur la poursuite immédiate de la hausse.</w:t>
      </w:r>
    </w:p>
    <w:p>
      <w:pPr>
        <w:spacing w:after="120" w:line="276" w:lineRule="auto"/>
      </w:pPr>
      <w:r>
        <w:t>**Conclusion technique :** Les indicateurs de tendance (MM, MACD) sont résolument positifs, mais les oscillateurs de momentum (RSI, Stochastique) signalent une condition de surachat. Cette divergence suggère une pause probable dans la tendance haussière à très court terme, mais ne remet pas en cause la tendance de fond. Un scénario de consolidation horizontale ou de léger repli technique est le plus probable avant une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la banque affiche des fondamentaux solides. Le Produit Net Bancaire (PNB) s'établit à 51,926 milliards FCFA, générant un résultat net de 21,905 milliards FCFA. Cette performance se traduit par un ROE exceptionnel de 22,69% et un ROA de 2,62%, démontrant une excellente rentabilité des fonds propres et des actifs. La banque est particulièrement efficace, avec un coefficient d'exploitation de 44,02%, bien en dessous du seuil de 60% considéré comme sain. Le coût du risque, à 23,31% des charges financières, reste un point de vigilance, mais les rapports trimestriels de 2025 montrent une nette amélioration. Les dépôts clients (686,927 Mds FCFA) financent largement les crédits à la clientèle (386,424 Mds FCFA), assurant une transformation saine. Les rapports trimestriels de 2025 confirment cette dynamique : le T1 2025 (PNB 11,78 Mds FCFA, +2,36%) et le S1 2025 (PNB 25,37 Mds FCFA, +6,77%) montrent une accélération de la croissance des revenus. Le T3 2025 (PNB 37,44 Mds FCFA, +6,71%) et un résultat net de 16,37 Mds FCFA (+10,01%) confirment la tendance. Sur la base de ces neuf mois, on estime que le PNB annuel 2025 devrait dépasser 51 milliards FCFA, avec un résultat net supérieur à 21 milliards FCFA, en ligne avec les données structurées. Le rapport du 1er trimestre 2026 (PNB 12,58 Mds FCFA, +6,82%, résultat net 5,741 Mds FCFA, +9,78%) indique une poursuite de la croissance, laissant présager une nouvelle année record. La banque est donc sur une trajectoire de croissance rentable et maîtrisée.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d'investissement très attractif. La valorisation (PER 13,6x, P/B 3,09x) est certes supérieure à la moyenne du marché, mais elle est justifiée par une croissance soutenue et une rentabilité hors pair. Le comportement du cours (+21,99% sur 100 jours) est haussier et sain, avec une volatilité modérée et une distribution statistique sans risque extrême. Les signaux techniques, bien que montrant un surachat à court terme, sont globalement positifs et confirment la tendance de fond. Les fondamentaux sont excellents, avec une banque efficace, rentable et en croissance, comme le démontrent les rapports trimestriels de 2025 et 2026. Enfin, les prédictions IA pour les 10 prochains jours (baisse de 8 295 à 7 540 FCFA) suggèrent une correction technique, ce qui est cohérent avec les signaux de surachat (RSI, Stochastique). Cette baisse potentielle représenterait une opportunité d'achat pour les investisseurs de moyen terme. **Recommandation finale : ACHAT FORT**, avec un niveau de confiance **Élevé**. Le risque global est **Moyen**, principalement lié à la correction technique attendue et à l'évolution du coût du risque. L'horizon d'investissement optimal est le **moyen terme (3-12 mois)**, pour capitaliser sur la solidité des fondamentaux et la croissance continue, tout en profitant d'un éventuel point d'entrée plus favorable après la consolidation.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2,327 titres</w:t>
            </w:r>
          </w:p>
        </w:tc>
        <w:tc>
          <w:tcPr>
            <w:tcW w:type="dxa" w:w="2268"/>
            <w:shd w:fill="FFF2CC" w:val="clear"/>
          </w:tcPr>
          <w:p>
            <w:r>
              <w:rPr>
                <w:b/>
                <w:color w:val="503200"/>
                <w:sz w:val="16"/>
              </w:rPr>
              <w:t xml:space="preserve">Cours actuel : </w:t>
            </w:r>
            <w:r>
              <w:rPr>
                <w:color w:val="000000"/>
                <w:sz w:val="17"/>
              </w:rPr>
              <w:t>3,495 FCFA</w:t>
            </w:r>
          </w:p>
          <w:p>
            <w:r>
              <w:rPr>
                <w:b/>
                <w:color w:val="503200"/>
                <w:sz w:val="16"/>
              </w:rPr>
              <w:t xml:space="preserve">Var. 100 jours : </w:t>
            </w:r>
            <w:r>
              <w:rPr>
                <w:b/>
                <w:color w:val="B40000"/>
                <w:sz w:val="17"/>
              </w:rPr>
              <w:t>-11.41%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7.60% (Moyenne) — μ=3,768 FCFA, σ=286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β=0.1328 (Défensif) — Cov=0.000005, Var(idx)=0.000036, ρ=0.024,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σ_j=3.35%/j (Modérée) — Vol. annualisée≈53.2%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2026-09-01</w:t>
            </w:r>
          </w:p>
        </w:tc>
        <w:tc>
          <w:tcPr>
            <w:tcW w:type="dxa" w:w="1440"/>
            <w:shd w:fill="C6EFCE" w:val="clear"/>
          </w:tcPr>
          <w:p>
            <w:r>
              <w:rPr>
                <w:sz w:val="17"/>
              </w:rPr>
              <w:t>3,501</w:t>
            </w:r>
          </w:p>
        </w:tc>
        <w:tc>
          <w:tcPr>
            <w:tcW w:type="dxa" w:w="1440"/>
            <w:shd w:fill="C6EFCE" w:val="clear"/>
          </w:tcPr>
          <w:p>
            <w:r>
              <w:rPr>
                <w:b/>
                <w:sz w:val="17"/>
              </w:rPr>
              <w:t>3,648</w:t>
            </w:r>
          </w:p>
        </w:tc>
        <w:tc>
          <w:tcPr>
            <w:tcW w:type="dxa" w:w="1440"/>
            <w:shd w:fill="C6EFCE" w:val="clear"/>
          </w:tcPr>
          <w:p>
            <w:r>
              <w:rPr>
                <w:sz w:val="17"/>
              </w:rPr>
              <w:t>3,795</w:t>
            </w:r>
          </w:p>
        </w:tc>
        <w:tc>
          <w:tcPr>
            <w:tcW w:type="dxa" w:w="1440"/>
            <w:shd w:fill="C6EFCE" w:val="clear"/>
          </w:tcPr>
          <w:p>
            <w:r>
              <w:rPr>
                <w:b/>
                <w:color w:val="008000"/>
                <w:sz w:val="17"/>
              </w:rPr>
              <w:t>+4.4%</w:t>
            </w:r>
          </w:p>
        </w:tc>
      </w:tr>
      <w:tr>
        <w:tc>
          <w:tcPr>
            <w:tcW w:type="dxa" w:w="1440"/>
            <w:shd w:fill="C6EFCE" w:val="clear"/>
          </w:tcPr>
          <w:p>
            <w:r>
              <w:rPr>
                <w:sz w:val="17"/>
              </w:rPr>
              <w:t>J+2  Moyenne</w:t>
            </w:r>
          </w:p>
        </w:tc>
        <w:tc>
          <w:tcPr>
            <w:tcW w:type="dxa" w:w="1440"/>
            <w:shd w:fill="C6EFCE" w:val="clear"/>
          </w:tcPr>
          <w:p>
            <w:r>
              <w:rPr>
                <w:sz w:val="17"/>
              </w:rPr>
              <w:t>2026-09-02</w:t>
            </w:r>
          </w:p>
        </w:tc>
        <w:tc>
          <w:tcPr>
            <w:tcW w:type="dxa" w:w="1440"/>
            <w:shd w:fill="C6EFCE" w:val="clear"/>
          </w:tcPr>
          <w:p>
            <w:r>
              <w:rPr>
                <w:sz w:val="17"/>
              </w:rPr>
              <w:t>3,585</w:t>
            </w:r>
          </w:p>
        </w:tc>
        <w:tc>
          <w:tcPr>
            <w:tcW w:type="dxa" w:w="1440"/>
            <w:shd w:fill="C6EFCE" w:val="clear"/>
          </w:tcPr>
          <w:p>
            <w:r>
              <w:rPr>
                <w:b/>
                <w:sz w:val="17"/>
              </w:rPr>
              <w:t>3,802</w:t>
            </w:r>
          </w:p>
        </w:tc>
        <w:tc>
          <w:tcPr>
            <w:tcW w:type="dxa" w:w="1440"/>
            <w:shd w:fill="C6EFCE" w:val="clear"/>
          </w:tcPr>
          <w:p>
            <w:r>
              <w:rPr>
                <w:sz w:val="17"/>
              </w:rPr>
              <w:t>4,018</w:t>
            </w:r>
          </w:p>
        </w:tc>
        <w:tc>
          <w:tcPr>
            <w:tcW w:type="dxa" w:w="1440"/>
            <w:shd w:fill="C6EFCE" w:val="clear"/>
          </w:tcPr>
          <w:p>
            <w:r>
              <w:rPr>
                <w:b/>
                <w:color w:val="008000"/>
                <w:sz w:val="17"/>
              </w:rPr>
              <w:t>+8.8%</w:t>
            </w:r>
          </w:p>
        </w:tc>
      </w:tr>
      <w:tr>
        <w:tc>
          <w:tcPr>
            <w:tcW w:type="dxa" w:w="1440"/>
            <w:shd w:fill="C6EFCE" w:val="clear"/>
          </w:tcPr>
          <w:p>
            <w:r>
              <w:rPr>
                <w:sz w:val="17"/>
              </w:rPr>
              <w:t>J+3  Moyenne</w:t>
            </w:r>
          </w:p>
        </w:tc>
        <w:tc>
          <w:tcPr>
            <w:tcW w:type="dxa" w:w="1440"/>
            <w:shd w:fill="C6EFCE" w:val="clear"/>
          </w:tcPr>
          <w:p>
            <w:r>
              <w:rPr>
                <w:sz w:val="17"/>
              </w:rPr>
              <w:t>2026-09-03</w:t>
            </w:r>
          </w:p>
        </w:tc>
        <w:tc>
          <w:tcPr>
            <w:tcW w:type="dxa" w:w="1440"/>
            <w:shd w:fill="C6EFCE" w:val="clear"/>
          </w:tcPr>
          <w:p>
            <w:r>
              <w:rPr>
                <w:sz w:val="17"/>
              </w:rPr>
              <w:t>3,708</w:t>
            </w:r>
          </w:p>
        </w:tc>
        <w:tc>
          <w:tcPr>
            <w:tcW w:type="dxa" w:w="1440"/>
            <w:shd w:fill="C6EFCE" w:val="clear"/>
          </w:tcPr>
          <w:p>
            <w:r>
              <w:rPr>
                <w:b/>
                <w:sz w:val="17"/>
              </w:rPr>
              <w:t>3,986</w:t>
            </w:r>
          </w:p>
        </w:tc>
        <w:tc>
          <w:tcPr>
            <w:tcW w:type="dxa" w:w="1440"/>
            <w:shd w:fill="C6EFCE" w:val="clear"/>
          </w:tcPr>
          <w:p>
            <w:r>
              <w:rPr>
                <w:sz w:val="17"/>
              </w:rPr>
              <w:t>4,265</w:t>
            </w:r>
          </w:p>
        </w:tc>
        <w:tc>
          <w:tcPr>
            <w:tcW w:type="dxa" w:w="1440"/>
            <w:shd w:fill="C6EFCE" w:val="clear"/>
          </w:tcPr>
          <w:p>
            <w:r>
              <w:rPr>
                <w:b/>
                <w:color w:val="008000"/>
                <w:sz w:val="17"/>
              </w:rPr>
              <w:t>+14.1%</w:t>
            </w:r>
          </w:p>
        </w:tc>
      </w:tr>
      <w:tr>
        <w:tc>
          <w:tcPr>
            <w:tcW w:type="dxa" w:w="1440"/>
            <w:shd w:fill="C6EFCE" w:val="clear"/>
          </w:tcPr>
          <w:p>
            <w:r>
              <w:rPr>
                <w:sz w:val="17"/>
              </w:rPr>
              <w:t>J+4  ⭐</w:t>
            </w:r>
          </w:p>
        </w:tc>
        <w:tc>
          <w:tcPr>
            <w:tcW w:type="dxa" w:w="1440"/>
            <w:shd w:fill="C6EFCE" w:val="clear"/>
          </w:tcPr>
          <w:p>
            <w:r>
              <w:rPr>
                <w:sz w:val="17"/>
              </w:rPr>
              <w:t>2026-09-04</w:t>
            </w:r>
          </w:p>
        </w:tc>
        <w:tc>
          <w:tcPr>
            <w:tcW w:type="dxa" w:w="1440"/>
            <w:shd w:fill="C6EFCE" w:val="clear"/>
          </w:tcPr>
          <w:p>
            <w:r>
              <w:rPr>
                <w:sz w:val="17"/>
              </w:rPr>
              <w:t>3,857</w:t>
            </w:r>
          </w:p>
        </w:tc>
        <w:tc>
          <w:tcPr>
            <w:tcW w:type="dxa" w:w="1440"/>
            <w:shd w:fill="C6EFCE" w:val="clear"/>
          </w:tcPr>
          <w:p>
            <w:r>
              <w:rPr>
                <w:b/>
                <w:sz w:val="17"/>
              </w:rPr>
              <w:t>4,195</w:t>
            </w:r>
          </w:p>
        </w:tc>
        <w:tc>
          <w:tcPr>
            <w:tcW w:type="dxa" w:w="1440"/>
            <w:shd w:fill="C6EFCE" w:val="clear"/>
          </w:tcPr>
          <w:p>
            <w:r>
              <w:rPr>
                <w:sz w:val="17"/>
              </w:rPr>
              <w:t>4,533</w:t>
            </w:r>
          </w:p>
        </w:tc>
        <w:tc>
          <w:tcPr>
            <w:tcW w:type="dxa" w:w="1440"/>
            <w:shd w:fill="C6EFCE" w:val="clear"/>
          </w:tcPr>
          <w:p>
            <w:r>
              <w:rPr>
                <w:b/>
                <w:color w:val="008000"/>
                <w:sz w:val="17"/>
              </w:rPr>
              <w:t>+20.0%</w:t>
            </w:r>
          </w:p>
        </w:tc>
      </w:tr>
      <w:tr>
        <w:tc>
          <w:tcPr>
            <w:tcW w:type="dxa" w:w="1440"/>
            <w:shd w:fill="C6EFCE" w:val="clear"/>
          </w:tcPr>
          <w:p>
            <w:r>
              <w:rPr>
                <w:sz w:val="17"/>
              </w:rPr>
              <w:t>J+5  ⭐</w:t>
            </w:r>
          </w:p>
        </w:tc>
        <w:tc>
          <w:tcPr>
            <w:tcW w:type="dxa" w:w="1440"/>
            <w:shd w:fill="C6EFCE" w:val="clear"/>
          </w:tcPr>
          <w:p>
            <w:r>
              <w:rPr>
                <w:sz w:val="17"/>
              </w:rPr>
              <w:t>2026-09-07</w:t>
            </w:r>
          </w:p>
        </w:tc>
        <w:tc>
          <w:tcPr>
            <w:tcW w:type="dxa" w:w="1440"/>
            <w:shd w:fill="C6EFCE" w:val="clear"/>
          </w:tcPr>
          <w:p>
            <w:r>
              <w:rPr>
                <w:sz w:val="17"/>
              </w:rPr>
              <w:t>4,030</w:t>
            </w:r>
          </w:p>
        </w:tc>
        <w:tc>
          <w:tcPr>
            <w:tcW w:type="dxa" w:w="1440"/>
            <w:shd w:fill="C6EFCE" w:val="clear"/>
          </w:tcPr>
          <w:p>
            <w:r>
              <w:rPr>
                <w:b/>
                <w:sz w:val="17"/>
              </w:rPr>
              <w:t>4,429</w:t>
            </w:r>
          </w:p>
        </w:tc>
        <w:tc>
          <w:tcPr>
            <w:tcW w:type="dxa" w:w="1440"/>
            <w:shd w:fill="C6EFCE" w:val="clear"/>
          </w:tcPr>
          <w:p>
            <w:r>
              <w:rPr>
                <w:sz w:val="17"/>
              </w:rPr>
              <w:t>4,828</w:t>
            </w:r>
          </w:p>
        </w:tc>
        <w:tc>
          <w:tcPr>
            <w:tcW w:type="dxa" w:w="1440"/>
            <w:shd w:fill="C6EFCE" w:val="clear"/>
          </w:tcPr>
          <w:p>
            <w:r>
              <w:rPr>
                <w:b/>
                <w:color w:val="008000"/>
                <w:sz w:val="17"/>
              </w:rPr>
              <w:t>+26.7%</w:t>
            </w:r>
          </w:p>
        </w:tc>
      </w:tr>
      <w:tr>
        <w:tc>
          <w:tcPr>
            <w:tcW w:type="dxa" w:w="1440"/>
            <w:shd w:fill="C6EFCE" w:val="clear"/>
          </w:tcPr>
          <w:p>
            <w:r>
              <w:rPr>
                <w:sz w:val="17"/>
              </w:rPr>
              <w:t>J+6  ⭐</w:t>
            </w:r>
          </w:p>
        </w:tc>
        <w:tc>
          <w:tcPr>
            <w:tcW w:type="dxa" w:w="1440"/>
            <w:shd w:fill="C6EFCE" w:val="clear"/>
          </w:tcPr>
          <w:p>
            <w:r>
              <w:rPr>
                <w:sz w:val="17"/>
              </w:rPr>
              <w:t>2026-09-08</w:t>
            </w:r>
          </w:p>
        </w:tc>
        <w:tc>
          <w:tcPr>
            <w:tcW w:type="dxa" w:w="1440"/>
            <w:shd w:fill="C6EFCE" w:val="clear"/>
          </w:tcPr>
          <w:p>
            <w:r>
              <w:rPr>
                <w:sz w:val="17"/>
              </w:rPr>
              <w:t>4,231</w:t>
            </w:r>
          </w:p>
        </w:tc>
        <w:tc>
          <w:tcPr>
            <w:tcW w:type="dxa" w:w="1440"/>
            <w:shd w:fill="C6EFCE" w:val="clear"/>
          </w:tcPr>
          <w:p>
            <w:r>
              <w:rPr>
                <w:b/>
                <w:sz w:val="17"/>
              </w:rPr>
              <w:t>4,694</w:t>
            </w:r>
          </w:p>
        </w:tc>
        <w:tc>
          <w:tcPr>
            <w:tcW w:type="dxa" w:w="1440"/>
            <w:shd w:fill="C6EFCE" w:val="clear"/>
          </w:tcPr>
          <w:p>
            <w:r>
              <w:rPr>
                <w:sz w:val="17"/>
              </w:rPr>
              <w:t>5,158</w:t>
            </w:r>
          </w:p>
        </w:tc>
        <w:tc>
          <w:tcPr>
            <w:tcW w:type="dxa" w:w="1440"/>
            <w:shd w:fill="C6EFCE" w:val="clear"/>
          </w:tcPr>
          <w:p>
            <w:r>
              <w:rPr>
                <w:b/>
                <w:color w:val="008000"/>
                <w:sz w:val="17"/>
              </w:rPr>
              <w:t>+34.3%</w:t>
            </w:r>
          </w:p>
        </w:tc>
      </w:tr>
      <w:tr>
        <w:tc>
          <w:tcPr>
            <w:tcW w:type="dxa" w:w="1440"/>
            <w:shd w:fill="C6EFCE" w:val="clear"/>
          </w:tcPr>
          <w:p>
            <w:r>
              <w:rPr>
                <w:sz w:val="17"/>
              </w:rPr>
              <w:t>J+7  ⭐</w:t>
            </w:r>
          </w:p>
        </w:tc>
        <w:tc>
          <w:tcPr>
            <w:tcW w:type="dxa" w:w="1440"/>
            <w:shd w:fill="C6EFCE" w:val="clear"/>
          </w:tcPr>
          <w:p>
            <w:r>
              <w:rPr>
                <w:sz w:val="17"/>
              </w:rPr>
              <w:t>2026-09-09</w:t>
            </w:r>
          </w:p>
        </w:tc>
        <w:tc>
          <w:tcPr>
            <w:tcW w:type="dxa" w:w="1440"/>
            <w:shd w:fill="C6EFCE" w:val="clear"/>
          </w:tcPr>
          <w:p>
            <w:r>
              <w:rPr>
                <w:sz w:val="17"/>
              </w:rPr>
              <w:t>4,466</w:t>
            </w:r>
          </w:p>
        </w:tc>
        <w:tc>
          <w:tcPr>
            <w:tcW w:type="dxa" w:w="1440"/>
            <w:shd w:fill="C6EFCE" w:val="clear"/>
          </w:tcPr>
          <w:p>
            <w:r>
              <w:rPr>
                <w:b/>
                <w:sz w:val="17"/>
              </w:rPr>
              <w:t>4,999</w:t>
            </w:r>
          </w:p>
        </w:tc>
        <w:tc>
          <w:tcPr>
            <w:tcW w:type="dxa" w:w="1440"/>
            <w:shd w:fill="C6EFCE" w:val="clear"/>
          </w:tcPr>
          <w:p>
            <w:r>
              <w:rPr>
                <w:sz w:val="17"/>
              </w:rPr>
              <w:t>5,532</w:t>
            </w:r>
          </w:p>
        </w:tc>
        <w:tc>
          <w:tcPr>
            <w:tcW w:type="dxa" w:w="1440"/>
            <w:shd w:fill="C6EFCE" w:val="clear"/>
          </w:tcPr>
          <w:p>
            <w:r>
              <w:rPr>
                <w:b/>
                <w:color w:val="008000"/>
                <w:sz w:val="17"/>
              </w:rPr>
              <w:t>+43.0%</w:t>
            </w:r>
          </w:p>
        </w:tc>
      </w:tr>
      <w:tr>
        <w:tc>
          <w:tcPr>
            <w:tcW w:type="dxa" w:w="1440"/>
            <w:shd w:fill="C6EFCE" w:val="clear"/>
          </w:tcPr>
          <w:p>
            <w:r>
              <w:rPr>
                <w:sz w:val="17"/>
              </w:rPr>
              <w:t>J+8  ⭐</w:t>
            </w:r>
          </w:p>
        </w:tc>
        <w:tc>
          <w:tcPr>
            <w:tcW w:type="dxa" w:w="1440"/>
            <w:shd w:fill="C6EFCE" w:val="clear"/>
          </w:tcPr>
          <w:p>
            <w:r>
              <w:rPr>
                <w:sz w:val="17"/>
              </w:rPr>
              <w:t>2026-09-10</w:t>
            </w:r>
          </w:p>
        </w:tc>
        <w:tc>
          <w:tcPr>
            <w:tcW w:type="dxa" w:w="1440"/>
            <w:shd w:fill="C6EFCE" w:val="clear"/>
          </w:tcPr>
          <w:p>
            <w:r>
              <w:rPr>
                <w:sz w:val="17"/>
              </w:rPr>
              <w:t>4,747</w:t>
            </w:r>
          </w:p>
        </w:tc>
        <w:tc>
          <w:tcPr>
            <w:tcW w:type="dxa" w:w="1440"/>
            <w:shd w:fill="C6EFCE" w:val="clear"/>
          </w:tcPr>
          <w:p>
            <w:r>
              <w:rPr>
                <w:b/>
                <w:sz w:val="17"/>
              </w:rPr>
              <w:t>5,357</w:t>
            </w:r>
          </w:p>
        </w:tc>
        <w:tc>
          <w:tcPr>
            <w:tcW w:type="dxa" w:w="1440"/>
            <w:shd w:fill="C6EFCE" w:val="clear"/>
          </w:tcPr>
          <w:p>
            <w:r>
              <w:rPr>
                <w:sz w:val="17"/>
              </w:rPr>
              <w:t>5,968</w:t>
            </w:r>
          </w:p>
        </w:tc>
        <w:tc>
          <w:tcPr>
            <w:tcW w:type="dxa" w:w="1440"/>
            <w:shd w:fill="C6EFCE" w:val="clear"/>
          </w:tcPr>
          <w:p>
            <w:r>
              <w:rPr>
                <w:b/>
                <w:color w:val="008000"/>
                <w:sz w:val="17"/>
              </w:rPr>
              <w:t>+53.3%</w:t>
            </w:r>
          </w:p>
        </w:tc>
      </w:tr>
      <w:tr>
        <w:tc>
          <w:tcPr>
            <w:tcW w:type="dxa" w:w="1440"/>
            <w:shd w:fill="C6EFCE" w:val="clear"/>
          </w:tcPr>
          <w:p>
            <w:r>
              <w:rPr>
                <w:sz w:val="17"/>
              </w:rPr>
              <w:t>J+9  ⭐</w:t>
            </w:r>
          </w:p>
        </w:tc>
        <w:tc>
          <w:tcPr>
            <w:tcW w:type="dxa" w:w="1440"/>
            <w:shd w:fill="C6EFCE" w:val="clear"/>
          </w:tcPr>
          <w:p>
            <w:r>
              <w:rPr>
                <w:sz w:val="17"/>
              </w:rPr>
              <w:t>2026-09-11</w:t>
            </w:r>
          </w:p>
        </w:tc>
        <w:tc>
          <w:tcPr>
            <w:tcW w:type="dxa" w:w="1440"/>
            <w:shd w:fill="C6EFCE" w:val="clear"/>
          </w:tcPr>
          <w:p>
            <w:r>
              <w:rPr>
                <w:sz w:val="17"/>
              </w:rPr>
              <w:t>5,063</w:t>
            </w:r>
          </w:p>
        </w:tc>
        <w:tc>
          <w:tcPr>
            <w:tcW w:type="dxa" w:w="1440"/>
            <w:shd w:fill="C6EFCE" w:val="clear"/>
          </w:tcPr>
          <w:p>
            <w:r>
              <w:rPr>
                <w:b/>
                <w:sz w:val="17"/>
              </w:rPr>
              <w:t>5,759</w:t>
            </w:r>
          </w:p>
        </w:tc>
        <w:tc>
          <w:tcPr>
            <w:tcW w:type="dxa" w:w="1440"/>
            <w:shd w:fill="C6EFCE" w:val="clear"/>
          </w:tcPr>
          <w:p>
            <w:r>
              <w:rPr>
                <w:sz w:val="17"/>
              </w:rPr>
              <w:t>6,455</w:t>
            </w:r>
          </w:p>
        </w:tc>
        <w:tc>
          <w:tcPr>
            <w:tcW w:type="dxa" w:w="1440"/>
            <w:shd w:fill="C6EFCE" w:val="clear"/>
          </w:tcPr>
          <w:p>
            <w:r>
              <w:rPr>
                <w:b/>
                <w:color w:val="008000"/>
                <w:sz w:val="17"/>
              </w:rPr>
              <w:t>+64.8%</w:t>
            </w:r>
          </w:p>
        </w:tc>
      </w:tr>
      <w:tr>
        <w:tc>
          <w:tcPr>
            <w:tcW w:type="dxa" w:w="1440"/>
            <w:shd w:fill="C6EFCE" w:val="clear"/>
          </w:tcPr>
          <w:p>
            <w:r>
              <w:rPr>
                <w:sz w:val="17"/>
              </w:rPr>
              <w:t>J+10  ⭐</w:t>
            </w:r>
          </w:p>
        </w:tc>
        <w:tc>
          <w:tcPr>
            <w:tcW w:type="dxa" w:w="1440"/>
            <w:shd w:fill="C6EFCE" w:val="clear"/>
          </w:tcPr>
          <w:p>
            <w:r>
              <w:rPr>
                <w:sz w:val="17"/>
              </w:rPr>
              <w:t>2026-09-14</w:t>
            </w:r>
          </w:p>
        </w:tc>
        <w:tc>
          <w:tcPr>
            <w:tcW w:type="dxa" w:w="1440"/>
            <w:shd w:fill="C6EFCE" w:val="clear"/>
          </w:tcPr>
          <w:p>
            <w:r>
              <w:rPr>
                <w:sz w:val="17"/>
              </w:rPr>
              <w:t>5,402</w:t>
            </w:r>
          </w:p>
        </w:tc>
        <w:tc>
          <w:tcPr>
            <w:tcW w:type="dxa" w:w="1440"/>
            <w:shd w:fill="C6EFCE" w:val="clear"/>
          </w:tcPr>
          <w:p>
            <w:r>
              <w:rPr>
                <w:b/>
                <w:sz w:val="17"/>
              </w:rPr>
              <w:t>6,191</w:t>
            </w:r>
          </w:p>
        </w:tc>
        <w:tc>
          <w:tcPr>
            <w:tcW w:type="dxa" w:w="1440"/>
            <w:shd w:fill="C6EFCE" w:val="clear"/>
          </w:tcPr>
          <w:p>
            <w:r>
              <w:rPr>
                <w:sz w:val="17"/>
              </w:rPr>
              <w:t>6,980</w:t>
            </w:r>
          </w:p>
        </w:tc>
        <w:tc>
          <w:tcPr>
            <w:tcW w:type="dxa" w:w="1440"/>
            <w:shd w:fill="C6EFCE" w:val="clear"/>
          </w:tcPr>
          <w:p>
            <w:r>
              <w:rPr>
                <w:b/>
                <w:color w:val="008000"/>
                <w:sz w:val="17"/>
              </w:rPr>
              <w:t>+77.1%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20,69 milliards FCFA, un niveau modeste qui la classe parmi les valeurs de taille moyenne sur la BRVM. Le BPA de 243 FCFA indique que chaque action génère un bénéfice de ce montant, ce qui place le PER à 14,4x. Ce ratio est supérieur à la moyenne historique de la BRVM (8-12x), suggérant que le marché valorise déjà des perspectives de croissance ou une prime sectorielle, malgré des résultats historiques volatils. Le P/B de 2,21x montre que le marché valorise l'actif net à plus du double de sa valeur comptable, signe d'une confiance dans la création de valeur future. Enfin, l'EV/EBITDA de 7,3x est dans une fourchette raisonnable, indiquant que la valeur totale de l'entreprise (dette incluse) reste mesurée par rapport à sa capacité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baisse significative de -11,41%, avec un cours actuel de 3 495 FCFA, en stagnation sur la dernière séance (+0,00%). Le titre a évolué dans une fourchette large de 1 150 FCFA, entre un plus haut de 4 500 FCFA et un plus bas de 3 350 FCFA, illustrant une forte amplitude de trading. La moyenne du cours sur la période est de 3 768 FCFA, supérieure à la médiane de 3 700 FCFA, ce qui, combiné à un skewness positif (0.764), indique que les jours de baisse ont été plus fréquents mais que les rares fortes hausses ont tiré la moyenne vers le haut. L'écart-type de 288 FCFA (CV=7,6%) montre une dispersion modérée autour de la moyenne, tandis que le kurtosis négatif (-0.124) suggère une distribution mésokurtique, sans risque de pics extrêmes. La volatilité annualisée de 53,2% est très élevée, classant le titre comme spéculatif et risqué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(3 495 FCFA) est inférieur à la MM20 (3 550,25 FCFA) et nettement sous la MM50 (3 793,8 FCFA). Cette configuration baissière, avec un cours sous les deux moyennes, confirme une tendance de fond négative sur le court et moyen terme, justifiant la décision de Vente.</w:t>
      </w:r>
    </w:p>
    <w:p>
      <w:pPr>
        <w:spacing w:after="120" w:line="276" w:lineRule="auto"/>
      </w:pPr>
      <w:r>
        <w:t>**Bandes de Bollinger** : Le prix se situe à 3 495 FCFA, proche de la borne inférieure (3 400,92 FCFA) et loin de la borne supérieure (3 699,58 FCFA). Cette position indique que le titre est dans la partie basse de son canal de volatilité, sans être en situation de survente extrême. La décision Neutre reflète l'absence de signal directionnel fort, mais une pression vendeuse persistante.</w:t>
      </w:r>
    </w:p>
    <w:p>
      <w:pPr>
        <w:spacing w:after="120" w:line="276" w:lineRule="auto"/>
      </w:pPr>
      <w:r>
        <w:t>**MACD** : Le MACD (-58,70) est négatif mais se trouve au-dessus de sa ligne de signal (-63,56). Ce croisement haussier, bien que dans un territoire négatif, suggère un ralentissement du momentum baissier et une possible tentative de rebond technique à court terme, d'où la décision d'Achat.</w:t>
      </w:r>
    </w:p>
    <w:p>
      <w:pPr>
        <w:spacing w:after="120" w:line="276" w:lineRule="auto"/>
      </w:pPr>
      <w:r>
        <w:t>**RSI** : À 49,42, le RSI est en zone neutre, indiquant que le titre n'est ni suracheté ni survendu. Cette valeur reflète un équilibre précaire entre acheteurs et vendeurs, sans signal fort, justifiant la décision Neutre.</w:t>
      </w:r>
    </w:p>
    <w:p>
      <w:pPr>
        <w:spacing w:after="120" w:line="276" w:lineRule="auto"/>
      </w:pPr>
      <w:r>
        <w:t>**Stochastique** : Le %K (2,33) et le %D (3,10) sont tous deux en zone de survente extrême (&lt;20). Ce niveau suggère que le titre est techniquement survendu et qu'un rebond mécanique est probable, d'où la décision d'Achat.</w:t>
      </w:r>
    </w:p>
    <w:p>
      <w:pPr>
        <w:spacing w:after="120" w:line="276" w:lineRule="auto"/>
      </w:pPr>
      <w:r>
        <w:t>**Conclusion technique** : Les indicateurs sont mitigés. La tendance de fond (MM) est baissière, mais les oscillateurs (MACD, Stochastique) signalent un épuisement de la vente et un potentiel de rebond technique à très court terme. Le RSI neutre ne confirme pas encore ce scénario. La prudence reste de mise, mais un rebond technique semble probable avant une éventuelle reprise de la tendance baissière.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Le résultat net s'établit à 1,439 milliard FCFA, avec une marge nette de 6,77%. La rentabilité des fonds propres (ROE) est excellente à 15,40%, et le ROA est de 6,10%. Cependant, l'entreprise, spécialisée dans les câbles, présente des signes de tension : le BFR est élevé à 7,186 milliards FCFA, avec un délai de paiement clients de 144,69 jours et une durée de stockage de 152,12 jours, ce qui immobilise une part importante de la trésorerie. Le flux opérationnel est négatif à -819,66 millions FCFA, malgré une CAF positive de 1,593 milliard FCFA. Les rapports narratifs de 2025 (S1 et 9 mois) confirment une dynamique positive avec un résultat net en forte hausse au S1 (+55,3% à 851,5 millions FCFA) et une marge nette de 7,9%. Cependant, le rapport T1 2026 (daté de 2026) montre une forte dégradation avec un CA en baisse de 26,5% et une perte nette de 221,7 millions FCFA, due à une maintenance planifiée et à l'inflation des métaux. Sur la base de ces éléments, on estime que l'exercice 2026 pourrait être difficile, avec un résultat net potentiellement en baisse significative par rapport à 2025, malgré les prévisions de normalisation de la direction pour le T2 2026.</w:t>
      </w:r>
    </w:p>
    <w:p>
      <w:pPr>
        <w:spacing w:after="120" w:line="276" w:lineRule="auto"/>
      </w:pPr>
      <w:r>
        <w:t>---</w:t>
      </w:r>
    </w:p>
    <w:p>
      <w:pPr>
        <w:spacing w:after="120" w:line="276" w:lineRule="auto"/>
      </w:pPr>
      <w:r>
        <w:t>### PARTIE 4 : CONCLUSION D'INVESTISSEMENT</w:t>
      </w:r>
    </w:p>
    <w:p>
      <w:pPr>
        <w:spacing w:after="120" w:line="276" w:lineRule="auto"/>
      </w:pPr>
      <w:r>
        <w:t>La valorisation de CABC (PER 14,4x, P/B 2,21x) apparaît exigeante au regard des fondamentaux historiques volatils et des risques opérationnels, suggérant une surévaluation relative. Le comportement du cours sur 100 jours est baissier (-11,41%) avec une volatilité très élevée (53,2%), ce qui est préoccupant pour un investisseur cherchant la stabilité. Les signaux techniques sont mitigés : la tendance de fond est baissière, mais les oscillateurs de survente (Stochastique) et le croisement du MACD suggèrent un rebond technique imminent. Les fondamentaux sont contrastés : excellente rentabilité en 2025 (ROE 15,4%), mais des tensions de trésorerie (flux opérationnel négatif) et une dégradation marquée au T1 2026. Les prédictions IA pour les 10 prochains jours (3 648 à 4 429 FCFA) anticipent un rebond de +30%, ce qui est en ligne avec les signaux techniques de survente. La convergence entre le rebond technique attendu et les prédictions IA est forte, mais elle contredit la tendance baissière de long terme et les incertitudes fondamentales. Par conséquent, nous recommandons une position **CONSERVER** avec un niveau de confiance **Moyen**. Le risque global est **Élevé** en raison de la volatilité et des incertitudes sur la reprise de la production. L'horizon d'investissement optimal serait le **court terme (&lt;3 mois)** pour profiter d'un éventuel rebond technique, mais avec une surveillance étroite des résultats semestriels 2026 pour ajuster la position.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948.16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1,421 titres</w:t>
            </w:r>
          </w:p>
        </w:tc>
        <w:tc>
          <w:tcPr>
            <w:tcW w:type="dxa" w:w="2268"/>
            <w:shd w:fill="FFF2CC" w:val="clear"/>
          </w:tcPr>
          <w:p>
            <w:r>
              <w:rPr>
                <w:b/>
                <w:color w:val="503200"/>
                <w:sz w:val="16"/>
              </w:rPr>
              <w:t xml:space="preserve">Cours actuel : </w:t>
            </w:r>
            <w:r>
              <w:rPr>
                <w:color w:val="000000"/>
                <w:sz w:val="17"/>
              </w:rPr>
              <w:t>29,630 FCFA</w:t>
            </w:r>
          </w:p>
          <w:p>
            <w:r>
              <w:rPr>
                <w:b/>
                <w:color w:val="503200"/>
                <w:sz w:val="16"/>
              </w:rPr>
              <w:t xml:space="preserve">Var. 100 jours : </w:t>
            </w:r>
            <w:r>
              <w:rPr>
                <w:b/>
                <w:color w:val="007800"/>
                <w:sz w:val="17"/>
              </w:rPr>
              <w:t>+97.47%</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15,000 FCFA</w:t>
            </w:r>
          </w:p>
          <w:p>
            <w:r>
              <w:rPr>
                <w:b/>
                <w:color w:val="503200"/>
                <w:sz w:val="16"/>
              </w:rPr>
              <w:t xml:space="preserve">Volatilité ann. : </w:t>
            </w:r>
            <w:r>
              <w:rPr>
                <w:color w:val="000000"/>
                <w:sz w:val="17"/>
              </w:rPr>
              <w:t>41.4%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21.96% (Élevée) — μ=22,818 FCFA, σ=5,010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β=0.7638 (Défensif) — Cov=0.000028, Var(idx)=0.000036, ρ=0.175,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σ_j=2.61%/j (Stable) — Vol. annualisée≈41.4%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26,532</w:t>
            </w:r>
          </w:p>
        </w:tc>
        <w:tc>
          <w:tcPr>
            <w:tcW w:type="dxa" w:w="1440"/>
            <w:shd w:fill="FFDCE0" w:val="clear"/>
          </w:tcPr>
          <w:p>
            <w:r>
              <w:rPr>
                <w:b/>
                <w:sz w:val="17"/>
              </w:rPr>
              <w:t>27,408</w:t>
            </w:r>
          </w:p>
        </w:tc>
        <w:tc>
          <w:tcPr>
            <w:tcW w:type="dxa" w:w="1440"/>
            <w:shd w:fill="FFDCE0" w:val="clear"/>
          </w:tcPr>
          <w:p>
            <w:r>
              <w:rPr>
                <w:sz w:val="17"/>
              </w:rPr>
              <w:t>28,284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24,206</w:t>
            </w:r>
          </w:p>
        </w:tc>
        <w:tc>
          <w:tcPr>
            <w:tcW w:type="dxa" w:w="1440"/>
            <w:shd w:fill="FFDCE0" w:val="clear"/>
          </w:tcPr>
          <w:p>
            <w:r>
              <w:rPr>
                <w:b/>
                <w:sz w:val="17"/>
              </w:rPr>
              <w:t>25,352</w:t>
            </w:r>
          </w:p>
        </w:tc>
        <w:tc>
          <w:tcPr>
            <w:tcW w:type="dxa" w:w="1440"/>
            <w:shd w:fill="FFDCE0" w:val="clear"/>
          </w:tcPr>
          <w:p>
            <w:r>
              <w:rPr>
                <w:sz w:val="17"/>
              </w:rPr>
              <w:t>26,498</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22,152</w:t>
            </w:r>
          </w:p>
        </w:tc>
        <w:tc>
          <w:tcPr>
            <w:tcW w:type="dxa" w:w="1440"/>
            <w:shd w:fill="FFDCE0" w:val="clear"/>
          </w:tcPr>
          <w:p>
            <w:r>
              <w:rPr>
                <w:b/>
                <w:sz w:val="17"/>
              </w:rPr>
              <w:t>23,451</w:t>
            </w:r>
          </w:p>
        </w:tc>
        <w:tc>
          <w:tcPr>
            <w:tcW w:type="dxa" w:w="1440"/>
            <w:shd w:fill="FFDCE0" w:val="clear"/>
          </w:tcPr>
          <w:p>
            <w:r>
              <w:rPr>
                <w:sz w:val="17"/>
              </w:rPr>
              <w:t>24,749</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2026-09-04</w:t>
            </w:r>
          </w:p>
        </w:tc>
        <w:tc>
          <w:tcPr>
            <w:tcW w:type="dxa" w:w="1440"/>
            <w:shd w:fill="FFDCE0" w:val="clear"/>
          </w:tcPr>
          <w:p>
            <w:r>
              <w:rPr>
                <w:sz w:val="17"/>
              </w:rPr>
              <w:t>20,305</w:t>
            </w:r>
          </w:p>
        </w:tc>
        <w:tc>
          <w:tcPr>
            <w:tcW w:type="dxa" w:w="1440"/>
            <w:shd w:fill="FFDCE0" w:val="clear"/>
          </w:tcPr>
          <w:p>
            <w:r>
              <w:rPr>
                <w:b/>
                <w:sz w:val="17"/>
              </w:rPr>
              <w:t>21,692</w:t>
            </w:r>
          </w:p>
        </w:tc>
        <w:tc>
          <w:tcPr>
            <w:tcW w:type="dxa" w:w="1440"/>
            <w:shd w:fill="FFDCE0" w:val="clear"/>
          </w:tcPr>
          <w:p>
            <w:r>
              <w:rPr>
                <w:sz w:val="17"/>
              </w:rPr>
              <w:t>23,079</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18,631</w:t>
            </w:r>
          </w:p>
        </w:tc>
        <w:tc>
          <w:tcPr>
            <w:tcW w:type="dxa" w:w="1440"/>
            <w:shd w:fill="FFDCE0" w:val="clear"/>
          </w:tcPr>
          <w:p>
            <w:r>
              <w:rPr>
                <w:b/>
                <w:sz w:val="17"/>
              </w:rPr>
              <w:t>20,065</w:t>
            </w:r>
          </w:p>
        </w:tc>
        <w:tc>
          <w:tcPr>
            <w:tcW w:type="dxa" w:w="1440"/>
            <w:shd w:fill="FFDCE0" w:val="clear"/>
          </w:tcPr>
          <w:p>
            <w:r>
              <w:rPr>
                <w:sz w:val="17"/>
              </w:rPr>
              <w:t>21,499</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17,691</w:t>
            </w:r>
          </w:p>
        </w:tc>
        <w:tc>
          <w:tcPr>
            <w:tcW w:type="dxa" w:w="1440"/>
            <w:shd w:fill="FFDCE0" w:val="clear"/>
          </w:tcPr>
          <w:p>
            <w:r>
              <w:rPr>
                <w:b/>
                <w:sz w:val="17"/>
              </w:rPr>
              <w:t>19,194</w:t>
            </w:r>
          </w:p>
        </w:tc>
        <w:tc>
          <w:tcPr>
            <w:tcW w:type="dxa" w:w="1440"/>
            <w:shd w:fill="FFDCE0" w:val="clear"/>
          </w:tcPr>
          <w:p>
            <w:r>
              <w:rPr>
                <w:sz w:val="17"/>
              </w:rPr>
              <w:t>20,697</w:t>
            </w:r>
          </w:p>
        </w:tc>
        <w:tc>
          <w:tcPr>
            <w:tcW w:type="dxa" w:w="1440"/>
            <w:shd w:fill="FFDCE0" w:val="clear"/>
          </w:tcPr>
          <w:p>
            <w:r>
              <w:rPr>
                <w:b/>
                <w:color w:val="C00000"/>
                <w:sz w:val="17"/>
              </w:rPr>
              <w:t>-35.2%</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17,116</w:t>
            </w:r>
          </w:p>
        </w:tc>
        <w:tc>
          <w:tcPr>
            <w:tcW w:type="dxa" w:w="1440"/>
            <w:shd w:fill="FFDCE0" w:val="clear"/>
          </w:tcPr>
          <w:p>
            <w:r>
              <w:rPr>
                <w:b/>
                <w:sz w:val="17"/>
              </w:rPr>
              <w:t>18,697</w:t>
            </w:r>
          </w:p>
        </w:tc>
        <w:tc>
          <w:tcPr>
            <w:tcW w:type="dxa" w:w="1440"/>
            <w:shd w:fill="FFDCE0" w:val="clear"/>
          </w:tcPr>
          <w:p>
            <w:r>
              <w:rPr>
                <w:sz w:val="17"/>
              </w:rPr>
              <w:t>20,278</w:t>
            </w:r>
          </w:p>
        </w:tc>
        <w:tc>
          <w:tcPr>
            <w:tcW w:type="dxa" w:w="1440"/>
            <w:shd w:fill="FFDCE0" w:val="clear"/>
          </w:tcPr>
          <w:p>
            <w:r>
              <w:rPr>
                <w:b/>
                <w:color w:val="C00000"/>
                <w:sz w:val="17"/>
              </w:rPr>
              <w:t>-36.9%</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16,604</w:t>
            </w:r>
          </w:p>
        </w:tc>
        <w:tc>
          <w:tcPr>
            <w:tcW w:type="dxa" w:w="1440"/>
            <w:shd w:fill="FFDCE0" w:val="clear"/>
          </w:tcPr>
          <w:p>
            <w:r>
              <w:rPr>
                <w:b/>
                <w:sz w:val="17"/>
              </w:rPr>
              <w:t>18,254</w:t>
            </w:r>
          </w:p>
        </w:tc>
        <w:tc>
          <w:tcPr>
            <w:tcW w:type="dxa" w:w="1440"/>
            <w:shd w:fill="FFDCE0" w:val="clear"/>
          </w:tcPr>
          <w:p>
            <w:r>
              <w:rPr>
                <w:sz w:val="17"/>
              </w:rPr>
              <w:t>19,905</w:t>
            </w:r>
          </w:p>
        </w:tc>
        <w:tc>
          <w:tcPr>
            <w:tcW w:type="dxa" w:w="1440"/>
            <w:shd w:fill="FFDCE0" w:val="clear"/>
          </w:tcPr>
          <w:p>
            <w:r>
              <w:rPr>
                <w:b/>
                <w:color w:val="C00000"/>
                <w:sz w:val="17"/>
              </w:rPr>
              <w:t>-38.4%</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16,143</w:t>
            </w:r>
          </w:p>
        </w:tc>
        <w:tc>
          <w:tcPr>
            <w:tcW w:type="dxa" w:w="1440"/>
            <w:shd w:fill="FFDCE0" w:val="clear"/>
          </w:tcPr>
          <w:p>
            <w:r>
              <w:rPr>
                <w:b/>
                <w:sz w:val="17"/>
              </w:rPr>
              <w:t>17,855</w:t>
            </w:r>
          </w:p>
        </w:tc>
        <w:tc>
          <w:tcPr>
            <w:tcW w:type="dxa" w:w="1440"/>
            <w:shd w:fill="FFDCE0" w:val="clear"/>
          </w:tcPr>
          <w:p>
            <w:r>
              <w:rPr>
                <w:sz w:val="17"/>
              </w:rPr>
              <w:t>19,568</w:t>
            </w:r>
          </w:p>
        </w:tc>
        <w:tc>
          <w:tcPr>
            <w:tcW w:type="dxa" w:w="1440"/>
            <w:shd w:fill="FFDCE0" w:val="clear"/>
          </w:tcPr>
          <w:p>
            <w:r>
              <w:rPr>
                <w:b/>
                <w:color w:val="C00000"/>
                <w:sz w:val="17"/>
              </w:rPr>
              <w:t>-39.7%</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15,725</w:t>
            </w:r>
          </w:p>
        </w:tc>
        <w:tc>
          <w:tcPr>
            <w:tcW w:type="dxa" w:w="1440"/>
            <w:shd w:fill="FFDCE0" w:val="clear"/>
          </w:tcPr>
          <w:p>
            <w:r>
              <w:rPr>
                <w:b/>
                <w:sz w:val="17"/>
              </w:rPr>
              <w:t>17,493</w:t>
            </w:r>
          </w:p>
        </w:tc>
        <w:tc>
          <w:tcPr>
            <w:tcW w:type="dxa" w:w="1440"/>
            <w:shd w:fill="FFDCE0" w:val="clear"/>
          </w:tcPr>
          <w:p>
            <w:r>
              <w:rPr>
                <w:sz w:val="17"/>
              </w:rPr>
              <w:t>19,261</w:t>
            </w:r>
          </w:p>
        </w:tc>
        <w:tc>
          <w:tcPr>
            <w:tcW w:type="dxa" w:w="1440"/>
            <w:shd w:fill="FFDCE0" w:val="clear"/>
          </w:tcPr>
          <w:p>
            <w:r>
              <w:rPr>
                <w:b/>
                <w:color w:val="C00000"/>
                <w:sz w:val="17"/>
              </w:rPr>
              <w:t>-41.0%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31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CBIBF s'établit à 948,16 milliards FCFA, un niveau qui la positionne parmi les poids lourds de la cote de la BRVM, reflétant la confiance des investisseurs dans l'une des principales banques de l'UEMOA. Avec un BPA de 2 047 FCFA, chaque action génère un bénéfice substantiel, justifiant un PER de 14,5x. Ce ratio est supérieur à la moyenne historique de la BRVM (8-12x), indiquant que le marché valorise déjà les perspectives de croissance de la banque et sa solidité financière, malgré un prix jugé modéré. L'EV/EBITDA de 10,7x, bien que dans la fourchette haute (10-15x), confirme une valorisation exigeante, intégrant une prime pour la qualité de l'actif et la dynamique commerciale. Le ratio P/B n'est pas disponible, mais les autres indicateurs suggèrent que le titre n'est pas "bon marché" et que son prix intègre des anticipations de performance future solide.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CBIBF a enregistré une performance spectaculaire de +97,47%, passant d'un plus bas de 15 000 FCFA à un plus haut de 30 005 FCFA, avec un cours actuel de 29 630 FCFA. Cette tendance est fortement haussière, la dernière séance affichant une légère progression de +0,10%, suggérant une consolidation après un rallye massif. La moyenne du cours (22 818 FCFA) est supérieure à la médiane (22 000 FCFA), indiquant une distribution légèrement asymétrique à gauche (skewness de -0,081), mais globalement symétrique. L'écart-type de 5 035 FCFA (CV de 22,1%) montre une dispersion modérée des prix. Le kurtosis négatif (-1,365) signale une distribution platykurtique, avec moins de valeurs extrêmes que la normale. La volatilité annualisée de 41,4% est élevée, reflétant un risque de marché important, mais aussi le potentiel de gains substantiels qui a attiré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(29 630 FCFA) évolue nettement au-dessus de la MM20 (28 815 FCFA) et de la MM50 (27 051,5 FCFA), confirmant une dynamique haussière à court et moyen terme. La configuration des MM, avec la MM20 au-dessus de la MM50, est un signal classique d'achat, indiquant que la tendance de fond reste positive.</w:t>
      </w:r>
    </w:p>
    <w:p>
      <w:pPr>
        <w:spacing w:after="120" w:line="276" w:lineRule="auto"/>
      </w:pPr>
      <w:r>
        <w:t>**Bandes de Bollinger** : Le prix se situe près de la borne supérieure (29 908,5 FCFA), ce qui témoigne d'une forte pression acheteuse et d'une volatilité élevée. Le fait que le cours ne soit pas sorti des bandes suggère une poursuite de la tendance, mais la proximité de la borne supérieure pourrait indiquer une zone de résistance ou une possible consolidation à court terme. La décision est neutre, car le marché est en territoire "chaud" mais pas encore suracheté.</w:t>
      </w:r>
    </w:p>
    <w:p>
      <w:pPr>
        <w:spacing w:after="120" w:line="276" w:lineRule="auto"/>
      </w:pPr>
      <w:r>
        <w:t>**MACD** : Le MACD (676,7) est légèrement inférieur à sa ligne de signal (701,6), indiquant un affaiblissement du momentum haussier à très court terme. Cette divergence négative, bien que mineure, suggère une possible pause dans la progression du titre. La décision de vente est un signal de prudence, mais elle doit être nuancée par la force de la tendance de fond.</w:t>
      </w:r>
    </w:p>
    <w:p>
      <w:pPr>
        <w:spacing w:after="120" w:line="276" w:lineRule="auto"/>
      </w:pPr>
      <w:r>
        <w:t>**RSI** : Le RSI s'établit à 62,9, en zone neutre (30-70), mais proche de la zone de surachat (70). Cela indique que le titre a encore une marge de progression avant d'être considéré comme suracheté, mais que la pression acheteuse est forte. La décision neutre est cohérente avec une tendance haussière saine, sans signe de retournement imminent.</w:t>
      </w:r>
    </w:p>
    <w:p>
      <w:pPr>
        <w:spacing w:after="120" w:line="276" w:lineRule="auto"/>
      </w:pPr>
      <w:r>
        <w:t>**Stochastique** : Le %K (78,0) est supérieur au %D (72,7), tous deux en zone de surachat (&gt;70). Cette configuration indique une forte dynamique haussière, mais elle signale aussi que le marché est "chaud" et qu'un retournement technique est possible à tout moment. La décision neutre suggère de surveiller un éventuel croisement baissier de ces lignes.</w:t>
      </w:r>
    </w:p>
    <w:p>
      <w:pPr>
        <w:spacing w:after="120" w:line="276" w:lineRule="auto"/>
      </w:pPr>
      <w:r>
        <w:t>**Conclusion technique** : Les indicateurs de tendance (MM, Bollinger) sont positifs, mais les oscillateurs (MACD, RSI, Stochastique) montrent des signes de fatigue ou de surachat. Le titre est dans une phase de consolidation après un rallye, avec un biais haussier toujours intact. Un investisseur pourrait attendre un repli vers les moyennes mobiles pour renforcer une position, tandis qu'une cassure sous la MM20 signalerait un affaiblissement de la tendance.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CBIBF a réalisé un Produit Net Bancaire (PNB) de 138,986 milliards FCFA, en hausse de 6,1%, et un résultat net de 65,495 milliards FCFA, en progression de 36,6% par rapport à 2024. Cette performance est portée par une collecte de dépôts dynamique (+14,9% à 2 015,3 milliards FCFA) et une croissance des crédits de 5,4% (à 1 327 milliards FCFA). Le coefficient d'exploitation de 36,4% est excellent, témoignant d'une gestion rigoureuse des charges. Le coût du risque s'est nettement amélioré (-59,3% à 16,5 milliards FCFA), reflétant une meilleure qualité du portefeuille de crédits. La marge nette est élevée à 47,1%, et le ROA de 2,18% est solide pour une banque de la région. Les rapports trimestriels de 2025 confirment cette dynamique : le T3 2025 affichait un PNB de 101,3 milliards FCFA (+9,65%) et un résultat net de 52,9 milliards FCFA (+6,25%). Sur la base du rapport T1 2026, qui montre un PNB de 36,8 milliards FCFA (+28,5%) et un résultat net de 21,5 milliards FCFA (+22,2%), on estime que l'exercice 2026 pourrait dépasser significativement les performances de 2025, avec une croissance potentielle du résultat net de plus de 20%. La banque démontre une solidité financière remarquable, une capacité de croissance soutenue et une gestion des risques efficace, malgré un environnement économique régional marqué par des incertitudes sécuritaires et politiques.</w:t>
      </w:r>
    </w:p>
    <w:p>
      <w:pPr>
        <w:spacing w:after="120" w:line="276" w:lineRule="auto"/>
      </w:pPr>
      <w:r>
        <w:t>---</w:t>
      </w:r>
    </w:p>
    <w:p>
      <w:pPr>
        <w:spacing w:after="120" w:line="276" w:lineRule="auto"/>
      </w:pPr>
      <w:r>
        <w:t>### PARTIE 4 : CONCLUSION D'INVESTISSEMENT</w:t>
      </w:r>
    </w:p>
    <w:p>
      <w:pPr>
        <w:spacing w:after="120" w:line="276" w:lineRule="auto"/>
      </w:pPr>
      <w:r>
        <w:t>La valorisation de CBIBF (PER 14,5x, EV/EBITDA 10,7x) est exigeante mais justifiée par une croissance et une rentabilité exceptionnelles. Le comportement du cours sur 100 jours (+97,47%) reflète un fort appétit des investisseurs, mais la volatilité élevée (41,4%) et les statistiques (kurtosis platykurtique) appellent à la prudence. Les signaux techniques sont mitigés : la tendance de fond est haussière (MM), mais les oscillateurs (MACD, RSI, Stochastique) indiquent un risque de consolidation à court terme. Les fondamentaux sont excellents, avec une croissance soutenue du PNB et du résultat net, une amélioration de la qualité du portefeuille et une efficacité opérationnelle remarquable. Les prédictions IA pour les 10 prochains jours (baisse de 27 408 à 20 065 FCFA) contredisent fortement la tendance actuelle et suggèrent un scénario de correction brutale, probablement lié à une prise de bénéfices après le rallye. Cette divergence entre les signaux techniques/fondamentaux et les prédictions IA est un signal d'alerte majeur. **Recommandation finale : CONSERVER.** La convergence entre une valorisation élevée, des signaux techniques de surachat et une prédiction IA baissière suggère un risque de correction à court terme. Le niveau de confiance est **Moyen**, car les fondamentaux restent solides. Le niveau de risque global est **Élevé** en raison de la volatilité et des incertitudes géopolitiques. L'horizon d'investissement optimal est le **moyen terme (3-12 mois)**, en attendant un point d'entrée plus favorable après une éventuelle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3,680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+7.41%</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6.50% (Moyenne) — μ=1,610 FCFA, σ=105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β=1.0970 (Neutre (suit le marché)) — Cov=0.000040, Var(idx)=0.000036, ρ=0.213,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3,680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σ_j=3.07%/j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1,622</w:t>
            </w:r>
          </w:p>
        </w:tc>
        <w:tc>
          <w:tcPr>
            <w:tcW w:type="dxa" w:w="1440"/>
            <w:shd w:fill="FFDCE0" w:val="clear"/>
          </w:tcPr>
          <w:p>
            <w:r>
              <w:rPr>
                <w:b/>
                <w:sz w:val="17"/>
              </w:rPr>
              <w:t>1,694</w:t>
            </w:r>
          </w:p>
        </w:tc>
        <w:tc>
          <w:tcPr>
            <w:tcW w:type="dxa" w:w="1440"/>
            <w:shd w:fill="FFDCE0" w:val="clear"/>
          </w:tcPr>
          <w:p>
            <w:r>
              <w:rPr>
                <w:sz w:val="17"/>
              </w:rPr>
              <w:t>1,766</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1,571</w:t>
            </w:r>
          </w:p>
        </w:tc>
        <w:tc>
          <w:tcPr>
            <w:tcW w:type="dxa" w:w="1440"/>
            <w:shd w:fill="FFDCE0" w:val="clear"/>
          </w:tcPr>
          <w:p>
            <w:r>
              <w:rPr>
                <w:b/>
                <w:sz w:val="17"/>
              </w:rPr>
              <w:t>1,671</w:t>
            </w:r>
          </w:p>
        </w:tc>
        <w:tc>
          <w:tcPr>
            <w:tcW w:type="dxa" w:w="1440"/>
            <w:shd w:fill="FFDCE0" w:val="clear"/>
          </w:tcPr>
          <w:p>
            <w:r>
              <w:rPr>
                <w:sz w:val="17"/>
              </w:rPr>
              <w:t>1,772</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1,525</w:t>
            </w:r>
          </w:p>
        </w:tc>
        <w:tc>
          <w:tcPr>
            <w:tcW w:type="dxa" w:w="1440"/>
            <w:shd w:fill="FFDCE0" w:val="clear"/>
          </w:tcPr>
          <w:p>
            <w:r>
              <w:rPr>
                <w:b/>
                <w:sz w:val="17"/>
              </w:rPr>
              <w:t>1,647</w:t>
            </w:r>
          </w:p>
        </w:tc>
        <w:tc>
          <w:tcPr>
            <w:tcW w:type="dxa" w:w="1440"/>
            <w:shd w:fill="FFDCE0" w:val="clear"/>
          </w:tcPr>
          <w:p>
            <w:r>
              <w:rPr>
                <w:sz w:val="17"/>
              </w:rPr>
              <w:t>1,768</w:t>
            </w:r>
          </w:p>
        </w:tc>
        <w:tc>
          <w:tcPr>
            <w:tcW w:type="dxa" w:w="1440"/>
            <w:shd w:fill="FFDCE0" w:val="clear"/>
          </w:tcPr>
          <w:p>
            <w:r>
              <w:rPr>
                <w:b/>
                <w:color w:val="C00000"/>
                <w:sz w:val="17"/>
              </w:rPr>
              <w:t>-5.4%</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1,484</w:t>
            </w:r>
          </w:p>
        </w:tc>
        <w:tc>
          <w:tcPr>
            <w:tcW w:type="dxa" w:w="1440"/>
            <w:shd w:fill="FFDCE0" w:val="clear"/>
          </w:tcPr>
          <w:p>
            <w:r>
              <w:rPr>
                <w:b/>
                <w:sz w:val="17"/>
              </w:rPr>
              <w:t>1,622</w:t>
            </w:r>
          </w:p>
        </w:tc>
        <w:tc>
          <w:tcPr>
            <w:tcW w:type="dxa" w:w="1440"/>
            <w:shd w:fill="FFDCE0" w:val="clear"/>
          </w:tcPr>
          <w:p>
            <w:r>
              <w:rPr>
                <w:sz w:val="17"/>
              </w:rPr>
              <w:t>1,760</w:t>
            </w:r>
          </w:p>
        </w:tc>
        <w:tc>
          <w:tcPr>
            <w:tcW w:type="dxa" w:w="1440"/>
            <w:shd w:fill="FFDCE0" w:val="clear"/>
          </w:tcPr>
          <w:p>
            <w:r>
              <w:rPr>
                <w:b/>
                <w:color w:val="C00000"/>
                <w:sz w:val="17"/>
              </w:rPr>
              <w:t>-6.8%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1,445</w:t>
            </w:r>
          </w:p>
        </w:tc>
        <w:tc>
          <w:tcPr>
            <w:tcW w:type="dxa" w:w="1440"/>
            <w:shd w:fill="FFDCE0" w:val="clear"/>
          </w:tcPr>
          <w:p>
            <w:r>
              <w:rPr>
                <w:b/>
                <w:sz w:val="17"/>
              </w:rPr>
              <w:t>1,598</w:t>
            </w:r>
          </w:p>
        </w:tc>
        <w:tc>
          <w:tcPr>
            <w:tcW w:type="dxa" w:w="1440"/>
            <w:shd w:fill="FFDCE0" w:val="clear"/>
          </w:tcPr>
          <w:p>
            <w:r>
              <w:rPr>
                <w:sz w:val="17"/>
              </w:rPr>
              <w:t>1,750</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1,410</w:t>
            </w:r>
          </w:p>
        </w:tc>
        <w:tc>
          <w:tcPr>
            <w:tcW w:type="dxa" w:w="1440"/>
            <w:shd w:fill="FFDCE0" w:val="clear"/>
          </w:tcPr>
          <w:p>
            <w:r>
              <w:rPr>
                <w:b/>
                <w:sz w:val="17"/>
              </w:rPr>
              <w:t>1,574</w:t>
            </w:r>
          </w:p>
        </w:tc>
        <w:tc>
          <w:tcPr>
            <w:tcW w:type="dxa" w:w="1440"/>
            <w:shd w:fill="FFDCE0" w:val="clear"/>
          </w:tcPr>
          <w:p>
            <w:r>
              <w:rPr>
                <w:sz w:val="17"/>
              </w:rPr>
              <w:t>1,739</w:t>
            </w:r>
          </w:p>
        </w:tc>
        <w:tc>
          <w:tcPr>
            <w:tcW w:type="dxa" w:w="1440"/>
            <w:shd w:fill="FFDCE0" w:val="clear"/>
          </w:tcPr>
          <w:p>
            <w:r>
              <w:rPr>
                <w:b/>
                <w:color w:val="C00000"/>
                <w:sz w:val="17"/>
              </w:rPr>
              <w:t>-9.5%</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1,376</w:t>
            </w:r>
          </w:p>
        </w:tc>
        <w:tc>
          <w:tcPr>
            <w:tcW w:type="dxa" w:w="1440"/>
            <w:shd w:fill="FFDCE0" w:val="clear"/>
          </w:tcPr>
          <w:p>
            <w:r>
              <w:rPr>
                <w:b/>
                <w:sz w:val="17"/>
              </w:rPr>
              <w:t>1,551</w:t>
            </w:r>
          </w:p>
        </w:tc>
        <w:tc>
          <w:tcPr>
            <w:tcW w:type="dxa" w:w="1440"/>
            <w:shd w:fill="FFDCE0" w:val="clear"/>
          </w:tcPr>
          <w:p>
            <w:r>
              <w:rPr>
                <w:sz w:val="17"/>
              </w:rPr>
              <w:t>1,726</w:t>
            </w:r>
          </w:p>
        </w:tc>
        <w:tc>
          <w:tcPr>
            <w:tcW w:type="dxa" w:w="1440"/>
            <w:shd w:fill="FFDCE0" w:val="clear"/>
          </w:tcPr>
          <w:p>
            <w:r>
              <w:rPr>
                <w:b/>
                <w:color w:val="C00000"/>
                <w:sz w:val="17"/>
              </w:rPr>
              <w:t>-10.9%</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1,344</w:t>
            </w:r>
          </w:p>
        </w:tc>
        <w:tc>
          <w:tcPr>
            <w:tcW w:type="dxa" w:w="1440"/>
            <w:shd w:fill="FFDCE0" w:val="clear"/>
          </w:tcPr>
          <w:p>
            <w:r>
              <w:rPr>
                <w:b/>
                <w:sz w:val="17"/>
              </w:rPr>
              <w:t>1,529</w:t>
            </w:r>
          </w:p>
        </w:tc>
        <w:tc>
          <w:tcPr>
            <w:tcW w:type="dxa" w:w="1440"/>
            <w:shd w:fill="FFDCE0" w:val="clear"/>
          </w:tcPr>
          <w:p>
            <w:r>
              <w:rPr>
                <w:sz w:val="17"/>
              </w:rPr>
              <w:t>1,713</w:t>
            </w:r>
          </w:p>
        </w:tc>
        <w:tc>
          <w:tcPr>
            <w:tcW w:type="dxa" w:w="1440"/>
            <w:shd w:fill="FFDCE0" w:val="clear"/>
          </w:tcPr>
          <w:p>
            <w:r>
              <w:rPr>
                <w:b/>
                <w:color w:val="C00000"/>
                <w:sz w:val="17"/>
              </w:rPr>
              <w:t>-12.2%</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1,314</w:t>
            </w:r>
          </w:p>
        </w:tc>
        <w:tc>
          <w:tcPr>
            <w:tcW w:type="dxa" w:w="1440"/>
            <w:shd w:fill="FFDCE0" w:val="clear"/>
          </w:tcPr>
          <w:p>
            <w:r>
              <w:rPr>
                <w:b/>
                <w:sz w:val="17"/>
              </w:rPr>
              <w:t>1,506</w:t>
            </w:r>
          </w:p>
        </w:tc>
        <w:tc>
          <w:tcPr>
            <w:tcW w:type="dxa" w:w="1440"/>
            <w:shd w:fill="FFDCE0" w:val="clear"/>
          </w:tcPr>
          <w:p>
            <w:r>
              <w:rPr>
                <w:sz w:val="17"/>
              </w:rPr>
              <w:t>1,699</w:t>
            </w:r>
          </w:p>
        </w:tc>
        <w:tc>
          <w:tcPr>
            <w:tcW w:type="dxa" w:w="1440"/>
            <w:shd w:fill="FFDCE0" w:val="clear"/>
          </w:tcPr>
          <w:p>
            <w:r>
              <w:rPr>
                <w:b/>
                <w:color w:val="C00000"/>
                <w:sz w:val="17"/>
              </w:rPr>
              <w:t>-13.4%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1,285</w:t>
            </w:r>
          </w:p>
        </w:tc>
        <w:tc>
          <w:tcPr>
            <w:tcW w:type="dxa" w:w="1440"/>
            <w:shd w:fill="FFDCE0" w:val="clear"/>
          </w:tcPr>
          <w:p>
            <w:r>
              <w:rPr>
                <w:b/>
                <w:sz w:val="17"/>
              </w:rPr>
              <w:t>1,485</w:t>
            </w:r>
          </w:p>
        </w:tc>
        <w:tc>
          <w:tcPr>
            <w:tcW w:type="dxa" w:w="1440"/>
            <w:shd w:fill="FFDCE0" w:val="clear"/>
          </w:tcPr>
          <w:p>
            <w:r>
              <w:rPr>
                <w:sz w:val="17"/>
              </w:rPr>
              <w:t>1,685</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2026**</w:t>
        <w:br/>
        <w:t>**Cours de référence : 1 740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315,59 milliards FCFA, ce qui en fait l'une des valeurs les plus significatives de la BRVM, reflétant sa position dominante dans le secteur automobile ivoirien. Avec un BPA de 26 FCFA, le titre se paie sur la base d'un PER de 67,2x, un niveau extrêmement élevé comparé à la moyenne historique de la BRVM (8-12x), indiquant que les investisseurs intègrent des perspectives de croissance très ambitieuses. Le P/B de 16,22x confirme cette prime substantielle par rapport à la valeur comptable des actifs, tandis que l'EV/EBITDA de 34,2x souligne une valorisation opérationnelle très exigeante. Ces ratios suggèrent que le marché anticipe une normalisation rapide et forte de la rentabilité après l'exercice 2024 difficile, ce qui représente un risque de correction significatif si les performances ne sont pas au rendez-vous.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CFAC affiche une progression totale de +7,41%, avec une dernière séance stable (0,00%), témoignant d'une tendance haussière modérée mais soutenue. Le cours a évolué dans une fourchette de 1 325 à 1 825 FCFA, démontrant une amplitude de trading considérable de 500 FCFA. La moyenne (1 610 FCFA) et la médiane (1 602 FCFA) sont très proches, indiquant une distribution relativement symétrique des prix, confirmée par un skewness de -0,379. L'écart-type de 105 FCFA (CV=6,5%) révèle une dispersion modérée autour de la moyenne, tandis que le kurtosis de -0,232 (mésokurtique) suggère l'absence de risques extrêmes de pics ou de krachs soudains. La volatilité annualisée de 48,8% classe le titre dans la catégorie des valeurs à très forte volatilité, ce qui implique des fluctuations importantes et un risque élevé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(1 740 FCFA) se positionne nettement au-dessus de la MM20 (1 689,5 FCFA) et de la MM50 (1 675,2 FCFA), avec un écart croissant qui confirme une dynamique haussière. La configuration des MM, avec la MM20 au-dessus de la MM50, valide la tendance positive et justifie la décision d'achat.</w:t>
      </w:r>
    </w:p>
    <w:p>
      <w:pPr>
        <w:spacing w:after="120" w:line="276" w:lineRule="auto"/>
      </w:pPr>
      <w:r>
        <w:t>**Bandes de Bollinger** : Le prix se situe à 1 740 FCFA, entre la borne supérieure (1 785,96 FCFA) et la borne inférieure (1 593,04 FCFA), proche de la partie haute de l'enveloppe. Cette position indique une pression acheteuse soutenue sans atteindre des niveaux de surachat extrême, justifiant une décision neutre avec un biais haussier.</w:t>
      </w:r>
    </w:p>
    <w:p>
      <w:pPr>
        <w:spacing w:after="120" w:line="276" w:lineRule="auto"/>
      </w:pPr>
      <w:r>
        <w:t>**MACD** : La valeur du MACD (23,52) est nettement supérieure à sa ligne de signal (15,21), confirmant un momentum haussier solide. L'écart positif et croissant entre les deux lignes indique une accélération de la tendance haussière, justifiant la décision d'achat.</w:t>
      </w:r>
    </w:p>
    <w:p>
      <w:pPr>
        <w:spacing w:after="120" w:line="276" w:lineRule="auto"/>
      </w:pPr>
      <w:r>
        <w:t>**RSI** : À 55,42, le RSI se situe dans la zone neutre (30-70), indiquant un équilibre entre pression acheteuse et vendeuse. Cette valeur suggère qu'il reste de la marge avant d'atteindre des conditions de surachat (&gt;70), laissant potentiellement place à une poursuite de la hausse.</w:t>
      </w:r>
    </w:p>
    <w:p>
      <w:pPr>
        <w:spacing w:after="120" w:line="276" w:lineRule="auto"/>
      </w:pPr>
      <w:r>
        <w:t>**Stochastique** : Le %K (84,85) et le %D (85,86) sont tous deux dans la zone de surachat (&gt;80), avec un croisement baissier imminent. Cette configuration indique un épuisement potentiel du mouvement haussier à court terme, justifiant la décision de vente.</w:t>
      </w:r>
    </w:p>
    <w:p>
      <w:pPr>
        <w:spacing w:after="120" w:line="276" w:lineRule="auto"/>
      </w:pPr>
      <w:r>
        <w:t>**Conclusion technique** : Les indicateurs de tendance (MM, MACD) sont clairement haussiers, tandis que les oscillateurs de momentum (RSI, Stochastique) montrent des signes de fatigue. Cette divergence suggère une consolidation probable à court terme avant une éventuelle poursuite de la tendance haussière, dans un contexte de volatilité élevée.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2024** : L'exercice 2024 a été marqué par un chiffre d'affaires de 158,313 milliards FCFA, en baisse de -12,1% par rapport à 2023, avec un résultat net de 4,693 milliards FCFA (-26,7%). La marge nette s'est établie à 2,96%, tandis que le ROE reste excellent à 24,13% et le ROA à 5,52%. Le BFR négatif de -3,482 milliards FCFA constitue un point positif, indiquant une gestion efficace du cycle d'exploitation, avec un délai clients de 36,64 jours et un délai fournisseurs de 81,75 jours. **Estimations 2025 basées sur les rapports trimestriels** : Le T1 2025 affiche un CA de 46,161 milliards FCFA (+14,5%) et un résultat net de 3,836 milliards FCFA (+279,7%), suivi d'un S1 2025 à 91,182 milliards FCFA (+18,4%) avec un résultat net de 5,420 milliards FCFA (+152,7%). Le T3 2025 confirme cette dynamique avec un CA de 43,580 milliards FCFA (+18,3%) et un résultat net de 1,489 milliard FCFA (+38,1%). **Projections** : Sur la base de ces performances, on estime que l'exercice 2025 devrait dépasser 180 milliards FCFA de CA avec un résultat net potentiel supérieur à 8 milliards FCFA, marquant un redressement spectaculaire. La société maintient sa position de leader avec 41,7% de parts de marché, portée par les marques Suzuki et Toyota, et bénéficie d'une amélioration significative de ses marges opérationnelles (8,2% au S1 2025 contre 4,8% en 2024).</w:t>
      </w:r>
    </w:p>
    <w:p>
      <w:pPr>
        <w:spacing w:after="120" w:line="276" w:lineRule="auto"/>
      </w:pPr>
      <w:r>
        <w:t>---</w:t>
      </w:r>
    </w:p>
    <w:p>
      <w:pPr>
        <w:spacing w:after="120" w:line="276" w:lineRule="auto"/>
      </w:pPr>
      <w:r>
        <w:t>### PARTIE 4 : CONCLUSION D'INVESTISSEMENT</w:t>
      </w:r>
    </w:p>
    <w:p>
      <w:pPr>
        <w:spacing w:after="120" w:line="276" w:lineRule="auto"/>
      </w:pPr>
      <w:r>
        <w:t>La valorisation de CFAC apparaît extrêmement exigeante (PER 67,2x, P/B 16,2x), intégrant une normalisation rapide de la rentabilité que les résultats 2025 semblent confirmer. Le comportement du cours sur 100 jours (+7,41%) reflète une tendance haussière modérée avec une volatilité très élevée (48,8%), tandis que les indicateurs techniques montrent une divergence entre la tendance haussière (MM, MACD) et les oscillateurs en surachat (Stochastique). Les fondamentaux sont en nette amélioration avec un redressement spectaculaire en 2025, confirmé par les rapports trimestriels successifs. Les prédictions IA (1 694 à 1 598 FCFA sur J+1 à J+10) suggèrent une correction à court terme, contredisant partiellement les signaux techniques haussiers. **Recommandation finale : CONSERVER** avec un niveau de confiance **Moyen** et un risque global **Élevé**. Le potentiel de croissance justifie de conserver les positions existantes, mais la valorisation actuelle et les signaux de surachat technique recommandent de ne pas renforcer les positions à ces niveaux. Horizon d'investissement optimal : **Moyen terme (3-12 mois)**, en attendant une éventuelle correction pour entrer à des niveaux plus favorables.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374.64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6,112 titres</w:t>
            </w:r>
          </w:p>
        </w:tc>
        <w:tc>
          <w:tcPr>
            <w:tcW w:type="dxa" w:w="2268"/>
            <w:shd w:fill="FFF2CC" w:val="clear"/>
          </w:tcPr>
          <w:p>
            <w:r>
              <w:rPr>
                <w:b/>
                <w:color w:val="503200"/>
                <w:sz w:val="16"/>
              </w:rPr>
              <w:t xml:space="preserve">Cours actuel : </w:t>
            </w:r>
            <w:r>
              <w:rPr>
                <w:color w:val="000000"/>
                <w:sz w:val="17"/>
              </w:rPr>
              <w:t>6,690 FCFA</w:t>
            </w:r>
          </w:p>
          <w:p>
            <w:r>
              <w:rPr>
                <w:b/>
                <w:color w:val="503200"/>
                <w:sz w:val="16"/>
              </w:rPr>
              <w:t xml:space="preserve">Var. 100 jours : </w:t>
            </w:r>
            <w:r>
              <w:rPr>
                <w:b/>
                <w:color w:val="007800"/>
                <w:sz w:val="17"/>
              </w:rPr>
              <w:t>+96.76%</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24.24% (Élevée) — μ=4,639 FCFA, σ=1,124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β=0.9991 (Neutre (suit le marché)) — Cov=0.000036, Var(idx)=0.000036, ρ=0.190,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6,112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5,847</w:t>
            </w:r>
          </w:p>
        </w:tc>
        <w:tc>
          <w:tcPr>
            <w:tcW w:type="dxa" w:w="1440"/>
            <w:shd w:fill="FFDCE0" w:val="clear"/>
          </w:tcPr>
          <w:p>
            <w:r>
              <w:rPr>
                <w:b/>
                <w:sz w:val="17"/>
              </w:rPr>
              <w:t>6,188</w:t>
            </w:r>
          </w:p>
        </w:tc>
        <w:tc>
          <w:tcPr>
            <w:tcW w:type="dxa" w:w="1440"/>
            <w:shd w:fill="FFDCE0" w:val="clear"/>
          </w:tcPr>
          <w:p>
            <w:r>
              <w:rPr>
                <w:sz w:val="17"/>
              </w:rPr>
              <w:t>6,529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5,278</w:t>
            </w:r>
          </w:p>
        </w:tc>
        <w:tc>
          <w:tcPr>
            <w:tcW w:type="dxa" w:w="1440"/>
            <w:shd w:fill="FFDCE0" w:val="clear"/>
          </w:tcPr>
          <w:p>
            <w:r>
              <w:rPr>
                <w:b/>
                <w:sz w:val="17"/>
              </w:rPr>
              <w:t>5,724</w:t>
            </w:r>
          </w:p>
        </w:tc>
        <w:tc>
          <w:tcPr>
            <w:tcW w:type="dxa" w:w="1440"/>
            <w:shd w:fill="FFDCE0" w:val="clear"/>
          </w:tcPr>
          <w:p>
            <w:r>
              <w:rPr>
                <w:sz w:val="17"/>
              </w:rPr>
              <w:t>6,170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4,789</w:t>
            </w:r>
          </w:p>
        </w:tc>
        <w:tc>
          <w:tcPr>
            <w:tcW w:type="dxa" w:w="1440"/>
            <w:shd w:fill="FFDCE0" w:val="clear"/>
          </w:tcPr>
          <w:p>
            <w:r>
              <w:rPr>
                <w:b/>
                <w:sz w:val="17"/>
              </w:rPr>
              <w:t>5,295</w:t>
            </w:r>
          </w:p>
        </w:tc>
        <w:tc>
          <w:tcPr>
            <w:tcW w:type="dxa" w:w="1440"/>
            <w:shd w:fill="FFDCE0" w:val="clear"/>
          </w:tcPr>
          <w:p>
            <w:r>
              <w:rPr>
                <w:sz w:val="17"/>
              </w:rPr>
              <w:t>5,800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4,358</w:t>
            </w:r>
          </w:p>
        </w:tc>
        <w:tc>
          <w:tcPr>
            <w:tcW w:type="dxa" w:w="1440"/>
            <w:shd w:fill="FFDCE0" w:val="clear"/>
          </w:tcPr>
          <w:p>
            <w:r>
              <w:rPr>
                <w:b/>
                <w:sz w:val="17"/>
              </w:rPr>
              <w:t>4,898</w:t>
            </w:r>
          </w:p>
        </w:tc>
        <w:tc>
          <w:tcPr>
            <w:tcW w:type="dxa" w:w="1440"/>
            <w:shd w:fill="FFDCE0" w:val="clear"/>
          </w:tcPr>
          <w:p>
            <w:r>
              <w:rPr>
                <w:sz w:val="17"/>
              </w:rPr>
              <w:t>5,438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3,972</w:t>
            </w:r>
          </w:p>
        </w:tc>
        <w:tc>
          <w:tcPr>
            <w:tcW w:type="dxa" w:w="1440"/>
            <w:shd w:fill="FFDCE0" w:val="clear"/>
          </w:tcPr>
          <w:p>
            <w:r>
              <w:rPr>
                <w:b/>
                <w:sz w:val="17"/>
              </w:rPr>
              <w:t>4,530</w:t>
            </w:r>
          </w:p>
        </w:tc>
        <w:tc>
          <w:tcPr>
            <w:tcW w:type="dxa" w:w="1440"/>
            <w:shd w:fill="FFDCE0" w:val="clear"/>
          </w:tcPr>
          <w:p>
            <w:r>
              <w:rPr>
                <w:sz w:val="17"/>
              </w:rPr>
              <w:t>5,089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3,625</w:t>
            </w:r>
          </w:p>
        </w:tc>
        <w:tc>
          <w:tcPr>
            <w:tcW w:type="dxa" w:w="1440"/>
            <w:shd w:fill="FFDCE0" w:val="clear"/>
          </w:tcPr>
          <w:p>
            <w:r>
              <w:rPr>
                <w:b/>
                <w:sz w:val="17"/>
              </w:rPr>
              <w:t>4,191</w:t>
            </w:r>
          </w:p>
        </w:tc>
        <w:tc>
          <w:tcPr>
            <w:tcW w:type="dxa" w:w="1440"/>
            <w:shd w:fill="FFDCE0" w:val="clear"/>
          </w:tcPr>
          <w:p>
            <w:r>
              <w:rPr>
                <w:sz w:val="17"/>
              </w:rPr>
              <w:t>4,756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3,311</w:t>
            </w:r>
          </w:p>
        </w:tc>
        <w:tc>
          <w:tcPr>
            <w:tcW w:type="dxa" w:w="1440"/>
            <w:shd w:fill="FFDCE0" w:val="clear"/>
          </w:tcPr>
          <w:p>
            <w:r>
              <w:rPr>
                <w:b/>
                <w:sz w:val="17"/>
              </w:rPr>
              <w:t>3,876</w:t>
            </w:r>
          </w:p>
        </w:tc>
        <w:tc>
          <w:tcPr>
            <w:tcW w:type="dxa" w:w="1440"/>
            <w:shd w:fill="FFDCE0" w:val="clear"/>
          </w:tcPr>
          <w:p>
            <w:r>
              <w:rPr>
                <w:sz w:val="17"/>
              </w:rPr>
              <w:t>4,442</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3,027</w:t>
            </w:r>
          </w:p>
        </w:tc>
        <w:tc>
          <w:tcPr>
            <w:tcW w:type="dxa" w:w="1440"/>
            <w:shd w:fill="FFDCE0" w:val="clear"/>
          </w:tcPr>
          <w:p>
            <w:r>
              <w:rPr>
                <w:b/>
                <w:sz w:val="17"/>
              </w:rPr>
              <w:t>3,586</w:t>
            </w:r>
          </w:p>
        </w:tc>
        <w:tc>
          <w:tcPr>
            <w:tcW w:type="dxa" w:w="1440"/>
            <w:shd w:fill="FFDCE0" w:val="clear"/>
          </w:tcPr>
          <w:p>
            <w:r>
              <w:rPr>
                <w:sz w:val="17"/>
              </w:rPr>
              <w:t>4,145</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2,786</w:t>
            </w:r>
          </w:p>
        </w:tc>
        <w:tc>
          <w:tcPr>
            <w:tcW w:type="dxa" w:w="1440"/>
            <w:shd w:fill="FFDCE0" w:val="clear"/>
          </w:tcPr>
          <w:p>
            <w:r>
              <w:rPr>
                <w:b/>
                <w:sz w:val="17"/>
              </w:rPr>
              <w:t>3,338</w:t>
            </w:r>
          </w:p>
        </w:tc>
        <w:tc>
          <w:tcPr>
            <w:tcW w:type="dxa" w:w="1440"/>
            <w:shd w:fill="FFDCE0" w:val="clear"/>
          </w:tcPr>
          <w:p>
            <w:r>
              <w:rPr>
                <w:sz w:val="17"/>
              </w:rPr>
              <w:t>3,889</w:t>
            </w:r>
          </w:p>
        </w:tc>
        <w:tc>
          <w:tcPr>
            <w:tcW w:type="dxa" w:w="1440"/>
            <w:shd w:fill="FFDCE0" w:val="clear"/>
          </w:tcPr>
          <w:p>
            <w:r>
              <w:rPr>
                <w:b/>
                <w:color w:val="C00000"/>
                <w:sz w:val="17"/>
              </w:rPr>
              <w:t>-50.1%</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2,689</w:t>
            </w:r>
          </w:p>
        </w:tc>
        <w:tc>
          <w:tcPr>
            <w:tcW w:type="dxa" w:w="1440"/>
            <w:shd w:fill="FFDCE0" w:val="clear"/>
          </w:tcPr>
          <w:p>
            <w:r>
              <w:rPr>
                <w:b/>
                <w:sz w:val="17"/>
              </w:rPr>
              <w:t>3,257</w:t>
            </w:r>
          </w:p>
        </w:tc>
        <w:tc>
          <w:tcPr>
            <w:tcW w:type="dxa" w:w="1440"/>
            <w:shd w:fill="FFDCE0" w:val="clear"/>
          </w:tcPr>
          <w:p>
            <w:r>
              <w:rPr>
                <w:sz w:val="17"/>
              </w:rPr>
              <w:t>3,825</w:t>
            </w:r>
          </w:p>
        </w:tc>
        <w:tc>
          <w:tcPr>
            <w:tcW w:type="dxa" w:w="1440"/>
            <w:shd w:fill="FFDCE0" w:val="clear"/>
          </w:tcPr>
          <w:p>
            <w:r>
              <w:rPr>
                <w:b/>
                <w:color w:val="C00000"/>
                <w:sz w:val="17"/>
              </w:rPr>
              <w:t>-51.3%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374,64 milliards FCFA, un niveau significatif qui la positionne parmi les valeurs moyennes à grandes capitalisations de la BRVM. Avec un BPA de 234 FCFA, le titre se négocie à un PER de 28,5x, très supérieur à la moyenne historique du marché (8-12x), indiquant que les investisseurs intègrent des attentes de croissance future très élevées ou une prime de rareté. Le P/B de 10,42x confirme cette valorisation exigeante, le marché valorisant l'actif net comptable plus de dix fois sa valeur. Enfin, l'EV/EBITDA de 15,1x, bien que légèrement sous le seuil critique de 15x, reste élevé, signalant que la valeur d'entreprise inclut une prime substantielle par rapport à la capacité bénéficiaire opérationnelle actuelle.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CIEC a enregistré une performance spectaculaire de +96,76%, passant d'un plus bas de 3 000 FCFA à un plus haut de 7 190 FCFA, avec une légère correction de -0,15% lors de la dernière séance, clôturant à 6 690 FCFA. La moyenne du cours sur la période (4 639 FCFA) est inférieure à la médiane (4 995 FCFA), ce qui indique une distribution légèrement asymétrique avec une concentration des valeurs vers le bas de la fourchette avant la récente accélération. L'écart-type de 1 130 FCFA (CV de 24,4%) témoigne d'une dispersion modérée, tandis que le kurtosis de -0,759 (mésokurtique) et le skewness de 0,095 suggèrent une distribution proche de la normale, sans risque extrême de pics. La volatilité annualisée de 50,1% classe le titre dans la catégorie des valeurs à très forte volatilité, reflétant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(6 690 FCFA) se positionne nettement au-dessus de la MM20 (5 955,25 FCFA) et de la MM50 (5 513,7 FCFA), confirmant une tendance haussière solide à court et moyen terme. L'écart positif entre le cours et les moyennes indique une dynamique positive, justifiant la décision d'achat.</w:t>
      </w:r>
    </w:p>
    <w:p>
      <w:pPr>
        <w:spacing w:after="120" w:line="276" w:lineRule="auto"/>
      </w:pPr>
      <w:r>
        <w:t>**Bandes de Bollinger** : Le prix évolue entre la borne supérieure (7 631 FCFA) et la borne inférieure (4 279 FCFA), se situant à 6 690 FCFA, soit dans la moitié supérieure du canal. La position actuelle suggère une volatilité modérée sans excès, d'où la décision neutre, le titre n'étant pas en zone de surachat extrême.</w:t>
      </w:r>
    </w:p>
    <w:p>
      <w:pPr>
        <w:spacing w:after="120" w:line="276" w:lineRule="auto"/>
      </w:pPr>
      <w:r>
        <w:t>**MACD** : Le MACD (451,341) est nettement supérieur à sa ligne de signal (385,149), indiquant un momentum haussier positif et une accélération de la tendance. Cette configuration confirme la dynamique acheteuse, justifiant la décision d'achat.</w:t>
      </w:r>
    </w:p>
    <w:p>
      <w:pPr>
        <w:spacing w:after="120" w:line="276" w:lineRule="auto"/>
      </w:pPr>
      <w:r>
        <w:t>**RSI** : Le RSI à 78,309 dépasse largement le seuil de surachat de 70, signalant une pression acheteuse excessive à court terme. Cette situation suggère un risque de correction technique, d'où la décision de vente.</w:t>
      </w:r>
    </w:p>
    <w:p>
      <w:pPr>
        <w:spacing w:after="120" w:line="276" w:lineRule="auto"/>
      </w:pPr>
      <w:r>
        <w:t>**Stochastique** : Le %K (73,404) et le %D (75,294) sont proches et au-dessus de 70, indiquant une zone de surachat sans croisement baissier clair. La décision neutre reflète l'absence de signal directionnel net.</w:t>
      </w:r>
    </w:p>
    <w:p>
      <w:pPr>
        <w:spacing w:after="120" w:line="276" w:lineRule="auto"/>
      </w:pPr>
      <w:r>
        <w:t>**Conclusion technique** : Les indicateurs de tendance (MM, MACD) sont positifs, mais les oscillateurs (RSI, Stochastique) signalent une zone de surachat. Cette divergence suggère une possible consolidation à court terme avant la poursuite de la tendance haussière, ou un risque de correction si les niveaux actuels ne tiennent pas.</w:t>
      </w:r>
    </w:p>
    <w:p>
      <w:pPr>
        <w:spacing w:after="120" w:line="276" w:lineRule="auto"/>
      </w:pPr>
      <w:r>
        <w:t>---</w:t>
      </w:r>
    </w:p>
    <w:p>
      <w:pPr>
        <w:spacing w:after="120" w:line="276" w:lineRule="auto"/>
      </w:pPr>
      <w:r>
        <w:t>### PARTIE 3 : ANALYSE FONDAMENTALE (SECTION CRITIQUE)</w:t>
      </w:r>
    </w:p>
    <w:p>
      <w:pPr>
        <w:spacing w:after="120" w:line="276" w:lineRule="auto"/>
      </w:pPr>
      <w:r>
        <w:t>En 2025, la CIEC a réalisé un chiffre d'affaires de 302,320 milliards FCFA, en croissance de +14,8% par rapport à 2024 (263,294 milliards FCFA), avec un résultat net de 13,127 milliards FCFA, en progression de 24,4%. La marge nette s'établit à 4,34%, le ROE à 36,50% (excellent, &gt;15%) et le ROA à 0,65%. Le BFR est négatif (-90,244 milliards FCFA), ce qui est favorable pour une entreprise, indiquant une gestion efficace du cycle d'exploitation. Cependant, le délai clients de 164 jours constitue un risque de trésorerie, tandis que le délai fournisseurs de 970 jours est très avantageux. L'endettement est élevé (ratio d'endettement de 612,9%), mais la capacité de remboursement de 7,64 ans reste gérable. Le rapport annuel 2025 (analysé en mai 2026) confirme la solidité des résultats, avec un EBE de 37,161 milliards FCFA et une CAF de 28,869 milliards FCFA. Le rapport du S1 2025 (134,923 milliards FCFA de CA, +18,85%) suggère une dynamique soutenue pour l'exercice 2026, avec un résultat net semestriel de 5,096 milliards FCFA. Sur la base de ces données, on estime que l'exercice 2026 pourrait voir un CA d'environ 320-330 milliards FCFA et un résultat net de 14-15 milliards FCFA, confirmant la tendance haussière.</w:t>
      </w:r>
    </w:p>
    <w:p>
      <w:pPr>
        <w:spacing w:after="120" w:line="276" w:lineRule="auto"/>
      </w:pPr>
      <w:r>
        <w:t>---</w:t>
      </w:r>
    </w:p>
    <w:p>
      <w:pPr>
        <w:spacing w:after="120" w:line="276" w:lineRule="auto"/>
      </w:pPr>
      <w:r>
        <w:t>### PARTIE 4 : CONCLUSION D'INVESTISSEMENT</w:t>
      </w:r>
    </w:p>
    <w:p>
      <w:pPr>
        <w:spacing w:after="120" w:line="276" w:lineRule="auto"/>
      </w:pPr>
      <w:r>
        <w:t>La valorisation de la CIEC est clairement exigeante (PER 28,5x, P/B 10,42x, EV/EBITDA 15,1x), suggérant une surévaluation relative par rapport aux fondamentaux actuels, mais justifiée par une croissance soutenue et une politique de dividende attractive (234 FCFA/action, rendement d'environ 3,5%). Le comportement du cours montre une tendance haussière spectaculaire avec une volatilité élevée (50,1%), et les statistiques descriptives indiquent une distribution normale sans risque extrême. Les signaux techniques sont mitigés : tendance positive (MM, MACD) mais surachat imminent (RSI, Stochastique). Les fondamentaux sont solides avec une croissance de 14,8% du CA, un ROE de 36,5% et un BFR négatif favorable, bien que l'endettement et le délai client soient des points de vigilance. Les prédictions IA (J+1 à J+10) montrent une trajectoire baissière (de 6 188 à 4 530 FCFA), contredisant les signaux techniques et suggérant une correction probable. **Recommandation finale : VENTE** à court terme, avec un niveau de confiance **Moyen** et un risque global **Élevé**. Horizon optimal : court terme (&lt;3 mois) pour profiter d'une éventuelle correction, puis réévaluation pour un réinvestissement à moyen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908.89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3,815 titres</w:t>
            </w:r>
          </w:p>
        </w:tc>
        <w:tc>
          <w:tcPr>
            <w:tcW w:type="dxa" w:w="2268"/>
            <w:shd w:fill="FFF2CC" w:val="clear"/>
          </w:tcPr>
          <w:p>
            <w:r>
              <w:rPr>
                <w:b/>
                <w:color w:val="503200"/>
                <w:sz w:val="16"/>
              </w:rPr>
              <w:t xml:space="preserve">Cours actuel : </w:t>
            </w:r>
            <w:r>
              <w:rPr>
                <w:color w:val="000000"/>
                <w:sz w:val="17"/>
              </w:rPr>
              <w:t>16,510 FCFA</w:t>
            </w:r>
          </w:p>
          <w:p>
            <w:r>
              <w:rPr>
                <w:b/>
                <w:color w:val="503200"/>
                <w:sz w:val="16"/>
              </w:rPr>
              <w:t xml:space="preserve">Var. 100 jours : </w:t>
            </w:r>
            <w:r>
              <w:rPr>
                <w:b/>
                <w:color w:val="007800"/>
                <w:sz w:val="17"/>
              </w:rPr>
              <w:t>+0.98%</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2.26% (Faible) — μ=16,334 FCFA, σ=370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β=0.3443 (Défensif) — Cov=0.000012, Var(idx)=0.000036, ρ=0.117,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3,815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16,256</w:t>
            </w:r>
          </w:p>
        </w:tc>
        <w:tc>
          <w:tcPr>
            <w:tcW w:type="dxa" w:w="1440"/>
            <w:shd w:fill="FAFAFA" w:val="clear"/>
          </w:tcPr>
          <w:p>
            <w:r>
              <w:rPr>
                <w:b/>
                <w:sz w:val="17"/>
              </w:rPr>
              <w:t>16,644</w:t>
            </w:r>
          </w:p>
        </w:tc>
        <w:tc>
          <w:tcPr>
            <w:tcW w:type="dxa" w:w="1440"/>
            <w:shd w:fill="FAFAFA" w:val="clear"/>
          </w:tcPr>
          <w:p>
            <w:r>
              <w:rPr>
                <w:sz w:val="17"/>
              </w:rPr>
              <w:t>17,033</w:t>
            </w:r>
          </w:p>
        </w:tc>
        <w:tc>
          <w:tcPr>
            <w:tcW w:type="dxa" w:w="1440"/>
            <w:shd w:fill="FAFAFA" w:val="clear"/>
          </w:tcPr>
          <w:p>
            <w:r>
              <w:rPr>
                <w:b/>
                <w:color w:val="008000"/>
                <w:sz w:val="17"/>
              </w:rPr>
              <w:t>+0.8%</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16,066</w:t>
            </w:r>
          </w:p>
        </w:tc>
        <w:tc>
          <w:tcPr>
            <w:tcW w:type="dxa" w:w="1440"/>
            <w:shd w:fill="FAFAFA" w:val="clear"/>
          </w:tcPr>
          <w:p>
            <w:r>
              <w:rPr>
                <w:b/>
                <w:sz w:val="17"/>
              </w:rPr>
              <w:t>16,614</w:t>
            </w:r>
          </w:p>
        </w:tc>
        <w:tc>
          <w:tcPr>
            <w:tcW w:type="dxa" w:w="1440"/>
            <w:shd w:fill="FAFAFA" w:val="clear"/>
          </w:tcPr>
          <w:p>
            <w:r>
              <w:rPr>
                <w:sz w:val="17"/>
              </w:rPr>
              <w:t>17,163</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15,927</w:t>
            </w:r>
          </w:p>
        </w:tc>
        <w:tc>
          <w:tcPr>
            <w:tcW w:type="dxa" w:w="1440"/>
            <w:shd w:fill="FAFAFA" w:val="clear"/>
          </w:tcPr>
          <w:p>
            <w:r>
              <w:rPr>
                <w:b/>
                <w:sz w:val="17"/>
              </w:rPr>
              <w:t>16,598</w:t>
            </w:r>
          </w:p>
        </w:tc>
        <w:tc>
          <w:tcPr>
            <w:tcW w:type="dxa" w:w="1440"/>
            <w:shd w:fill="FAFAFA" w:val="clear"/>
          </w:tcPr>
          <w:p>
            <w:r>
              <w:rPr>
                <w:sz w:val="17"/>
              </w:rPr>
              <w:t>17,269</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15,808</w:t>
            </w:r>
          </w:p>
        </w:tc>
        <w:tc>
          <w:tcPr>
            <w:tcW w:type="dxa" w:w="1440"/>
            <w:shd w:fill="FAFAFA" w:val="clear"/>
          </w:tcPr>
          <w:p>
            <w:r>
              <w:rPr>
                <w:b/>
                <w:sz w:val="17"/>
              </w:rPr>
              <w:t>16,582</w:t>
            </w:r>
          </w:p>
        </w:tc>
        <w:tc>
          <w:tcPr>
            <w:tcW w:type="dxa" w:w="1440"/>
            <w:shd w:fill="FAFAFA" w:val="clear"/>
          </w:tcPr>
          <w:p>
            <w:r>
              <w:rPr>
                <w:sz w:val="17"/>
              </w:rPr>
              <w:t>17,356</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2026-09-07</w:t>
            </w:r>
          </w:p>
        </w:tc>
        <w:tc>
          <w:tcPr>
            <w:tcW w:type="dxa" w:w="1440"/>
            <w:shd w:fill="FAFAFA" w:val="clear"/>
          </w:tcPr>
          <w:p>
            <w:r>
              <w:rPr>
                <w:sz w:val="17"/>
              </w:rPr>
              <w:t>15,700</w:t>
            </w:r>
          </w:p>
        </w:tc>
        <w:tc>
          <w:tcPr>
            <w:tcW w:type="dxa" w:w="1440"/>
            <w:shd w:fill="FAFAFA" w:val="clear"/>
          </w:tcPr>
          <w:p>
            <w:r>
              <w:rPr>
                <w:b/>
                <w:sz w:val="17"/>
              </w:rPr>
              <w:t>16,565</w:t>
            </w:r>
          </w:p>
        </w:tc>
        <w:tc>
          <w:tcPr>
            <w:tcW w:type="dxa" w:w="1440"/>
            <w:shd w:fill="FAFAFA" w:val="clear"/>
          </w:tcPr>
          <w:p>
            <w:r>
              <w:rPr>
                <w:sz w:val="17"/>
              </w:rPr>
              <w:t>17,430</w:t>
            </w:r>
          </w:p>
        </w:tc>
        <w:tc>
          <w:tcPr>
            <w:tcW w:type="dxa" w:w="1440"/>
            <w:shd w:fill="FAFAFA" w:val="clear"/>
          </w:tcPr>
          <w:p>
            <w:r>
              <w:rPr>
                <w:b/>
                <w:color w:val="008000"/>
                <w:sz w:val="17"/>
              </w:rPr>
              <w:t>+0.3%</w:t>
            </w:r>
          </w:p>
        </w:tc>
      </w:tr>
      <w:tr>
        <w:tc>
          <w:tcPr>
            <w:tcW w:type="dxa" w:w="1440"/>
            <w:shd w:fill="FAFAFA" w:val="clear"/>
          </w:tcPr>
          <w:p>
            <w:r>
              <w:rPr>
                <w:sz w:val="17"/>
              </w:rPr>
              <w:t>J+6  Moyenne</w:t>
            </w:r>
          </w:p>
        </w:tc>
        <w:tc>
          <w:tcPr>
            <w:tcW w:type="dxa" w:w="1440"/>
            <w:shd w:fill="FAFAFA" w:val="clear"/>
          </w:tcPr>
          <w:p>
            <w:r>
              <w:rPr>
                <w:sz w:val="17"/>
              </w:rPr>
              <w:t>2026-09-08</w:t>
            </w:r>
          </w:p>
        </w:tc>
        <w:tc>
          <w:tcPr>
            <w:tcW w:type="dxa" w:w="1440"/>
            <w:shd w:fill="FAFAFA" w:val="clear"/>
          </w:tcPr>
          <w:p>
            <w:r>
              <w:rPr>
                <w:sz w:val="17"/>
              </w:rPr>
              <w:t>15,602</w:t>
            </w:r>
          </w:p>
        </w:tc>
        <w:tc>
          <w:tcPr>
            <w:tcW w:type="dxa" w:w="1440"/>
            <w:shd w:fill="FAFAFA" w:val="clear"/>
          </w:tcPr>
          <w:p>
            <w:r>
              <w:rPr>
                <w:b/>
                <w:sz w:val="17"/>
              </w:rPr>
              <w:t>16,548</w:t>
            </w:r>
          </w:p>
        </w:tc>
        <w:tc>
          <w:tcPr>
            <w:tcW w:type="dxa" w:w="1440"/>
            <w:shd w:fill="FAFAFA" w:val="clear"/>
          </w:tcPr>
          <w:p>
            <w:r>
              <w:rPr>
                <w:sz w:val="17"/>
              </w:rPr>
              <w:t>17,494</w:t>
            </w:r>
          </w:p>
        </w:tc>
        <w:tc>
          <w:tcPr>
            <w:tcW w:type="dxa" w:w="1440"/>
            <w:shd w:fill="FAFAFA" w:val="clear"/>
          </w:tcPr>
          <w:p>
            <w:r>
              <w:rPr>
                <w:b/>
                <w:color w:val="008000"/>
                <w:sz w:val="17"/>
              </w:rPr>
              <w:t>+0.2%</w:t>
            </w:r>
          </w:p>
        </w:tc>
      </w:tr>
      <w:tr>
        <w:tc>
          <w:tcPr>
            <w:tcW w:type="dxa" w:w="1440"/>
            <w:shd w:fill="FAFAFA" w:val="clear"/>
          </w:tcPr>
          <w:p>
            <w:r>
              <w:rPr>
                <w:sz w:val="17"/>
              </w:rPr>
              <w:t>J+7  Moyenne</w:t>
            </w:r>
          </w:p>
        </w:tc>
        <w:tc>
          <w:tcPr>
            <w:tcW w:type="dxa" w:w="1440"/>
            <w:shd w:fill="FAFAFA" w:val="clear"/>
          </w:tcPr>
          <w:p>
            <w:r>
              <w:rPr>
                <w:sz w:val="17"/>
              </w:rPr>
              <w:t>2026-09-09</w:t>
            </w:r>
          </w:p>
        </w:tc>
        <w:tc>
          <w:tcPr>
            <w:tcW w:type="dxa" w:w="1440"/>
            <w:shd w:fill="FAFAFA" w:val="clear"/>
          </w:tcPr>
          <w:p>
            <w:r>
              <w:rPr>
                <w:sz w:val="17"/>
              </w:rPr>
              <w:t>15,510</w:t>
            </w:r>
          </w:p>
        </w:tc>
        <w:tc>
          <w:tcPr>
            <w:tcW w:type="dxa" w:w="1440"/>
            <w:shd w:fill="FAFAFA" w:val="clear"/>
          </w:tcPr>
          <w:p>
            <w:r>
              <w:rPr>
                <w:b/>
                <w:sz w:val="17"/>
              </w:rPr>
              <w:t>16,531</w:t>
            </w:r>
          </w:p>
        </w:tc>
        <w:tc>
          <w:tcPr>
            <w:tcW w:type="dxa" w:w="1440"/>
            <w:shd w:fill="FAFAFA" w:val="clear"/>
          </w:tcPr>
          <w:p>
            <w:r>
              <w:rPr>
                <w:sz w:val="17"/>
              </w:rPr>
              <w:t>17,552</w:t>
            </w:r>
          </w:p>
        </w:tc>
        <w:tc>
          <w:tcPr>
            <w:tcW w:type="dxa" w:w="1440"/>
            <w:shd w:fill="FAFAFA" w:val="clear"/>
          </w:tcPr>
          <w:p>
            <w:r>
              <w:rPr>
                <w:b/>
                <w:color w:val="008000"/>
                <w:sz w:val="17"/>
              </w:rPr>
              <w:t>+0.1%</w:t>
            </w:r>
          </w:p>
        </w:tc>
      </w:tr>
      <w:tr>
        <w:tc>
          <w:tcPr>
            <w:tcW w:type="dxa" w:w="1440"/>
            <w:shd w:fill="FAFAFA" w:val="clear"/>
          </w:tcPr>
          <w:p>
            <w:r>
              <w:rPr>
                <w:sz w:val="17"/>
              </w:rPr>
              <w:t>J+8  Moyenne</w:t>
            </w:r>
          </w:p>
        </w:tc>
        <w:tc>
          <w:tcPr>
            <w:tcW w:type="dxa" w:w="1440"/>
            <w:shd w:fill="FAFAFA" w:val="clear"/>
          </w:tcPr>
          <w:p>
            <w:r>
              <w:rPr>
                <w:sz w:val="17"/>
              </w:rPr>
              <w:t>2026-09-10</w:t>
            </w:r>
          </w:p>
        </w:tc>
        <w:tc>
          <w:tcPr>
            <w:tcW w:type="dxa" w:w="1440"/>
            <w:shd w:fill="FAFAFA" w:val="clear"/>
          </w:tcPr>
          <w:p>
            <w:r>
              <w:rPr>
                <w:sz w:val="17"/>
              </w:rPr>
              <w:t>15,424</w:t>
            </w:r>
          </w:p>
        </w:tc>
        <w:tc>
          <w:tcPr>
            <w:tcW w:type="dxa" w:w="1440"/>
            <w:shd w:fill="FAFAFA" w:val="clear"/>
          </w:tcPr>
          <w:p>
            <w:r>
              <w:rPr>
                <w:b/>
                <w:sz w:val="17"/>
              </w:rPr>
              <w:t>16,514</w:t>
            </w:r>
          </w:p>
        </w:tc>
        <w:tc>
          <w:tcPr>
            <w:tcW w:type="dxa" w:w="1440"/>
            <w:shd w:fill="FAFAFA" w:val="clear"/>
          </w:tcPr>
          <w:p>
            <w:r>
              <w:rPr>
                <w:sz w:val="17"/>
              </w:rPr>
              <w:t>17,605</w:t>
            </w:r>
          </w:p>
        </w:tc>
        <w:tc>
          <w:tcPr>
            <w:tcW w:type="dxa" w:w="1440"/>
            <w:shd w:fill="FAFAFA" w:val="clear"/>
          </w:tcPr>
          <w:p>
            <w:r>
              <w:rPr>
                <w:b/>
                <w:color w:val="008000"/>
                <w:sz w:val="17"/>
              </w:rPr>
              <w:t>+0.0%</w:t>
            </w:r>
          </w:p>
        </w:tc>
      </w:tr>
      <w:tr>
        <w:tc>
          <w:tcPr>
            <w:tcW w:type="dxa" w:w="1440"/>
            <w:shd w:fill="FAFAFA" w:val="clear"/>
          </w:tcPr>
          <w:p>
            <w:r>
              <w:rPr>
                <w:sz w:val="17"/>
              </w:rPr>
              <w:t>J+9  Moyenne</w:t>
            </w:r>
          </w:p>
        </w:tc>
        <w:tc>
          <w:tcPr>
            <w:tcW w:type="dxa" w:w="1440"/>
            <w:shd w:fill="FAFAFA" w:val="clear"/>
          </w:tcPr>
          <w:p>
            <w:r>
              <w:rPr>
                <w:sz w:val="17"/>
              </w:rPr>
              <w:t>2026-09-11</w:t>
            </w:r>
          </w:p>
        </w:tc>
        <w:tc>
          <w:tcPr>
            <w:tcW w:type="dxa" w:w="1440"/>
            <w:shd w:fill="FAFAFA" w:val="clear"/>
          </w:tcPr>
          <w:p>
            <w:r>
              <w:rPr>
                <w:sz w:val="17"/>
              </w:rPr>
              <w:t>15,342</w:t>
            </w:r>
          </w:p>
        </w:tc>
        <w:tc>
          <w:tcPr>
            <w:tcW w:type="dxa" w:w="1440"/>
            <w:shd w:fill="FAFAFA" w:val="clear"/>
          </w:tcPr>
          <w:p>
            <w:r>
              <w:rPr>
                <w:b/>
                <w:sz w:val="17"/>
              </w:rPr>
              <w:t>16,497</w:t>
            </w:r>
          </w:p>
        </w:tc>
        <w:tc>
          <w:tcPr>
            <w:tcW w:type="dxa" w:w="1440"/>
            <w:shd w:fill="FAFAFA" w:val="clear"/>
          </w:tcPr>
          <w:p>
            <w:r>
              <w:rPr>
                <w:sz w:val="17"/>
              </w:rPr>
              <w:t>17,653</w:t>
            </w:r>
          </w:p>
        </w:tc>
        <w:tc>
          <w:tcPr>
            <w:tcW w:type="dxa" w:w="1440"/>
            <w:shd w:fill="FAFAFA" w:val="clear"/>
          </w:tcPr>
          <w:p>
            <w:r>
              <w:rPr>
                <w:b/>
                <w:color w:val="C00000"/>
                <w:sz w:val="17"/>
              </w:rPr>
              <w:t>-0.1%</w:t>
            </w:r>
          </w:p>
        </w:tc>
      </w:tr>
      <w:tr>
        <w:tc>
          <w:tcPr>
            <w:tcW w:type="dxa" w:w="1440"/>
            <w:shd w:fill="FAFAFA" w:val="clear"/>
          </w:tcPr>
          <w:p>
            <w:r>
              <w:rPr>
                <w:sz w:val="17"/>
              </w:rPr>
              <w:t>J+10  Moyenne</w:t>
            </w:r>
          </w:p>
        </w:tc>
        <w:tc>
          <w:tcPr>
            <w:tcW w:type="dxa" w:w="1440"/>
            <w:shd w:fill="FAFAFA" w:val="clear"/>
          </w:tcPr>
          <w:p>
            <w:r>
              <w:rPr>
                <w:sz w:val="17"/>
              </w:rPr>
              <w:t>2026-09-14</w:t>
            </w:r>
          </w:p>
        </w:tc>
        <w:tc>
          <w:tcPr>
            <w:tcW w:type="dxa" w:w="1440"/>
            <w:shd w:fill="FAFAFA" w:val="clear"/>
          </w:tcPr>
          <w:p>
            <w:r>
              <w:rPr>
                <w:sz w:val="17"/>
              </w:rPr>
              <w:t>15,264</w:t>
            </w:r>
          </w:p>
        </w:tc>
        <w:tc>
          <w:tcPr>
            <w:tcW w:type="dxa" w:w="1440"/>
            <w:shd w:fill="FAFAFA" w:val="clear"/>
          </w:tcPr>
          <w:p>
            <w:r>
              <w:rPr>
                <w:b/>
                <w:sz w:val="17"/>
              </w:rPr>
              <w:t>16,481</w:t>
            </w:r>
          </w:p>
        </w:tc>
        <w:tc>
          <w:tcPr>
            <w:tcW w:type="dxa" w:w="1440"/>
            <w:shd w:fill="FAFAFA" w:val="clear"/>
          </w:tcPr>
          <w:p>
            <w:r>
              <w:rPr>
                <w:sz w:val="17"/>
              </w:rPr>
              <w:t>17,697</w:t>
            </w:r>
          </w:p>
        </w:tc>
        <w:tc>
          <w:tcPr>
            <w:tcW w:type="dxa" w:w="1440"/>
            <w:shd w:fill="FAFAFA" w:val="clear"/>
          </w:tcPr>
          <w:p>
            <w:r>
              <w:rPr>
                <w:b/>
                <w:color w:val="C00000"/>
                <w:sz w:val="17"/>
              </w:rPr>
              <w:t>-0.2%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 29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908,89 milliards FCFA, ce qui en fait l'une des plus importantes capitalisations de la BRVM, reflétant son statut de banque systémique dans l'UEMOA. Le BPA de 1 153 FCFA indique que chaque action génère un bénéfice substantiel, justifiant un PER de 14,3x. Ce ratio est supérieur à la moyenne historique de la BRVM (8-12x), signifiant que les investisseurs acceptent de payer une prime pour la qualité des actifs et la croissance d'ECOC. Le P/B de 4,16x confirme cette prime, le marché valorisant fortement les capitaux propres de la banque (218,573 Mds FCFA) par rapport à leur valeur comptable. Enfin, l'EV/EBITDA de 14,0x, dans la fourchette haute de 10-15x, indique une valorisation exigeante mais cohérente avec la forte capacité opérationnelle de l'établissement (RBE de 75,794 Mds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affiche une progression modeste de +0,98%, mais la dernière séance enregistre un recul de -1,99% à 16 510 FCFA, suggérant une prise de bénéfices après une période de stabilité. Le titre a évolué dans un range de 1 750 FCFA, entre un plus bas de 15 520 FCFA et un plus haut de 17 270 FCFA, démontrant une certaine amplitude de mouvement. La moyenne (16 334 FCFA) et la médiane (16 300 FCFA) sont très proches, indiquant une distribution symétrique des prix, confirmée par un skewness de 0,188. L'écart-type de 372 FCFA (CV=2,3%) révèle une dispersion très faible autour de la moyenne, et le kurtosis de -0,278 (mésokurtique) indique l'absence de valeurs extrêmes ou de pics de volatilité. La volatilité annualisée de 27,8% classe le titre dans la catégorie "modérée" (15-30%), ce qui est acceptable pour une valeur bancaire de cette envergure.</w:t>
      </w:r>
    </w:p>
    <w:p>
      <w:pPr>
        <w:spacing w:after="120" w:line="276" w:lineRule="auto"/>
      </w:pPr>
      <w:r>
        <w:t>---</w:t>
      </w:r>
    </w:p>
    <w:p>
      <w:pPr>
        <w:spacing w:after="120" w:line="276" w:lineRule="auto"/>
      </w:pPr>
      <w:r>
        <w:t>### PARTIE 2 : ANALYSE TECHNIQUE DÉTAILLÉE</w:t>
      </w:r>
    </w:p>
    <w:p>
      <w:pPr>
        <w:spacing w:after="120" w:line="276" w:lineRule="auto"/>
      </w:pPr>
      <w:r>
        <w:t>**Moyennes Mobiles (MM20=16 385, MM50=16 421,1) :** Le cours actuel (16 510 FCFA) se situe au-dessus de ses deux moyennes mobiles, ce qui est un signal positif à court terme. Cependant, la MM20 est inférieure à la MM50, formant une configuration en "croix de la mort" à moyen terme. La décision de "Vente" est donc liée à cette inversion baissière des moyennes, malgré le cours qui évolue au-dessus d'elles.</w:t>
      </w:r>
    </w:p>
    <w:p>
      <w:pPr>
        <w:spacing w:after="120" w:line="276" w:lineRule="auto"/>
      </w:pPr>
      <w:r>
        <w:t>**Bandes de Bollinger (Borne sup=17 107,8, Borne inf=15 662,2) :** Le prix de 16 510 FCFA se positionne presque exactement au milieu des bandes, indiquant une volatilité modérée et l'absence de pression directionnelle forte. La décision "Neutre" est justifiée, le titre n'étant ni suracheté ni survendu, et la largeur des bandes suggère une période de consolidation.</w:t>
      </w:r>
    </w:p>
    <w:p>
      <w:pPr>
        <w:spacing w:after="120" w:line="276" w:lineRule="auto"/>
      </w:pPr>
      <w:r>
        <w:t>**MACD (Valeur=134,4, Signal=86,7) :** Le MACD est positif et nettement au-dessus de sa ligne de signal, ce qui est un signal d'achat classique. Cette configuration indique un momentum haussier en cours, avec une accélération de la dynamique positive. La décision "Achat" est donc cohérente avec la tendance de fond.</w:t>
      </w:r>
    </w:p>
    <w:p>
      <w:pPr>
        <w:spacing w:after="120" w:line="276" w:lineRule="auto"/>
      </w:pPr>
      <w:r>
        <w:t>**RSI (Valeur=56,1) :** Le RSI est en zone neutre, entre 30 et 70, indiquant un équilibre entre les forces acheteuses et vendeuses. Il n'y a pas de pression excessive à l'achat ni à la vente. La décision "Neutre" est appropriée, le titre disposant d'une marge de manœuvre avant d'atteindre des zones de surachat.</w:t>
      </w:r>
    </w:p>
    <w:p>
      <w:pPr>
        <w:spacing w:after="120" w:line="276" w:lineRule="auto"/>
      </w:pPr>
      <w:r>
        <w:t>**Stochastique (%K=57,6, %D=82,9) :** Le %K est inférieur au %D, formant un croisement baissier potentiel. Le %D à 82,9 est en zone de surachat, ce qui pourrait précéder un repli technique. La décision "Neutre" suggère que le marché attend une confirmation de la direction.</w:t>
      </w:r>
    </w:p>
    <w:p>
      <w:pPr>
        <w:spacing w:after="120" w:line="276" w:lineRule="auto"/>
      </w:pPr>
      <w:r>
        <w:t>**Conclusion technique :** Les indicateurs sont mitigés. Le MACD est clairement haussier, mais les moyennes mobiles et le stochastique montrent des signes de faiblesse à court terme. Le RSI et les bandes de Bollinger indiquent une absence de direction claire. Globalement, la tendance de fond reste positive, mais un repli technique est possible avant la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ECOC affiche un Produit Net Bancaire (PNB) de 132,725 Mds FCFA, en croissance de +8,5%, et un résultat net de 63,482 Mds FCFA. La rentabilité est exceptionnelle avec un ROE de 29,04% et un ROA de 3,09%, démontrant une utilisation très efficace des capitaux propres et des actifs. Le coefficient d'exploitation de 42,89% est excellent, témoignant d'une maîtrise rigoureuse des charges. Le coût du risque de 1,36% reste modéré, indiquant une bonne qualité du portefeuille de crédits. La banque présente une transformation saine avec des dépôts clientèle (1 626,223 Mds FCFA) largement supérieurs aux créances sur la clientèle (1 050,803 Mds FCFA). **Les rapports trimestriels 2025 confirment cette dynamique** : le T3 2025 (rapport du 31/12/2025) montre un PNB de 96,4 Mds FCFA (+11,3%) et un résultat net de 44,4 Mds FCFA (+15,4%), avec un ROE de 29,7%. Le rapport annuel 2024 (publié en 2025) indiquait déjà un PNB de 122,3 Mds FCFA (+11%) et un résultat net de 57,5 Mds FCFA (+19,6%). **Sur la base du rapport T1 2026** (PNB de 30,8 Mds FCFA, +3,7%, et résultat net de 13,0 Mds FCFA), on estime que l'exercice 2026 pourrait voir un PNB autour de 135-140 Mds FCFA et un résultat net stable ou en légère hausse, malgré un coût du risque en augmentation. La banque propose un dividende de 888 FCFA par action pour 2025, confirmant une politique actionnariale généreuse.</w:t>
      </w:r>
    </w:p>
    <w:p>
      <w:pPr>
        <w:spacing w:after="120" w:line="276" w:lineRule="auto"/>
      </w:pPr>
      <w:r>
        <w:t>---</w:t>
      </w:r>
    </w:p>
    <w:p>
      <w:pPr>
        <w:spacing w:after="120" w:line="276" w:lineRule="auto"/>
      </w:pPr>
      <w:r>
        <w:t>### PARTIE 4 : CONCLUSION D'INVESTISSEMENT</w:t>
      </w:r>
    </w:p>
    <w:p>
      <w:pPr>
        <w:spacing w:after="120" w:line="276" w:lineRule="auto"/>
      </w:pPr>
      <w:r>
        <w:t>La valorisation d'ECOC (PER 14,3x, P/B 4,16x) est exigeante, mais justifiée par une rentabilité supérieure à la moyenne du marché. Le comportement du cours sur 100 jours est stable avec une volatilité modérée, et les statistiques (kurtosis, skewness) indiquent un profil de risque maîtrisé. Les signaux techniques sont mitigés, avec un MACD haussier contre des moyennes mobiles baissières, suggérant une consolidation avant une reprise potentielle. Les fondamentaux sont excellents : ROE de 29%, coefficient d'exploitation de 42,9%, et une croissance soutenue du PNB et du résultat net. Les prédictions IA pour les 10 prochains jours (16 644 à 16 565 FCFA) indiquent une légère hausse puis une stabilisation, confirmant la tendance positive de fond. En synthèse, la convergence entre la solidité financière, la croissance des bénéfices et la stabilité du cours est forte. **Recommandation : ACHAT** pour les investisseurs à moyen et long terme, avec un niveau de confiance **Élevé**. Le risque global est **Moyen**, principalement lié à la valorisation élevée et aux incertitudes macroéconomiques. L'horizon d'investissement optimal est de **6 à 12 mois**, visant une appréciation du cours vers les 17 500-18 000 FCFA, soutenue par les fondamentaux et la politique de dividende attractive.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1,460,509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+97.06%</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38.10% (Élevée) — μ=46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β=2.7231 (Très agressif) — Cov=0.000098, Var(idx)=0.000036, ρ=0.395,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1,460,509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σ_j=4.12%/j (Modérée) — Vol. annualisée≈65.4%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57</w:t>
            </w:r>
          </w:p>
        </w:tc>
        <w:tc>
          <w:tcPr>
            <w:tcW w:type="dxa" w:w="1440"/>
            <w:shd w:fill="FFDCE0" w:val="clear"/>
          </w:tcPr>
          <w:p>
            <w:r>
              <w:rPr>
                <w:b/>
                <w:sz w:val="17"/>
              </w:rPr>
              <w:t>62</w:t>
            </w:r>
          </w:p>
        </w:tc>
        <w:tc>
          <w:tcPr>
            <w:tcW w:type="dxa" w:w="1440"/>
            <w:shd w:fill="FFDCE0" w:val="clear"/>
          </w:tcPr>
          <w:p>
            <w:r>
              <w:rPr>
                <w:sz w:val="17"/>
              </w:rPr>
              <w:t>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51</w:t>
            </w:r>
          </w:p>
        </w:tc>
        <w:tc>
          <w:tcPr>
            <w:tcW w:type="dxa" w:w="1440"/>
            <w:shd w:fill="FFDCE0" w:val="clear"/>
          </w:tcPr>
          <w:p>
            <w:r>
              <w:rPr>
                <w:b/>
                <w:sz w:val="17"/>
              </w:rPr>
              <w:t>57</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46</w:t>
            </w:r>
          </w:p>
        </w:tc>
        <w:tc>
          <w:tcPr>
            <w:tcW w:type="dxa" w:w="1440"/>
            <w:shd w:fill="FFDCE0" w:val="clear"/>
          </w:tcPr>
          <w:p>
            <w:r>
              <w:rPr>
                <w:b/>
                <w:sz w:val="17"/>
              </w:rPr>
              <w:t>53</w:t>
            </w:r>
          </w:p>
        </w:tc>
        <w:tc>
          <w:tcPr>
            <w:tcW w:type="dxa" w:w="1440"/>
            <w:shd w:fill="FFDCE0" w:val="clear"/>
          </w:tcPr>
          <w:p>
            <w:r>
              <w:rPr>
                <w:sz w:val="17"/>
              </w:rPr>
              <w:t>60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42</w:t>
            </w:r>
          </w:p>
        </w:tc>
        <w:tc>
          <w:tcPr>
            <w:tcW w:type="dxa" w:w="1440"/>
            <w:shd w:fill="FFDCE0" w:val="clear"/>
          </w:tcPr>
          <w:p>
            <w:r>
              <w:rPr>
                <w:b/>
                <w:sz w:val="17"/>
              </w:rPr>
              <w:t>49</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38</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34</w:t>
            </w:r>
          </w:p>
        </w:tc>
        <w:tc>
          <w:tcPr>
            <w:tcW w:type="dxa" w:w="1440"/>
            <w:shd w:fill="FFDCE0" w:val="clear"/>
          </w:tcPr>
          <w:p>
            <w:r>
              <w:rPr>
                <w:b/>
                <w:sz w:val="17"/>
              </w:rPr>
              <w:t>42</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31</w:t>
            </w:r>
          </w:p>
        </w:tc>
        <w:tc>
          <w:tcPr>
            <w:tcW w:type="dxa" w:w="1440"/>
            <w:shd w:fill="FFDCE0" w:val="clear"/>
          </w:tcPr>
          <w:p>
            <w:r>
              <w:rPr>
                <w:b/>
                <w:sz w:val="17"/>
              </w:rPr>
              <w:t>39</w:t>
            </w:r>
          </w:p>
        </w:tc>
        <w:tc>
          <w:tcPr>
            <w:tcW w:type="dxa" w:w="1440"/>
            <w:shd w:fill="FFDCE0" w:val="clear"/>
          </w:tcPr>
          <w:p>
            <w:r>
              <w:rPr>
                <w:sz w:val="17"/>
              </w:rPr>
              <w:t>46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28</w:t>
            </w:r>
          </w:p>
        </w:tc>
        <w:tc>
          <w:tcPr>
            <w:tcW w:type="dxa" w:w="1440"/>
            <w:shd w:fill="FFDCE0" w:val="clear"/>
          </w:tcPr>
          <w:p>
            <w:r>
              <w:rPr>
                <w:b/>
                <w:sz w:val="17"/>
              </w:rPr>
              <w:t>36</w:t>
            </w:r>
          </w:p>
        </w:tc>
        <w:tc>
          <w:tcPr>
            <w:tcW w:type="dxa" w:w="1440"/>
            <w:shd w:fill="FFDCE0" w:val="clear"/>
          </w:tcPr>
          <w:p>
            <w:r>
              <w:rPr>
                <w:sz w:val="17"/>
              </w:rPr>
              <w:t>43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26</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24</w:t>
            </w:r>
          </w:p>
        </w:tc>
        <w:tc>
          <w:tcPr>
            <w:tcW w:type="dxa" w:w="1440"/>
            <w:shd w:fill="FFDCE0" w:val="clear"/>
          </w:tcPr>
          <w:p>
            <w:r>
              <w:rPr>
                <w:b/>
                <w:sz w:val="17"/>
              </w:rPr>
              <w:t>31</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1 211,64 milliards FCFA, ce qui en fait l'une des plus importantes valeurs de la BRVM, reflétant la stature de leader panafricain du groupe. Avec un BPA de 19 FCFA, le titre se négocie à un PER de 3,5x, très inférieur à la moyenne de la BRVM (8-12x), signalant une sous-évaluation potentielle par rapport aux bénéfices générés. Le P/B de 0,76x indique que le marché valorise le titre sous sa valeur comptable, une situation typique des valeurs décotées offrant une marge de sécurité. Enfin, un EV/EBITDA de 5,0x confirme une valorisation opérationnelle attractive, le marché ne payant que 5 fois le résultat brut d'exploitation. L'ensemble de ces ratios suggère que le marché n'intègre pas pleinement la solidité financière et les perspectives de croissance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ETIT a enregistré une performance spectaculaire de +97,06%, passant d'un plus bas de 26 FCFA à un plus haut de 78 FCFA, avant de clôturer à 67 FCFA, soit une progression de +3,08% lors de la dernière séance. La moyenne du cours sur la période (46 FCFA) est nettement supérieure à la médiane (34 FCFA) et au mode (30 FCFA), indiquant une distribution asymétrique avec une concentration des valeurs basses mais une forte poussée haussière récente. L'écart-type de 17 FCFA (CV de 38,3%) témoigne d'une dispersion élevée, tandis que le kurtosis négatif (-1,583) révèle une distribution aplatie, sans pics extrêmes, et le skewness positif (0,463) confirme une asymétrie vers les valeurs hautes. La volatilité annualisée de 65,4% classe le titre comme extrêmement risqué, bien au-delà du seuil des 30%, ce qui exige une grande prudence malgré la tendance haussière marquée.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(67 FCFA) se positionne au-dessus de la MM20 (66,4 FCFA) et de la MM50 (60,42 FCFA), configuration haussière classique. La MM20 étant supérieure à la MM50, la tendance de fond est positive, justifiant la décision d'achat. Cette structure indique que le momentum court terme reste porteur.</w:t>
      </w:r>
    </w:p>
    <w:p>
      <w:pPr>
        <w:spacing w:after="120" w:line="276" w:lineRule="auto"/>
      </w:pPr>
      <w:r>
        <w:t>**Bandes de Bollinger** : Le prix (67 FCFA) évolue entre la borne supérieure (69,471 FCFA) et la borne inférieure (63,329 FCFA), proche de la moyenne. La position neutre suggère une volatilité modérée sans excès, le titre n'étant ni suracheté ni survendu. Une sortie par le haut pourrait signaler une accélération haussière.</w:t>
      </w:r>
    </w:p>
    <w:p>
      <w:pPr>
        <w:spacing w:after="120" w:line="276" w:lineRule="auto"/>
      </w:pPr>
      <w:r>
        <w:t>**MACD** : Le MACD (1,236) est inférieur à sa ligne de signal (1,918), indiquant un momentum baissier à court terme malgré des valeurs positives. Cette divergence signale un essoufflement de la dynamique haussière, justifiant la décision de vente. Les investisseurs doivent surveiller un éventuel croisement haussier.</w:t>
      </w:r>
    </w:p>
    <w:p>
      <w:pPr>
        <w:spacing w:after="120" w:line="276" w:lineRule="auto"/>
      </w:pPr>
      <w:r>
        <w:t>**RSI** : Le RSI à 50,0 se situe exactement à la neutralité, indiquant un équilibre entre pressions acheteuses et vendeuses. Cette valeur n'offre pas de signal directionnel fort, mais laisse une marge de manœuvre dans les deux sens avant d'atteindre les zones de surachat (70) ou de survente (30).</w:t>
      </w:r>
    </w:p>
    <w:p>
      <w:pPr>
        <w:spacing w:after="120" w:line="276" w:lineRule="auto"/>
      </w:pPr>
      <w:r>
        <w:t>**Stochastique** : Le %K (50,0) est supérieur au %D (33,333), suggérant un début de momentum haussier. Bien que la décision soit neutre, ce croisement pourrait annoncer une reprise de la tendance haussière si %K continue de progresser au-dessus de %D.</w:t>
      </w:r>
    </w:p>
    <w:p>
      <w:pPr>
        <w:spacing w:after="120" w:line="276" w:lineRule="auto"/>
      </w:pPr>
      <w:r>
        <w:t>**Conclusion technique** : Les signaux sont mitigés avec une prédominance haussière sur les moyennes mobiles, mais des indicateurs de momentum (MACD) en perte de vitesse. La configuration globale reste constructive, mais le titre pourrait connaître une phase de consolidation avant de poursuivre sa progression. La prudence est de mise à court terme.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banque performante avec un PNB de 1 424,261 milliards FCFA, en croissance de 12,45%, et un résultat net de 345,523 milliards FCFA. La rentabilité est excellente avec un ROE de 21,62% et un ROA de 1,80%, tandis que le coefficient d'exploitation de 27,35% démontre une efficacité opérationnelle remarquable, bien en dessous du seuil de 60%. Le coût du risque de 18,97% reste élevé, reflétant un environnement de crédit difficile. Le bilan est solide avec des dépôts clientèle de 14 120,139 milliards FCFA contre des créances de 6 570,385 milliards FCFA, soit un ratio de transformation prudent. Les rapports semestriels 2026 (publiés en juillet 2026) confirment la dynamique : PNB en hausse de 15% à 721,318 milliards FCFA et résultat net de 166,682 milliards FCFA (+6%). Le rapport du T1 2026 (publié en avril 2026) montre une accélération avec un PNB en hausse de 23%. On estime que l'exercice 2026 devrait dépasser les performances de 2025, avec un PNB annuel potentiellement supérieur à 1 500 milliards FCFA. La stratégie GTR (Croissance, Transformation, Rentabilité) porte ses fruits, avec un coefficient d'exploitation amélioré à 48,4% et un partenariat stratégique avec Google Cloud. Les risques identifiés incluent la hausse du coût du risque (+40% au S1 2026) et les tensions géopolitiques, mais la solidité financière et la diversification géographique (35 pays) offrent une résilience certaine.</w:t>
      </w:r>
    </w:p>
    <w:p>
      <w:pPr>
        <w:spacing w:after="120" w:line="276" w:lineRule="auto"/>
      </w:pPr>
      <w:r>
        <w:t>---</w:t>
      </w:r>
    </w:p>
    <w:p>
      <w:pPr>
        <w:spacing w:after="120" w:line="276" w:lineRule="auto"/>
      </w:pPr>
      <w:r>
        <w:t>### PARTIE 4 : CONCLUSION D'INVESTISSEMENT</w:t>
      </w:r>
    </w:p>
    <w:p>
      <w:pPr>
        <w:spacing w:after="120" w:line="276" w:lineRule="auto"/>
      </w:pPr>
      <w:r>
        <w:t>La synthèse globale révèle une configuration paradoxale. La valorisation (PER 3,5x, P/B 0,76x, EV/EBITDA 5x) indique une sous-évaluation manifeste, tandis que le comportement du cours (+97% en 100 jours) témoigne d'un rattrapage en cours, mais avec une volatilité extrême (65,4%) et une distribution statistique atypique. Les signaux techniques sont mitigés : tendance haussière sur les moyennes mobiles mais momentum MACD négatif, suggérant une possible consolidation. Les fondamentaux sont excellents avec une croissance soutenue du PNB (+15% au S1 2026), un ROE de 21,6% et une amélioration continue de l'efficacité opérationnelle. Les prédictions IA (62 à 45 FCFA sur 10 jours) contredisent la tendance haussière récente, anticipant un repli technique après la forte progression. Cette divergence entre fondamentaux solides et signaux techniques de court terme mitigés conduit à une recommandation **CONSERVER**. Le niveau de confiance est **Moyen**, le risque global est **Élevé** en raison de la volatilité. L'horizon d'investissement optimal est le **moyen terme (3-12 mois)**, permettant d'absorber la volatilité et de bénéficier de la convergence entre la sous-évaluation et la croissance des bénéfices.</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3,971 titres</w:t>
            </w:r>
          </w:p>
        </w:tc>
        <w:tc>
          <w:tcPr>
            <w:tcW w:type="dxa" w:w="2268"/>
            <w:shd w:fill="FFF2CC" w:val="clear"/>
          </w:tcPr>
          <w:p>
            <w:r>
              <w:rPr>
                <w:b/>
                <w:color w:val="503200"/>
                <w:sz w:val="16"/>
              </w:rPr>
              <w:t xml:space="preserve">Cours actuel : </w:t>
            </w:r>
            <w:r>
              <w:rPr>
                <w:color w:val="000000"/>
                <w:sz w:val="17"/>
              </w:rPr>
              <w:t>2,155 FCFA</w:t>
            </w:r>
          </w:p>
          <w:p>
            <w:r>
              <w:rPr>
                <w:b/>
                <w:color w:val="503200"/>
                <w:sz w:val="16"/>
              </w:rPr>
              <w:t xml:space="preserve">Var. 100 jours : </w:t>
            </w:r>
            <w:r>
              <w:rPr>
                <w:b/>
                <w:color w:val="B40000"/>
                <w:sz w:val="17"/>
              </w:rPr>
              <w:t>-8.30%</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6.26% (Moyenne) — μ=2,151 FCFA, σ=135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β=0.7133 (Défensif) — Cov=0.000026, Var(idx)=0.000036, ρ=0.193,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σ_j=2.21%/j (Stable) — Vol. annualisée≈35.1%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2,100</w:t>
            </w:r>
          </w:p>
        </w:tc>
        <w:tc>
          <w:tcPr>
            <w:tcW w:type="dxa" w:w="1440"/>
            <w:shd w:fill="FAFAFA" w:val="clear"/>
          </w:tcPr>
          <w:p>
            <w:r>
              <w:rPr>
                <w:b/>
                <w:sz w:val="17"/>
              </w:rPr>
              <w:t>2,166</w:t>
            </w:r>
          </w:p>
        </w:tc>
        <w:tc>
          <w:tcPr>
            <w:tcW w:type="dxa" w:w="1440"/>
            <w:shd w:fill="FAFAFA" w:val="clear"/>
          </w:tcPr>
          <w:p>
            <w:r>
              <w:rPr>
                <w:sz w:val="17"/>
              </w:rPr>
              <w:t>2,233</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2,081</w:t>
            </w:r>
          </w:p>
        </w:tc>
        <w:tc>
          <w:tcPr>
            <w:tcW w:type="dxa" w:w="1440"/>
            <w:shd w:fill="FAFAFA" w:val="clear"/>
          </w:tcPr>
          <w:p>
            <w:r>
              <w:rPr>
                <w:b/>
                <w:sz w:val="17"/>
              </w:rPr>
              <w:t>2,176</w:t>
            </w:r>
          </w:p>
        </w:tc>
        <w:tc>
          <w:tcPr>
            <w:tcW w:type="dxa" w:w="1440"/>
            <w:shd w:fill="FAFAFA" w:val="clear"/>
          </w:tcPr>
          <w:p>
            <w:r>
              <w:rPr>
                <w:sz w:val="17"/>
              </w:rPr>
              <w:t>2,270</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2,069</w:t>
            </w:r>
          </w:p>
        </w:tc>
        <w:tc>
          <w:tcPr>
            <w:tcW w:type="dxa" w:w="1440"/>
            <w:shd w:fill="FAFAFA" w:val="clear"/>
          </w:tcPr>
          <w:p>
            <w:r>
              <w:rPr>
                <w:b/>
                <w:sz w:val="17"/>
              </w:rPr>
              <w:t>2,186</w:t>
            </w:r>
          </w:p>
        </w:tc>
        <w:tc>
          <w:tcPr>
            <w:tcW w:type="dxa" w:w="1440"/>
            <w:shd w:fill="FAFAFA" w:val="clear"/>
          </w:tcPr>
          <w:p>
            <w:r>
              <w:rPr>
                <w:sz w:val="17"/>
              </w:rPr>
              <w:t>2,302</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2,061</w:t>
            </w:r>
          </w:p>
        </w:tc>
        <w:tc>
          <w:tcPr>
            <w:tcW w:type="dxa" w:w="1440"/>
            <w:shd w:fill="FAFAFA" w:val="clear"/>
          </w:tcPr>
          <w:p>
            <w:r>
              <w:rPr>
                <w:b/>
                <w:sz w:val="17"/>
              </w:rPr>
              <w:t>2,196</w:t>
            </w:r>
          </w:p>
        </w:tc>
        <w:tc>
          <w:tcPr>
            <w:tcW w:type="dxa" w:w="1440"/>
            <w:shd w:fill="FAFAFA" w:val="clear"/>
          </w:tcPr>
          <w:p>
            <w:r>
              <w:rPr>
                <w:sz w:val="17"/>
              </w:rPr>
              <w:t>2,330</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2026-09-07</w:t>
            </w:r>
          </w:p>
        </w:tc>
        <w:tc>
          <w:tcPr>
            <w:tcW w:type="dxa" w:w="1440"/>
            <w:shd w:fill="C6EFCE" w:val="clear"/>
          </w:tcPr>
          <w:p>
            <w:r>
              <w:rPr>
                <w:sz w:val="17"/>
              </w:rPr>
              <w:t>2,054</w:t>
            </w:r>
          </w:p>
        </w:tc>
        <w:tc>
          <w:tcPr>
            <w:tcW w:type="dxa" w:w="1440"/>
            <w:shd w:fill="C6EFCE" w:val="clear"/>
          </w:tcPr>
          <w:p>
            <w:r>
              <w:rPr>
                <w:b/>
                <w:sz w:val="17"/>
              </w:rPr>
              <w:t>2,205</w:t>
            </w:r>
          </w:p>
        </w:tc>
        <w:tc>
          <w:tcPr>
            <w:tcW w:type="dxa" w:w="1440"/>
            <w:shd w:fill="C6EFCE" w:val="clear"/>
          </w:tcPr>
          <w:p>
            <w:r>
              <w:rPr>
                <w:sz w:val="17"/>
              </w:rPr>
              <w:t>2,357</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2026-09-08</w:t>
            </w:r>
          </w:p>
        </w:tc>
        <w:tc>
          <w:tcPr>
            <w:tcW w:type="dxa" w:w="1440"/>
            <w:shd w:fill="C6EFCE" w:val="clear"/>
          </w:tcPr>
          <w:p>
            <w:r>
              <w:rPr>
                <w:sz w:val="17"/>
              </w:rPr>
              <w:t>2,048</w:t>
            </w:r>
          </w:p>
        </w:tc>
        <w:tc>
          <w:tcPr>
            <w:tcW w:type="dxa" w:w="1440"/>
            <w:shd w:fill="C6EFCE" w:val="clear"/>
          </w:tcPr>
          <w:p>
            <w:r>
              <w:rPr>
                <w:b/>
                <w:sz w:val="17"/>
              </w:rPr>
              <w:t>2,215</w:t>
            </w:r>
          </w:p>
        </w:tc>
        <w:tc>
          <w:tcPr>
            <w:tcW w:type="dxa" w:w="1440"/>
            <w:shd w:fill="C6EFCE" w:val="clear"/>
          </w:tcPr>
          <w:p>
            <w:r>
              <w:rPr>
                <w:sz w:val="17"/>
              </w:rPr>
              <w:t>2,381</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2026-09-09</w:t>
            </w:r>
          </w:p>
        </w:tc>
        <w:tc>
          <w:tcPr>
            <w:tcW w:type="dxa" w:w="1440"/>
            <w:shd w:fill="C6EFCE" w:val="clear"/>
          </w:tcPr>
          <w:p>
            <w:r>
              <w:rPr>
                <w:sz w:val="17"/>
              </w:rPr>
              <w:t>2,043</w:t>
            </w:r>
          </w:p>
        </w:tc>
        <w:tc>
          <w:tcPr>
            <w:tcW w:type="dxa" w:w="1440"/>
            <w:shd w:fill="C6EFCE" w:val="clear"/>
          </w:tcPr>
          <w:p>
            <w:r>
              <w:rPr>
                <w:b/>
                <w:sz w:val="17"/>
              </w:rPr>
              <w:t>2,224</w:t>
            </w:r>
          </w:p>
        </w:tc>
        <w:tc>
          <w:tcPr>
            <w:tcW w:type="dxa" w:w="1440"/>
            <w:shd w:fill="C6EFCE" w:val="clear"/>
          </w:tcPr>
          <w:p>
            <w:r>
              <w:rPr>
                <w:sz w:val="17"/>
              </w:rPr>
              <w:t>2,405</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2026-09-10</w:t>
            </w:r>
          </w:p>
        </w:tc>
        <w:tc>
          <w:tcPr>
            <w:tcW w:type="dxa" w:w="1440"/>
            <w:shd w:fill="C6EFCE" w:val="clear"/>
          </w:tcPr>
          <w:p>
            <w:r>
              <w:rPr>
                <w:sz w:val="17"/>
              </w:rPr>
              <w:t>2,040</w:t>
            </w:r>
          </w:p>
        </w:tc>
        <w:tc>
          <w:tcPr>
            <w:tcW w:type="dxa" w:w="1440"/>
            <w:shd w:fill="C6EFCE" w:val="clear"/>
          </w:tcPr>
          <w:p>
            <w:r>
              <w:rPr>
                <w:b/>
                <w:sz w:val="17"/>
              </w:rPr>
              <w:t>2,234</w:t>
            </w:r>
          </w:p>
        </w:tc>
        <w:tc>
          <w:tcPr>
            <w:tcW w:type="dxa" w:w="1440"/>
            <w:shd w:fill="C6EFCE" w:val="clear"/>
          </w:tcPr>
          <w:p>
            <w:r>
              <w:rPr>
                <w:sz w:val="17"/>
              </w:rPr>
              <w:t>2,428</w:t>
            </w:r>
          </w:p>
        </w:tc>
        <w:tc>
          <w:tcPr>
            <w:tcW w:type="dxa" w:w="1440"/>
            <w:shd w:fill="C6EFCE" w:val="clear"/>
          </w:tcPr>
          <w:p>
            <w:r>
              <w:rPr>
                <w:b/>
                <w:color w:val="008000"/>
                <w:sz w:val="17"/>
              </w:rPr>
              <w:t>+3.7%</w:t>
            </w:r>
          </w:p>
        </w:tc>
      </w:tr>
      <w:tr>
        <w:tc>
          <w:tcPr>
            <w:tcW w:type="dxa" w:w="1440"/>
            <w:shd w:fill="C6EFCE" w:val="clear"/>
          </w:tcPr>
          <w:p>
            <w:r>
              <w:rPr>
                <w:sz w:val="17"/>
              </w:rPr>
              <w:t>J+9  Moyenne</w:t>
            </w:r>
          </w:p>
        </w:tc>
        <w:tc>
          <w:tcPr>
            <w:tcW w:type="dxa" w:w="1440"/>
            <w:shd w:fill="C6EFCE" w:val="clear"/>
          </w:tcPr>
          <w:p>
            <w:r>
              <w:rPr>
                <w:sz w:val="17"/>
              </w:rPr>
              <w:t>2026-09-11</w:t>
            </w:r>
          </w:p>
        </w:tc>
        <w:tc>
          <w:tcPr>
            <w:tcW w:type="dxa" w:w="1440"/>
            <w:shd w:fill="C6EFCE" w:val="clear"/>
          </w:tcPr>
          <w:p>
            <w:r>
              <w:rPr>
                <w:sz w:val="17"/>
              </w:rPr>
              <w:t>2,037</w:t>
            </w:r>
          </w:p>
        </w:tc>
        <w:tc>
          <w:tcPr>
            <w:tcW w:type="dxa" w:w="1440"/>
            <w:shd w:fill="C6EFCE" w:val="clear"/>
          </w:tcPr>
          <w:p>
            <w:r>
              <w:rPr>
                <w:b/>
                <w:sz w:val="17"/>
              </w:rPr>
              <w:t>2,243</w:t>
            </w:r>
          </w:p>
        </w:tc>
        <w:tc>
          <w:tcPr>
            <w:tcW w:type="dxa" w:w="1440"/>
            <w:shd w:fill="C6EFCE" w:val="clear"/>
          </w:tcPr>
          <w:p>
            <w:r>
              <w:rPr>
                <w:sz w:val="17"/>
              </w:rPr>
              <w:t>2,450</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2026-09-14</w:t>
            </w:r>
          </w:p>
        </w:tc>
        <w:tc>
          <w:tcPr>
            <w:tcW w:type="dxa" w:w="1440"/>
            <w:shd w:fill="C6EFCE" w:val="clear"/>
          </w:tcPr>
          <w:p>
            <w:r>
              <w:rPr>
                <w:sz w:val="17"/>
              </w:rPr>
              <w:t>2,034</w:t>
            </w:r>
          </w:p>
        </w:tc>
        <w:tc>
          <w:tcPr>
            <w:tcW w:type="dxa" w:w="1440"/>
            <w:shd w:fill="C6EFCE" w:val="clear"/>
          </w:tcPr>
          <w:p>
            <w:r>
              <w:rPr>
                <w:b/>
                <w:sz w:val="17"/>
              </w:rPr>
              <w:t>2,253</w:t>
            </w:r>
          </w:p>
        </w:tc>
        <w:tc>
          <w:tcPr>
            <w:tcW w:type="dxa" w:w="1440"/>
            <w:shd w:fill="C6EFCE" w:val="clear"/>
          </w:tcPr>
          <w:p>
            <w:r>
              <w:rPr>
                <w:sz w:val="17"/>
              </w:rPr>
              <w:t>2,472</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30,39 milliards FCFA, un niveau modeste dans l'écosystème de la BRVM, reflétant un profil de petite capitalisation. Le BPA de 33 FCFA par action est faible, ce qui explique un PER de 65,2x, extrêmement élevé par rapport à la moyenne historique de la BRVM (8-12x). Les investisseurs paient donc un prix très exigeant pour des bénéfices actuels minimes. Le P/B de 1,94x indique que le marché valorise la société à près du double de sa valeur comptable, ce qui est relativement raisonnable. Enfin, l'EV/EBITDA de 38,1x est très élevé, signalant que la valeur d'entreprise est disproportionnée par rapport à sa capacité opérationnelle brute, ce qui constitue un signal de prudence majeur pour un investisseur 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8,30%, avec une légère variation négative de -0,23% lors de la dernière séance, indiquant une pression vendeuse persistante. Le cours a fluctué entre un plus bas de 1 910 FCFA et un plus haut de 2 430 FCFA, montrant une amplitude de trading significative. La moyenne du cours sur la période (2 151 FCFA) est très proche de la médiane (2 182 FCFA), suggérant une distribution relativement symétrique, confirmée par un skewness de -0,095. L'écart-type de 135 FCFA (CV=6,3%) indique une dispersion modérée des prix. Le kurtosis de -1,087 (platykurtique) révèle une distribution aplatie, avec une faible concentration des prix autour de la moyenne, donc peu de risques de mouvements extrêmes. La volatilité annualisée de 35,1% classe le titre comme très volatil, un niveau élevé qui exige une grande prudence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(2 155 FCFA) est supérieur à la MM20 (2 114 FCFA) et à la MM50 (2 043,6 FCFA), confirmant une tendance haussière à court et moyen terme. La configuration des MM, avec le cours au-dessus des deux moyennes, génère un signal d'achat, indiquant que le momentum est actuellement positif.</w:t>
      </w:r>
    </w:p>
    <w:p>
      <w:pPr>
        <w:spacing w:after="120" w:line="276" w:lineRule="auto"/>
      </w:pPr>
      <w:r>
        <w:t>**Bandes de Bollinger** : Le prix se situe à 2 155 FCFA, entre la borne supérieure (2 293,9 FCFA) et la borne inférieure (1 934,1 FCFA), proche de la moyenne. La position neutre du cours dans les bandes suggère une volatilité modérée et une absence de cassure directionnelle. La décision est neutre, car le marché n'a pas encore choisi une direction claire.</w:t>
      </w:r>
    </w:p>
    <w:p>
      <w:pPr>
        <w:spacing w:after="120" w:line="276" w:lineRule="auto"/>
      </w:pPr>
      <w:r>
        <w:t>**MACD** : La valeur du MACD (34,8) est supérieure à son signal (33,8), indiquant un momentum haussier. La divergence positive, bien que légère, suggère une poursuite possible de la tendance haussière. La décision d'achat est justifiée par cette configuration, mais la faiblesse de l'écart appelle à la vigilance.</w:t>
      </w:r>
    </w:p>
    <w:p>
      <w:pPr>
        <w:spacing w:after="120" w:line="276" w:lineRule="auto"/>
      </w:pPr>
      <w:r>
        <w:t>**RSI** : Le RSI de 54,3 est dans la zone neutre (30-70), indiquant un équilibre entre les forces acheteuses et vendeuses. Cette valeur ne montre ni surachat ni survente, ce qui laisse place à une évolution dans les deux sens. La décision est neutre, le marché attendant un catalyseur pour se positionner.</w:t>
      </w:r>
    </w:p>
    <w:p>
      <w:pPr>
        <w:spacing w:after="120" w:line="276" w:lineRule="auto"/>
      </w:pPr>
      <w:r>
        <w:t>**Stochastique** : Le %K (50,0) est inférieur au %D (62,9), suggérant un croisement baissier potentiel à court terme. Cette configuration indique un affaiblissement du momentum haussier, bien que les deux valeurs restent en zone neutre. La décision est neutre, mais la prudence est de mise.</w:t>
      </w:r>
    </w:p>
    <w:p>
      <w:pPr>
        <w:spacing w:after="120" w:line="276" w:lineRule="auto"/>
      </w:pPr>
      <w:r>
        <w:t>**Conclusion technique** : Les indicateurs sont partagés entre des signaux d'achat (MM, MACD) et des signaux neutres (Bollinger, RSI, Stochastique). La tendance de fond reste positive, mais le manque de convergence des signaux suggère une consolidation. Un investisseur pourrait attendre une confirmation directionnelle avant d'agir.</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5% par rapport à 2024, mais le résultat net s'effondre à 465,98 millions FCFA contre 18,6 milliards en 2024, principalement en raison de l'absence de produits exceptionnels liés aux cessions de filiales. La marge nette chute à 1,45%, et le ROE s'établit à 2,97%, un niveau très faible. La trésorerie nette est fortement négative à -11,528 milliards FCFA, suite au versement massif de dividendes en 2024, et le BFR s'élève à 11,529 milliards FCFA, avec un délai clients de 213 jours, un risque de trésorerie élevé. Les rapports trimestriels de 2025 montrent une amélioration opérationnelle progressive : le T1 2025 était déficitaire (-78 millions FCFA), mais le T3 2025 a réduit la perte d'exploitation à -230 millions FCFA. Le rapport T1 2026 (publié en 2026) est plus encourageant : le CA bondit de 55% à 8,901 milliards FCFA, porté par la demande de cacao, et le résultat d'exploitation devient positif à 75 millions FCFA, bien que le résultat net reste déficitaire à -154 millions FCFA. On estime que l'exercice 2026 pourrait voir une amélioration de la rentabilité opérationnelle, mais la dépendance à la campagne cacaoyère et les risques sur les coûts des matières premières restent des facteurs de fragilité.</w:t>
      </w:r>
    </w:p>
    <w:p>
      <w:pPr>
        <w:spacing w:after="120" w:line="276" w:lineRule="auto"/>
      </w:pPr>
      <w:r>
        <w:t>---</w:t>
      </w:r>
    </w:p>
    <w:p>
      <w:pPr>
        <w:spacing w:after="120" w:line="276" w:lineRule="auto"/>
      </w:pPr>
      <w:r>
        <w:t>### PARTIE 4 : CONCLUSION D'INVESTISSEMENT</w:t>
      </w:r>
    </w:p>
    <w:p>
      <w:pPr>
        <w:spacing w:after="120" w:line="276" w:lineRule="auto"/>
      </w:pPr>
      <w:r>
        <w:t>La valorisation de FTSC est très exigeante avec un PER de 65,2x, signalant une surévaluation par rapport aux bénéfices actuels, malgré un P/B de 1,94x plus raisonnable. Le comportement du cours montre une tendance baissière sur 100 jours (-8,30%) avec une volatilité élevée (35,1%), mais les statistiques (kurtosis platykurtique, skewness symétrique) indiquent une distribution stable sans risque de krach soudain. Les signaux techniques sont partagés : les moyennes mobiles et le MACD sont positifs, mais le RSI et le stochastique restent neutres, suggérant une consolidation. Fondamentalement, la société montre des signes d'amélioration opérationnelle en 2026 (CA +55% au T1), mais la rentabilité nette reste négative et la trésorerie est très dégradée. Les prédictions IA pour les 10 prochains jours (2 166 à 2 205 FCFA) prévoient une hausse modérée, en ligne avec le momentum technique. En synthèse, la convergence entre les signaux techniques positifs et les prédictions IA est contrebalancée par les fondamentaux fragiles et la valorisation élevée. **Recommandation finale : CONSERVER**. Le niveau de confiance est **Moyen**, le risque global est **Élevé**. L'horizon d'investissement optimal est le **moyen terme (3-12 mois)**, en attendant une confirmation de la rentabilité opérationnelle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3,705 titres</w:t>
            </w:r>
          </w:p>
        </w:tc>
        <w:tc>
          <w:tcPr>
            <w:tcW w:type="dxa" w:w="2268"/>
            <w:shd w:fill="FFF2CC" w:val="clear"/>
          </w:tcPr>
          <w:p>
            <w:r>
              <w:rPr>
                <w:b/>
                <w:color w:val="503200"/>
                <w:sz w:val="16"/>
              </w:rPr>
              <w:t xml:space="preserve">Cours actuel : </w:t>
            </w:r>
            <w:r>
              <w:rPr>
                <w:color w:val="000000"/>
                <w:sz w:val="17"/>
              </w:rPr>
              <w:t>4,000 FCFA</w:t>
            </w:r>
          </w:p>
          <w:p>
            <w:r>
              <w:rPr>
                <w:b/>
                <w:color w:val="503200"/>
                <w:sz w:val="16"/>
              </w:rPr>
              <w:t xml:space="preserve">Var. 100 jours : </w:t>
            </w:r>
            <w:r>
              <w:rPr>
                <w:b/>
                <w:color w:val="007800"/>
                <w:sz w:val="17"/>
              </w:rPr>
              <w:t>+3.90%</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4.97% (Faible) — μ=4,055 FCFA, σ=201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β=0.0274 (Défensif) — Cov=0.000001, Var(idx)=0.000036, ρ=0.007,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3,806</w:t>
            </w:r>
          </w:p>
        </w:tc>
        <w:tc>
          <w:tcPr>
            <w:tcW w:type="dxa" w:w="1440"/>
            <w:shd w:fill="FAFAFA" w:val="clear"/>
          </w:tcPr>
          <w:p>
            <w:r>
              <w:rPr>
                <w:b/>
                <w:sz w:val="17"/>
              </w:rPr>
              <w:t>3,977</w:t>
            </w:r>
          </w:p>
        </w:tc>
        <w:tc>
          <w:tcPr>
            <w:tcW w:type="dxa" w:w="1440"/>
            <w:shd w:fill="FAFAFA" w:val="clear"/>
          </w:tcPr>
          <w:p>
            <w:r>
              <w:rPr>
                <w:sz w:val="17"/>
              </w:rPr>
              <w:t>4,149</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2026-09-02</w:t>
            </w:r>
          </w:p>
        </w:tc>
        <w:tc>
          <w:tcPr>
            <w:tcW w:type="dxa" w:w="1440"/>
            <w:shd w:fill="FAFAFA" w:val="clear"/>
          </w:tcPr>
          <w:p>
            <w:r>
              <w:rPr>
                <w:sz w:val="17"/>
              </w:rPr>
              <w:t>3,726</w:t>
            </w:r>
          </w:p>
        </w:tc>
        <w:tc>
          <w:tcPr>
            <w:tcW w:type="dxa" w:w="1440"/>
            <w:shd w:fill="FAFAFA" w:val="clear"/>
          </w:tcPr>
          <w:p>
            <w:r>
              <w:rPr>
                <w:b/>
                <w:sz w:val="17"/>
              </w:rPr>
              <w:t>3,968</w:t>
            </w:r>
          </w:p>
        </w:tc>
        <w:tc>
          <w:tcPr>
            <w:tcW w:type="dxa" w:w="1440"/>
            <w:shd w:fill="FAFAFA" w:val="clear"/>
          </w:tcPr>
          <w:p>
            <w:r>
              <w:rPr>
                <w:sz w:val="17"/>
              </w:rPr>
              <w:t>4,210</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2026-09-03</w:t>
            </w:r>
          </w:p>
        </w:tc>
        <w:tc>
          <w:tcPr>
            <w:tcW w:type="dxa" w:w="1440"/>
            <w:shd w:fill="FAFAFA" w:val="clear"/>
          </w:tcPr>
          <w:p>
            <w:r>
              <w:rPr>
                <w:sz w:val="17"/>
              </w:rPr>
              <w:t>3,664</w:t>
            </w:r>
          </w:p>
        </w:tc>
        <w:tc>
          <w:tcPr>
            <w:tcW w:type="dxa" w:w="1440"/>
            <w:shd w:fill="FAFAFA" w:val="clear"/>
          </w:tcPr>
          <w:p>
            <w:r>
              <w:rPr>
                <w:b/>
                <w:sz w:val="17"/>
              </w:rPr>
              <w:t>3,960</w:t>
            </w:r>
          </w:p>
        </w:tc>
        <w:tc>
          <w:tcPr>
            <w:tcW w:type="dxa" w:w="1440"/>
            <w:shd w:fill="FAFAFA" w:val="clear"/>
          </w:tcPr>
          <w:p>
            <w:r>
              <w:rPr>
                <w:sz w:val="17"/>
              </w:rPr>
              <w:t>4,256</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2026-09-04</w:t>
            </w:r>
          </w:p>
        </w:tc>
        <w:tc>
          <w:tcPr>
            <w:tcW w:type="dxa" w:w="1440"/>
            <w:shd w:fill="FAFAFA" w:val="clear"/>
          </w:tcPr>
          <w:p>
            <w:r>
              <w:rPr>
                <w:sz w:val="17"/>
              </w:rPr>
              <w:t>3,614</w:t>
            </w:r>
          </w:p>
        </w:tc>
        <w:tc>
          <w:tcPr>
            <w:tcW w:type="dxa" w:w="1440"/>
            <w:shd w:fill="FAFAFA" w:val="clear"/>
          </w:tcPr>
          <w:p>
            <w:r>
              <w:rPr>
                <w:b/>
                <w:sz w:val="17"/>
              </w:rPr>
              <w:t>3,955</w:t>
            </w:r>
          </w:p>
        </w:tc>
        <w:tc>
          <w:tcPr>
            <w:tcW w:type="dxa" w:w="1440"/>
            <w:shd w:fill="FAFAFA" w:val="clear"/>
          </w:tcPr>
          <w:p>
            <w:r>
              <w:rPr>
                <w:sz w:val="17"/>
              </w:rPr>
              <w:t>4,297</w:t>
            </w:r>
          </w:p>
        </w:tc>
        <w:tc>
          <w:tcPr>
            <w:tcW w:type="dxa" w:w="1440"/>
            <w:shd w:fill="FAFAFA" w:val="clear"/>
          </w:tcPr>
          <w:p>
            <w:r>
              <w:rPr>
                <w:b/>
                <w:color w:val="C00000"/>
                <w:sz w:val="17"/>
              </w:rPr>
              <w:t>-1.1%</w:t>
            </w:r>
          </w:p>
        </w:tc>
      </w:tr>
      <w:tr>
        <w:tc>
          <w:tcPr>
            <w:tcW w:type="dxa" w:w="1440"/>
            <w:shd w:fill="FAFAFA" w:val="clear"/>
          </w:tcPr>
          <w:p>
            <w:r>
              <w:rPr>
                <w:sz w:val="17"/>
              </w:rPr>
              <w:t>J+5  ⭐</w:t>
            </w:r>
          </w:p>
        </w:tc>
        <w:tc>
          <w:tcPr>
            <w:tcW w:type="dxa" w:w="1440"/>
            <w:shd w:fill="FAFAFA" w:val="clear"/>
          </w:tcPr>
          <w:p>
            <w:r>
              <w:rPr>
                <w:sz w:val="17"/>
              </w:rPr>
              <w:t>2026-09-07</w:t>
            </w:r>
          </w:p>
        </w:tc>
        <w:tc>
          <w:tcPr>
            <w:tcW w:type="dxa" w:w="1440"/>
            <w:shd w:fill="FAFAFA" w:val="clear"/>
          </w:tcPr>
          <w:p>
            <w:r>
              <w:rPr>
                <w:sz w:val="17"/>
              </w:rPr>
              <w:t>3,573</w:t>
            </w:r>
          </w:p>
        </w:tc>
        <w:tc>
          <w:tcPr>
            <w:tcW w:type="dxa" w:w="1440"/>
            <w:shd w:fill="FAFAFA" w:val="clear"/>
          </w:tcPr>
          <w:p>
            <w:r>
              <w:rPr>
                <w:b/>
                <w:sz w:val="17"/>
              </w:rPr>
              <w:t>3,955</w:t>
            </w:r>
          </w:p>
        </w:tc>
        <w:tc>
          <w:tcPr>
            <w:tcW w:type="dxa" w:w="1440"/>
            <w:shd w:fill="FAFAFA" w:val="clear"/>
          </w:tcPr>
          <w:p>
            <w:r>
              <w:rPr>
                <w:sz w:val="17"/>
              </w:rPr>
              <w:t>4,336</w:t>
            </w:r>
          </w:p>
        </w:tc>
        <w:tc>
          <w:tcPr>
            <w:tcW w:type="dxa" w:w="1440"/>
            <w:shd w:fill="FAFAFA" w:val="clear"/>
          </w:tcPr>
          <w:p>
            <w:r>
              <w:rPr>
                <w:b/>
                <w:color w:val="C00000"/>
                <w:sz w:val="17"/>
              </w:rPr>
              <w:t>-1.1%</w:t>
            </w:r>
          </w:p>
        </w:tc>
      </w:tr>
      <w:tr>
        <w:tc>
          <w:tcPr>
            <w:tcW w:type="dxa" w:w="1440"/>
            <w:shd w:fill="FAFAFA" w:val="clear"/>
          </w:tcPr>
          <w:p>
            <w:r>
              <w:rPr>
                <w:sz w:val="17"/>
              </w:rPr>
              <w:t>J+6  ⭐</w:t>
            </w:r>
          </w:p>
        </w:tc>
        <w:tc>
          <w:tcPr>
            <w:tcW w:type="dxa" w:w="1440"/>
            <w:shd w:fill="FAFAFA" w:val="clear"/>
          </w:tcPr>
          <w:p>
            <w:r>
              <w:rPr>
                <w:sz w:val="17"/>
              </w:rPr>
              <w:t>2026-09-08</w:t>
            </w:r>
          </w:p>
        </w:tc>
        <w:tc>
          <w:tcPr>
            <w:tcW w:type="dxa" w:w="1440"/>
            <w:shd w:fill="FAFAFA" w:val="clear"/>
          </w:tcPr>
          <w:p>
            <w:r>
              <w:rPr>
                <w:sz w:val="17"/>
              </w:rPr>
              <w:t>3,540</w:t>
            </w:r>
          </w:p>
        </w:tc>
        <w:tc>
          <w:tcPr>
            <w:tcW w:type="dxa" w:w="1440"/>
            <w:shd w:fill="FAFAFA" w:val="clear"/>
          </w:tcPr>
          <w:p>
            <w:r>
              <w:rPr>
                <w:b/>
                <w:sz w:val="17"/>
              </w:rPr>
              <w:t>3,958</w:t>
            </w:r>
          </w:p>
        </w:tc>
        <w:tc>
          <w:tcPr>
            <w:tcW w:type="dxa" w:w="1440"/>
            <w:shd w:fill="FAFAFA" w:val="clear"/>
          </w:tcPr>
          <w:p>
            <w:r>
              <w:rPr>
                <w:sz w:val="17"/>
              </w:rPr>
              <w:t>4,377</w:t>
            </w:r>
          </w:p>
        </w:tc>
        <w:tc>
          <w:tcPr>
            <w:tcW w:type="dxa" w:w="1440"/>
            <w:shd w:fill="FAFAFA" w:val="clear"/>
          </w:tcPr>
          <w:p>
            <w:r>
              <w:rPr>
                <w:b/>
                <w:color w:val="C00000"/>
                <w:sz w:val="17"/>
              </w:rPr>
              <w:t>-1.0%</w:t>
            </w:r>
          </w:p>
        </w:tc>
      </w:tr>
      <w:tr>
        <w:tc>
          <w:tcPr>
            <w:tcW w:type="dxa" w:w="1440"/>
            <w:shd w:fill="FAFAFA" w:val="clear"/>
          </w:tcPr>
          <w:p>
            <w:r>
              <w:rPr>
                <w:sz w:val="17"/>
              </w:rPr>
              <w:t>J+7  ⭐</w:t>
            </w:r>
          </w:p>
        </w:tc>
        <w:tc>
          <w:tcPr>
            <w:tcW w:type="dxa" w:w="1440"/>
            <w:shd w:fill="FAFAFA" w:val="clear"/>
          </w:tcPr>
          <w:p>
            <w:r>
              <w:rPr>
                <w:sz w:val="17"/>
              </w:rPr>
              <w:t>2026-09-09</w:t>
            </w:r>
          </w:p>
        </w:tc>
        <w:tc>
          <w:tcPr>
            <w:tcW w:type="dxa" w:w="1440"/>
            <w:shd w:fill="FAFAFA" w:val="clear"/>
          </w:tcPr>
          <w:p>
            <w:r>
              <w:rPr>
                <w:sz w:val="17"/>
              </w:rPr>
              <w:t>3,515</w:t>
            </w:r>
          </w:p>
        </w:tc>
        <w:tc>
          <w:tcPr>
            <w:tcW w:type="dxa" w:w="1440"/>
            <w:shd w:fill="FAFAFA" w:val="clear"/>
          </w:tcPr>
          <w:p>
            <w:r>
              <w:rPr>
                <w:b/>
                <w:sz w:val="17"/>
              </w:rPr>
              <w:t>3,968</w:t>
            </w:r>
          </w:p>
        </w:tc>
        <w:tc>
          <w:tcPr>
            <w:tcW w:type="dxa" w:w="1440"/>
            <w:shd w:fill="FAFAFA" w:val="clear"/>
          </w:tcPr>
          <w:p>
            <w:r>
              <w:rPr>
                <w:sz w:val="17"/>
              </w:rPr>
              <w:t>4,421</w:t>
            </w:r>
          </w:p>
        </w:tc>
        <w:tc>
          <w:tcPr>
            <w:tcW w:type="dxa" w:w="1440"/>
            <w:shd w:fill="FAFAFA" w:val="clear"/>
          </w:tcPr>
          <w:p>
            <w:r>
              <w:rPr>
                <w:b/>
                <w:color w:val="C00000"/>
                <w:sz w:val="17"/>
              </w:rPr>
              <w:t>-0.8%</w:t>
            </w:r>
          </w:p>
        </w:tc>
      </w:tr>
      <w:tr>
        <w:tc>
          <w:tcPr>
            <w:tcW w:type="dxa" w:w="1440"/>
            <w:shd w:fill="FAFAFA" w:val="clear"/>
          </w:tcPr>
          <w:p>
            <w:r>
              <w:rPr>
                <w:sz w:val="17"/>
              </w:rPr>
              <w:t>J+8  ⭐</w:t>
            </w:r>
          </w:p>
        </w:tc>
        <w:tc>
          <w:tcPr>
            <w:tcW w:type="dxa" w:w="1440"/>
            <w:shd w:fill="FAFAFA" w:val="clear"/>
          </w:tcPr>
          <w:p>
            <w:r>
              <w:rPr>
                <w:sz w:val="17"/>
              </w:rPr>
              <w:t>2026-09-10</w:t>
            </w:r>
          </w:p>
        </w:tc>
        <w:tc>
          <w:tcPr>
            <w:tcW w:type="dxa" w:w="1440"/>
            <w:shd w:fill="FAFAFA" w:val="clear"/>
          </w:tcPr>
          <w:p>
            <w:r>
              <w:rPr>
                <w:sz w:val="17"/>
              </w:rPr>
              <w:t>3,496</w:t>
            </w:r>
          </w:p>
        </w:tc>
        <w:tc>
          <w:tcPr>
            <w:tcW w:type="dxa" w:w="1440"/>
            <w:shd w:fill="FAFAFA" w:val="clear"/>
          </w:tcPr>
          <w:p>
            <w:r>
              <w:rPr>
                <w:b/>
                <w:sz w:val="17"/>
              </w:rPr>
              <w:t>3,983</w:t>
            </w:r>
          </w:p>
        </w:tc>
        <w:tc>
          <w:tcPr>
            <w:tcW w:type="dxa" w:w="1440"/>
            <w:shd w:fill="FAFAFA" w:val="clear"/>
          </w:tcPr>
          <w:p>
            <w:r>
              <w:rPr>
                <w:sz w:val="17"/>
              </w:rPr>
              <w:t>4,469</w:t>
            </w:r>
          </w:p>
        </w:tc>
        <w:tc>
          <w:tcPr>
            <w:tcW w:type="dxa" w:w="1440"/>
            <w:shd w:fill="FAFAFA" w:val="clear"/>
          </w:tcPr>
          <w:p>
            <w:r>
              <w:rPr>
                <w:b/>
                <w:color w:val="C00000"/>
                <w:sz w:val="17"/>
              </w:rPr>
              <w:t>-0.4%</w:t>
            </w:r>
          </w:p>
        </w:tc>
      </w:tr>
      <w:tr>
        <w:tc>
          <w:tcPr>
            <w:tcW w:type="dxa" w:w="1440"/>
            <w:shd w:fill="FAFAFA" w:val="clear"/>
          </w:tcPr>
          <w:p>
            <w:r>
              <w:rPr>
                <w:sz w:val="17"/>
              </w:rPr>
              <w:t>J+9  ⭐</w:t>
            </w:r>
          </w:p>
        </w:tc>
        <w:tc>
          <w:tcPr>
            <w:tcW w:type="dxa" w:w="1440"/>
            <w:shd w:fill="FAFAFA" w:val="clear"/>
          </w:tcPr>
          <w:p>
            <w:r>
              <w:rPr>
                <w:sz w:val="17"/>
              </w:rPr>
              <w:t>2026-09-11</w:t>
            </w:r>
          </w:p>
        </w:tc>
        <w:tc>
          <w:tcPr>
            <w:tcW w:type="dxa" w:w="1440"/>
            <w:shd w:fill="FAFAFA" w:val="clear"/>
          </w:tcPr>
          <w:p>
            <w:r>
              <w:rPr>
                <w:sz w:val="17"/>
              </w:rPr>
              <w:t>3,481</w:t>
            </w:r>
          </w:p>
        </w:tc>
        <w:tc>
          <w:tcPr>
            <w:tcW w:type="dxa" w:w="1440"/>
            <w:shd w:fill="FAFAFA" w:val="clear"/>
          </w:tcPr>
          <w:p>
            <w:r>
              <w:rPr>
                <w:b/>
                <w:sz w:val="17"/>
              </w:rPr>
              <w:t>3,998</w:t>
            </w:r>
          </w:p>
        </w:tc>
        <w:tc>
          <w:tcPr>
            <w:tcW w:type="dxa" w:w="1440"/>
            <w:shd w:fill="FAFAFA" w:val="clear"/>
          </w:tcPr>
          <w:p>
            <w:r>
              <w:rPr>
                <w:sz w:val="17"/>
              </w:rPr>
              <w:t>4,516</w:t>
            </w:r>
          </w:p>
        </w:tc>
        <w:tc>
          <w:tcPr>
            <w:tcW w:type="dxa" w:w="1440"/>
            <w:shd w:fill="FAFAFA" w:val="clear"/>
          </w:tcPr>
          <w:p>
            <w:r>
              <w:rPr>
                <w:b/>
                <w:color w:val="C00000"/>
                <w:sz w:val="17"/>
              </w:rPr>
              <w:t>-0.0%</w:t>
            </w:r>
          </w:p>
        </w:tc>
      </w:tr>
      <w:tr>
        <w:tc>
          <w:tcPr>
            <w:tcW w:type="dxa" w:w="1440"/>
            <w:shd w:fill="FAFAFA" w:val="clear"/>
          </w:tcPr>
          <w:p>
            <w:r>
              <w:rPr>
                <w:sz w:val="17"/>
              </w:rPr>
              <w:t>J+10  ⭐</w:t>
            </w:r>
          </w:p>
        </w:tc>
        <w:tc>
          <w:tcPr>
            <w:tcW w:type="dxa" w:w="1440"/>
            <w:shd w:fill="FAFAFA" w:val="clear"/>
          </w:tcPr>
          <w:p>
            <w:r>
              <w:rPr>
                <w:sz w:val="17"/>
              </w:rPr>
              <w:t>2026-09-14</w:t>
            </w:r>
          </w:p>
        </w:tc>
        <w:tc>
          <w:tcPr>
            <w:tcW w:type="dxa" w:w="1440"/>
            <w:shd w:fill="FAFAFA" w:val="clear"/>
          </w:tcPr>
          <w:p>
            <w:r>
              <w:rPr>
                <w:sz w:val="17"/>
              </w:rPr>
              <w:t>3,463</w:t>
            </w:r>
          </w:p>
        </w:tc>
        <w:tc>
          <w:tcPr>
            <w:tcW w:type="dxa" w:w="1440"/>
            <w:shd w:fill="FAFAFA" w:val="clear"/>
          </w:tcPr>
          <w:p>
            <w:r>
              <w:rPr>
                <w:b/>
                <w:sz w:val="17"/>
              </w:rPr>
              <w:t>4,010</w:t>
            </w:r>
          </w:p>
        </w:tc>
        <w:tc>
          <w:tcPr>
            <w:tcW w:type="dxa" w:w="1440"/>
            <w:shd w:fill="FAFAFA" w:val="clear"/>
          </w:tcPr>
          <w:p>
            <w:r>
              <w:rPr>
                <w:sz w:val="17"/>
              </w:rPr>
              <w:t>4,557</w:t>
            </w:r>
          </w:p>
        </w:tc>
        <w:tc>
          <w:tcPr>
            <w:tcW w:type="dxa" w:w="1440"/>
            <w:shd w:fill="FAFAFA" w:val="clear"/>
          </w:tcPr>
          <w:p>
            <w:r>
              <w:rPr>
                <w:b/>
                <w:color w:val="008000"/>
                <w:sz w:val="17"/>
              </w:rPr>
              <w:t>+0.3%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80 milliards FCFA, un niveau significatif sur la BRVM qui positionne la société comme une valeur moyenne, avec une liquidité quotidienne modeste (3 705 titres échangés en moyenne). Le BPA de 231 FCFA indique que chaque action a généré un bénéfice de 231 FCFA sur l'exercice 2025. Le PER de 17,3x est nettement supérieur à la moyenne historique de la BRVM (8-12x), signifiant que les investisseurs paient une prime substantielle pour les bénéfices de l'entreprise. Cette prime est confirmée par le P/B de 3,64x, qui valorise le titre à plus de 3,6 fois sa valeur comptable, témoignant d'une forte confiance du marché dans la croissance future. L'EV/EBITDA de 10,1x, bien que dans la fourchette haute (10-15x), reste cohérent avec une entreprise disposant d'une capacité opérationnelle solide et d'une trésorerie abondante de près de 8 milliards FCFA.</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LNBB affiche une variation totale positive de +3,90%, avec une stabilité lors de la dernière séance (0,00%). Le cours a évolué dans une fourchette de 3 825 FCFA (plus bas) à 4 560 FCFA (plus haut), démontrant une amplitude de trading de près de 20%. Le cours actuel de 4 000 FCFA se situe dans la partie basse de cette fourchette, suggérant un repli récent après avoir atteint des sommets. La moyenne (4 055 FCFA) est proche de la médiane (4 000 FCFA), indiquant une distribution relativement symétrique des prix, bien que le skewness positif (0,607) révèle que les journées sous la moyenne sont plus fréquentes. L'écart-type de 202 FCFA (CV=5%) montre une dispersion modérée, tandis que le kurtosis de -0,947 (mésokurtique) indique l'absence de mouvements extrêmes. La volatilité annualisée de 36,3% classe le titre dans la catégorie des valeurs à forte volatilité (&gt;30%), ce qui implique un risque de marché élevé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La MM20 (4 184 FCFA) et la MM50 (4 222 FCFA) sont toutes deux supérieures au cours actuel de 4 000 FCFA, confirmant une tendance baissière à court et moyen terme. Le titre évolue sous ses moyennes mobiles, ce qui justifie la décision de Vente. La configuration des MM suggère que le momentum est négatif et que le cours pourrait continuer à chercher un support plus bas.</w:t>
      </w:r>
    </w:p>
    <w:p>
      <w:pPr>
        <w:spacing w:after="120" w:line="276" w:lineRule="auto"/>
      </w:pPr>
      <w:r>
        <w:t>**Bandes de Bollinger :** Le prix actuel (4 000 FCFA) est positionné près de la borne inférieure (3 851 FCFA), indiquant que le titre est dans la zone basse de son canal de volatilité. La largeur des bandes (667 points) reflète une volatilité élevée. La décision Neutre s'explique par le fait que le cours n'a pas encore franchi la borne inférieure, ce qui pourrait déclencher un signal de retournement haussier, mais la pression vendeuse reste présente.</w:t>
      </w:r>
    </w:p>
    <w:p>
      <w:pPr>
        <w:spacing w:after="120" w:line="276" w:lineRule="auto"/>
      </w:pPr>
      <w:r>
        <w:t>**MACD :** Le MACD (-61,98) est négatif et inférieur à sa ligne de signal (-40,86), confirmant un momentum baissier. La divergence négative entre le MACD et le signal indique que la dynamique vendeuse s'accentue, justifiant la décision de Vente. Cette configuration suggère que la pression baissière pourrait se poursuivre à court terme.</w:t>
      </w:r>
    </w:p>
    <w:p>
      <w:pPr>
        <w:spacing w:after="120" w:line="276" w:lineRule="auto"/>
      </w:pPr>
      <w:r>
        <w:t>**RSI :** Le RSI à 31,21 est proche de la zone de survente (&lt;30), indiquant que le titre est presque survendu. La décision Neutre reflète cette proximité avec le seuil de survente, ce qui pourrait précéder un rebond technique. Les vendeurs dominent encore, mais l'épuisement de la pression vendeuse semble proche.</w:t>
      </w:r>
    </w:p>
    <w:p>
      <w:pPr>
        <w:spacing w:after="120" w:line="276" w:lineRule="auto"/>
      </w:pPr>
      <w:r>
        <w:t>**Stochastique :** Le %K à 0,0 et le %D à 0,56 montrent que le titre est en zone de survente extrême. Le croisement potentiel du %K au-dessus du %D pourrait générer un signal d'Achat. Cette configuration indique que le mouvement baissier est probablement arrivé à son terme à court terme, justifiant la décision Achat.</w:t>
      </w:r>
    </w:p>
    <w:p>
      <w:pPr>
        <w:spacing w:after="120" w:line="276" w:lineRule="auto"/>
      </w:pPr>
      <w:r>
        <w:t>**Conclusion technique :** Les indicateurs sont mitigés, avec une majorité de signaux baissiers (MM, MACD) mais des signaux de retournement potentiel (Stochastique en survente extrême, RSI proche de la zone de survente). La configuration suggère que le titre pourrait connaître un rebond technique à court terme, mais la tendance de fond reste baissière. Un signal d'achat ne serait validé qu'après un franchissement des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LNBB (entreprise non bancaire) montrent un chiffre d'affaires de 98,598 milliards FCFA, en baisse de -3,85% par rapport à 2024, et un résultat net de 4,622 milliards FCFA, en recul de -35,6%. La marge nette s'établit à 4,69%, tandis que le ROE est excellent à 21,05% et le ROA à 14,17%, démontrant une utilisation très efficace des capitaux propres et des actifs. La structure financière est très saine avec une autonomie financière de 67,32%, un ratio d'endettement très faible de 2,57% et une solvabilité générale de 306%. Le BFR est positif mais faible (217 millions FCFA), et les délais clients (4,82 jours) et fournisseurs (20,41 jours) sont très courts, indiquant une excellente gestion de trésorerie. Le rapport annuel 2025 (analysé le 26 mai 2025) explique que la baisse du résultat net est due à l'absence de produits exceptionnels (contre 3,1 milliards en 2024) et à la concurrence déloyale, mais souligne une hausse de 22% de la valeur ajoutée et de 34% de l'EBE. **Le rapport S1 2026** (analysé le 30 juillet 2026) montre une reprise avec un CA en hausse de +4% à 49,937 milliards FCFA et un résultat net en progression de +60%, grâce à la maîtrise des charges et aux revenus de partenariats. **Le rapport T1 2026** (analysé le 7 mai 2026) indique une croissance du CA de +6% mais un résultat net en baisse de -46% à 848 millions FCFA, en raison du mix produit défavorable (pari sportif à 95% de retour aux joueurs). Sur la base de ces rapports trimestriels, on estime que l'exercice 2026 devrait confirmer une amélioration de la rentabilité, avec un résultat net potentiellement en hausse de 20-30% par rapport à 2025. La société a annoncé un dividende brut de 173 FCFA par action pour 2025 (payable en août 2026), soit un rendement de 4,3% au cours actuel, confirmant une politique de distribution généreuse (~80% du résultat net). Les fondamentaux restent solides avec une trésorerie nette de 7,979 milliards FCFA et des perspectives de croissance portées par la digitalisation (68% du CA en ligne) et le déploiement de 1 500 nouveaux terminaux au S2 2026.</w:t>
      </w:r>
    </w:p>
    <w:p>
      <w:pPr>
        <w:spacing w:after="120" w:line="276" w:lineRule="auto"/>
      </w:pPr>
      <w:r>
        <w:t>---</w:t>
      </w:r>
    </w:p>
    <w:p>
      <w:pPr>
        <w:spacing w:after="120" w:line="276" w:lineRule="auto"/>
      </w:pPr>
      <w:r>
        <w:t>### PARTIE 4 : CONCLUSION D'INVESTISSEMENT</w:t>
      </w:r>
    </w:p>
    <w:p>
      <w:pPr>
        <w:spacing w:after="120" w:line="276" w:lineRule="auto"/>
      </w:pPr>
      <w:r>
        <w:t>La valorisation de LNBB (PER 17,3x, P/B 3,64x, EV/EBITDA 10,1x) indique une prime de croissance significative par rapport au marché BRVM, reflétant la confiance des investisseurs dans les perspectives de l'entreprise. Le comportement du cours sur 100 jours montre une tendance globalement positive (+3,90%) mais avec une volatilité élevée (36,3%) et une récente pression baissière, le titre évoluant sous ses moyennes mobiles. Les signaux techniques sont mitigés, avec une convergence des indicateurs vers une zone de survente (RSI 31,21, Stochastique à 0) suggérant un potentiel rebond technique, mais la tendance de fond reste baissière à court terme. Les fondamentaux sont solides avec un ROE de 21%, une structure financière très saine et une reprise confirmée au S1 2026 (+60% du résultat net). Les prédictions IA (J+1 à J+10) prévoient une légère baisse vers 3 955-3 977 FCFA, confirmant la tendance baissière à court terme mais avec une stabilisation attendue. La convergence entre la solidité fondamentale, la prime de valorisation et les signaux techniques de survente suggère que le titre est dans une phase de consolidation avant un potentiel rebond. **Recommandation : CONSERVER**, avec un niveau de confiance Moyen et un risque global Moyen. L'horizon d'investissement optimal est le moyen terme (3-12 mois), en attendant la confirmation de l'amélioration des résultats 2026 et la résorption de la pression baissière technique. Un renforcement de la position serait envisageable sous les 3 900 FCFA, niveau proche de la borne inférieure de Bollinger et du support psychologique.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38.17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5,265 titres</w:t>
            </w:r>
          </w:p>
        </w:tc>
        <w:tc>
          <w:tcPr>
            <w:tcW w:type="dxa" w:w="2268"/>
            <w:shd w:fill="FFF2CC" w:val="clear"/>
          </w:tcPr>
          <w:p>
            <w:r>
              <w:rPr>
                <w:b/>
                <w:color w:val="503200"/>
                <w:sz w:val="16"/>
              </w:rPr>
              <w:t xml:space="preserve">Cours actuel : </w:t>
            </w:r>
            <w:r>
              <w:rPr>
                <w:color w:val="000000"/>
                <w:sz w:val="17"/>
              </w:rPr>
              <w:t>2,990 FCFA</w:t>
            </w:r>
          </w:p>
          <w:p>
            <w:r>
              <w:rPr>
                <w:b/>
                <w:color w:val="503200"/>
                <w:sz w:val="16"/>
              </w:rPr>
              <w:t xml:space="preserve">Var. 100 jours : </w:t>
            </w:r>
            <w:r>
              <w:rPr>
                <w:b/>
                <w:color w:val="007800"/>
                <w:sz w:val="17"/>
              </w:rPr>
              <w:t>+113.57%</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53.5%</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17.35% (Élevée) — μ=2,046 FCFA, σ=355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β=-0.1722 (Contre-cyclique) — Cov=-0.000006, Var(idx)=0.000036, ρ=-0.031,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5,265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σ_j=3.37%/j (Modérée) — Vol. annualisée≈53.5%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57/100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2,614</w:t>
            </w:r>
          </w:p>
        </w:tc>
        <w:tc>
          <w:tcPr>
            <w:tcW w:type="dxa" w:w="1440"/>
            <w:shd w:fill="FFDCE0" w:val="clear"/>
          </w:tcPr>
          <w:p>
            <w:r>
              <w:rPr>
                <w:b/>
                <w:sz w:val="17"/>
              </w:rPr>
              <w:t>2,766</w:t>
            </w:r>
          </w:p>
        </w:tc>
        <w:tc>
          <w:tcPr>
            <w:tcW w:type="dxa" w:w="1440"/>
            <w:shd w:fill="FFDCE0" w:val="clear"/>
          </w:tcPr>
          <w:p>
            <w:r>
              <w:rPr>
                <w:sz w:val="17"/>
              </w:rPr>
              <w:t>2,918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2,359</w:t>
            </w:r>
          </w:p>
        </w:tc>
        <w:tc>
          <w:tcPr>
            <w:tcW w:type="dxa" w:w="1440"/>
            <w:shd w:fill="FFDCE0" w:val="clear"/>
          </w:tcPr>
          <w:p>
            <w:r>
              <w:rPr>
                <w:b/>
                <w:sz w:val="17"/>
              </w:rPr>
              <w:t>2,558</w:t>
            </w:r>
          </w:p>
        </w:tc>
        <w:tc>
          <w:tcPr>
            <w:tcW w:type="dxa" w:w="1440"/>
            <w:shd w:fill="FFDCE0" w:val="clear"/>
          </w:tcPr>
          <w:p>
            <w:r>
              <w:rPr>
                <w:sz w:val="17"/>
              </w:rPr>
              <w:t>2,757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2,141</w:t>
            </w:r>
          </w:p>
        </w:tc>
        <w:tc>
          <w:tcPr>
            <w:tcW w:type="dxa" w:w="1440"/>
            <w:shd w:fill="FFDCE0" w:val="clear"/>
          </w:tcPr>
          <w:p>
            <w:r>
              <w:rPr>
                <w:b/>
                <w:sz w:val="17"/>
              </w:rPr>
              <w:t>2,366</w:t>
            </w:r>
          </w:p>
        </w:tc>
        <w:tc>
          <w:tcPr>
            <w:tcW w:type="dxa" w:w="1440"/>
            <w:shd w:fill="FFDCE0" w:val="clear"/>
          </w:tcPr>
          <w:p>
            <w:r>
              <w:rPr>
                <w:sz w:val="17"/>
              </w:rPr>
              <w:t>2,592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1,948</w:t>
            </w:r>
          </w:p>
        </w:tc>
        <w:tc>
          <w:tcPr>
            <w:tcW w:type="dxa" w:w="1440"/>
            <w:shd w:fill="FFDCE0" w:val="clear"/>
          </w:tcPr>
          <w:p>
            <w:r>
              <w:rPr>
                <w:b/>
                <w:sz w:val="17"/>
              </w:rPr>
              <w:t>2,189</w:t>
            </w:r>
          </w:p>
        </w:tc>
        <w:tc>
          <w:tcPr>
            <w:tcW w:type="dxa" w:w="1440"/>
            <w:shd w:fill="FFDCE0" w:val="clear"/>
          </w:tcPr>
          <w:p>
            <w:r>
              <w:rPr>
                <w:sz w:val="17"/>
              </w:rPr>
              <w:t>2,430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1,776</w:t>
            </w:r>
          </w:p>
        </w:tc>
        <w:tc>
          <w:tcPr>
            <w:tcW w:type="dxa" w:w="1440"/>
            <w:shd w:fill="FFDCE0" w:val="clear"/>
          </w:tcPr>
          <w:p>
            <w:r>
              <w:rPr>
                <w:b/>
                <w:sz w:val="17"/>
              </w:rPr>
              <w:t>2,025</w:t>
            </w:r>
          </w:p>
        </w:tc>
        <w:tc>
          <w:tcPr>
            <w:tcW w:type="dxa" w:w="1440"/>
            <w:shd w:fill="FFDCE0" w:val="clear"/>
          </w:tcPr>
          <w:p>
            <w:r>
              <w:rPr>
                <w:sz w:val="17"/>
              </w:rPr>
              <w:t>2,274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1,621</w:t>
            </w:r>
          </w:p>
        </w:tc>
        <w:tc>
          <w:tcPr>
            <w:tcW w:type="dxa" w:w="1440"/>
            <w:shd w:fill="FFDCE0" w:val="clear"/>
          </w:tcPr>
          <w:p>
            <w:r>
              <w:rPr>
                <w:b/>
                <w:sz w:val="17"/>
              </w:rPr>
              <w:t>1,873</w:t>
            </w:r>
          </w:p>
        </w:tc>
        <w:tc>
          <w:tcPr>
            <w:tcW w:type="dxa" w:w="1440"/>
            <w:shd w:fill="FFDCE0" w:val="clear"/>
          </w:tcPr>
          <w:p>
            <w:r>
              <w:rPr>
                <w:sz w:val="17"/>
              </w:rPr>
              <w:t>2,125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1,481</w:t>
            </w:r>
          </w:p>
        </w:tc>
        <w:tc>
          <w:tcPr>
            <w:tcW w:type="dxa" w:w="1440"/>
            <w:shd w:fill="FFDCE0" w:val="clear"/>
          </w:tcPr>
          <w:p>
            <w:r>
              <w:rPr>
                <w:b/>
                <w:sz w:val="17"/>
              </w:rPr>
              <w:t>1,732</w:t>
            </w:r>
          </w:p>
        </w:tc>
        <w:tc>
          <w:tcPr>
            <w:tcW w:type="dxa" w:w="1440"/>
            <w:shd w:fill="FFDCE0" w:val="clear"/>
          </w:tcPr>
          <w:p>
            <w:r>
              <w:rPr>
                <w:sz w:val="17"/>
              </w:rPr>
              <w:t>1,984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1,360</w:t>
            </w:r>
          </w:p>
        </w:tc>
        <w:tc>
          <w:tcPr>
            <w:tcW w:type="dxa" w:w="1440"/>
            <w:shd w:fill="FFDCE0" w:val="clear"/>
          </w:tcPr>
          <w:p>
            <w:r>
              <w:rPr>
                <w:b/>
                <w:sz w:val="17"/>
              </w:rPr>
              <w:t>1,610</w:t>
            </w:r>
          </w:p>
        </w:tc>
        <w:tc>
          <w:tcPr>
            <w:tcW w:type="dxa" w:w="1440"/>
            <w:shd w:fill="FFDCE0" w:val="clear"/>
          </w:tcPr>
          <w:p>
            <w:r>
              <w:rPr>
                <w:sz w:val="17"/>
              </w:rPr>
              <w:t>1,860</w:t>
            </w:r>
          </w:p>
        </w:tc>
        <w:tc>
          <w:tcPr>
            <w:tcW w:type="dxa" w:w="1440"/>
            <w:shd w:fill="FFDCE0" w:val="clear"/>
          </w:tcPr>
          <w:p>
            <w:r>
              <w:rPr>
                <w:b/>
                <w:color w:val="C00000"/>
                <w:sz w:val="17"/>
              </w:rPr>
              <w:t>-46.2%</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1,295</w:t>
            </w:r>
          </w:p>
        </w:tc>
        <w:tc>
          <w:tcPr>
            <w:tcW w:type="dxa" w:w="1440"/>
            <w:shd w:fill="FFDCE0" w:val="clear"/>
          </w:tcPr>
          <w:p>
            <w:r>
              <w:rPr>
                <w:b/>
                <w:sz w:val="17"/>
              </w:rPr>
              <w:t>1,551</w:t>
            </w:r>
          </w:p>
        </w:tc>
        <w:tc>
          <w:tcPr>
            <w:tcW w:type="dxa" w:w="1440"/>
            <w:shd w:fill="FFDCE0" w:val="clear"/>
          </w:tcPr>
          <w:p>
            <w:r>
              <w:rPr>
                <w:sz w:val="17"/>
              </w:rPr>
              <w:t>1,807</w:t>
            </w:r>
          </w:p>
        </w:tc>
        <w:tc>
          <w:tcPr>
            <w:tcW w:type="dxa" w:w="1440"/>
            <w:shd w:fill="FFDCE0" w:val="clear"/>
          </w:tcPr>
          <w:p>
            <w:r>
              <w:rPr>
                <w:b/>
                <w:color w:val="C00000"/>
                <w:sz w:val="17"/>
              </w:rPr>
              <w:t>-48.1%</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1,238</w:t>
            </w:r>
          </w:p>
        </w:tc>
        <w:tc>
          <w:tcPr>
            <w:tcW w:type="dxa" w:w="1440"/>
            <w:shd w:fill="FFDCE0" w:val="clear"/>
          </w:tcPr>
          <w:p>
            <w:r>
              <w:rPr>
                <w:b/>
                <w:sz w:val="17"/>
              </w:rPr>
              <w:t>1,498</w:t>
            </w:r>
          </w:p>
        </w:tc>
        <w:tc>
          <w:tcPr>
            <w:tcW w:type="dxa" w:w="1440"/>
            <w:shd w:fill="FFDCE0" w:val="clear"/>
          </w:tcPr>
          <w:p>
            <w:r>
              <w:rPr>
                <w:sz w:val="17"/>
              </w:rPr>
              <w:t>1,759</w:t>
            </w:r>
          </w:p>
        </w:tc>
        <w:tc>
          <w:tcPr>
            <w:tcW w:type="dxa" w:w="1440"/>
            <w:shd w:fill="FFDCE0" w:val="clear"/>
          </w:tcPr>
          <w:p>
            <w:r>
              <w:rPr>
                <w:b/>
                <w:color w:val="C00000"/>
                <w:sz w:val="17"/>
              </w:rPr>
              <w:t>-49.9%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38,17 milliards FCFA, un niveau modeste qui la classe parmi les valeurs moyennes de la cote BRVM. Le BPA de 160 FCFA indique que chaque action génère un bénéfice de 160 FCFA, mais le PER de 18,7x est nettement supérieur à la moyenne historique de la BRVM (8-12x), signifiant que les investisseurs paient une prime substantielle pour les bénéfices actuels. Le P/B de 6,63x est particulièrement exigeant, le marché valorisant le titre plus de six fois sa valeur comptable, ce qui reflète des attentes de croissance très élevées. Enfin, l'EV/EBITDA de 28,4x confirme cette surévaluation relative, la valeur d'entreprise représentant plus de 28 fois la capacité opérationnelle brute, un niveau qui laisse peu de marge de sécurité pour l'investisseur.</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enregistré une progression spectaculaire de +113,57%, passant d'un plus bas de 1 365 FCFA à un plus haut de 3 000 FCFA, avec un cours actuel de 2 990 FCFA, proche de son sommet historique. La variation de -0,33% sur la dernière séance suggère un léger essoufflement après cette forte ascension. La moyenne du cours (2 046 FCFA) est inférieure à la médiane (2 135 FCFA), indiquant une distribution légèrement asymétrique avec une concentration des valeurs vers le bas de la fourchette. L'écart-type de 357 FCFA (CV = 17,4%) témoigne d'une dispersion modérée, tandis que le kurtosis de 0,196 (mésokurtique) et le skewness de -0,272 indiquent une distribution proche de la normale avec une légère asymétrie négative. La volatilité annualisée de 53,5% est très élevée, positionnant NEIC comme un titre spéculatif à fort risque.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(2 990 FCFA) évolue nettement au-dessus de la MM20 (2 382,5 FCFA) et de la MM50 (2 303,3 FCFA), confirmant une tendance haussière solide. L'écart positif entre le cours et les moyennes indique une dynamique positive, justifiant la décision d'achat.</w:t>
      </w:r>
    </w:p>
    <w:p>
      <w:pPr>
        <w:spacing w:after="120" w:line="276" w:lineRule="auto"/>
      </w:pPr>
      <w:r>
        <w:t>**Bandes de Bollinger** : Le prix se situe au-dessus de la borne supérieure (2 921,6 FCFA), signalant une condition de surachat extrême. Cette sortie de bande suggère une volatilité excessive et un possible retour vers la moyenne, justifiant la décision de vente.</w:t>
      </w:r>
    </w:p>
    <w:p>
      <w:pPr>
        <w:spacing w:after="120" w:line="276" w:lineRule="auto"/>
      </w:pPr>
      <w:r>
        <w:t>**MACD** : Le MACD (161,756) est nettement supérieur à son signal (77,878), avec un écart positif croissant qui confirme un momentum haussier puissant. Cette configuration classique de croisement haussier justifie la décision d'achat.</w:t>
      </w:r>
    </w:p>
    <w:p>
      <w:pPr>
        <w:spacing w:after="120" w:line="276" w:lineRule="auto"/>
      </w:pPr>
      <w:r>
        <w:t>**RSI** : À 89,189, le RSI est profondément en zone de surachat (au-dessus de 70), indiquant que le titre est survendu et qu'une correction technique est probable à court terme. Cette lecture justifie la décision de vente.</w:t>
      </w:r>
    </w:p>
    <w:p>
      <w:pPr>
        <w:spacing w:after="120" w:line="276" w:lineRule="auto"/>
      </w:pPr>
      <w:r>
        <w:t>**Stochastique** : Le %K (98,788) et le %D (99,596) sont tous deux à des niveaux extrêmes de surachat, sans signe de croisement baissier. Cette configuration signale une exubérance excessive, justifiant la décision de vente.</w:t>
      </w:r>
    </w:p>
    <w:p>
      <w:pPr>
        <w:spacing w:after="120" w:line="276" w:lineRule="auto"/>
      </w:pPr>
      <w:r>
        <w:t>**Conclusion technique** : Les indicateurs sont fortement divergents : les moyennes mobiles et le MACD confirment la tendance haussière de fond, tandis que le RSI, le Stochastique et les Bandes de Bollinger signalent un surachat extrême. Cette configuration suggère une poursuite possible de la tendance à moyen terme mais avec un risque élevé de correction à court terme.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structurées remarquables : un chiffre d'affaires de 5,139 milliards FCFA, un résultat net de 2,037 milliards FCFA, et des marges exceptionnelles (nette à 39,6%, opérationnelle à 23,6%). Le ROE de 35,4% et le ROA de 27,3% sont excellents, témoignant d'une gestion très efficace des actifs et des fonds propres. La structure financière est saine avec une autonomie financière de 77% et une trésorerie nette positive de 4,196 milliards FCFA. Cependant, le délai client de 154,7 jours est élevé, créant un risque de trésorerie, et le BFR de 1,498 milliard FCFA est positif. Le rapport du T3 2025 (date inconnue) indique un CA de 3,406 milliards FCFA, en baisse de 35% par rapport au T3 2024, mais un bénéfice net exceptionnel de 1,596 milliard FCFA grâce à une reprise de provision. Le rapport 2025 (date inconnue) confirme un résultat net de 2,04 milliards FCFA (+169% vs 2024) et un CA de 6,74 milliards FCFA (+29%), avec un dividende de 100% du résultat. Le rapport T1 2026 (2026) montre un CA en hausse de 137% à 115,1 millions FCFA mais une perte nette de -168,9 millions FCFA. On estime que l'exercice 2026 devrait poursuivre le redressement si la croissance du CA se maintient, mais la rentabilité reste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NEIC est clairement exigeante avec un PER de 18,7x, un P/B de 6,63x et un EV/EBITDA de 28,4x, indiquant une surévaluation relative par rapport aux standards BRVM. Le comportement du cours montre une hausse spectaculaire de +113,57% avec une volatilité très élevée (53,5%), et les statistiques descriptives (kurtosis proche de la normale, skewness légèrement négatif) suggèrent un risque de retournement. Les signaux techniques sont contradictoires : les moyennes mobiles et le MACD sont haussiers, mais le RSI (89,2), le Stochastique (98,8) et les Bandes de Bollinger signalent un surachat extrême. Les fondamentaux sont solides avec un ROE de 35,4% et une trésorerie abondante, mais la croissance du CA est volatile et dépend de marchés publics. Les prédictions IA (2 766 FCFA à J+1, 2 025 FCFA à J+10) anticipent une correction significative de -32%, contredisant la tendance actuelle. **Recommandation : VENTE** — la convergence entre la surévaluation, le surachat technique et les prédictions baissières justifie une prise de profit. Niveau de confiance : **Élevé**. Risque global : **Élevé**. Horizon d'investissement optimal : **court terme (&lt;3 mois)** pour les vendeurs, moyen terme pour un réinvestissement après correction.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568.77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2,092 titres</w:t>
            </w:r>
          </w:p>
        </w:tc>
        <w:tc>
          <w:tcPr>
            <w:tcW w:type="dxa" w:w="2268"/>
            <w:shd w:fill="FFF2CC" w:val="clear"/>
          </w:tcPr>
          <w:p>
            <w:r>
              <w:rPr>
                <w:b/>
                <w:color w:val="503200"/>
                <w:sz w:val="16"/>
              </w:rPr>
              <w:t xml:space="preserve">Cours actuel : </w:t>
            </w:r>
            <w:r>
              <w:rPr>
                <w:color w:val="000000"/>
                <w:sz w:val="17"/>
              </w:rPr>
              <w:t>22,995 FCFA</w:t>
            </w:r>
          </w:p>
          <w:p>
            <w:r>
              <w:rPr>
                <w:b/>
                <w:color w:val="503200"/>
                <w:sz w:val="16"/>
              </w:rPr>
              <w:t xml:space="preserve">Var. 100 jours : </w:t>
            </w:r>
            <w:r>
              <w:rPr>
                <w:b/>
                <w:color w:val="007800"/>
                <w:sz w:val="17"/>
              </w:rPr>
              <w:t>+62.17%</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18.78% (Élevée) — μ=19,044 FCFA, σ=3,577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β=1.2376 (Agressif) — Cov=0.000045, Var(idx)=0.000036, ρ=0.310,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2,092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22,627</w:t>
            </w:r>
          </w:p>
        </w:tc>
        <w:tc>
          <w:tcPr>
            <w:tcW w:type="dxa" w:w="1440"/>
            <w:shd w:fill="FAFAFA" w:val="clear"/>
          </w:tcPr>
          <w:p>
            <w:r>
              <w:rPr>
                <w:b/>
                <w:sz w:val="17"/>
              </w:rPr>
              <w:t>23,430</w:t>
            </w:r>
          </w:p>
        </w:tc>
        <w:tc>
          <w:tcPr>
            <w:tcW w:type="dxa" w:w="1440"/>
            <w:shd w:fill="FAFAFA" w:val="clear"/>
          </w:tcPr>
          <w:p>
            <w:r>
              <w:rPr>
                <w:sz w:val="17"/>
              </w:rPr>
              <w:t>24,233</w:t>
            </w:r>
          </w:p>
        </w:tc>
        <w:tc>
          <w:tcPr>
            <w:tcW w:type="dxa" w:w="1440"/>
            <w:shd w:fill="FAFAFA" w:val="clear"/>
          </w:tcPr>
          <w:p>
            <w:r>
              <w:rPr>
                <w:b/>
                <w:color w:val="008000"/>
                <w:sz w:val="17"/>
              </w:rPr>
              <w:t>+1.9%</w:t>
            </w:r>
          </w:p>
        </w:tc>
      </w:tr>
      <w:tr>
        <w:tc>
          <w:tcPr>
            <w:tcW w:type="dxa" w:w="1440"/>
            <w:shd w:fill="C6EFCE" w:val="clear"/>
          </w:tcPr>
          <w:p>
            <w:r>
              <w:rPr>
                <w:sz w:val="17"/>
              </w:rPr>
              <w:t>J+2  Moyenne</w:t>
            </w:r>
          </w:p>
        </w:tc>
        <w:tc>
          <w:tcPr>
            <w:tcW w:type="dxa" w:w="1440"/>
            <w:shd w:fill="C6EFCE" w:val="clear"/>
          </w:tcPr>
          <w:p>
            <w:r>
              <w:rPr>
                <w:sz w:val="17"/>
              </w:rPr>
              <w:t>2026-09-02</w:t>
            </w:r>
          </w:p>
        </w:tc>
        <w:tc>
          <w:tcPr>
            <w:tcW w:type="dxa" w:w="1440"/>
            <w:shd w:fill="C6EFCE" w:val="clear"/>
          </w:tcPr>
          <w:p>
            <w:r>
              <w:rPr>
                <w:sz w:val="17"/>
              </w:rPr>
              <w:t>22,677</w:t>
            </w:r>
          </w:p>
        </w:tc>
        <w:tc>
          <w:tcPr>
            <w:tcW w:type="dxa" w:w="1440"/>
            <w:shd w:fill="C6EFCE" w:val="clear"/>
          </w:tcPr>
          <w:p>
            <w:r>
              <w:rPr>
                <w:b/>
                <w:sz w:val="17"/>
              </w:rPr>
              <w:t>23,833</w:t>
            </w:r>
          </w:p>
        </w:tc>
        <w:tc>
          <w:tcPr>
            <w:tcW w:type="dxa" w:w="1440"/>
            <w:shd w:fill="C6EFCE" w:val="clear"/>
          </w:tcPr>
          <w:p>
            <w:r>
              <w:rPr>
                <w:sz w:val="17"/>
              </w:rPr>
              <w:t>24,988</w:t>
            </w:r>
          </w:p>
        </w:tc>
        <w:tc>
          <w:tcPr>
            <w:tcW w:type="dxa" w:w="1440"/>
            <w:shd w:fill="C6EFCE" w:val="clear"/>
          </w:tcPr>
          <w:p>
            <w:r>
              <w:rPr>
                <w:b/>
                <w:color w:val="008000"/>
                <w:sz w:val="17"/>
              </w:rPr>
              <w:t>+3.6%</w:t>
            </w:r>
          </w:p>
        </w:tc>
      </w:tr>
      <w:tr>
        <w:tc>
          <w:tcPr>
            <w:tcW w:type="dxa" w:w="1440"/>
            <w:shd w:fill="C6EFCE" w:val="clear"/>
          </w:tcPr>
          <w:p>
            <w:r>
              <w:rPr>
                <w:sz w:val="17"/>
              </w:rPr>
              <w:t>J+3  Moyenne</w:t>
            </w:r>
          </w:p>
        </w:tc>
        <w:tc>
          <w:tcPr>
            <w:tcW w:type="dxa" w:w="1440"/>
            <w:shd w:fill="C6EFCE" w:val="clear"/>
          </w:tcPr>
          <w:p>
            <w:r>
              <w:rPr>
                <w:sz w:val="17"/>
              </w:rPr>
              <w:t>2026-09-03</w:t>
            </w:r>
          </w:p>
        </w:tc>
        <w:tc>
          <w:tcPr>
            <w:tcW w:type="dxa" w:w="1440"/>
            <w:shd w:fill="C6EFCE" w:val="clear"/>
          </w:tcPr>
          <w:p>
            <w:r>
              <w:rPr>
                <w:sz w:val="17"/>
              </w:rPr>
              <w:t>22,784</w:t>
            </w:r>
          </w:p>
        </w:tc>
        <w:tc>
          <w:tcPr>
            <w:tcW w:type="dxa" w:w="1440"/>
            <w:shd w:fill="C6EFCE" w:val="clear"/>
          </w:tcPr>
          <w:p>
            <w:r>
              <w:rPr>
                <w:b/>
                <w:sz w:val="17"/>
              </w:rPr>
              <w:t>24,222</w:t>
            </w:r>
          </w:p>
        </w:tc>
        <w:tc>
          <w:tcPr>
            <w:tcW w:type="dxa" w:w="1440"/>
            <w:shd w:fill="C6EFCE" w:val="clear"/>
          </w:tcPr>
          <w:p>
            <w:r>
              <w:rPr>
                <w:sz w:val="17"/>
              </w:rPr>
              <w:t>25,660</w:t>
            </w:r>
          </w:p>
        </w:tc>
        <w:tc>
          <w:tcPr>
            <w:tcW w:type="dxa" w:w="1440"/>
            <w:shd w:fill="C6EFCE" w:val="clear"/>
          </w:tcPr>
          <w:p>
            <w:r>
              <w:rPr>
                <w:b/>
                <w:color w:val="008000"/>
                <w:sz w:val="17"/>
              </w:rPr>
              <w:t>+5.3%</w:t>
            </w:r>
          </w:p>
        </w:tc>
      </w:tr>
      <w:tr>
        <w:tc>
          <w:tcPr>
            <w:tcW w:type="dxa" w:w="1440"/>
            <w:shd w:fill="C6EFCE" w:val="clear"/>
          </w:tcPr>
          <w:p>
            <w:r>
              <w:rPr>
                <w:sz w:val="17"/>
              </w:rPr>
              <w:t>J+4  ⭐</w:t>
            </w:r>
          </w:p>
        </w:tc>
        <w:tc>
          <w:tcPr>
            <w:tcW w:type="dxa" w:w="1440"/>
            <w:shd w:fill="C6EFCE" w:val="clear"/>
          </w:tcPr>
          <w:p>
            <w:r>
              <w:rPr>
                <w:sz w:val="17"/>
              </w:rPr>
              <w:t>2026-09-04</w:t>
            </w:r>
          </w:p>
        </w:tc>
        <w:tc>
          <w:tcPr>
            <w:tcW w:type="dxa" w:w="1440"/>
            <w:shd w:fill="C6EFCE" w:val="clear"/>
          </w:tcPr>
          <w:p>
            <w:r>
              <w:rPr>
                <w:sz w:val="17"/>
              </w:rPr>
              <w:t>22,920</w:t>
            </w:r>
          </w:p>
        </w:tc>
        <w:tc>
          <w:tcPr>
            <w:tcW w:type="dxa" w:w="1440"/>
            <w:shd w:fill="C6EFCE" w:val="clear"/>
          </w:tcPr>
          <w:p>
            <w:r>
              <w:rPr>
                <w:b/>
                <w:sz w:val="17"/>
              </w:rPr>
              <w:t>24,607</w:t>
            </w:r>
          </w:p>
        </w:tc>
        <w:tc>
          <w:tcPr>
            <w:tcW w:type="dxa" w:w="1440"/>
            <w:shd w:fill="C6EFCE" w:val="clear"/>
          </w:tcPr>
          <w:p>
            <w:r>
              <w:rPr>
                <w:sz w:val="17"/>
              </w:rPr>
              <w:t>26,294</w:t>
            </w:r>
          </w:p>
        </w:tc>
        <w:tc>
          <w:tcPr>
            <w:tcW w:type="dxa" w:w="1440"/>
            <w:shd w:fill="C6EFCE" w:val="clear"/>
          </w:tcPr>
          <w:p>
            <w:r>
              <w:rPr>
                <w:b/>
                <w:color w:val="008000"/>
                <w:sz w:val="17"/>
              </w:rPr>
              <w:t>+7.0%</w:t>
            </w:r>
          </w:p>
        </w:tc>
      </w:tr>
      <w:tr>
        <w:tc>
          <w:tcPr>
            <w:tcW w:type="dxa" w:w="1440"/>
            <w:shd w:fill="C6EFCE" w:val="clear"/>
          </w:tcPr>
          <w:p>
            <w:r>
              <w:rPr>
                <w:sz w:val="17"/>
              </w:rPr>
              <w:t>J+5  ⭐</w:t>
            </w:r>
          </w:p>
        </w:tc>
        <w:tc>
          <w:tcPr>
            <w:tcW w:type="dxa" w:w="1440"/>
            <w:shd w:fill="C6EFCE" w:val="clear"/>
          </w:tcPr>
          <w:p>
            <w:r>
              <w:rPr>
                <w:sz w:val="17"/>
              </w:rPr>
              <w:t>2026-09-07</w:t>
            </w:r>
          </w:p>
        </w:tc>
        <w:tc>
          <w:tcPr>
            <w:tcW w:type="dxa" w:w="1440"/>
            <w:shd w:fill="C6EFCE" w:val="clear"/>
          </w:tcPr>
          <w:p>
            <w:r>
              <w:rPr>
                <w:sz w:val="17"/>
              </w:rPr>
              <w:t>23,076</w:t>
            </w:r>
          </w:p>
        </w:tc>
        <w:tc>
          <w:tcPr>
            <w:tcW w:type="dxa" w:w="1440"/>
            <w:shd w:fill="C6EFCE" w:val="clear"/>
          </w:tcPr>
          <w:p>
            <w:r>
              <w:rPr>
                <w:b/>
                <w:sz w:val="17"/>
              </w:rPr>
              <w:t>24,991</w:t>
            </w:r>
          </w:p>
        </w:tc>
        <w:tc>
          <w:tcPr>
            <w:tcW w:type="dxa" w:w="1440"/>
            <w:shd w:fill="C6EFCE" w:val="clear"/>
          </w:tcPr>
          <w:p>
            <w:r>
              <w:rPr>
                <w:sz w:val="17"/>
              </w:rPr>
              <w:t>26,907</w:t>
            </w:r>
          </w:p>
        </w:tc>
        <w:tc>
          <w:tcPr>
            <w:tcW w:type="dxa" w:w="1440"/>
            <w:shd w:fill="C6EFCE" w:val="clear"/>
          </w:tcPr>
          <w:p>
            <w:r>
              <w:rPr>
                <w:b/>
                <w:color w:val="008000"/>
                <w:sz w:val="17"/>
              </w:rPr>
              <w:t>+8.7%</w:t>
            </w:r>
          </w:p>
        </w:tc>
      </w:tr>
      <w:tr>
        <w:tc>
          <w:tcPr>
            <w:tcW w:type="dxa" w:w="1440"/>
            <w:shd w:fill="C6EFCE" w:val="clear"/>
          </w:tcPr>
          <w:p>
            <w:r>
              <w:rPr>
                <w:sz w:val="17"/>
              </w:rPr>
              <w:t>J+6  ⭐</w:t>
            </w:r>
          </w:p>
        </w:tc>
        <w:tc>
          <w:tcPr>
            <w:tcW w:type="dxa" w:w="1440"/>
            <w:shd w:fill="C6EFCE" w:val="clear"/>
          </w:tcPr>
          <w:p>
            <w:r>
              <w:rPr>
                <w:sz w:val="17"/>
              </w:rPr>
              <w:t>2026-09-08</w:t>
            </w:r>
          </w:p>
        </w:tc>
        <w:tc>
          <w:tcPr>
            <w:tcW w:type="dxa" w:w="1440"/>
            <w:shd w:fill="C6EFCE" w:val="clear"/>
          </w:tcPr>
          <w:p>
            <w:r>
              <w:rPr>
                <w:sz w:val="17"/>
              </w:rPr>
              <w:t>23,244</w:t>
            </w:r>
          </w:p>
        </w:tc>
        <w:tc>
          <w:tcPr>
            <w:tcW w:type="dxa" w:w="1440"/>
            <w:shd w:fill="C6EFCE" w:val="clear"/>
          </w:tcPr>
          <w:p>
            <w:r>
              <w:rPr>
                <w:b/>
                <w:sz w:val="17"/>
              </w:rPr>
              <w:t>25,375</w:t>
            </w:r>
          </w:p>
        </w:tc>
        <w:tc>
          <w:tcPr>
            <w:tcW w:type="dxa" w:w="1440"/>
            <w:shd w:fill="C6EFCE" w:val="clear"/>
          </w:tcPr>
          <w:p>
            <w:r>
              <w:rPr>
                <w:sz w:val="17"/>
              </w:rPr>
              <w:t>27,506</w:t>
            </w:r>
          </w:p>
        </w:tc>
        <w:tc>
          <w:tcPr>
            <w:tcW w:type="dxa" w:w="1440"/>
            <w:shd w:fill="C6EFCE" w:val="clear"/>
          </w:tcPr>
          <w:p>
            <w:r>
              <w:rPr>
                <w:b/>
                <w:color w:val="008000"/>
                <w:sz w:val="17"/>
              </w:rPr>
              <w:t>+10.4%</w:t>
            </w:r>
          </w:p>
        </w:tc>
      </w:tr>
      <w:tr>
        <w:tc>
          <w:tcPr>
            <w:tcW w:type="dxa" w:w="1440"/>
            <w:shd w:fill="C6EFCE" w:val="clear"/>
          </w:tcPr>
          <w:p>
            <w:r>
              <w:rPr>
                <w:sz w:val="17"/>
              </w:rPr>
              <w:t>J+7  ⭐</w:t>
            </w:r>
          </w:p>
        </w:tc>
        <w:tc>
          <w:tcPr>
            <w:tcW w:type="dxa" w:w="1440"/>
            <w:shd w:fill="C6EFCE" w:val="clear"/>
          </w:tcPr>
          <w:p>
            <w:r>
              <w:rPr>
                <w:sz w:val="17"/>
              </w:rPr>
              <w:t>2026-09-09</w:t>
            </w:r>
          </w:p>
        </w:tc>
        <w:tc>
          <w:tcPr>
            <w:tcW w:type="dxa" w:w="1440"/>
            <w:shd w:fill="C6EFCE" w:val="clear"/>
          </w:tcPr>
          <w:p>
            <w:r>
              <w:rPr>
                <w:sz w:val="17"/>
              </w:rPr>
              <w:t>23,423</w:t>
            </w:r>
          </w:p>
        </w:tc>
        <w:tc>
          <w:tcPr>
            <w:tcW w:type="dxa" w:w="1440"/>
            <w:shd w:fill="C6EFCE" w:val="clear"/>
          </w:tcPr>
          <w:p>
            <w:r>
              <w:rPr>
                <w:b/>
                <w:sz w:val="17"/>
              </w:rPr>
              <w:t>25,759</w:t>
            </w:r>
          </w:p>
        </w:tc>
        <w:tc>
          <w:tcPr>
            <w:tcW w:type="dxa" w:w="1440"/>
            <w:shd w:fill="C6EFCE" w:val="clear"/>
          </w:tcPr>
          <w:p>
            <w:r>
              <w:rPr>
                <w:sz w:val="17"/>
              </w:rPr>
              <w:t>28,095</w:t>
            </w:r>
          </w:p>
        </w:tc>
        <w:tc>
          <w:tcPr>
            <w:tcW w:type="dxa" w:w="1440"/>
            <w:shd w:fill="C6EFCE" w:val="clear"/>
          </w:tcPr>
          <w:p>
            <w:r>
              <w:rPr>
                <w:b/>
                <w:color w:val="008000"/>
                <w:sz w:val="17"/>
              </w:rPr>
              <w:t>+12.0%</w:t>
            </w:r>
          </w:p>
        </w:tc>
      </w:tr>
      <w:tr>
        <w:tc>
          <w:tcPr>
            <w:tcW w:type="dxa" w:w="1440"/>
            <w:shd w:fill="C6EFCE" w:val="clear"/>
          </w:tcPr>
          <w:p>
            <w:r>
              <w:rPr>
                <w:sz w:val="17"/>
              </w:rPr>
              <w:t>J+8  ⭐</w:t>
            </w:r>
          </w:p>
        </w:tc>
        <w:tc>
          <w:tcPr>
            <w:tcW w:type="dxa" w:w="1440"/>
            <w:shd w:fill="C6EFCE" w:val="clear"/>
          </w:tcPr>
          <w:p>
            <w:r>
              <w:rPr>
                <w:sz w:val="17"/>
              </w:rPr>
              <w:t>2026-09-10</w:t>
            </w:r>
          </w:p>
        </w:tc>
        <w:tc>
          <w:tcPr>
            <w:tcW w:type="dxa" w:w="1440"/>
            <w:shd w:fill="C6EFCE" w:val="clear"/>
          </w:tcPr>
          <w:p>
            <w:r>
              <w:rPr>
                <w:sz w:val="17"/>
              </w:rPr>
              <w:t>23,608</w:t>
            </w:r>
          </w:p>
        </w:tc>
        <w:tc>
          <w:tcPr>
            <w:tcW w:type="dxa" w:w="1440"/>
            <w:shd w:fill="C6EFCE" w:val="clear"/>
          </w:tcPr>
          <w:p>
            <w:r>
              <w:rPr>
                <w:b/>
                <w:sz w:val="17"/>
              </w:rPr>
              <w:t>26,143</w:t>
            </w:r>
          </w:p>
        </w:tc>
        <w:tc>
          <w:tcPr>
            <w:tcW w:type="dxa" w:w="1440"/>
            <w:shd w:fill="C6EFCE" w:val="clear"/>
          </w:tcPr>
          <w:p>
            <w:r>
              <w:rPr>
                <w:sz w:val="17"/>
              </w:rPr>
              <w:t>28,678</w:t>
            </w:r>
          </w:p>
        </w:tc>
        <w:tc>
          <w:tcPr>
            <w:tcW w:type="dxa" w:w="1440"/>
            <w:shd w:fill="C6EFCE" w:val="clear"/>
          </w:tcPr>
          <w:p>
            <w:r>
              <w:rPr>
                <w:b/>
                <w:color w:val="008000"/>
                <w:sz w:val="17"/>
              </w:rPr>
              <w:t>+13.7%</w:t>
            </w:r>
          </w:p>
        </w:tc>
      </w:tr>
      <w:tr>
        <w:tc>
          <w:tcPr>
            <w:tcW w:type="dxa" w:w="1440"/>
            <w:shd w:fill="C6EFCE" w:val="clear"/>
          </w:tcPr>
          <w:p>
            <w:r>
              <w:rPr>
                <w:sz w:val="17"/>
              </w:rPr>
              <w:t>J+9  ⭐</w:t>
            </w:r>
          </w:p>
        </w:tc>
        <w:tc>
          <w:tcPr>
            <w:tcW w:type="dxa" w:w="1440"/>
            <w:shd w:fill="C6EFCE" w:val="clear"/>
          </w:tcPr>
          <w:p>
            <w:r>
              <w:rPr>
                <w:sz w:val="17"/>
              </w:rPr>
              <w:t>2026-09-11</w:t>
            </w:r>
          </w:p>
        </w:tc>
        <w:tc>
          <w:tcPr>
            <w:tcW w:type="dxa" w:w="1440"/>
            <w:shd w:fill="C6EFCE" w:val="clear"/>
          </w:tcPr>
          <w:p>
            <w:r>
              <w:rPr>
                <w:sz w:val="17"/>
              </w:rPr>
              <w:t>23,799</w:t>
            </w:r>
          </w:p>
        </w:tc>
        <w:tc>
          <w:tcPr>
            <w:tcW w:type="dxa" w:w="1440"/>
            <w:shd w:fill="C6EFCE" w:val="clear"/>
          </w:tcPr>
          <w:p>
            <w:r>
              <w:rPr>
                <w:b/>
                <w:sz w:val="17"/>
              </w:rPr>
              <w:t>26,527</w:t>
            </w:r>
          </w:p>
        </w:tc>
        <w:tc>
          <w:tcPr>
            <w:tcW w:type="dxa" w:w="1440"/>
            <w:shd w:fill="C6EFCE" w:val="clear"/>
          </w:tcPr>
          <w:p>
            <w:r>
              <w:rPr>
                <w:sz w:val="17"/>
              </w:rPr>
              <w:t>29,255</w:t>
            </w:r>
          </w:p>
        </w:tc>
        <w:tc>
          <w:tcPr>
            <w:tcW w:type="dxa" w:w="1440"/>
            <w:shd w:fill="C6EFCE" w:val="clear"/>
          </w:tcPr>
          <w:p>
            <w:r>
              <w:rPr>
                <w:b/>
                <w:color w:val="008000"/>
                <w:sz w:val="17"/>
              </w:rPr>
              <w:t>+15.4%</w:t>
            </w:r>
          </w:p>
        </w:tc>
      </w:tr>
      <w:tr>
        <w:tc>
          <w:tcPr>
            <w:tcW w:type="dxa" w:w="1440"/>
            <w:shd w:fill="C6EFCE" w:val="clear"/>
          </w:tcPr>
          <w:p>
            <w:r>
              <w:rPr>
                <w:sz w:val="17"/>
              </w:rPr>
              <w:t>J+10  ⭐</w:t>
            </w:r>
          </w:p>
        </w:tc>
        <w:tc>
          <w:tcPr>
            <w:tcW w:type="dxa" w:w="1440"/>
            <w:shd w:fill="C6EFCE" w:val="clear"/>
          </w:tcPr>
          <w:p>
            <w:r>
              <w:rPr>
                <w:sz w:val="17"/>
              </w:rPr>
              <w:t>2026-09-14</w:t>
            </w:r>
          </w:p>
        </w:tc>
        <w:tc>
          <w:tcPr>
            <w:tcW w:type="dxa" w:w="1440"/>
            <w:shd w:fill="C6EFCE" w:val="clear"/>
          </w:tcPr>
          <w:p>
            <w:r>
              <w:rPr>
                <w:sz w:val="17"/>
              </w:rPr>
              <w:t>23,993</w:t>
            </w:r>
          </w:p>
        </w:tc>
        <w:tc>
          <w:tcPr>
            <w:tcW w:type="dxa" w:w="1440"/>
            <w:shd w:fill="C6EFCE" w:val="clear"/>
          </w:tcPr>
          <w:p>
            <w:r>
              <w:rPr>
                <w:b/>
                <w:sz w:val="17"/>
              </w:rPr>
              <w:t>26,910</w:t>
            </w:r>
          </w:p>
        </w:tc>
        <w:tc>
          <w:tcPr>
            <w:tcW w:type="dxa" w:w="1440"/>
            <w:shd w:fill="C6EFCE" w:val="clear"/>
          </w:tcPr>
          <w:p>
            <w:r>
              <w:rPr>
                <w:sz w:val="17"/>
              </w:rPr>
              <w:t>29,827</w:t>
            </w:r>
          </w:p>
        </w:tc>
        <w:tc>
          <w:tcPr>
            <w:tcW w:type="dxa" w:w="1440"/>
            <w:shd w:fill="C6EFCE" w:val="clear"/>
          </w:tcPr>
          <w:p>
            <w:r>
              <w:rPr>
                <w:b/>
                <w:color w:val="008000"/>
                <w:sz w:val="17"/>
              </w:rPr>
              <w:t>+17.0%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568,77 milliards FCFA, ce qui positionne la banque parmi les valeurs les plus significatives de la BRVM. Avec un BPA de 1 646 FCFA, chaque action génère un bénéfice substantiel, justifiant un PER de 14,0x. Ce ratio est supérieur à la moyenne historique de la BRVM (8-12x), indiquant que les investisseurs acceptent de payer une prime pour la qualité de la banque, mais sans excès. Le P/B de 2,44x confirme cette prime de croissance accordée par le marché, qui valorise les actifs nets à plus du double de leur valeur comptable. En revanche, l'EV/EBITDA de 21,5x est nettement supérieur au seuil de 15x, signalant une valorisation exigeante de la capacité opérationnelle de l'entreprise, un point de vigilance pour les investisseurs cherchant un profil de valeur.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+62,17%, avec une dernière séance en hausse de +2,20%, confirmant une dynamique haussière soutenue. Le cours a évolué dans une fourchette large de 13 810 FCFA (plus bas) à 24 020 FCFA (plus haut), démontrant une forte amplitude de trading. La moyenne de 19 044 FCFA est légèrement inférieure à la médiane de 19 275 FCFA, indiquant une distribution quasi symétrique, confirmée par un skewness de -0,250. L'écart-type de 3 595 FCFA (CV de 18,9%) révèle une dispersion modérée des prix autour de la moyenne. Le kurtosis de -1,374 (platykurtique) suggère une distribution aplatie avec une faible concentration des valeurs extrêmes, réduisant le risque de pics soudains. La volatilité annualisée de 37,8% classe le titre comme très volatil, un niveau élevé qui reflète l'enthousiasme du marché mais aussi un risque accru pour les investisseurs.</w:t>
      </w:r>
    </w:p>
    <w:p>
      <w:pPr>
        <w:spacing w:after="120" w:line="276" w:lineRule="auto" w:before="240"/>
      </w:pPr>
      <w:r>
        <w:rPr>
          <w:b/>
          <w:color w:val="003366"/>
          <w:sz w:val="24"/>
        </w:rPr>
        <w:t>**PARTIE 2 : ANALYSE TECHNIQUE DÉTAILLÉE**</w:t>
      </w:r>
    </w:p>
    <w:p>
      <w:pPr>
        <w:spacing w:after="120" w:line="276" w:lineRule="auto"/>
      </w:pPr>
      <w:r>
        <w:t>Les **Moyennes Mobiles** indiquent une configuration haussière : la MM20 à 23 207,75 FCFA et la MM50 à 22 059,6 FCFA sont toutes deux inférieures au cours actuel de 22 995 FCFA, bien que le prix soit légèrement sous la MM20. Cette structure suggère une tendance positive à moyen terme, avec un signal d'achat global.</w:t>
      </w:r>
    </w:p>
    <w:p>
      <w:pPr>
        <w:spacing w:after="120" w:line="276" w:lineRule="auto"/>
      </w:pPr>
      <w:r>
        <w:t>Les **Bandes de Bollinger** montrent un cours positionné entre la borne supérieure (24 136,84 FCFA) et la borne inférieure (22 278,65 FCFA), proche de la zone médiane. La décision neutre reflète une volatilité modérée, sans pression excessive à l'achat ou à la vente.</w:t>
      </w:r>
    </w:p>
    <w:p>
      <w:pPr>
        <w:spacing w:after="120" w:line="276" w:lineRule="auto"/>
      </w:pPr>
      <w:r>
        <w:t>Le **MACD** affiche une valeur de 113,51 inférieure à son signal de 275,46, indiquant un momentum baissier à court terme malgré la tendance haussière de fond. Cette divergence suggère une possible consolidation ou correction temporaire.</w:t>
      </w:r>
    </w:p>
    <w:p>
      <w:pPr>
        <w:spacing w:after="120" w:line="276" w:lineRule="auto"/>
      </w:pPr>
      <w:r>
        <w:t>Le **RSI** à 34,14 se situe en zone neutre, proche de la survente (30), indiquant que le titre n'est ni suracheté ni survendu, avec une marge de progression potentielle.</w:t>
      </w:r>
    </w:p>
    <w:p>
      <w:pPr>
        <w:spacing w:after="120" w:line="276" w:lineRule="auto"/>
      </w:pPr>
      <w:r>
        <w:t>Le **Stochastique** montre un %K à 43,04 supérieur au %D à 14,35, suggérant un croisement haussier en cours, bien que la décision reste neutre.</w:t>
      </w:r>
    </w:p>
    <w:p>
      <w:pPr>
        <w:spacing w:after="120" w:line="276" w:lineRule="auto"/>
      </w:pPr>
      <w:r>
        <w:t>En conclusion, les indicateurs techniques sont mitigés : la tendance de fond reste haussière (MM), mais le MACD signale un essoufflement à court terme, tandis que le RSI et le Stochastique suggèrent une stabilisation. Une consolidation pourrait précéder une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NSBC affiche des résultats financiers solides avec un Produit Net Bancaire de 112,928 milliards FCFA, en hausse de 15% par rapport à 2024, et un résultat net de 40,712 milliards FCFA. La rentabilité est excellente : le ROE s'établit à 17,45% (supérieur au seuil de 15%) et le ROA à 1,32%, témoignant d'une gestion efficace des actifs. Le coefficient d'exploitation de 54,59% est inférieur au seuil de 60%, confirmant une banque efficiente. Cependant, le coût du risque de 7,54% est élevé, indiquant un risque de crédit significatif, avec des provisions de 8,510 milliards FCFA en 2025. Le ratio dépôts/crédits est sain : les dépôts clientèle (2 242,218 milliards FCFA) couvrent largement les créances clientèle (1 818,671 milliards FCFA), assurant une bonne transformation. Les rapports trimestriels confirment cette dynamique : au T1 2026, le PNB progresse de 28% à 28,615 milliards FCFA et le résultat net bondit de 53% à 10,912 milliards FCFA, porté par l'activité titres. Sur la base de ces données, on estime que l'exercice 2026 pourrait voir un résultat net dépasser 45 milliards FCFA, soit une croissance de plus de 10% par rapport à 2025. La banque bénéficie d'une croissance soutenue des dépôts (+32% en 2025) et d'une stratégie de digitalisation, mais la détérioration du coût du risque (-8,5 milliards en 2025) reste un point de vigilance majeur.</w:t>
      </w:r>
    </w:p>
    <w:p>
      <w:pPr>
        <w:spacing w:after="120" w:line="276" w:lineRule="auto" w:before="240"/>
      </w:pPr>
      <w:r>
        <w:rPr>
          <w:b/>
          <w:color w:val="003366"/>
          <w:sz w:val="24"/>
        </w:rPr>
        <w:t>**PARTIE 4 : CONCLUSION D'INVESTISSEMENT**</w:t>
      </w:r>
    </w:p>
    <w:p>
      <w:pPr>
        <w:spacing w:after="120" w:line="276" w:lineRule="auto"/>
      </w:pPr>
      <w:r>
        <w:t>La valorisation de NSBC (PER 14,0x, P/B 2,44x, EV/EBITDA 21,5x) indique une prime de croissance justifiée par des fondamentaux solides, mais exigeante. Le comportement du cours sur 100 jours (+62,17%) avec une volatilité élevée (37,8%) reflète un enthousiasme marqué, bien que le kurtosis platykurtique limite les risques de pics extrêmes. Les signaux techniques sont contrastés : les moyennes mobiles restent haussières, mais le MACD suggère un essoufflement à court terme, tandis que le RSI neutre offre une marge de progression. Les fondamentaux sont robustes avec un ROE de 17,45%, une croissance du PNB de 15% en 2025 et une accélération au T1 2026 (+28% PNB, +53% résultat net), malgré un coût du risque élevé. Les prédictions IA (23 430 à 24 991 FCFA sur 10 jours) confirment la trajectoire haussière, en cohérence avec la tendance de fond. La convergence entre la solidité fondamentale, la dynamique haussière du cours et les prédictions IA justifie une recommandation **ACHAT**, avec un niveau de confiance **Élevé** et un risque global **Moyen** (volatilité et coût du risque). L'horizon d'investissement optimal est le **moyen terme (3-12 mois)**, permettant de capter la croissance tout en surveillant la qualité du portefeuille de crédits.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369.68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1,508 titres</w:t>
            </w:r>
          </w:p>
        </w:tc>
        <w:tc>
          <w:tcPr>
            <w:tcW w:type="dxa" w:w="2268"/>
            <w:shd w:fill="FFF2CC" w:val="clear"/>
          </w:tcPr>
          <w:p>
            <w:r>
              <w:rPr>
                <w:b/>
                <w:color w:val="503200"/>
                <w:sz w:val="16"/>
              </w:rPr>
              <w:t xml:space="preserve">Cours actuel : </w:t>
            </w:r>
            <w:r>
              <w:rPr>
                <w:color w:val="000000"/>
                <w:sz w:val="17"/>
              </w:rPr>
              <w:t>16,750 FCFA</w:t>
            </w:r>
          </w:p>
          <w:p>
            <w:r>
              <w:rPr>
                <w:b/>
                <w:color w:val="503200"/>
                <w:sz w:val="16"/>
              </w:rPr>
              <w:t xml:space="preserve">Var. 100 jours : </w:t>
            </w:r>
            <w:r>
              <w:rPr>
                <w:b/>
                <w:color w:val="007800"/>
                <w:sz w:val="17"/>
              </w:rPr>
              <w:t>+36.18%</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14.01% (Moyenne) — μ=14,509 FCFA, σ=2,032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β=0.0570 (Défensif) — Cov=0.000002, Var(idx)=0.000036, ρ=0.015,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1,508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σ_j=2.26%/j (Stable) — Vol. annualisée≈35.9%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16,006</w:t>
            </w:r>
          </w:p>
        </w:tc>
        <w:tc>
          <w:tcPr>
            <w:tcW w:type="dxa" w:w="1440"/>
            <w:shd w:fill="FAFAFA" w:val="clear"/>
          </w:tcPr>
          <w:p>
            <w:r>
              <w:rPr>
                <w:b/>
                <w:sz w:val="17"/>
              </w:rPr>
              <w:t>16,483</w:t>
            </w:r>
          </w:p>
        </w:tc>
        <w:tc>
          <w:tcPr>
            <w:tcW w:type="dxa" w:w="1440"/>
            <w:shd w:fill="FAFAFA" w:val="clear"/>
          </w:tcPr>
          <w:p>
            <w:r>
              <w:rPr>
                <w:sz w:val="17"/>
              </w:rPr>
              <w:t>16,961</w:t>
            </w:r>
          </w:p>
        </w:tc>
        <w:tc>
          <w:tcPr>
            <w:tcW w:type="dxa" w:w="1440"/>
            <w:shd w:fill="FAFAFA" w:val="clear"/>
          </w:tcPr>
          <w:p>
            <w:r>
              <w:rPr>
                <w:b/>
                <w:color w:val="C00000"/>
                <w:sz w:val="17"/>
              </w:rPr>
              <w:t>-1.6%</w:t>
            </w:r>
          </w:p>
        </w:tc>
      </w:tr>
      <w:tr>
        <w:tc>
          <w:tcPr>
            <w:tcW w:type="dxa" w:w="1440"/>
            <w:shd w:fill="FAFAFA" w:val="clear"/>
          </w:tcPr>
          <w:p>
            <w:r>
              <w:rPr>
                <w:sz w:val="17"/>
              </w:rPr>
              <w:t>J+2  Moyenne</w:t>
            </w:r>
          </w:p>
        </w:tc>
        <w:tc>
          <w:tcPr>
            <w:tcW w:type="dxa" w:w="1440"/>
            <w:shd w:fill="FAFAFA" w:val="clear"/>
          </w:tcPr>
          <w:p>
            <w:r>
              <w:rPr>
                <w:sz w:val="17"/>
              </w:rPr>
              <w:t>2026-09-02</w:t>
            </w:r>
          </w:p>
        </w:tc>
        <w:tc>
          <w:tcPr>
            <w:tcW w:type="dxa" w:w="1440"/>
            <w:shd w:fill="FAFAFA" w:val="clear"/>
          </w:tcPr>
          <w:p>
            <w:r>
              <w:rPr>
                <w:sz w:val="17"/>
              </w:rPr>
              <w:t>15,761</w:t>
            </w:r>
          </w:p>
        </w:tc>
        <w:tc>
          <w:tcPr>
            <w:tcW w:type="dxa" w:w="1440"/>
            <w:shd w:fill="FAFAFA" w:val="clear"/>
          </w:tcPr>
          <w:p>
            <w:r>
              <w:rPr>
                <w:b/>
                <w:sz w:val="17"/>
              </w:rPr>
              <w:t>16,434</w:t>
            </w:r>
          </w:p>
        </w:tc>
        <w:tc>
          <w:tcPr>
            <w:tcW w:type="dxa" w:w="1440"/>
            <w:shd w:fill="FAFAFA" w:val="clear"/>
          </w:tcPr>
          <w:p>
            <w:r>
              <w:rPr>
                <w:sz w:val="17"/>
              </w:rPr>
              <w:t>17,107</w:t>
            </w:r>
          </w:p>
        </w:tc>
        <w:tc>
          <w:tcPr>
            <w:tcW w:type="dxa" w:w="1440"/>
            <w:shd w:fill="FAFAFA" w:val="clear"/>
          </w:tcPr>
          <w:p>
            <w:r>
              <w:rPr>
                <w:b/>
                <w:color w:val="C00000"/>
                <w:sz w:val="17"/>
              </w:rPr>
              <w:t>-1.9%</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15,567</w:t>
            </w:r>
          </w:p>
        </w:tc>
        <w:tc>
          <w:tcPr>
            <w:tcW w:type="dxa" w:w="1440"/>
            <w:shd w:fill="FFDCE0" w:val="clear"/>
          </w:tcPr>
          <w:p>
            <w:r>
              <w:rPr>
                <w:b/>
                <w:sz w:val="17"/>
              </w:rPr>
              <w:t>16,389</w:t>
            </w:r>
          </w:p>
        </w:tc>
        <w:tc>
          <w:tcPr>
            <w:tcW w:type="dxa" w:w="1440"/>
            <w:shd w:fill="FFDCE0" w:val="clear"/>
          </w:tcPr>
          <w:p>
            <w:r>
              <w:rPr>
                <w:sz w:val="17"/>
              </w:rPr>
              <w:t>17,211</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15,397</w:t>
            </w:r>
          </w:p>
        </w:tc>
        <w:tc>
          <w:tcPr>
            <w:tcW w:type="dxa" w:w="1440"/>
            <w:shd w:fill="FFDCE0" w:val="clear"/>
          </w:tcPr>
          <w:p>
            <w:r>
              <w:rPr>
                <w:b/>
                <w:sz w:val="17"/>
              </w:rPr>
              <w:t>16,344</w:t>
            </w:r>
          </w:p>
        </w:tc>
        <w:tc>
          <w:tcPr>
            <w:tcW w:type="dxa" w:w="1440"/>
            <w:shd w:fill="FFDCE0" w:val="clear"/>
          </w:tcPr>
          <w:p>
            <w:r>
              <w:rPr>
                <w:sz w:val="17"/>
              </w:rPr>
              <w:t>17,290</w:t>
            </w:r>
          </w:p>
        </w:tc>
        <w:tc>
          <w:tcPr>
            <w:tcW w:type="dxa" w:w="1440"/>
            <w:shd w:fill="FFDCE0" w:val="clear"/>
          </w:tcPr>
          <w:p>
            <w:r>
              <w:rPr>
                <w:b/>
                <w:color w:val="C00000"/>
                <w:sz w:val="17"/>
              </w:rPr>
              <w:t>-2.4%</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15,243</w:t>
            </w:r>
          </w:p>
        </w:tc>
        <w:tc>
          <w:tcPr>
            <w:tcW w:type="dxa" w:w="1440"/>
            <w:shd w:fill="FFDCE0" w:val="clear"/>
          </w:tcPr>
          <w:p>
            <w:r>
              <w:rPr>
                <w:b/>
                <w:sz w:val="17"/>
              </w:rPr>
              <w:t>16,298</w:t>
            </w:r>
          </w:p>
        </w:tc>
        <w:tc>
          <w:tcPr>
            <w:tcW w:type="dxa" w:w="1440"/>
            <w:shd w:fill="FFDCE0" w:val="clear"/>
          </w:tcPr>
          <w:p>
            <w:r>
              <w:rPr>
                <w:sz w:val="17"/>
              </w:rPr>
              <w:t>17,354</w:t>
            </w:r>
          </w:p>
        </w:tc>
        <w:tc>
          <w:tcPr>
            <w:tcW w:type="dxa" w:w="1440"/>
            <w:shd w:fill="FFDCE0" w:val="clear"/>
          </w:tcPr>
          <w:p>
            <w:r>
              <w:rPr>
                <w:b/>
                <w:color w:val="C00000"/>
                <w:sz w:val="17"/>
              </w:rPr>
              <w:t>-2.7%</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15,101</w:t>
            </w:r>
          </w:p>
        </w:tc>
        <w:tc>
          <w:tcPr>
            <w:tcW w:type="dxa" w:w="1440"/>
            <w:shd w:fill="FFDCE0" w:val="clear"/>
          </w:tcPr>
          <w:p>
            <w:r>
              <w:rPr>
                <w:b/>
                <w:sz w:val="17"/>
              </w:rPr>
              <w:t>16,254</w:t>
            </w:r>
          </w:p>
        </w:tc>
        <w:tc>
          <w:tcPr>
            <w:tcW w:type="dxa" w:w="1440"/>
            <w:shd w:fill="FFDCE0" w:val="clear"/>
          </w:tcPr>
          <w:p>
            <w:r>
              <w:rPr>
                <w:sz w:val="17"/>
              </w:rPr>
              <w:t>17,407</w:t>
            </w:r>
          </w:p>
        </w:tc>
        <w:tc>
          <w:tcPr>
            <w:tcW w:type="dxa" w:w="1440"/>
            <w:shd w:fill="FFDCE0" w:val="clear"/>
          </w:tcPr>
          <w:p>
            <w:r>
              <w:rPr>
                <w:b/>
                <w:color w:val="C00000"/>
                <w:sz w:val="17"/>
              </w:rPr>
              <w:t>-3.0%</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14,967</w:t>
            </w:r>
          </w:p>
        </w:tc>
        <w:tc>
          <w:tcPr>
            <w:tcW w:type="dxa" w:w="1440"/>
            <w:shd w:fill="FFDCE0" w:val="clear"/>
          </w:tcPr>
          <w:p>
            <w:r>
              <w:rPr>
                <w:b/>
                <w:sz w:val="17"/>
              </w:rPr>
              <w:t>16,209</w:t>
            </w:r>
          </w:p>
        </w:tc>
        <w:tc>
          <w:tcPr>
            <w:tcW w:type="dxa" w:w="1440"/>
            <w:shd w:fill="FFDCE0" w:val="clear"/>
          </w:tcPr>
          <w:p>
            <w:r>
              <w:rPr>
                <w:sz w:val="17"/>
              </w:rPr>
              <w:t>17,451</w:t>
            </w:r>
          </w:p>
        </w:tc>
        <w:tc>
          <w:tcPr>
            <w:tcW w:type="dxa" w:w="1440"/>
            <w:shd w:fill="FFDCE0" w:val="clear"/>
          </w:tcPr>
          <w:p>
            <w:r>
              <w:rPr>
                <w:b/>
                <w:color w:val="C00000"/>
                <w:sz w:val="17"/>
              </w:rPr>
              <w:t>-3.2%</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14,842</w:t>
            </w:r>
          </w:p>
        </w:tc>
        <w:tc>
          <w:tcPr>
            <w:tcW w:type="dxa" w:w="1440"/>
            <w:shd w:fill="FFDCE0" w:val="clear"/>
          </w:tcPr>
          <w:p>
            <w:r>
              <w:rPr>
                <w:b/>
                <w:sz w:val="17"/>
              </w:rPr>
              <w:t>16,166</w:t>
            </w:r>
          </w:p>
        </w:tc>
        <w:tc>
          <w:tcPr>
            <w:tcW w:type="dxa" w:w="1440"/>
            <w:shd w:fill="FFDCE0" w:val="clear"/>
          </w:tcPr>
          <w:p>
            <w:r>
              <w:rPr>
                <w:sz w:val="17"/>
              </w:rPr>
              <w:t>17,490</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14,722</w:t>
            </w:r>
          </w:p>
        </w:tc>
        <w:tc>
          <w:tcPr>
            <w:tcW w:type="dxa" w:w="1440"/>
            <w:shd w:fill="FFDCE0" w:val="clear"/>
          </w:tcPr>
          <w:p>
            <w:r>
              <w:rPr>
                <w:b/>
                <w:sz w:val="17"/>
              </w:rPr>
              <w:t>16,123</w:t>
            </w:r>
          </w:p>
        </w:tc>
        <w:tc>
          <w:tcPr>
            <w:tcW w:type="dxa" w:w="1440"/>
            <w:shd w:fill="FFDCE0" w:val="clear"/>
          </w:tcPr>
          <w:p>
            <w:r>
              <w:rPr>
                <w:sz w:val="17"/>
              </w:rPr>
              <w:t>17,523</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14,608</w:t>
            </w:r>
          </w:p>
        </w:tc>
        <w:tc>
          <w:tcPr>
            <w:tcW w:type="dxa" w:w="1440"/>
            <w:shd w:fill="FFDCE0" w:val="clear"/>
          </w:tcPr>
          <w:p>
            <w:r>
              <w:rPr>
                <w:b/>
                <w:sz w:val="17"/>
              </w:rPr>
              <w:t>16,080</w:t>
            </w:r>
          </w:p>
        </w:tc>
        <w:tc>
          <w:tcPr>
            <w:tcW w:type="dxa" w:w="1440"/>
            <w:shd w:fill="FFDCE0" w:val="clear"/>
          </w:tcPr>
          <w:p>
            <w:r>
              <w:rPr>
                <w:sz w:val="17"/>
              </w:rPr>
              <w:t>17,553</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1er septembre 2026**</w:t>
        <w:br/>
        <w:t>**Cours de référence : 16,750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369,68 milliards FCFA, ce qui en fait l'une des valeurs les plus significatives de la BRVM, reflétant la confiance des investisseurs dans ce leader des biens de consommation. Avec un BPA de 835 FCFA, le titre se négocie à un PER de 20,1x, nettement supérieur à la moyenne historique de la BRVM (8-12x), indiquant que le marché intègre des attentes de croissance soutenue, potentiellement justifiées par les performances récentes. Le P/B de 12,49x est particulièrement exigeant, signifiant que les investisseurs paient une prime de plus de 12 fois la valeur comptable des actifs, ce qui reflète une forte confiance dans la marque et sa rentabilité future, mais laisse peu de marge d'erreur. Enfin, l'EV/EBITDA de 9,9x se situe dans la fourchette haute mais raisonnable (5-10x), indiquant que la valorisation totale de l'entreprise, rapportée à sa capacité opérationnelle, reste soutenable malgré les primes sur les autres ratios.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NTLC a enregistré une performance remarquable de +36,18%, avec une accélération notable lors de la dernière séance (+5,35%), portant le cours à 16,750 FCFA. Le titre a évolué dans une fourchette large de 11,150 FCFA (plus bas) à 17,450 FCFA (plus haut), démontrant une forte dynamique haussière sur la période. La moyenne du cours sur 100 jours est de 14,509 FCFA, tandis que la médiane s'établit à 15,002 FCFA ; l'écart entre ces deux valeurs, avec une moyenne inférieure à la médiane, suggère une distribution légèrement asymétrique où les valeurs extrêmes basses ont tiré la moyenne vers le bas, mais le skewness de -0,143 confirme une symétrie quasi parfaite. L'écart-type de 2,042 FCFA, pour un coefficient de variation de 14,1%, indique une dispersion modérée des prix autour de la moyenne. Le kurtosis de -1,611 (platykurtique) révèle une distribution aplatie avec peu de valeurs extrêmes, signe d'un marché relativement stable sans pics de volatilité soudains. La volatilité annualisée de 35,9% classe le titre dans la catégorie des valeurs à volatilité élevée (&gt;30%), ce qui implique un risque de fluctuation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16,750 FCFA se positionne au-dessus de la MM20 (16,903 FCFA) et de la MM50 (16,321,7 FCFA), bien que légèrement sous la MM20. La configuration haussière des moyennes mobiles (MM20 &gt; MM50) confirme une tendance positive à moyen terme, justifiant la décision d'**Achat**. Le fait que le cours évolue au-dessus de la MM50 indique que la tendance de fond reste haussière malgré le léger repli sous la MM20.</w:t>
      </w:r>
    </w:p>
    <w:p>
      <w:pPr>
        <w:spacing w:after="120" w:line="276" w:lineRule="auto"/>
      </w:pPr>
      <w:r>
        <w:t>**Bandes de Bollinger :** Le prix se situe à 16,750 FCFA, entre la borne inférieure (16,117,4 FCFA) et la borne supérieure (17,688,6 FCFA), proche de la zone médiane. Cette position suggère une volatilité modérée sans excès, avec un écart-type des bandes reflétant une stabilité relative. La décision **Neutre** est cohérente avec une absence de signal directionnel fort, le prix n'ayant pas touché les bornes extrêmes.</w:t>
      </w:r>
    </w:p>
    <w:p>
      <w:pPr>
        <w:spacing w:after="120" w:line="276" w:lineRule="auto"/>
      </w:pPr>
      <w:r>
        <w:t>**MACD :** La valeur du MACD (117,901) est inférieure à son signal (248,142), indiquant un momentum baissier à court terme. Cette configuration, bien que négative, intervient après une forte progression, suggérant une phase de consolidation ou de correction technique. La décision de **Vente** reflète ce croisement baissier, mais il convient de surveiller un éventuel retournement si le MACD se rapproche du signal.</w:t>
      </w:r>
    </w:p>
    <w:p>
      <w:pPr>
        <w:spacing w:after="120" w:line="276" w:lineRule="auto"/>
      </w:pPr>
      <w:r>
        <w:t>**RSI :** À 52,087, le RSI se situe en zone neutre (30-70), indiquant un équilibre entre les forces acheteuses et vendeuses. Cette valeur ne montre ni surachat ni survente, laissant place à une évolution directionnelle sans pression excessive. La décision **Neutre** est justifiée par cette position médiane.</w:t>
      </w:r>
    </w:p>
    <w:p>
      <w:pPr>
        <w:spacing w:after="120" w:line="276" w:lineRule="auto"/>
      </w:pPr>
      <w:r>
        <w:t>**Stochastique :** Le %K (54,839) est supérieur au %D (30,17), suggérant un croisement haussier en cours de formation. Bien que les deux valeurs soient en zone neutre, l'écart positif entre %K et %D indique un potentiel de hausse à court terme. La décision **Neutre** reflète l'absence de confirmation claire d'un signal fort.</w:t>
      </w:r>
    </w:p>
    <w:p>
      <w:pPr>
        <w:spacing w:after="120" w:line="276" w:lineRule="auto"/>
      </w:pPr>
      <w:r>
        <w:t>**Conclusion technique :** La convergence des indicateurs est mitigée : les moyennes mobiles soutiennent une tendance haussière, tandis que le MACD signale une faiblesse à court terme. Le RSI et le stochastique, en zone neutre, n'apportent pas de signal directionnel net. Globalement, la tendance de fond reste positive, mais une consolidation est possible à court terme avant une reprise de la hausse.</w:t>
      </w:r>
    </w:p>
    <w:p>
      <w:pPr>
        <w:spacing w:after="120" w:line="276" w:lineRule="auto"/>
      </w:pPr>
      <w:r>
        <w:t>---</w:t>
      </w:r>
    </w:p>
    <w:p>
      <w:pPr>
        <w:spacing w:after="120" w:line="276" w:lineRule="auto"/>
      </w:pPr>
      <w:r>
        <w:t>### PARTIE 3 : ANALYSE FONDAMENTALE (SECTION CRITIQUE)</w:t>
      </w:r>
    </w:p>
    <w:p>
      <w:pPr>
        <w:spacing w:after="120" w:line="276" w:lineRule="auto"/>
      </w:pPr>
      <w:r>
        <w:t>**Données structurées (états financiers annuels 2025) :** En 2025, NTLC a réalisé un chiffre d'affaires de 233,261 milliards FCFA, en hausse de 5,97% par rapport à 2024 (220,113 milliards FCFA), avec un résultat net de 18,427 milliards FCFA, en légère progression de 1,53%. La marge nette s'établit à 7,90%, en léger repli par rapport aux 8,25% de 2024, tandis que le ROE est exceptionnel à 62,28% et le ROA à 9,70%, démontrant une utilisation très efficace des capitaux propres et des actifs. Le BFR de 22,625 milliards FCFA est positif, indiquant un besoin de financement du cycle d'exploitation, avec un délai clients de 74,3 jours et une durée de stockage de 59,4 jours, des niveaux élevés qui représentent un risque de trésorerie. L'endettement total de 160,371 milliards FCFA, avec un ratio d'endettement de 135,85%, est significatif, mais la solvabilité générale de 118,45% confirme la capacité de l'entreprise à honorer ses dettes.</w:t>
      </w:r>
    </w:p>
    <w:p>
      <w:pPr>
        <w:spacing w:after="120" w:line="276" w:lineRule="auto"/>
      </w:pPr>
      <w:r>
        <w:t>**Adaptation au secteur (ENTREPRISE) :** La marge brute de 29,61% et la marge opérationnelle de 16,16% témoignent d'une bonne maîtrise des coûts de production et d'exploitation. Le fonds de roulement négatif de -24,206 milliards FCFA et la trésorerie nette négative de -46,831 milliards FCFA indiquent une dépendance au financement court terme, un point de vigilance. La couverture des intérêts à 473,63% est très confortable, montrant une capacité à absorber les charges financières.</w:t>
      </w:r>
    </w:p>
    <w:p>
      <w:pPr>
        <w:spacing w:after="120" w:line="276" w:lineRule="auto"/>
      </w:pPr>
      <w:r>
        <w:t>**Estimations basées sur les rapports trimestriels :** Le rapport du T1 2026 (publié en mai 2026) fait état d'une croissance spectaculaire du chiffre d'affaires de +31% à 70,822 milliards FCFA et d'un résultat net de 7,526 milliards FCFA (+37%), avec une marge nette améliorée à 10,6%. Sur cette base, on estime que l'exercice 2026 pourrait dépasser les 280 milliards FCFA de chiffre d'affaires et atteindre un résultat net supérieur à 25 milliards FCFA, soit une croissance de plus de 35% par rapport à 2025. Les rapports de 2025 montrent une année contrastée : le S1 2025 a subi une baisse du résultat net de -23,5% (9,46 milliards FCFA) due à la hausse des coûts des matières premières, mais le T4 a permis un redressement partiel. La politique de dividende a été drastiquement réduite en 2025 (9,27 milliards FCFA contre 18,10 milliards en 2024, soit un payout de 50,3% contre 99,7%), signalant une stratégie de réinvestissement des bénéfices.</w:t>
      </w:r>
    </w:p>
    <w:p>
      <w:pPr>
        <w:spacing w:after="120" w:line="276" w:lineRule="auto"/>
      </w:pPr>
      <w:r>
        <w:t>**Recommandation fondamentale :** NTLC affiche une solidité financière remarquable avec un ROE de 62,28% et une croissance soutenue, renforcée par les performances exceptionnelles du T1 2026. Les risques résident dans l'endettement élevé, les délais clients importants et la pression sur les marges, mais la dynamique commerciale et l'amélioration de la rentabilité nette en 2026 justifient une perspective positive.</w:t>
      </w:r>
    </w:p>
    <w:p>
      <w:pPr>
        <w:spacing w:after="120" w:line="276" w:lineRule="auto"/>
      </w:pPr>
      <w:r>
        <w:t>---</w:t>
      </w:r>
    </w:p>
    <w:p>
      <w:pPr>
        <w:spacing w:after="120" w:line="276" w:lineRule="auto"/>
      </w:pPr>
      <w:r>
        <w:t>### PARTIE 4 : CONCLUSION D'INVESTISSEMENT</w:t>
      </w:r>
    </w:p>
    <w:p>
      <w:pPr>
        <w:spacing w:after="120" w:line="276" w:lineRule="auto"/>
      </w:pPr>
      <w:r>
        <w:t>La valorisation de NTLC (PER 20,1x, P/B 12,49x) est exigeante, mais elle est justifiée par un ROE exceptionnel de 62,28% et des perspectives de croissance solides, bien que le PER soit nettement supérieur à la moyenne BRVM. Le comportement du cours sur 100 jours (+36,18%) avec une volatilité élevée (35,9%) et une distribution platykurtique indique une tendance haussière soutenue mais avec des risques de fluctuations. Les signaux techniques sont mitigés : les moyennes mobiles sont haussières, mais le MACD suggère une consolidation à court terme, tandis que le RSI et le stochastique restent neutres. Les fondamentaux sont très solides, avec une croissance du CA de +5,97% en 2025 et une accélération au T1 2026 (+31%), soutenue par une amélioration de la marge nette à 10,6%. Les prédictions IA pour les 10 prochains jours (16,483 à 16,298 FCFA) indiquent une légère correction, contredisant la tendance haussière récente mais cohérente avec le signal MACD baissier. En synthèse, la convergence entre les fondamentaux solides et la dynamique de croissance est contrebalancée par une valorisation élevée et des signaux techniques de court terme prudents. **Recommandation finale : ACHAT** pour les investisseurs à moyen et long terme, avec un niveau de confiance **Moyen** et un risque global **Moyen**. L'horizon d'investissement optimal est de **moyen terme (3-12 mois)**, en capitalisant sur la croissance attendue de 2026, tout en surveillant la capacité de l'entreprise à maintenir ses marges face aux pressions inflationnistes.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196.52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4,938 titres</w:t>
            </w:r>
          </w:p>
        </w:tc>
        <w:tc>
          <w:tcPr>
            <w:tcW w:type="dxa" w:w="2268"/>
            <w:shd w:fill="FFF2CC" w:val="clear"/>
          </w:tcPr>
          <w:p>
            <w:r>
              <w:rPr>
                <w:b/>
                <w:color w:val="503200"/>
                <w:sz w:val="16"/>
              </w:rPr>
              <w:t xml:space="preserve">Cours actuel : </w:t>
            </w:r>
            <w:r>
              <w:rPr>
                <w:color w:val="000000"/>
                <w:sz w:val="17"/>
              </w:rPr>
              <w:t>2,890 FCFA</w:t>
            </w:r>
          </w:p>
          <w:p>
            <w:r>
              <w:rPr>
                <w:b/>
                <w:color w:val="503200"/>
                <w:sz w:val="16"/>
              </w:rPr>
              <w:t xml:space="preserve">Var. 100 jours : </w:t>
            </w:r>
            <w:r>
              <w:rPr>
                <w:b/>
                <w:color w:val="B40000"/>
                <w:sz w:val="17"/>
              </w:rPr>
              <w:t>-1.53%</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μ=2,822 FCFA, σ=85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β=0.2897 (Défensif) — Cov=0.000010, Var(idx)=0.000036, ρ=0.090,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4,938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σ_j=1.94%/j (Stable) — Vol. annualisée≈30.8%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2,798</w:t>
            </w:r>
          </w:p>
        </w:tc>
        <w:tc>
          <w:tcPr>
            <w:tcW w:type="dxa" w:w="1440"/>
            <w:shd w:fill="FAFAFA" w:val="clear"/>
          </w:tcPr>
          <w:p>
            <w:r>
              <w:rPr>
                <w:b/>
                <w:sz w:val="17"/>
              </w:rPr>
              <w:t>2,884</w:t>
            </w:r>
          </w:p>
        </w:tc>
        <w:tc>
          <w:tcPr>
            <w:tcW w:type="dxa" w:w="1440"/>
            <w:shd w:fill="FAFAFA" w:val="clear"/>
          </w:tcPr>
          <w:p>
            <w:r>
              <w:rPr>
                <w:sz w:val="17"/>
              </w:rPr>
              <w:t>2,971</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2,756</w:t>
            </w:r>
          </w:p>
        </w:tc>
        <w:tc>
          <w:tcPr>
            <w:tcW w:type="dxa" w:w="1440"/>
            <w:shd w:fill="FAFAFA" w:val="clear"/>
          </w:tcPr>
          <w:p>
            <w:r>
              <w:rPr>
                <w:b/>
                <w:sz w:val="17"/>
              </w:rPr>
              <w:t>2,879</w:t>
            </w:r>
          </w:p>
        </w:tc>
        <w:tc>
          <w:tcPr>
            <w:tcW w:type="dxa" w:w="1440"/>
            <w:shd w:fill="FAFAFA" w:val="clear"/>
          </w:tcPr>
          <w:p>
            <w:r>
              <w:rPr>
                <w:sz w:val="17"/>
              </w:rPr>
              <w:t>3,001</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2,723</w:t>
            </w:r>
          </w:p>
        </w:tc>
        <w:tc>
          <w:tcPr>
            <w:tcW w:type="dxa" w:w="1440"/>
            <w:shd w:fill="FAFAFA" w:val="clear"/>
          </w:tcPr>
          <w:p>
            <w:r>
              <w:rPr>
                <w:b/>
                <w:sz w:val="17"/>
              </w:rPr>
              <w:t>2,873</w:t>
            </w:r>
          </w:p>
        </w:tc>
        <w:tc>
          <w:tcPr>
            <w:tcW w:type="dxa" w:w="1440"/>
            <w:shd w:fill="FAFAFA" w:val="clear"/>
          </w:tcPr>
          <w:p>
            <w:r>
              <w:rPr>
                <w:sz w:val="17"/>
              </w:rPr>
              <w:t>3,023</w:t>
            </w:r>
          </w:p>
        </w:tc>
        <w:tc>
          <w:tcPr>
            <w:tcW w:type="dxa" w:w="1440"/>
            <w:shd w:fill="FAFAFA" w:val="clear"/>
          </w:tcPr>
          <w:p>
            <w:r>
              <w:rPr>
                <w:b/>
                <w:color w:val="C00000"/>
                <w:sz w:val="17"/>
              </w:rPr>
              <w:t>-0.6%</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2,695</w:t>
            </w:r>
          </w:p>
        </w:tc>
        <w:tc>
          <w:tcPr>
            <w:tcW w:type="dxa" w:w="1440"/>
            <w:shd w:fill="FAFAFA" w:val="clear"/>
          </w:tcPr>
          <w:p>
            <w:r>
              <w:rPr>
                <w:b/>
                <w:sz w:val="17"/>
              </w:rPr>
              <w:t>2,867</w:t>
            </w:r>
          </w:p>
        </w:tc>
        <w:tc>
          <w:tcPr>
            <w:tcW w:type="dxa" w:w="1440"/>
            <w:shd w:fill="FAFAFA" w:val="clear"/>
          </w:tcPr>
          <w:p>
            <w:r>
              <w:rPr>
                <w:sz w:val="17"/>
              </w:rPr>
              <w:t>3,040</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2026-09-07</w:t>
            </w:r>
          </w:p>
        </w:tc>
        <w:tc>
          <w:tcPr>
            <w:tcW w:type="dxa" w:w="1440"/>
            <w:shd w:fill="FAFAFA" w:val="clear"/>
          </w:tcPr>
          <w:p>
            <w:r>
              <w:rPr>
                <w:sz w:val="17"/>
              </w:rPr>
              <w:t>2,669</w:t>
            </w:r>
          </w:p>
        </w:tc>
        <w:tc>
          <w:tcPr>
            <w:tcW w:type="dxa" w:w="1440"/>
            <w:shd w:fill="FAFAFA" w:val="clear"/>
          </w:tcPr>
          <w:p>
            <w:r>
              <w:rPr>
                <w:b/>
                <w:sz w:val="17"/>
              </w:rPr>
              <w:t>2,862</w:t>
            </w:r>
          </w:p>
        </w:tc>
        <w:tc>
          <w:tcPr>
            <w:tcW w:type="dxa" w:w="1440"/>
            <w:shd w:fill="FAFAFA" w:val="clear"/>
          </w:tcPr>
          <w:p>
            <w:r>
              <w:rPr>
                <w:sz w:val="17"/>
              </w:rPr>
              <w:t>3,054</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2026-09-08</w:t>
            </w:r>
          </w:p>
        </w:tc>
        <w:tc>
          <w:tcPr>
            <w:tcW w:type="dxa" w:w="1440"/>
            <w:shd w:fill="FAFAFA" w:val="clear"/>
          </w:tcPr>
          <w:p>
            <w:r>
              <w:rPr>
                <w:sz w:val="17"/>
              </w:rPr>
              <w:t>2,646</w:t>
            </w:r>
          </w:p>
        </w:tc>
        <w:tc>
          <w:tcPr>
            <w:tcW w:type="dxa" w:w="1440"/>
            <w:shd w:fill="FAFAFA" w:val="clear"/>
          </w:tcPr>
          <w:p>
            <w:r>
              <w:rPr>
                <w:b/>
                <w:sz w:val="17"/>
              </w:rPr>
              <w:t>2,856</w:t>
            </w:r>
          </w:p>
        </w:tc>
        <w:tc>
          <w:tcPr>
            <w:tcW w:type="dxa" w:w="1440"/>
            <w:shd w:fill="FAFAFA" w:val="clear"/>
          </w:tcPr>
          <w:p>
            <w:r>
              <w:rPr>
                <w:sz w:val="17"/>
              </w:rPr>
              <w:t>3,066</w:t>
            </w:r>
          </w:p>
        </w:tc>
        <w:tc>
          <w:tcPr>
            <w:tcW w:type="dxa" w:w="1440"/>
            <w:shd w:fill="FAFAFA" w:val="clear"/>
          </w:tcPr>
          <w:p>
            <w:r>
              <w:rPr>
                <w:b/>
                <w:color w:val="C00000"/>
                <w:sz w:val="17"/>
              </w:rPr>
              <w:t>-1.2%</w:t>
            </w:r>
          </w:p>
        </w:tc>
      </w:tr>
      <w:tr>
        <w:tc>
          <w:tcPr>
            <w:tcW w:type="dxa" w:w="1440"/>
            <w:shd w:fill="FAFAFA" w:val="clear"/>
          </w:tcPr>
          <w:p>
            <w:r>
              <w:rPr>
                <w:sz w:val="17"/>
              </w:rPr>
              <w:t>J+7  Moyenne</w:t>
            </w:r>
          </w:p>
        </w:tc>
        <w:tc>
          <w:tcPr>
            <w:tcW w:type="dxa" w:w="1440"/>
            <w:shd w:fill="FAFAFA" w:val="clear"/>
          </w:tcPr>
          <w:p>
            <w:r>
              <w:rPr>
                <w:sz w:val="17"/>
              </w:rPr>
              <w:t>2026-09-09</w:t>
            </w:r>
          </w:p>
        </w:tc>
        <w:tc>
          <w:tcPr>
            <w:tcW w:type="dxa" w:w="1440"/>
            <w:shd w:fill="FAFAFA" w:val="clear"/>
          </w:tcPr>
          <w:p>
            <w:r>
              <w:rPr>
                <w:sz w:val="17"/>
              </w:rPr>
              <w:t>2,624</w:t>
            </w:r>
          </w:p>
        </w:tc>
        <w:tc>
          <w:tcPr>
            <w:tcW w:type="dxa" w:w="1440"/>
            <w:shd w:fill="FAFAFA" w:val="clear"/>
          </w:tcPr>
          <w:p>
            <w:r>
              <w:rPr>
                <w:b/>
                <w:sz w:val="17"/>
              </w:rPr>
              <w:t>2,850</w:t>
            </w:r>
          </w:p>
        </w:tc>
        <w:tc>
          <w:tcPr>
            <w:tcW w:type="dxa" w:w="1440"/>
            <w:shd w:fill="FAFAFA" w:val="clear"/>
          </w:tcPr>
          <w:p>
            <w:r>
              <w:rPr>
                <w:sz w:val="17"/>
              </w:rPr>
              <w:t>3,077</w:t>
            </w:r>
          </w:p>
        </w:tc>
        <w:tc>
          <w:tcPr>
            <w:tcW w:type="dxa" w:w="1440"/>
            <w:shd w:fill="FAFAFA" w:val="clear"/>
          </w:tcPr>
          <w:p>
            <w:r>
              <w:rPr>
                <w:b/>
                <w:color w:val="C00000"/>
                <w:sz w:val="17"/>
              </w:rPr>
              <w:t>-1.4%</w:t>
            </w:r>
          </w:p>
        </w:tc>
      </w:tr>
      <w:tr>
        <w:tc>
          <w:tcPr>
            <w:tcW w:type="dxa" w:w="1440"/>
            <w:shd w:fill="FAFAFA" w:val="clear"/>
          </w:tcPr>
          <w:p>
            <w:r>
              <w:rPr>
                <w:sz w:val="17"/>
              </w:rPr>
              <w:t>J+8  Moyenne</w:t>
            </w:r>
          </w:p>
        </w:tc>
        <w:tc>
          <w:tcPr>
            <w:tcW w:type="dxa" w:w="1440"/>
            <w:shd w:fill="FAFAFA" w:val="clear"/>
          </w:tcPr>
          <w:p>
            <w:r>
              <w:rPr>
                <w:sz w:val="17"/>
              </w:rPr>
              <w:t>2026-09-10</w:t>
            </w:r>
          </w:p>
        </w:tc>
        <w:tc>
          <w:tcPr>
            <w:tcW w:type="dxa" w:w="1440"/>
            <w:shd w:fill="FAFAFA" w:val="clear"/>
          </w:tcPr>
          <w:p>
            <w:r>
              <w:rPr>
                <w:sz w:val="17"/>
              </w:rPr>
              <w:t>2,603</w:t>
            </w:r>
          </w:p>
        </w:tc>
        <w:tc>
          <w:tcPr>
            <w:tcW w:type="dxa" w:w="1440"/>
            <w:shd w:fill="FAFAFA" w:val="clear"/>
          </w:tcPr>
          <w:p>
            <w:r>
              <w:rPr>
                <w:b/>
                <w:sz w:val="17"/>
              </w:rPr>
              <w:t>2,845</w:t>
            </w:r>
          </w:p>
        </w:tc>
        <w:tc>
          <w:tcPr>
            <w:tcW w:type="dxa" w:w="1440"/>
            <w:shd w:fill="FAFAFA" w:val="clear"/>
          </w:tcPr>
          <w:p>
            <w:r>
              <w:rPr>
                <w:sz w:val="17"/>
              </w:rPr>
              <w:t>3,087</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2026-09-11</w:t>
            </w:r>
          </w:p>
        </w:tc>
        <w:tc>
          <w:tcPr>
            <w:tcW w:type="dxa" w:w="1440"/>
            <w:shd w:fill="FAFAFA" w:val="clear"/>
          </w:tcPr>
          <w:p>
            <w:r>
              <w:rPr>
                <w:sz w:val="17"/>
              </w:rPr>
              <w:t>2,583</w:t>
            </w:r>
          </w:p>
        </w:tc>
        <w:tc>
          <w:tcPr>
            <w:tcW w:type="dxa" w:w="1440"/>
            <w:shd w:fill="FAFAFA" w:val="clear"/>
          </w:tcPr>
          <w:p>
            <w:r>
              <w:rPr>
                <w:b/>
                <w:sz w:val="17"/>
              </w:rPr>
              <w:t>2,839</w:t>
            </w:r>
          </w:p>
        </w:tc>
        <w:tc>
          <w:tcPr>
            <w:tcW w:type="dxa" w:w="1440"/>
            <w:shd w:fill="FAFAFA" w:val="clear"/>
          </w:tcPr>
          <w:p>
            <w:r>
              <w:rPr>
                <w:sz w:val="17"/>
              </w:rPr>
              <w:t>3,095</w:t>
            </w:r>
          </w:p>
        </w:tc>
        <w:tc>
          <w:tcPr>
            <w:tcW w:type="dxa" w:w="1440"/>
            <w:shd w:fill="FAFAFA" w:val="clear"/>
          </w:tcPr>
          <w:p>
            <w:r>
              <w:rPr>
                <w:b/>
                <w:color w:val="C00000"/>
                <w:sz w:val="17"/>
              </w:rPr>
              <w:t>-1.8%</w:t>
            </w:r>
          </w:p>
        </w:tc>
      </w:tr>
      <w:tr>
        <w:tc>
          <w:tcPr>
            <w:tcW w:type="dxa" w:w="1440"/>
            <w:shd w:fill="FAFAFA" w:val="clear"/>
          </w:tcPr>
          <w:p>
            <w:r>
              <w:rPr>
                <w:sz w:val="17"/>
              </w:rPr>
              <w:t>J+10  Moyenne</w:t>
            </w:r>
          </w:p>
        </w:tc>
        <w:tc>
          <w:tcPr>
            <w:tcW w:type="dxa" w:w="1440"/>
            <w:shd w:fill="FAFAFA" w:val="clear"/>
          </w:tcPr>
          <w:p>
            <w:r>
              <w:rPr>
                <w:sz w:val="17"/>
              </w:rPr>
              <w:t>2026-09-14</w:t>
            </w:r>
          </w:p>
        </w:tc>
        <w:tc>
          <w:tcPr>
            <w:tcW w:type="dxa" w:w="1440"/>
            <w:shd w:fill="FAFAFA" w:val="clear"/>
          </w:tcPr>
          <w:p>
            <w:r>
              <w:rPr>
                <w:sz w:val="17"/>
              </w:rPr>
              <w:t>2,565</w:t>
            </w:r>
          </w:p>
        </w:tc>
        <w:tc>
          <w:tcPr>
            <w:tcW w:type="dxa" w:w="1440"/>
            <w:shd w:fill="FAFAFA" w:val="clear"/>
          </w:tcPr>
          <w:p>
            <w:r>
              <w:rPr>
                <w:b/>
                <w:sz w:val="17"/>
              </w:rPr>
              <w:t>2,834</w:t>
            </w:r>
          </w:p>
        </w:tc>
        <w:tc>
          <w:tcPr>
            <w:tcW w:type="dxa" w:w="1440"/>
            <w:shd w:fill="FAFAFA" w:val="clear"/>
          </w:tcPr>
          <w:p>
            <w:r>
              <w:rPr>
                <w:sz w:val="17"/>
              </w:rPr>
              <w:t>3,103</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1er septembre 2026**</w:t>
        <w:br/>
        <w:t>**Cours de référence : 2 890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196,52 milliards FCFA, ce qui en fait une valeur de première ligne sur la BRVM, représentative du secteur des télécommunications. Avec un BPA de 234 FCFA, chaque action génère un bénéfice substantiel, justifiant un PER de 12,4x. Ce ratio est légèrement supérieur à la moyenne historique de la BRVM (8-12x), indiquant que le marché valorise la société avec une prime, probablement due à sa position de leader et à ses rendements élevés. Le P/B de 3,42x confirme cette prime, le marché acceptant de payer plus de trois fois la valeur comptable des actifs, signe d'une forte confiance dans la rentabilité future. Enfin, un EV/EBITDA de 5,2x est particulièrement attractif, suggérant que la valeur totale de l'entreprise (dette incluse) reste raisonnable par rapport à sa capacité à générer du cash opérationnel. L'ensemble de ces ratios traduit une valorisation exigeante mais cohérente avec la qualité perçue de l'actif.</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ONTBF affiche une légère contraction de -1,53%, avec une dernière séance en baisse de -0,34% à 2 890 FCFA. Le cours a évolué dans un range de 2 610 à 3 070 FCFA, montrant une amplitude de trading significative. La moyenne (2 822 FCFA) et la médiane (2 802 FCFA) sont très proches, indiquant une distribution des prix relativement symétrique, ce que confirme le skewness de 0,213. Le mode à 2 800 FCFA suggère un prix de consolidation fréquent. L'écart-type de 86 FCFA (CV=3,0%) révèle une dispersion très faible autour de la moyenne, signe d'un cours stable. Le kurtosis de -0,180 (mésokurtique) indique l'absence de risques de variations extrêmes ou de "pics" de prix. Cependant, la volatilité annualisée de 30,8% est élevée, ce qui nuance cette stabilité apparente sur le long terme. La tendance générale est donc stable, avec une légère pression baissière récente.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(2 890 FCFA) est inférieur à la MM20 (2 910 FCFA) mais supérieur à la MM50 (2 829,6 FCFA). Cette configuration, où le prix est sous la moyenne courte mais au-dessus de la moyenne longue, suggère un récent repli au sein d'une tendance de fond haussière. La décision globale est un "Achat", car la tendance de moyen terme (MM50) reste positive et sert de support dynamique.</w:t>
      </w:r>
    </w:p>
    <w:p>
      <w:pPr>
        <w:spacing w:after="120" w:line="276" w:lineRule="auto"/>
      </w:pPr>
      <w:r>
        <w:t>**Bandes de Bollinger :** Le prix se situe à 2 890 FCFA, entre la borne inférieure (2 807,45 FCFA) et la borne supérieure (3 012,55 FCFA), proche de la moyenne. Cela indique une volatilité modérée et un retour à l'équilibre après des fluctuations. La décision "Neutre" est justifiée, le marché n'étant ni suracheté ni survendu, laissant place à une évolution directionnelle.</w:t>
      </w:r>
    </w:p>
    <w:p>
      <w:pPr>
        <w:spacing w:after="120" w:line="276" w:lineRule="auto"/>
      </w:pPr>
      <w:r>
        <w:t>**MACD :** La valeur du MACD (16,965) est inférieure à son signal (21,166), ce qui constitue une divergence baissière. Le momentum positif s'essouffle, signalant une possible correction ou une phase de consolidation à court terme. La décision de "Vente" est cohérente avec ce ralentissement du mouvement haussier.</w:t>
      </w:r>
    </w:p>
    <w:p>
      <w:pPr>
        <w:spacing w:after="120" w:line="276" w:lineRule="auto"/>
      </w:pPr>
      <w:r>
        <w:t>**RSI :** À 47,143, le RSI est en zone neutre (entre 30 et 70). Il n'y a ni pression d'achat excessive (surachat &gt;70) ni pression de vente excessive (survente &lt;30). Cela indique un équilibre entre les forces, laissant présager une poursuite de la consolidation. La décision "Neutre" est donc appropriée.</w:t>
      </w:r>
    </w:p>
    <w:p>
      <w:pPr>
        <w:spacing w:after="120" w:line="276" w:lineRule="auto"/>
      </w:pPr>
      <w:r>
        <w:t>**Stochastique :** Le %K (62,069) est inférieur au %D (66,667), suggérant un croisement baissier potentiel. Bien que les deux lignes soient en zone neutre, cette configuration indique un affaiblissement de la dynamique haussière à très court terme. La décision "Neutre" est maintenue, mais avec une vigilance sur un possible retournement.</w:t>
      </w:r>
    </w:p>
    <w:p>
      <w:pPr>
        <w:spacing w:after="120" w:line="276" w:lineRule="auto"/>
      </w:pPr>
      <w:r>
        <w:t>**Conclusion technique :** Les indicateurs sont mitigés. La tendance de fond (MM50) reste positive, mais les signaux à court terme (MACD, Stochastique) montrent un essoufflement. Le RSI et les Bandes de Bollinger indiquent une phase de consolidation. Globalement, le titre est dans une phase de pause après une hausse, avec un biais neutre à légèrement négatif à très court terme.</w:t>
      </w:r>
    </w:p>
    <w:p>
      <w:pPr>
        <w:spacing w:after="120" w:line="276" w:lineRule="auto"/>
      </w:pPr>
      <w:r>
        <w:t>---</w:t>
      </w:r>
    </w:p>
    <w:p>
      <w:pPr>
        <w:spacing w:after="120" w:line="276" w:lineRule="auto"/>
      </w:pPr>
      <w:r>
        <w:t>### PARTIE 3 : ANALYSE FONDAMENTALE (SECTION CRITIQUE)</w:t>
      </w:r>
    </w:p>
    <w:p>
      <w:pPr>
        <w:spacing w:after="120" w:line="276" w:lineRule="auto"/>
      </w:pPr>
      <w:r>
        <w:t>En 2025, l'ONTBF a réalisé un chiffre d'affaires de 146,18 milliards FCFA, en hausse de 3,1% par rapport à 2024, mais son résultat net a chuté de 26% à 15,89 milliards FCFA. Cette dégradation de la rentabilité est due à une hausse des charges opérationnelles (énergie, maintenance en zones sécuritaires) et exceptionnelles, comme le soulignent les rapports de gestion datant de 2026. Le ROE reste excellent à 27,6% et le ROA à 4,9%, témoignant d'une bonne utilisation des capitaux propres et des actifs. Le coefficient d'exploitation de 67,1% est élevé, indiquant une pression sur l'efficacité opérationnelle. Le coût du risque de 3,57% est un point de vigilance. La structure financière montre une dépendance aux dettes (82,3% du bilan), mais une solvabilité générale correcte (121,5%). Les rapports trimestriels de 2025 (T1, S1, 9M) confirment une tendance à la baisse des marges, avec une marge nette passant de 15,1% en 2024 à 10,9% en 2025. Sur la base du rapport du T1 2026 (CA +2,7%, marge EBITDA stable à 41,3%), on estime que l'exercice 2026 pourrait voir une stabilisation de la rentabilité, mais la pression sur les coûts reste le défi majeur. La société conserve une génération de cash-flow opérationnel très forte (68,5 Mds FCFA) et une capacité d'autofinancement de 46,95 Mds FCFA, lui permettant de financer ses investissements et de maintenir un dividende élevé (166 FCFA/action proposé).</w:t>
      </w:r>
    </w:p>
    <w:p>
      <w:pPr>
        <w:spacing w:after="120" w:line="276" w:lineRule="auto"/>
      </w:pPr>
      <w:r>
        <w:t>---</w:t>
      </w:r>
    </w:p>
    <w:p>
      <w:pPr>
        <w:spacing w:after="120" w:line="276" w:lineRule="auto"/>
      </w:pPr>
      <w:r>
        <w:t>### PARTIE 4 : CONCLUSION D'INVESTISSEMENT</w:t>
      </w:r>
    </w:p>
    <w:p>
      <w:pPr>
        <w:spacing w:after="120" w:line="276" w:lineRule="auto"/>
      </w:pPr>
      <w:r>
        <w:t>L'analyse croisée des données révèle un profil d'investissement contrasté. La valorisation (PER 12,4x, P/B 3,42x) est exigeante, mais l'EV/EBITDA (5,2x) reste attractif, indiquant une sous-évaluation relative de la capacité opérationnelle. Le comportement du cours est stable (faible écart-type), mais la volatilité annualisée élevée (30,8%) et la légère tendance baissière récente appellent à la prudence. Les signaux techniques sont neutres à légèrement négatifs à court terme (MACD vendeur), mais la tendance de fond (MM50) reste positive. Fondamentalement, l'entreprise est solide, très rentable (ROE &gt;27%) et génère un cash-flow important, mais sa rentabilité nette est en déclin (-26% en 2025) à cause de l'environnement opérationnel difficile. Les prédictions IA pour les 10 prochains jours (baisse progressive vers 2 862 FCFA) confirment la faiblesse technique à court terme. En synthèse, la convergence entre la valorisation raisonnable, la solidité financière et les perspectives de stabilisation (T1 2026) suggère de **CONSERVER** le titre. La confiance est **Moyenne** et le risque global est **Élevé** (contexte sécuritaire, pression sur les marges). L'horizon d'investissement optimal est le **moyen terme (3-12 mois)**, en attendant une amélioration tangible des marges ou une correction du cours pour renforcer la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3164.52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2,447 titres</w:t>
            </w:r>
          </w:p>
        </w:tc>
        <w:tc>
          <w:tcPr>
            <w:tcW w:type="dxa" w:w="2268"/>
            <w:shd w:fill="FFF2CC" w:val="clear"/>
          </w:tcPr>
          <w:p>
            <w:r>
              <w:rPr>
                <w:b/>
                <w:color w:val="503200"/>
                <w:sz w:val="16"/>
              </w:rPr>
              <w:t xml:space="preserve">Cours actuel : </w:t>
            </w:r>
            <w:r>
              <w:rPr>
                <w:color w:val="000000"/>
                <w:sz w:val="17"/>
              </w:rPr>
              <w:t>21,005 FCFA</w:t>
            </w:r>
          </w:p>
          <w:p>
            <w:r>
              <w:rPr>
                <w:b/>
                <w:color w:val="503200"/>
                <w:sz w:val="16"/>
              </w:rPr>
              <w:t xml:space="preserve">Var. 100 jours : </w:t>
            </w:r>
            <w:r>
              <w:rPr>
                <w:b/>
                <w:color w:val="007800"/>
                <w:sz w:val="17"/>
              </w:rPr>
              <w:t>+40.03%</w:t>
            </w:r>
          </w:p>
          <w:p>
            <w:r>
              <w:rPr>
                <w:b/>
                <w:color w:val="503200"/>
                <w:sz w:val="16"/>
              </w:rPr>
              <w:t xml:space="preserve">Plus haut 100j : </w:t>
            </w:r>
            <w:r>
              <w:rPr>
                <w:color w:val="000000"/>
                <w:sz w:val="17"/>
              </w:rPr>
              <w:t>21,400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9.55% (Moyenne) — μ=16,382 FCFA, σ=1,564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β=1.2466 (Agressif) — Cov=0.000045, Var(idx)=0.000036, ρ=0.409,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20,157</w:t>
            </w:r>
          </w:p>
        </w:tc>
        <w:tc>
          <w:tcPr>
            <w:tcW w:type="dxa" w:w="1440"/>
            <w:shd w:fill="FAFAFA" w:val="clear"/>
          </w:tcPr>
          <w:p>
            <w:r>
              <w:rPr>
                <w:b/>
                <w:sz w:val="17"/>
              </w:rPr>
              <w:t>20,699</w:t>
            </w:r>
          </w:p>
        </w:tc>
        <w:tc>
          <w:tcPr>
            <w:tcW w:type="dxa" w:w="1440"/>
            <w:shd w:fill="FAFAFA" w:val="clear"/>
          </w:tcPr>
          <w:p>
            <w:r>
              <w:rPr>
                <w:sz w:val="17"/>
              </w:rPr>
              <w:t>21,240</w:t>
            </w:r>
          </w:p>
        </w:tc>
        <w:tc>
          <w:tcPr>
            <w:tcW w:type="dxa" w:w="1440"/>
            <w:shd w:fill="FAFAFA" w:val="clear"/>
          </w:tcPr>
          <w:p>
            <w:r>
              <w:rPr>
                <w:b/>
                <w:color w:val="C00000"/>
                <w:sz w:val="17"/>
              </w:rPr>
              <w:t>-1.5%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19,815</w:t>
            </w:r>
          </w:p>
        </w:tc>
        <w:tc>
          <w:tcPr>
            <w:tcW w:type="dxa" w:w="1440"/>
            <w:shd w:fill="FFDCE0" w:val="clear"/>
          </w:tcPr>
          <w:p>
            <w:r>
              <w:rPr>
                <w:b/>
                <w:sz w:val="17"/>
              </w:rPr>
              <w:t>20,576</w:t>
            </w:r>
          </w:p>
        </w:tc>
        <w:tc>
          <w:tcPr>
            <w:tcW w:type="dxa" w:w="1440"/>
            <w:shd w:fill="FFDCE0" w:val="clear"/>
          </w:tcPr>
          <w:p>
            <w:r>
              <w:rPr>
                <w:sz w:val="17"/>
              </w:rPr>
              <w:t>21,337</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19,511</w:t>
            </w:r>
          </w:p>
        </w:tc>
        <w:tc>
          <w:tcPr>
            <w:tcW w:type="dxa" w:w="1440"/>
            <w:shd w:fill="FFDCE0" w:val="clear"/>
          </w:tcPr>
          <w:p>
            <w:r>
              <w:rPr>
                <w:b/>
                <w:sz w:val="17"/>
              </w:rPr>
              <w:t>20,436</w:t>
            </w:r>
          </w:p>
        </w:tc>
        <w:tc>
          <w:tcPr>
            <w:tcW w:type="dxa" w:w="1440"/>
            <w:shd w:fill="FFDCE0" w:val="clear"/>
          </w:tcPr>
          <w:p>
            <w:r>
              <w:rPr>
                <w:sz w:val="17"/>
              </w:rPr>
              <w:t>21,361</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19,237</w:t>
            </w:r>
          </w:p>
        </w:tc>
        <w:tc>
          <w:tcPr>
            <w:tcW w:type="dxa" w:w="1440"/>
            <w:shd w:fill="FFDCE0" w:val="clear"/>
          </w:tcPr>
          <w:p>
            <w:r>
              <w:rPr>
                <w:b/>
                <w:sz w:val="17"/>
              </w:rPr>
              <w:t>20,299</w:t>
            </w:r>
          </w:p>
        </w:tc>
        <w:tc>
          <w:tcPr>
            <w:tcW w:type="dxa" w:w="1440"/>
            <w:shd w:fill="FFDCE0" w:val="clear"/>
          </w:tcPr>
          <w:p>
            <w:r>
              <w:rPr>
                <w:sz w:val="17"/>
              </w:rPr>
              <w:t>21,360</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18,987</w:t>
            </w:r>
          </w:p>
        </w:tc>
        <w:tc>
          <w:tcPr>
            <w:tcW w:type="dxa" w:w="1440"/>
            <w:shd w:fill="FFDCE0" w:val="clear"/>
          </w:tcPr>
          <w:p>
            <w:r>
              <w:rPr>
                <w:b/>
                <w:sz w:val="17"/>
              </w:rPr>
              <w:t>20,166</w:t>
            </w:r>
          </w:p>
        </w:tc>
        <w:tc>
          <w:tcPr>
            <w:tcW w:type="dxa" w:w="1440"/>
            <w:shd w:fill="FFDCE0" w:val="clear"/>
          </w:tcPr>
          <w:p>
            <w:r>
              <w:rPr>
                <w:sz w:val="17"/>
              </w:rPr>
              <w:t>21,345</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18,756</w:t>
            </w:r>
          </w:p>
        </w:tc>
        <w:tc>
          <w:tcPr>
            <w:tcW w:type="dxa" w:w="1440"/>
            <w:shd w:fill="FFDCE0" w:val="clear"/>
          </w:tcPr>
          <w:p>
            <w:r>
              <w:rPr>
                <w:b/>
                <w:sz w:val="17"/>
              </w:rPr>
              <w:t>20,039</w:t>
            </w:r>
          </w:p>
        </w:tc>
        <w:tc>
          <w:tcPr>
            <w:tcW w:type="dxa" w:w="1440"/>
            <w:shd w:fill="FFDCE0" w:val="clear"/>
          </w:tcPr>
          <w:p>
            <w:r>
              <w:rPr>
                <w:sz w:val="17"/>
              </w:rPr>
              <w:t>21,322</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18,539</w:t>
            </w:r>
          </w:p>
        </w:tc>
        <w:tc>
          <w:tcPr>
            <w:tcW w:type="dxa" w:w="1440"/>
            <w:shd w:fill="FFDCE0" w:val="clear"/>
          </w:tcPr>
          <w:p>
            <w:r>
              <w:rPr>
                <w:b/>
                <w:sz w:val="17"/>
              </w:rPr>
              <w:t>19,916</w:t>
            </w:r>
          </w:p>
        </w:tc>
        <w:tc>
          <w:tcPr>
            <w:tcW w:type="dxa" w:w="1440"/>
            <w:shd w:fill="FFDCE0" w:val="clear"/>
          </w:tcPr>
          <w:p>
            <w:r>
              <w:rPr>
                <w:sz w:val="17"/>
              </w:rPr>
              <w:t>21,294</w:t>
            </w:r>
          </w:p>
        </w:tc>
        <w:tc>
          <w:tcPr>
            <w:tcW w:type="dxa" w:w="1440"/>
            <w:shd w:fill="FFDCE0" w:val="clear"/>
          </w:tcPr>
          <w:p>
            <w:r>
              <w:rPr>
                <w:b/>
                <w:color w:val="C00000"/>
                <w:sz w:val="17"/>
              </w:rPr>
              <w:t>-5.2%</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18,334</w:t>
            </w:r>
          </w:p>
        </w:tc>
        <w:tc>
          <w:tcPr>
            <w:tcW w:type="dxa" w:w="1440"/>
            <w:shd w:fill="FFDCE0" w:val="clear"/>
          </w:tcPr>
          <w:p>
            <w:r>
              <w:rPr>
                <w:b/>
                <w:sz w:val="17"/>
              </w:rPr>
              <w:t>19,798</w:t>
            </w:r>
          </w:p>
        </w:tc>
        <w:tc>
          <w:tcPr>
            <w:tcW w:type="dxa" w:w="1440"/>
            <w:shd w:fill="FFDCE0" w:val="clear"/>
          </w:tcPr>
          <w:p>
            <w:r>
              <w:rPr>
                <w:sz w:val="17"/>
              </w:rPr>
              <w:t>21,262</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18,140</w:t>
            </w:r>
          </w:p>
        </w:tc>
        <w:tc>
          <w:tcPr>
            <w:tcW w:type="dxa" w:w="1440"/>
            <w:shd w:fill="FFDCE0" w:val="clear"/>
          </w:tcPr>
          <w:p>
            <w:r>
              <w:rPr>
                <w:b/>
                <w:sz w:val="17"/>
              </w:rPr>
              <w:t>19,684</w:t>
            </w:r>
          </w:p>
        </w:tc>
        <w:tc>
          <w:tcPr>
            <w:tcW w:type="dxa" w:w="1440"/>
            <w:shd w:fill="FFDCE0" w:val="clear"/>
          </w:tcPr>
          <w:p>
            <w:r>
              <w:rPr>
                <w:sz w:val="17"/>
              </w:rPr>
              <w:t>21,228</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17,956</w:t>
            </w:r>
          </w:p>
        </w:tc>
        <w:tc>
          <w:tcPr>
            <w:tcW w:type="dxa" w:w="1440"/>
            <w:shd w:fill="FFDCE0" w:val="clear"/>
          </w:tcPr>
          <w:p>
            <w:r>
              <w:rPr>
                <w:b/>
                <w:sz w:val="17"/>
              </w:rPr>
              <w:t>19,574</w:t>
            </w:r>
          </w:p>
        </w:tc>
        <w:tc>
          <w:tcPr>
            <w:tcW w:type="dxa" w:w="1440"/>
            <w:shd w:fill="FFDCE0" w:val="clear"/>
          </w:tcPr>
          <w:p>
            <w:r>
              <w:rPr>
                <w:sz w:val="17"/>
              </w:rPr>
              <w:t>21,192</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3 164,52 milliards FCFA, ce qui en fait l'une des plus importantes valeurs de la BRVM, représentant une part significative de la capitalisation totale du marché. Avec un BPA de 1 114 FCFA, chaque action génère un bénéfice substantiel. Le PER de 18,9x se situe nettement au-dessus de la moyenne historique de la BRVM (8-12x), indiquant que les investisseurs paient une prime pour la qualité et la croissance de l'entreprise. Le P/B de 4,47x confirme cette prime, le marché valorisant fortement les actifs de la société par rapport à leur valeur comptable. L'EV/EBITDA de 7,5x reste dans une zone raisonnable (5-10x), suggérant que la valorisation opérationnelle n'est pas excessive malgré les autres ratios élevés.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+40,03%, passant d'un plus bas de 14 650 FCFA à un plus haut de 21 400 FCFA, avec un cours actuel de 21 005 FCFA. La dernière séance montre un léger repli de -1,85%, suggérant une possible consolidation après une forte hausse. La moyenne (16 382 FCFA) étant supérieure à la médiane (16 000 FCFA), la distribution des prix est asymétrique, ce que confirme le skewness positif de 1,770, indiquant que la majorité des séances se sont situées sous la moyenne avec des pics haussiers prononcés. Le kurtosis de 2,882 révèle un risque de mouvements extrêmes, tandis que l'écart-type de 1 572 FCFA (CV=9,6%) montre une dispersion modérée. La volatilité annualisée de 28,9% classe le titre dans la catégorie des actifs à volatilité modérée-élevée, reflétant son dynamisme récent.</w:t>
      </w:r>
    </w:p>
    <w:p>
      <w:pPr>
        <w:spacing w:after="120" w:line="276" w:lineRule="auto" w:before="240"/>
      </w:pPr>
      <w:r>
        <w:rPr>
          <w:b/>
          <w:color w:val="003366"/>
          <w:sz w:val="24"/>
        </w:rPr>
        <w:t>**PARTIE 2 : ANALYSE TECHNIQUE DÉTAILLÉE**</w:t>
      </w:r>
    </w:p>
    <w:p>
      <w:pPr>
        <w:spacing w:after="120" w:line="276" w:lineRule="auto"/>
      </w:pPr>
      <w:r>
        <w:t>**Moyennes Mobiles** : Le cours actuel (21 005 FCFA) se positionne nettement au-dessus de la MM20 (18 826,5 FCFA) et de la MM50 (17 391,6 FCFA), confirmant une tendance haussière solide. L'écart croissant entre les deux moyennes mobiles et le prix indique une accélération du mouvement haussier, justifiant la décision d'Achat.</w:t>
      </w:r>
    </w:p>
    <w:p>
      <w:pPr>
        <w:spacing w:after="120" w:line="276" w:lineRule="auto"/>
      </w:pPr>
      <w:r>
        <w:t>**Bandes de Bollinger** : Le prix se situe près de la borne supérieure (22 368 FCFA), indiquant une pression acheteuse soutenue. L'écart entre les bornes (7 083 FCFA) reflète une volatilité élevée. La position du prix dans la partie supérieure des bandes suggère une force relative, mais la décision Neutre indique une possible consolidation à ces niveaux.</w:t>
      </w:r>
    </w:p>
    <w:p>
      <w:pPr>
        <w:spacing w:after="120" w:line="276" w:lineRule="auto"/>
      </w:pPr>
      <w:r>
        <w:t>**MACD** : La valeur du MACD (1 222,1) est nettement supérieure au signal (973,1), avec un écart positif croissant. Cette configuration confirme un momentum haussier puissant, justifiant la décision d'Achat. La dynamique positive du MACD suggère que la tendance haussière pourrait se poursuivre à court terme.</w:t>
      </w:r>
    </w:p>
    <w:p>
      <w:pPr>
        <w:spacing w:after="120" w:line="276" w:lineRule="auto"/>
      </w:pPr>
      <w:r>
        <w:t>**RSI** : À 85,7, le RSI se trouve en zone de surachat extrême (au-dessus de 70), signalant que le titre est techniquement survendu. Cette situation suggère un risque de correction technique à court terme, justifiant la décision de Vente. Les investisseurs devraient être prudents face à cette suraccumulation.</w:t>
      </w:r>
    </w:p>
    <w:p>
      <w:pPr>
        <w:spacing w:after="120" w:line="276" w:lineRule="auto"/>
      </w:pPr>
      <w:r>
        <w:t>**Stochastique** : Avec %K à 90,9 et %D à 97,0, l'indicateur stochastique est également en zone de surachat extrême. Le croisement potentiel des deux lignes pourrait signaler un retournement baissier imminent. La décision de Vente reflète cette situation de surachat technique.</w:t>
      </w:r>
    </w:p>
    <w:p>
      <w:pPr>
        <w:spacing w:after="120" w:line="276" w:lineRule="auto"/>
      </w:pPr>
      <w:r>
        <w:t>**Conclusion technique** : Les indicateurs de tendance (MM, MACD) confirment une dynamique haussière solide, mais les oscillateurs (RSI, Stochastique) signalent un surachat extrême. Cette divergence suggère qu'une correction technique est probable à court terme, bien que la tendance de fond reste haussière. Les investisseurs devraient surveiller un éventuel repli vers les 19 000-20 000 FCFA comme opportunité d'entrée.</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avec un résultat net consolidé de 167,8 milliards FCFA (+6,1%). Le ROE s'établit à 23,7%, nettement au-dessus du seuil d'excellence de 15%, tandis que le ROA atteint 6,6%. La marge opérationnelle de 24,0% et la marge nette de 14,0% témoignent d'une excellente rentabilité. Le BFR négatif de -198 milliards FCFA est un signe très favorable, indiquant que l'entreprise finance son exploitation par ses fournisseurs (délai fournisseurs de 210,9 jours contre 52,3 jours pour les clients). La capacité de remboursement de 0,99 an reflète une solidité financière remarquable. Les rapports trimestriels 2025 montrent une croissance soutenue du CA (+9,9% au T3), mais une stagnation du résultat net (+0,2%), principalement due à l'augmentation des charges financières. Le rapport T1 2026 (daté du 21 mai 2026) révèle une accélération spectaculaire : CA +14,8% à 325,6 milliards FCFA et résultat net +25,2% à 48,3 milliards FCFA, suggérant une nette amélioration de la profitabilité pour 2026. Le dividende proposé de 800 FCFA par action offre un rendement attractif d'environ 3,8% au cours actuel.</w:t>
      </w:r>
    </w:p>
    <w:p>
      <w:pPr>
        <w:spacing w:after="120" w:line="276" w:lineRule="auto" w:before="240"/>
      </w:pPr>
      <w:r>
        <w:rPr>
          <w:b/>
          <w:color w:val="003366"/>
          <w:sz w:val="24"/>
        </w:rPr>
        <w:t>**PARTIE 4 : CONCLUSION D'INVESTISSEMENT**</w:t>
      </w:r>
    </w:p>
    <w:p>
      <w:pPr>
        <w:spacing w:after="120" w:line="276" w:lineRule="auto"/>
      </w:pPr>
      <w:r>
        <w:t>La valorisation d'ORAC (PER 18,9x, P/B 4,47x) indique une prime significative par rapport au marché BRVM, mais justifiée par la qualité exceptionnelle des fondamentaux. Le comportement du cours (+40% sur 100 jours) avec une volatilité modérée-élevée et des statistiques montrant une asymétrie positive reflète la confiance des investisseurs, bien que le kurtosis élevé signale un risque de mouvements brusques. Les signaux techniques sont mitigés : tendance haussière confirmée par les MM et MACD, mais surachat extrême sur RSI et Stochastique suggérant une correction probable. Les fondamentaux restent excellents avec une croissance soutenue du CA, une rentabilité supérieure aux standards du marché et une solidité financière remarquable. Les prédictions IA (20 699 à 20 166 FCFA sur 10 jours) anticipent un léger repli, cohérent avec les signaux de surachat technique. La convergence entre les fondamentaux solides et la correction technique attendue conduit à une recommandation de **CONSERVER** avec un niveau de confiance **Élevé** et un risque global **Moyen**. L'horizon d'investissement optimal serait le **moyen terme (3-12 mois)**, en attendant une meilleure point d'entrée après la correction technique anticipée.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219.70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5,521 titres</w:t>
            </w:r>
          </w:p>
        </w:tc>
        <w:tc>
          <w:tcPr>
            <w:tcW w:type="dxa" w:w="2268"/>
            <w:shd w:fill="FFF2CC" w:val="clear"/>
          </w:tcPr>
          <w:p>
            <w:r>
              <w:rPr>
                <w:b/>
                <w:color w:val="503200"/>
                <w:sz w:val="16"/>
              </w:rPr>
              <w:t xml:space="preserve">Cours actuel : </w:t>
            </w:r>
            <w:r>
              <w:rPr>
                <w:color w:val="000000"/>
                <w:sz w:val="17"/>
              </w:rPr>
              <w:t>3,165 FCFA</w:t>
            </w:r>
          </w:p>
          <w:p>
            <w:r>
              <w:rPr>
                <w:b/>
                <w:color w:val="503200"/>
                <w:sz w:val="16"/>
              </w:rPr>
              <w:t xml:space="preserve">Var. 100 jours : </w:t>
            </w:r>
            <w:r>
              <w:rPr>
                <w:b/>
                <w:color w:val="B40000"/>
                <w:sz w:val="17"/>
              </w:rPr>
              <w:t>-13.52%</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10.64% (Moyenne) — μ=2,936 FCFA, σ=312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β=0.3360 (Défensif) — Cov=0.000012, Var(idx)=0.000036, ρ=0.073,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σ_j=2.75%/j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3,061</w:t>
            </w:r>
          </w:p>
        </w:tc>
        <w:tc>
          <w:tcPr>
            <w:tcW w:type="dxa" w:w="1440"/>
            <w:shd w:fill="FAFAFA" w:val="clear"/>
          </w:tcPr>
          <w:p>
            <w:r>
              <w:rPr>
                <w:b/>
                <w:sz w:val="17"/>
              </w:rPr>
              <w:t>3,156</w:t>
            </w:r>
          </w:p>
        </w:tc>
        <w:tc>
          <w:tcPr>
            <w:tcW w:type="dxa" w:w="1440"/>
            <w:shd w:fill="FAFAFA" w:val="clear"/>
          </w:tcPr>
          <w:p>
            <w:r>
              <w:rPr>
                <w:sz w:val="17"/>
              </w:rPr>
              <w:t>3,251</w:t>
            </w:r>
          </w:p>
        </w:tc>
        <w:tc>
          <w:tcPr>
            <w:tcW w:type="dxa" w:w="1440"/>
            <w:shd w:fill="FAFAFA" w:val="clear"/>
          </w:tcPr>
          <w:p>
            <w:r>
              <w:rPr>
                <w:b/>
                <w:color w:val="C00000"/>
                <w:sz w:val="17"/>
              </w:rPr>
              <w:t>-0.3%</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3,019</w:t>
            </w:r>
          </w:p>
        </w:tc>
        <w:tc>
          <w:tcPr>
            <w:tcW w:type="dxa" w:w="1440"/>
            <w:shd w:fill="FAFAFA" w:val="clear"/>
          </w:tcPr>
          <w:p>
            <w:r>
              <w:rPr>
                <w:b/>
                <w:sz w:val="17"/>
              </w:rPr>
              <w:t>3,153</w:t>
            </w:r>
          </w:p>
        </w:tc>
        <w:tc>
          <w:tcPr>
            <w:tcW w:type="dxa" w:w="1440"/>
            <w:shd w:fill="FAFAFA" w:val="clear"/>
          </w:tcPr>
          <w:p>
            <w:r>
              <w:rPr>
                <w:sz w:val="17"/>
              </w:rPr>
              <w:t>3,287</w:t>
            </w:r>
          </w:p>
        </w:tc>
        <w:tc>
          <w:tcPr>
            <w:tcW w:type="dxa" w:w="1440"/>
            <w:shd w:fill="FAFAFA" w:val="clear"/>
          </w:tcPr>
          <w:p>
            <w:r>
              <w:rPr>
                <w:b/>
                <w:color w:val="C00000"/>
                <w:sz w:val="17"/>
              </w:rPr>
              <w:t>-0.4%</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2,986</w:t>
            </w:r>
          </w:p>
        </w:tc>
        <w:tc>
          <w:tcPr>
            <w:tcW w:type="dxa" w:w="1440"/>
            <w:shd w:fill="FAFAFA" w:val="clear"/>
          </w:tcPr>
          <w:p>
            <w:r>
              <w:rPr>
                <w:b/>
                <w:sz w:val="17"/>
              </w:rPr>
              <w:t>3,150</w:t>
            </w:r>
          </w:p>
        </w:tc>
        <w:tc>
          <w:tcPr>
            <w:tcW w:type="dxa" w:w="1440"/>
            <w:shd w:fill="FAFAFA" w:val="clear"/>
          </w:tcPr>
          <w:p>
            <w:r>
              <w:rPr>
                <w:sz w:val="17"/>
              </w:rPr>
              <w:t>3,314</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2,958</w:t>
            </w:r>
          </w:p>
        </w:tc>
        <w:tc>
          <w:tcPr>
            <w:tcW w:type="dxa" w:w="1440"/>
            <w:shd w:fill="FAFAFA" w:val="clear"/>
          </w:tcPr>
          <w:p>
            <w:r>
              <w:rPr>
                <w:b/>
                <w:sz w:val="17"/>
              </w:rPr>
              <w:t>3,147</w:t>
            </w:r>
          </w:p>
        </w:tc>
        <w:tc>
          <w:tcPr>
            <w:tcW w:type="dxa" w:w="1440"/>
            <w:shd w:fill="FAFAFA" w:val="clear"/>
          </w:tcPr>
          <w:p>
            <w:r>
              <w:rPr>
                <w:sz w:val="17"/>
              </w:rPr>
              <w:t>3,336</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2026-09-07</w:t>
            </w:r>
          </w:p>
        </w:tc>
        <w:tc>
          <w:tcPr>
            <w:tcW w:type="dxa" w:w="1440"/>
            <w:shd w:fill="FAFAFA" w:val="clear"/>
          </w:tcPr>
          <w:p>
            <w:r>
              <w:rPr>
                <w:sz w:val="17"/>
              </w:rPr>
              <w:t>2,933</w:t>
            </w:r>
          </w:p>
        </w:tc>
        <w:tc>
          <w:tcPr>
            <w:tcW w:type="dxa" w:w="1440"/>
            <w:shd w:fill="FAFAFA" w:val="clear"/>
          </w:tcPr>
          <w:p>
            <w:r>
              <w:rPr>
                <w:b/>
                <w:sz w:val="17"/>
              </w:rPr>
              <w:t>3,144</w:t>
            </w:r>
          </w:p>
        </w:tc>
        <w:tc>
          <w:tcPr>
            <w:tcW w:type="dxa" w:w="1440"/>
            <w:shd w:fill="FAFAFA" w:val="clear"/>
          </w:tcPr>
          <w:p>
            <w:r>
              <w:rPr>
                <w:sz w:val="17"/>
              </w:rPr>
              <w:t>3,355</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2026-09-08</w:t>
            </w:r>
          </w:p>
        </w:tc>
        <w:tc>
          <w:tcPr>
            <w:tcW w:type="dxa" w:w="1440"/>
            <w:shd w:fill="FAFAFA" w:val="clear"/>
          </w:tcPr>
          <w:p>
            <w:r>
              <w:rPr>
                <w:sz w:val="17"/>
              </w:rPr>
              <w:t>2,910</w:t>
            </w:r>
          </w:p>
        </w:tc>
        <w:tc>
          <w:tcPr>
            <w:tcW w:type="dxa" w:w="1440"/>
            <w:shd w:fill="FAFAFA" w:val="clear"/>
          </w:tcPr>
          <w:p>
            <w:r>
              <w:rPr>
                <w:b/>
                <w:sz w:val="17"/>
              </w:rPr>
              <w:t>3,141</w:t>
            </w:r>
          </w:p>
        </w:tc>
        <w:tc>
          <w:tcPr>
            <w:tcW w:type="dxa" w:w="1440"/>
            <w:shd w:fill="FAFAFA" w:val="clear"/>
          </w:tcPr>
          <w:p>
            <w:r>
              <w:rPr>
                <w:sz w:val="17"/>
              </w:rPr>
              <w:t>3,372</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2026-09-09</w:t>
            </w:r>
          </w:p>
        </w:tc>
        <w:tc>
          <w:tcPr>
            <w:tcW w:type="dxa" w:w="1440"/>
            <w:shd w:fill="FAFAFA" w:val="clear"/>
          </w:tcPr>
          <w:p>
            <w:r>
              <w:rPr>
                <w:sz w:val="17"/>
              </w:rPr>
              <w:t>2,889</w:t>
            </w:r>
          </w:p>
        </w:tc>
        <w:tc>
          <w:tcPr>
            <w:tcW w:type="dxa" w:w="1440"/>
            <w:shd w:fill="FAFAFA" w:val="clear"/>
          </w:tcPr>
          <w:p>
            <w:r>
              <w:rPr>
                <w:b/>
                <w:sz w:val="17"/>
              </w:rPr>
              <w:t>3,138</w:t>
            </w:r>
          </w:p>
        </w:tc>
        <w:tc>
          <w:tcPr>
            <w:tcW w:type="dxa" w:w="1440"/>
            <w:shd w:fill="FAFAFA" w:val="clear"/>
          </w:tcPr>
          <w:p>
            <w:r>
              <w:rPr>
                <w:sz w:val="17"/>
              </w:rPr>
              <w:t>3,388</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2026-09-10</w:t>
            </w:r>
          </w:p>
        </w:tc>
        <w:tc>
          <w:tcPr>
            <w:tcW w:type="dxa" w:w="1440"/>
            <w:shd w:fill="FAFAFA" w:val="clear"/>
          </w:tcPr>
          <w:p>
            <w:r>
              <w:rPr>
                <w:sz w:val="17"/>
              </w:rPr>
              <w:t>2,869</w:t>
            </w:r>
          </w:p>
        </w:tc>
        <w:tc>
          <w:tcPr>
            <w:tcW w:type="dxa" w:w="1440"/>
            <w:shd w:fill="FAFAFA" w:val="clear"/>
          </w:tcPr>
          <w:p>
            <w:r>
              <w:rPr>
                <w:b/>
                <w:sz w:val="17"/>
              </w:rPr>
              <w:t>3,136</w:t>
            </w:r>
          </w:p>
        </w:tc>
        <w:tc>
          <w:tcPr>
            <w:tcW w:type="dxa" w:w="1440"/>
            <w:shd w:fill="FAFAFA" w:val="clear"/>
          </w:tcPr>
          <w:p>
            <w:r>
              <w:rPr>
                <w:sz w:val="17"/>
              </w:rPr>
              <w:t>3,402</w:t>
            </w:r>
          </w:p>
        </w:tc>
        <w:tc>
          <w:tcPr>
            <w:tcW w:type="dxa" w:w="1440"/>
            <w:shd w:fill="FAFAFA" w:val="clear"/>
          </w:tcPr>
          <w:p>
            <w:r>
              <w:rPr>
                <w:b/>
                <w:color w:val="C00000"/>
                <w:sz w:val="17"/>
              </w:rPr>
              <w:t>-0.9%</w:t>
            </w:r>
          </w:p>
        </w:tc>
      </w:tr>
      <w:tr>
        <w:tc>
          <w:tcPr>
            <w:tcW w:type="dxa" w:w="1440"/>
            <w:shd w:fill="FAFAFA" w:val="clear"/>
          </w:tcPr>
          <w:p>
            <w:r>
              <w:rPr>
                <w:sz w:val="17"/>
              </w:rPr>
              <w:t>J+9  Moyenne</w:t>
            </w:r>
          </w:p>
        </w:tc>
        <w:tc>
          <w:tcPr>
            <w:tcW w:type="dxa" w:w="1440"/>
            <w:shd w:fill="FAFAFA" w:val="clear"/>
          </w:tcPr>
          <w:p>
            <w:r>
              <w:rPr>
                <w:sz w:val="17"/>
              </w:rPr>
              <w:t>2026-09-11</w:t>
            </w:r>
          </w:p>
        </w:tc>
        <w:tc>
          <w:tcPr>
            <w:tcW w:type="dxa" w:w="1440"/>
            <w:shd w:fill="FAFAFA" w:val="clear"/>
          </w:tcPr>
          <w:p>
            <w:r>
              <w:rPr>
                <w:sz w:val="17"/>
              </w:rPr>
              <w:t>2,850</w:t>
            </w:r>
          </w:p>
        </w:tc>
        <w:tc>
          <w:tcPr>
            <w:tcW w:type="dxa" w:w="1440"/>
            <w:shd w:fill="FAFAFA" w:val="clear"/>
          </w:tcPr>
          <w:p>
            <w:r>
              <w:rPr>
                <w:b/>
                <w:sz w:val="17"/>
              </w:rPr>
              <w:t>3,133</w:t>
            </w:r>
          </w:p>
        </w:tc>
        <w:tc>
          <w:tcPr>
            <w:tcW w:type="dxa" w:w="1440"/>
            <w:shd w:fill="FAFAFA" w:val="clear"/>
          </w:tcPr>
          <w:p>
            <w:r>
              <w:rPr>
                <w:sz w:val="17"/>
              </w:rPr>
              <w:t>3,415</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2026-09-14</w:t>
            </w:r>
          </w:p>
        </w:tc>
        <w:tc>
          <w:tcPr>
            <w:tcW w:type="dxa" w:w="1440"/>
            <w:shd w:fill="FAFAFA" w:val="clear"/>
          </w:tcPr>
          <w:p>
            <w:r>
              <w:rPr>
                <w:sz w:val="17"/>
              </w:rPr>
              <w:t>2,832</w:t>
            </w:r>
          </w:p>
        </w:tc>
        <w:tc>
          <w:tcPr>
            <w:tcW w:type="dxa" w:w="1440"/>
            <w:shd w:fill="FAFAFA" w:val="clear"/>
          </w:tcPr>
          <w:p>
            <w:r>
              <w:rPr>
                <w:b/>
                <w:sz w:val="17"/>
              </w:rPr>
              <w:t>3,130</w:t>
            </w:r>
          </w:p>
        </w:tc>
        <w:tc>
          <w:tcPr>
            <w:tcW w:type="dxa" w:w="1440"/>
            <w:shd w:fill="FAFAFA" w:val="clear"/>
          </w:tcPr>
          <w:p>
            <w:r>
              <w:rPr>
                <w:sz w:val="17"/>
              </w:rPr>
              <w:t>3,428</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de l'analyse :**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219,70 milliards FCFA, un niveau significatif qui place le titre parmi les valeurs moyennes de la cote. Avec un BPA de 312 FCFA, chaque action génère un bénéfice substantiel, justifiant un PER de 10,2x, en ligne avec la moyenne historique de la BRVM (8-12x). Ce ratio indique que les investisseurs paient un prix raisonnable pour les bénéfices de la banque, sans prime excessive. Le P/B de 1,94x valorise le titre légèrement au-dessus de sa valeur comptable, ce qui est cohérent pour une entreprise en phase de redressement de sa rentabilité. En revanche, l'EV/EBITDA de 20,0x est nettement supérieur au seuil de 15x, signalant une valorisation exigeante de la capacité opérationnelle de l'entreprise. Cette disparité entre un PER modéré et un EV/EBITDA élevé suggère que le marché intègre déjà une partie des améliorations opérationnelles futures.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baisse de 13,52%, avec une légère reprise de +0,32% lors de la dernière séance, clôturant à 3 165 FCFA. Le cours a évolué dans une fourchette large de 2 435 à 3 660 FCFA, illustrant une volatilité importante. La moyenne de 2 936 FCFA est supérieure à la médiane de 2 780 FCFA, et le mode de 2 680 FCFA indique une distribution asymétrique positive (skewness de 0,637), signifiant que le cours a passé plus de temps sous sa moyenne. L'écart-type de 314 FCFA (CV=10,7%) montre une dispersion modérée, tandis que le kurtosis de -0,644 (mésokurtique) suggère une distribution proche de la normale, sans risque de pics extrêmes. La volatilité annualisée de 43,6% est élevée (&gt;30%), reflétant un titre spéculatif. La tendance générale reste baissière, malgré une stabilisation récente autour des 3 100-3 200 FCFA.</w:t>
      </w:r>
    </w:p>
    <w:p>
      <w:pPr>
        <w:spacing w:after="120" w:line="276" w:lineRule="auto"/>
      </w:pPr>
      <w:r>
        <w:t>---</w:t>
      </w:r>
    </w:p>
    <w:p>
      <w:pPr>
        <w:spacing w:after="120" w:line="276" w:lineRule="auto"/>
      </w:pPr>
      <w:r>
        <w:t>### PARTIE 2 : ANALYSE TECHNIQUE DÉTAILLÉE</w:t>
      </w:r>
    </w:p>
    <w:p>
      <w:pPr>
        <w:spacing w:after="120" w:line="276" w:lineRule="auto"/>
      </w:pPr>
      <w:r>
        <w:t>**Moyennes Mobiles :** La MM20 à 3 125,75 FCFA et la MM50 à 2 874,8 FCFA sont toutes deux inférieures au cours actuel de 3 165 FCFA. Cette configuration haussière (cours &gt; MM20 &gt; MM50) confirme une dynamique positive à court et moyen terme, justifiant la décision d'achat. Le croisement des moyennes mobiles indique un momentum favorable.</w:t>
      </w:r>
    </w:p>
    <w:p>
      <w:pPr>
        <w:spacing w:after="120" w:line="276" w:lineRule="auto"/>
      </w:pPr>
      <w:r>
        <w:t>**Bandes de Bollinger :** Le cours à 3 165 FCFA se positionne entre la borne supérieure (3 218,45 FCFA) et la borne inférieure (3 033,05 FCFA), proche de la partie haute. Cette position suggère une pression acheteuse modérée sans surachat extrême. La décision neutre reflète une volatilité normale, avec un écart-type des bandes relativement stable.</w:t>
      </w:r>
    </w:p>
    <w:p>
      <w:pPr>
        <w:spacing w:after="120" w:line="276" w:lineRule="auto"/>
      </w:pPr>
      <w:r>
        <w:t>**MACD :** La valeur MACD (82,92) est inférieure à son signal (88,85), indiquant un momentum baissier à court terme. Cette divergence négative suggère un essoufflement de la dynamique haussière récente, justifiant la décision de vente. Le croisement sous le signal pourrait précéder une correction.</w:t>
      </w:r>
    </w:p>
    <w:p>
      <w:pPr>
        <w:spacing w:after="120" w:line="276" w:lineRule="auto"/>
      </w:pPr>
      <w:r>
        <w:t>**RSI :** À 56,96, le RSI se situe en zone neutre (30-70), indiquant un équilibre entre pression acheteuse et vendeuse. Cette valeur ne montre ni surachat ni survente, laissant une marge de manœuvre dans les deux sens. La décision neutre est cohérente avec une consolidation en cours.</w:t>
      </w:r>
    </w:p>
    <w:p>
      <w:pPr>
        <w:spacing w:after="120" w:line="276" w:lineRule="auto"/>
      </w:pPr>
      <w:r>
        <w:t>**Stochastique :** Le %K (81,25) et le %D (82,29) sont tous deux en zone de surachat (&gt;80), avec un %K légèrement inférieur au %D, suggérant un croisement baissier imminent. La décision de vente reflète un risque de retournement à court terme après une phase de hausse.</w:t>
      </w:r>
    </w:p>
    <w:p>
      <w:pPr>
        <w:spacing w:after="120" w:line="276" w:lineRule="auto"/>
      </w:pPr>
      <w:r>
        <w:t>**Conclusion technique :** Les indicateurs sont mitigés, avec des signaux contradictoires. Les moyennes mobiles sont haussières, mais le MACD et le stochastique signalent un essoufflement. Le RSI neutre et les bandes de Bollinger stables suggèrent une consolidation. Globalement, la tendance de fond reste positive, mais un repli technique à court terme est probable avant une reprise.</w:t>
      </w:r>
    </w:p>
    <w:p>
      <w:pPr>
        <w:spacing w:after="120" w:line="276" w:lineRule="auto"/>
      </w:pPr>
      <w:r>
        <w:t>---</w:t>
      </w:r>
    </w:p>
    <w:p>
      <w:pPr>
        <w:spacing w:after="120" w:line="276" w:lineRule="auto"/>
      </w:pPr>
      <w:r>
        <w:t>### PARTIE 3 : ANALYSE FONDAMENTALE (SECTION CRITIQUE)</w:t>
      </w:r>
    </w:p>
    <w:p>
      <w:pPr>
        <w:spacing w:after="120" w:line="276" w:lineRule="auto"/>
      </w:pPr>
      <w:r>
        <w:t>**En 2025**, ORGT a réalisé un PNB de 186,609 milliards FCFA, en baisse de 4,5% par rapport à 2024 (195,4 milliards). Le résultat net s'est établi à 21,643 milliards FCFA, contre une perte de -44,4 milliards en 2024, marquant un retour spectaculaire à la rentabilité. Le ROE atteint 19,13%, un niveau excellent (&gt;15%), tandis que le ROA reste faible à 0,54%, typique du secteur bancaire. Le coefficient d'exploitation de 42,85% (&lt;50%) démontre une excellente maîtrise des coûts. Le coût du risque à 3,74% reste élevé, mais a été massivement réduit (provisions passées de 69,1 à 6,97 milliards FCFA). Les dépôts clientèle (3 088,7 milliards) couvrent largement les créances (1 523,8 milliards), soit un ratio de transformation de 49%, très prudent. **Les rapports trimestriels 2025** confirment cette trajectoire : T1 avec un bénéfice de 4,8 milliards (+259%), S1 à 18,3 milliards (+232%), et T3 à 19,6 milliards (+248%). **Le rapport T1 2026** (daté de 2026) montre une poursuite du redressement avec un résultat net de 6,555 milliards (+37%), malgré un PNB en léger recul (-2%). On estime que l'exercice 2026 pourrait voir un PNB stable autour de 185-190 milliards et un résultat net en progression vers 25-28 milliards, porté par la maîtrise continue du coût du risque et des frais généraux. La solidité financière est renforcée par des capitaux propres de 113,2 milliards (+17%), mais l'absence de dividende et la perte sociale de -8 milliards restent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d'ORGT est globalement raisonnable (PER 10,2x, P/B 1,94x), mais l'EV/EBITDA élevé (20x) tempère l'attrait. Le comportement du cours sur 100 jours montre une tendance baissière (-13,5%) avec une volatilité élevée (43,6%), mais les statistiques (kurtosis mésokurtique, skewness positif) indiquent une distribution stable sans risque extrême. Les signaux techniques sont mitigés : les moyennes mobiles sont haussières, mais le MACD et le stochastique suggèrent un repli à court terme. Les fondamentaux sont solides avec un redressement spectaculaire de la rentabilité en 2025 (ROE 19,1%), confirmé par les rapports trimestriels 2025 et T1 2026. Les prédictions IA (3 156 à 3 144 FCFA sur J+1 à J+10) anticipent une légère baisse, cohérente avec les signaux techniques de court terme. **Recommandation finale : CONSERVER.** La convergence entre des fondamentaux en amélioration et une valorisation raisonnable est contrebalancée par des signaux techniques de court terme négatifs et une volatilité élevée. **Niveau de confiance : Moyen.** **Risque global : Élevé** (volatilité, environnement macroéconomique incertain). **Horizon d'investissement optimal : Moyen terme (3-12 mois)** pour capitaliser sur la poursuite du redressement fondamental.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145.24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3,568 titres</w:t>
            </w:r>
          </w:p>
        </w:tc>
        <w:tc>
          <w:tcPr>
            <w:tcW w:type="dxa" w:w="2268"/>
            <w:shd w:fill="FFF2CC" w:val="clear"/>
          </w:tcPr>
          <w:p>
            <w:r>
              <w:rPr>
                <w:b/>
                <w:color w:val="503200"/>
                <w:sz w:val="16"/>
              </w:rPr>
              <w:t xml:space="preserve">Cours actuel : </w:t>
            </w:r>
            <w:r>
              <w:rPr>
                <w:color w:val="000000"/>
                <w:sz w:val="17"/>
              </w:rPr>
              <w:t>9,395 FCFA</w:t>
            </w:r>
          </w:p>
          <w:p>
            <w:r>
              <w:rPr>
                <w:b/>
                <w:color w:val="503200"/>
                <w:sz w:val="16"/>
              </w:rPr>
              <w:t xml:space="preserve">Var. 100 jours : </w:t>
            </w:r>
            <w:r>
              <w:rPr>
                <w:b/>
                <w:color w:val="007800"/>
                <w:sz w:val="17"/>
              </w:rPr>
              <w:t>+15.28%</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6.62% (Moyenne) — μ=8,496 FCFA, σ=562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β=-0.2708 (Contre-cyclique) — Cov=-0.000010, Var(idx)=0.000036, ρ=-0.068,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9,128</w:t>
            </w:r>
          </w:p>
        </w:tc>
        <w:tc>
          <w:tcPr>
            <w:tcW w:type="dxa" w:w="1440"/>
            <w:shd w:fill="FAFAFA" w:val="clear"/>
          </w:tcPr>
          <w:p>
            <w:r>
              <w:rPr>
                <w:b/>
                <w:sz w:val="17"/>
              </w:rPr>
              <w:t>9,403</w:t>
            </w:r>
          </w:p>
        </w:tc>
        <w:tc>
          <w:tcPr>
            <w:tcW w:type="dxa" w:w="1440"/>
            <w:shd w:fill="FAFAFA" w:val="clear"/>
          </w:tcPr>
          <w:p>
            <w:r>
              <w:rPr>
                <w:sz w:val="17"/>
              </w:rPr>
              <w:t>9,679</w:t>
            </w:r>
          </w:p>
        </w:tc>
        <w:tc>
          <w:tcPr>
            <w:tcW w:type="dxa" w:w="1440"/>
            <w:shd w:fill="FAFAFA" w:val="clear"/>
          </w:tcPr>
          <w:p>
            <w:r>
              <w:rPr>
                <w:b/>
                <w:color w:val="008000"/>
                <w:sz w:val="17"/>
              </w:rPr>
              <w:t>+0.1%</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9,044</w:t>
            </w:r>
          </w:p>
        </w:tc>
        <w:tc>
          <w:tcPr>
            <w:tcW w:type="dxa" w:w="1440"/>
            <w:shd w:fill="FAFAFA" w:val="clear"/>
          </w:tcPr>
          <w:p>
            <w:r>
              <w:rPr>
                <w:b/>
                <w:sz w:val="17"/>
              </w:rPr>
              <w:t>9,436</w:t>
            </w:r>
          </w:p>
        </w:tc>
        <w:tc>
          <w:tcPr>
            <w:tcW w:type="dxa" w:w="1440"/>
            <w:shd w:fill="FAFAFA" w:val="clear"/>
          </w:tcPr>
          <w:p>
            <w:r>
              <w:rPr>
                <w:sz w:val="17"/>
              </w:rPr>
              <w:t>9,827</w:t>
            </w:r>
          </w:p>
        </w:tc>
        <w:tc>
          <w:tcPr>
            <w:tcW w:type="dxa" w:w="1440"/>
            <w:shd w:fill="FAFAFA" w:val="clear"/>
          </w:tcPr>
          <w:p>
            <w:r>
              <w:rPr>
                <w:b/>
                <w:color w:val="008000"/>
                <w:sz w:val="17"/>
              </w:rPr>
              <w:t>+0.4%</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8,981</w:t>
            </w:r>
          </w:p>
        </w:tc>
        <w:tc>
          <w:tcPr>
            <w:tcW w:type="dxa" w:w="1440"/>
            <w:shd w:fill="FAFAFA" w:val="clear"/>
          </w:tcPr>
          <w:p>
            <w:r>
              <w:rPr>
                <w:b/>
                <w:sz w:val="17"/>
              </w:rPr>
              <w:t>9,461</w:t>
            </w:r>
          </w:p>
        </w:tc>
        <w:tc>
          <w:tcPr>
            <w:tcW w:type="dxa" w:w="1440"/>
            <w:shd w:fill="FAFAFA" w:val="clear"/>
          </w:tcPr>
          <w:p>
            <w:r>
              <w:rPr>
                <w:sz w:val="17"/>
              </w:rPr>
              <w:t>9,942</w:t>
            </w:r>
          </w:p>
        </w:tc>
        <w:tc>
          <w:tcPr>
            <w:tcW w:type="dxa" w:w="1440"/>
            <w:shd w:fill="FAFAFA" w:val="clear"/>
          </w:tcPr>
          <w:p>
            <w:r>
              <w:rPr>
                <w:b/>
                <w:color w:val="008000"/>
                <w:sz w:val="17"/>
              </w:rPr>
              <w:t>+0.7%</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8,930</w:t>
            </w:r>
          </w:p>
        </w:tc>
        <w:tc>
          <w:tcPr>
            <w:tcW w:type="dxa" w:w="1440"/>
            <w:shd w:fill="FAFAFA" w:val="clear"/>
          </w:tcPr>
          <w:p>
            <w:r>
              <w:rPr>
                <w:b/>
                <w:sz w:val="17"/>
              </w:rPr>
              <w:t>9,486</w:t>
            </w:r>
          </w:p>
        </w:tc>
        <w:tc>
          <w:tcPr>
            <w:tcW w:type="dxa" w:w="1440"/>
            <w:shd w:fill="FAFAFA" w:val="clear"/>
          </w:tcPr>
          <w:p>
            <w:r>
              <w:rPr>
                <w:sz w:val="17"/>
              </w:rPr>
              <w:t>10,043</w:t>
            </w:r>
          </w:p>
        </w:tc>
        <w:tc>
          <w:tcPr>
            <w:tcW w:type="dxa" w:w="1440"/>
            <w:shd w:fill="FAFAFA" w:val="clear"/>
          </w:tcPr>
          <w:p>
            <w:r>
              <w:rPr>
                <w:b/>
                <w:color w:val="008000"/>
                <w:sz w:val="17"/>
              </w:rPr>
              <w:t>+1.0%</w:t>
            </w:r>
          </w:p>
        </w:tc>
      </w:tr>
      <w:tr>
        <w:tc>
          <w:tcPr>
            <w:tcW w:type="dxa" w:w="1440"/>
            <w:shd w:fill="FAFAFA" w:val="clear"/>
          </w:tcPr>
          <w:p>
            <w:r>
              <w:rPr>
                <w:sz w:val="17"/>
              </w:rPr>
              <w:t>J+5  Moyenne</w:t>
            </w:r>
          </w:p>
        </w:tc>
        <w:tc>
          <w:tcPr>
            <w:tcW w:type="dxa" w:w="1440"/>
            <w:shd w:fill="FAFAFA" w:val="clear"/>
          </w:tcPr>
          <w:p>
            <w:r>
              <w:rPr>
                <w:sz w:val="17"/>
              </w:rPr>
              <w:t>2026-09-07</w:t>
            </w:r>
          </w:p>
        </w:tc>
        <w:tc>
          <w:tcPr>
            <w:tcW w:type="dxa" w:w="1440"/>
            <w:shd w:fill="FAFAFA" w:val="clear"/>
          </w:tcPr>
          <w:p>
            <w:r>
              <w:rPr>
                <w:sz w:val="17"/>
              </w:rPr>
              <w:t>8,888</w:t>
            </w:r>
          </w:p>
        </w:tc>
        <w:tc>
          <w:tcPr>
            <w:tcW w:type="dxa" w:w="1440"/>
            <w:shd w:fill="FAFAFA" w:val="clear"/>
          </w:tcPr>
          <w:p>
            <w:r>
              <w:rPr>
                <w:b/>
                <w:sz w:val="17"/>
              </w:rPr>
              <w:t>9,512</w:t>
            </w:r>
          </w:p>
        </w:tc>
        <w:tc>
          <w:tcPr>
            <w:tcW w:type="dxa" w:w="1440"/>
            <w:shd w:fill="FAFAFA" w:val="clear"/>
          </w:tcPr>
          <w:p>
            <w:r>
              <w:rPr>
                <w:sz w:val="17"/>
              </w:rPr>
              <w:t>10,136</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2026-09-08</w:t>
            </w:r>
          </w:p>
        </w:tc>
        <w:tc>
          <w:tcPr>
            <w:tcW w:type="dxa" w:w="1440"/>
            <w:shd w:fill="FAFAFA" w:val="clear"/>
          </w:tcPr>
          <w:p>
            <w:r>
              <w:rPr>
                <w:sz w:val="17"/>
              </w:rPr>
              <w:t>8,852</w:t>
            </w:r>
          </w:p>
        </w:tc>
        <w:tc>
          <w:tcPr>
            <w:tcW w:type="dxa" w:w="1440"/>
            <w:shd w:fill="FAFAFA" w:val="clear"/>
          </w:tcPr>
          <w:p>
            <w:r>
              <w:rPr>
                <w:b/>
                <w:sz w:val="17"/>
              </w:rPr>
              <w:t>9,538</w:t>
            </w:r>
          </w:p>
        </w:tc>
        <w:tc>
          <w:tcPr>
            <w:tcW w:type="dxa" w:w="1440"/>
            <w:shd w:fill="FAFAFA" w:val="clear"/>
          </w:tcPr>
          <w:p>
            <w:r>
              <w:rPr>
                <w:sz w:val="17"/>
              </w:rPr>
              <w:t>10,223</w:t>
            </w:r>
          </w:p>
        </w:tc>
        <w:tc>
          <w:tcPr>
            <w:tcW w:type="dxa" w:w="1440"/>
            <w:shd w:fill="FAFAFA" w:val="clear"/>
          </w:tcPr>
          <w:p>
            <w:r>
              <w:rPr>
                <w:b/>
                <w:color w:val="008000"/>
                <w:sz w:val="17"/>
              </w:rPr>
              <w:t>+1.5%</w:t>
            </w:r>
          </w:p>
        </w:tc>
      </w:tr>
      <w:tr>
        <w:tc>
          <w:tcPr>
            <w:tcW w:type="dxa" w:w="1440"/>
            <w:shd w:fill="FAFAFA" w:val="clear"/>
          </w:tcPr>
          <w:p>
            <w:r>
              <w:rPr>
                <w:sz w:val="17"/>
              </w:rPr>
              <w:t>J+7  Moyenne</w:t>
            </w:r>
          </w:p>
        </w:tc>
        <w:tc>
          <w:tcPr>
            <w:tcW w:type="dxa" w:w="1440"/>
            <w:shd w:fill="FAFAFA" w:val="clear"/>
          </w:tcPr>
          <w:p>
            <w:r>
              <w:rPr>
                <w:sz w:val="17"/>
              </w:rPr>
              <w:t>2026-09-09</w:t>
            </w:r>
          </w:p>
        </w:tc>
        <w:tc>
          <w:tcPr>
            <w:tcW w:type="dxa" w:w="1440"/>
            <w:shd w:fill="FAFAFA" w:val="clear"/>
          </w:tcPr>
          <w:p>
            <w:r>
              <w:rPr>
                <w:sz w:val="17"/>
              </w:rPr>
              <w:t>8,821</w:t>
            </w:r>
          </w:p>
        </w:tc>
        <w:tc>
          <w:tcPr>
            <w:tcW w:type="dxa" w:w="1440"/>
            <w:shd w:fill="FAFAFA" w:val="clear"/>
          </w:tcPr>
          <w:p>
            <w:r>
              <w:rPr>
                <w:b/>
                <w:sz w:val="17"/>
              </w:rPr>
              <w:t>9,563</w:t>
            </w:r>
          </w:p>
        </w:tc>
        <w:tc>
          <w:tcPr>
            <w:tcW w:type="dxa" w:w="1440"/>
            <w:shd w:fill="FAFAFA" w:val="clear"/>
          </w:tcPr>
          <w:p>
            <w:r>
              <w:rPr>
                <w:sz w:val="17"/>
              </w:rPr>
              <w:t>10,305</w:t>
            </w:r>
          </w:p>
        </w:tc>
        <w:tc>
          <w:tcPr>
            <w:tcW w:type="dxa" w:w="1440"/>
            <w:shd w:fill="FAFAFA" w:val="clear"/>
          </w:tcPr>
          <w:p>
            <w:r>
              <w:rPr>
                <w:b/>
                <w:color w:val="008000"/>
                <w:sz w:val="17"/>
              </w:rPr>
              <w:t>+1.8%</w:t>
            </w:r>
          </w:p>
        </w:tc>
      </w:tr>
      <w:tr>
        <w:tc>
          <w:tcPr>
            <w:tcW w:type="dxa" w:w="1440"/>
            <w:shd w:fill="C6EFCE" w:val="clear"/>
          </w:tcPr>
          <w:p>
            <w:r>
              <w:rPr>
                <w:sz w:val="17"/>
              </w:rPr>
              <w:t>J+8  Moyenne</w:t>
            </w:r>
          </w:p>
        </w:tc>
        <w:tc>
          <w:tcPr>
            <w:tcW w:type="dxa" w:w="1440"/>
            <w:shd w:fill="C6EFCE" w:val="clear"/>
          </w:tcPr>
          <w:p>
            <w:r>
              <w:rPr>
                <w:sz w:val="17"/>
              </w:rPr>
              <w:t>2026-09-10</w:t>
            </w:r>
          </w:p>
        </w:tc>
        <w:tc>
          <w:tcPr>
            <w:tcW w:type="dxa" w:w="1440"/>
            <w:shd w:fill="C6EFCE" w:val="clear"/>
          </w:tcPr>
          <w:p>
            <w:r>
              <w:rPr>
                <w:sz w:val="17"/>
              </w:rPr>
              <w:t>8,793</w:t>
            </w:r>
          </w:p>
        </w:tc>
        <w:tc>
          <w:tcPr>
            <w:tcW w:type="dxa" w:w="1440"/>
            <w:shd w:fill="C6EFCE" w:val="clear"/>
          </w:tcPr>
          <w:p>
            <w:r>
              <w:rPr>
                <w:b/>
                <w:sz w:val="17"/>
              </w:rPr>
              <w:t>9,589</w:t>
            </w:r>
          </w:p>
        </w:tc>
        <w:tc>
          <w:tcPr>
            <w:tcW w:type="dxa" w:w="1440"/>
            <w:shd w:fill="C6EFCE" w:val="clear"/>
          </w:tcPr>
          <w:p>
            <w:r>
              <w:rPr>
                <w:sz w:val="17"/>
              </w:rPr>
              <w:t>10,384</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2026-09-11</w:t>
            </w:r>
          </w:p>
        </w:tc>
        <w:tc>
          <w:tcPr>
            <w:tcW w:type="dxa" w:w="1440"/>
            <w:shd w:fill="C6EFCE" w:val="clear"/>
          </w:tcPr>
          <w:p>
            <w:r>
              <w:rPr>
                <w:sz w:val="17"/>
              </w:rPr>
              <w:t>8,768</w:t>
            </w:r>
          </w:p>
        </w:tc>
        <w:tc>
          <w:tcPr>
            <w:tcW w:type="dxa" w:w="1440"/>
            <w:shd w:fill="C6EFCE" w:val="clear"/>
          </w:tcPr>
          <w:p>
            <w:r>
              <w:rPr>
                <w:b/>
                <w:sz w:val="17"/>
              </w:rPr>
              <w:t>9,614</w:t>
            </w:r>
          </w:p>
        </w:tc>
        <w:tc>
          <w:tcPr>
            <w:tcW w:type="dxa" w:w="1440"/>
            <w:shd w:fill="C6EFCE" w:val="clear"/>
          </w:tcPr>
          <w:p>
            <w:r>
              <w:rPr>
                <w:sz w:val="17"/>
              </w:rPr>
              <w:t>10,460</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2026-09-14</w:t>
            </w:r>
          </w:p>
        </w:tc>
        <w:tc>
          <w:tcPr>
            <w:tcW w:type="dxa" w:w="1440"/>
            <w:shd w:fill="C6EFCE" w:val="clear"/>
          </w:tcPr>
          <w:p>
            <w:r>
              <w:rPr>
                <w:sz w:val="17"/>
              </w:rPr>
              <w:t>8,745</w:t>
            </w:r>
          </w:p>
        </w:tc>
        <w:tc>
          <w:tcPr>
            <w:tcW w:type="dxa" w:w="1440"/>
            <w:shd w:fill="C6EFCE" w:val="clear"/>
          </w:tcPr>
          <w:p>
            <w:r>
              <w:rPr>
                <w:b/>
                <w:sz w:val="17"/>
              </w:rPr>
              <w:t>9,640</w:t>
            </w:r>
          </w:p>
        </w:tc>
        <w:tc>
          <w:tcPr>
            <w:tcW w:type="dxa" w:w="1440"/>
            <w:shd w:fill="C6EFCE" w:val="clear"/>
          </w:tcPr>
          <w:p>
            <w:r>
              <w:rPr>
                <w:sz w:val="17"/>
              </w:rPr>
              <w:t>10,534</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145,24 milliards FCFA, ce qui en fait une valeur de taille moyenne sur la BRVM, représentant un actif liquide et significatif dans l'agro-industrie. Avec un BPA de 1 003 FCFA, chaque action génère un bénéfice substantiel, justifiant un PER de 9,4x. Ce ratio est dans la fourchette basse de la moyenne du marché BRVM (8-12x), signalant que les investisseurs paient un prix raisonnable, voire décoté, pour les bénéfices de l'entreprise. Le P/B de 1,02x indique que le titre se négocie très près de sa valeur comptable, ce qui est attractif pour une société avec une rentabilité positive. Enfin, un EV/EBITDA de 4,6x, nettement inférieur à 5x, confirme une valorisation très bon marché, la valeur totale de l'entreprise (dette incluse) étant faible par rapport à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PALC a affiché une tendance haussière marquée, avec une variation totale de +15,28%, bien que la dernière séance montre une stabilité (-0,05%). Le titre a évolué dans une fourchette de 7 000 FCFA (plus bas) à 9 640 FCFA (plus haut), démontrant une forte dynamique de reprise. La moyenne du cours (8 496 FCFA) est inférieure à la médiane (8 680 FCFA), suggérant une distribution légèrement asymétrique à gauche, ce qui est confirmé par un skewness de -0,230. L'écart-type de 565 FCFA (CV=6,7%) indique une dispersion modérée autour de la moyenne. Le kurtosis de -0,537 (mésokurtique) signifie que le cours suit une distribution proche de la normale, sans pics de volatilité extrêmes. Cependant, la volatilité annualisée de 37,8% est élevée (&gt;30%), ce qui positionne PALC comme un titre dynamique, offrant un potentiel de rendement mais avec un risque de fluctuation important.</w:t>
      </w:r>
    </w:p>
    <w:p>
      <w:pPr>
        <w:spacing w:after="120" w:line="276" w:lineRule="auto" w:before="240"/>
      </w:pPr>
      <w:r>
        <w:rPr>
          <w:b/>
          <w:color w:val="003366"/>
          <w:sz w:val="24"/>
        </w:rPr>
        <w:t>**PARTIE 2 : ANALYSE TECHNIQUE DÉTAILLÉE**</w:t>
      </w:r>
    </w:p>
    <w:p>
      <w:pPr>
        <w:spacing w:after="120" w:line="276" w:lineRule="auto"/>
      </w:pPr>
      <w:r>
        <w:t>Les **Moyennes Mobiles** (MM20 à 9 221,5 FCFA et MM50 à 8 927,8 FCFA) sont toutes deux inférieures au cours actuel de 9 395 FCFA, confirmant une tendance haussière de court et moyen terme. Le croisement haussier (cours &gt; MM20 &gt; MM50) valide la dynamique positive, d'où la décision d'**Achat**.</w:t>
      </w:r>
    </w:p>
    <w:p>
      <w:pPr>
        <w:spacing w:after="120" w:line="276" w:lineRule="auto"/>
      </w:pPr>
      <w:r>
        <w:t>Les **Bandes de Bollinger** montrent un cours situé entre la borne supérieure (9 703,6 FCFA) et la borne inférieure (8 739,4 FCFA), proche de la partie haute. Cette position indique une pression acheteuse sans être en zone de surachat extrême. La décision est **Neutre**, suggérant une poursuite possible de la tendance mais avec une vigilance sur une éventuelle correction.</w:t>
      </w:r>
    </w:p>
    <w:p>
      <w:pPr>
        <w:spacing w:after="120" w:line="276" w:lineRule="auto"/>
      </w:pPr>
      <w:r>
        <w:t>Le **MACD** présente une valeur (153,9) inférieure à son signal (164,5), indiquant un momentum baissier à très court terme. Cette divergence récente pourrait signaler un essoufflement de la hausse, justifiant une décision de **Vente** pour les traders à court terme.</w:t>
      </w:r>
    </w:p>
    <w:p>
      <w:pPr>
        <w:spacing w:after="120" w:line="276" w:lineRule="auto"/>
      </w:pPr>
      <w:r>
        <w:t>Le **RSI** à 58,08 se situe en zone neutre (30-70), sans signal de surachat ou de survente. Cela reflète un équilibre entre acheteurs et vendeurs, avec une légère prédominance haussière. La décision est **Neutre**.</w:t>
      </w:r>
    </w:p>
    <w:p>
      <w:pPr>
        <w:spacing w:after="120" w:line="276" w:lineRule="auto"/>
      </w:pPr>
      <w:r>
        <w:t>Le **Stochastique** (%K=62,9, %D=48,2) montre que le %K est au-dessus du %D, indiquant un croisement haussier récent. Le titre n'est pas en zone de surachat, laissant une marge de progression. La décision est **Neutre**.</w:t>
      </w:r>
    </w:p>
    <w:p>
      <w:pPr>
        <w:spacing w:after="120" w:line="276" w:lineRule="auto"/>
      </w:pPr>
      <w:r>
        <w:t>En conclusion, les indicateurs techniques sont mitigés : les moyennes mobiles sont haussières, mais le MACD et le RSI suggèrent une consolidation à court terme. La tendance de fond reste positive, mais un repli technique est possible avant une reprise.</w:t>
      </w:r>
    </w:p>
    <w:p>
      <w:pPr>
        <w:spacing w:after="120" w:line="276" w:lineRule="auto" w:before="240"/>
      </w:pPr>
      <w:r>
        <w:rPr>
          <w:b/>
          <w:color w:val="003366"/>
          <w:sz w:val="24"/>
        </w:rPr>
        <w:t>**PARTIE 3 : ANALYSE FONDAMENTALE (SECTION CRITIQUE)**</w:t>
      </w:r>
    </w:p>
    <w:p>
      <w:pPr>
        <w:spacing w:after="120" w:line="276" w:lineRule="auto"/>
      </w:pPr>
      <w:r>
        <w:t>En 2025, PALC affiche des données financières structurées solides : un chiffre d'affaires de 197,63 milliards FCFA, en croissance de +14,8% par rapport à 2024 (172,2 milliards FCFA), et un résultat net de 15,51 milliards FCFA, en léger repli de -2,2% (vs 15,9 milliards en 2024). La marge nette s'établit à 7,85%, en baisse par rapport aux 9,2% de 2024, sous l'effet d'une hausse des charges opérationnelles (personnel +4%, services extérieurs +30,3%). Le ROE est de 10,87% et le ROA de 7,79%, reflétant une rentabilité correcte mais en dessous du seuil "excellent" de 15%. La structure financière est très saine avec une autonomie financière de 71,6%, une dette financière réduite à 796,6 millions FCFA (capacité de remboursement de 0,03 an) et une solvabilité générale de 352,6%. Le BFR est négatif (-44,6 milliards FCFA), ce qui est favorable pour la trésorerie, mais le délai client de 142 jours reste élevé, constituant un risque de liquidité. Les rapports trimestriels 2025 montrent une performance exceptionnelle au S1 (CA +25% à 134,8 milliards, résultat net +37% à 22,9 milliards), mais le T1 2026 (rapport du 31/12/2026) révèle une chute de -27% du CA et de -86% du résultat net, attribuée à un décalage temporel des ventes. En estimant sur la base du S1 2025 et du T3 2025 (CA cumulé 168,9 milliards, résultat net 18 milliards), l'exercice 2025 a dépassé les attentes, mais la prudence est de mise pour 2026.</w:t>
      </w:r>
    </w:p>
    <w:p>
      <w:pPr>
        <w:spacing w:after="120" w:line="276" w:lineRule="auto" w:before="240"/>
      </w:pPr>
      <w:r>
        <w:rPr>
          <w:b/>
          <w:color w:val="003366"/>
          <w:sz w:val="24"/>
        </w:rPr>
        <w:t>**PARTIE 4 : CONCLUSION D'INVESTISSEMENT**</w:t>
      </w:r>
    </w:p>
    <w:p>
      <w:pPr>
        <w:spacing w:after="120" w:line="276" w:lineRule="auto"/>
      </w:pPr>
      <w:r>
        <w:t>La valorisation de PALC est attractive (PER 9,4x, P/B 1,02x, EV/EBITDA 4,6x), indiquant une sous-évaluation relative sur la BRVM. Le comportement du cours sur 100 jours est haussier (+15,28%) avec une volatilité élevée (37,8%), mais les statistiques (kurtosis, skewness) montrent une distribution normale sans risque extrême. Les signaux techniques sont partagés : les moyennes mobiles sont haussières, mais le MACD et le RSI suggèrent une consolidation à court terme. Les fondamentaux restent solides avec une croissance du CA en 2025, une dette quasi nulle et une bonne rentabilité, malgré une baisse des marges et un T1 2026 difficile. Les prédictions IA (9 403 à 9 512 FCFA sur J+1 à J+10) confirment une légère tendance haussière, en ligne avec la dynamique de fond. En synthèse, la convergence entre la sous-évaluation, la tendance haussière et les fondamentaux robustes plaide pour une **recommandation ACHAT**, avec un niveau de confiance **Moyen** (en raison des incertitudes sur le T1 2026 et la volatilité des cours de l'huile de palme). Le risque global est **Moyen**, et l'horizon d'investissement optimal est le **moyen terme (3-12 mois)**, en surveillant les prochains rapports trimestriels pour confirmer le redressement.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45.41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 titres</w:t>
            </w:r>
          </w:p>
        </w:tc>
        <w:tc>
          <w:tcPr>
            <w:tcW w:type="dxa" w:w="2268"/>
            <w:shd w:fill="FFF2CC" w:val="clear"/>
          </w:tcPr>
          <w:p>
            <w:r>
              <w:rPr>
                <w:b/>
                <w:color w:val="503200"/>
                <w:sz w:val="16"/>
              </w:rPr>
              <w:t xml:space="preserve">Cours actuel : </w:t>
            </w:r>
            <w:r>
              <w:rPr>
                <w:color w:val="000000"/>
                <w:sz w:val="17"/>
              </w:rPr>
              <w:t>4,435 FCFA</w:t>
            </w:r>
          </w:p>
          <w:p>
            <w:r>
              <w:rPr>
                <w:b/>
                <w:color w:val="503200"/>
                <w:sz w:val="16"/>
              </w:rPr>
              <w:t xml:space="preserve">Var. 100 jours : </w:t>
            </w:r>
            <w:r>
              <w:rPr>
                <w:b/>
                <w:color w:val="B40000"/>
                <w:sz w:val="17"/>
              </w:rPr>
              <w:t>-6.83%</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μ=4,442 FCFA, σ=345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β=-0.2628 (Contre-cyclique) — Cov=-0.000009, Var(idx)=0.000036, ρ=-0.064,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4,346</w:t>
            </w:r>
          </w:p>
        </w:tc>
        <w:tc>
          <w:tcPr>
            <w:tcW w:type="dxa" w:w="1440"/>
            <w:shd w:fill="FAFAFA" w:val="clear"/>
          </w:tcPr>
          <w:p>
            <w:r>
              <w:rPr>
                <w:b/>
                <w:sz w:val="17"/>
              </w:rPr>
              <w:t>4,429</w:t>
            </w:r>
          </w:p>
        </w:tc>
        <w:tc>
          <w:tcPr>
            <w:tcW w:type="dxa" w:w="1440"/>
            <w:shd w:fill="FAFAFA" w:val="clear"/>
          </w:tcPr>
          <w:p>
            <w:r>
              <w:rPr>
                <w:sz w:val="17"/>
              </w:rPr>
              <w:t>4,513</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4,286</w:t>
            </w:r>
          </w:p>
        </w:tc>
        <w:tc>
          <w:tcPr>
            <w:tcW w:type="dxa" w:w="1440"/>
            <w:shd w:fill="FAFAFA" w:val="clear"/>
          </w:tcPr>
          <w:p>
            <w:r>
              <w:rPr>
                <w:b/>
                <w:sz w:val="17"/>
              </w:rPr>
              <w:t>4,403</w:t>
            </w:r>
          </w:p>
        </w:tc>
        <w:tc>
          <w:tcPr>
            <w:tcW w:type="dxa" w:w="1440"/>
            <w:shd w:fill="FAFAFA" w:val="clear"/>
          </w:tcPr>
          <w:p>
            <w:r>
              <w:rPr>
                <w:sz w:val="17"/>
              </w:rPr>
              <w:t>4,521</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4,239</w:t>
            </w:r>
          </w:p>
        </w:tc>
        <w:tc>
          <w:tcPr>
            <w:tcW w:type="dxa" w:w="1440"/>
            <w:shd w:fill="FAFAFA" w:val="clear"/>
          </w:tcPr>
          <w:p>
            <w:r>
              <w:rPr>
                <w:b/>
                <w:sz w:val="17"/>
              </w:rPr>
              <w:t>4,382</w:t>
            </w:r>
          </w:p>
        </w:tc>
        <w:tc>
          <w:tcPr>
            <w:tcW w:type="dxa" w:w="1440"/>
            <w:shd w:fill="FAFAFA" w:val="clear"/>
          </w:tcPr>
          <w:p>
            <w:r>
              <w:rPr>
                <w:sz w:val="17"/>
              </w:rPr>
              <w:t>4,525</w:t>
            </w:r>
          </w:p>
        </w:tc>
        <w:tc>
          <w:tcPr>
            <w:tcW w:type="dxa" w:w="1440"/>
            <w:shd w:fill="FAFAFA" w:val="clear"/>
          </w:tcPr>
          <w:p>
            <w:r>
              <w:rPr>
                <w:b/>
                <w:color w:val="C00000"/>
                <w:sz w:val="17"/>
              </w:rPr>
              <w:t>-1.2%</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4,197</w:t>
            </w:r>
          </w:p>
        </w:tc>
        <w:tc>
          <w:tcPr>
            <w:tcW w:type="dxa" w:w="1440"/>
            <w:shd w:fill="FAFAFA" w:val="clear"/>
          </w:tcPr>
          <w:p>
            <w:r>
              <w:rPr>
                <w:b/>
                <w:sz w:val="17"/>
              </w:rPr>
              <w:t>4,361</w:t>
            </w:r>
          </w:p>
        </w:tc>
        <w:tc>
          <w:tcPr>
            <w:tcW w:type="dxa" w:w="1440"/>
            <w:shd w:fill="FAFAFA" w:val="clear"/>
          </w:tcPr>
          <w:p>
            <w:r>
              <w:rPr>
                <w:sz w:val="17"/>
              </w:rPr>
              <w:t>4,525</w:t>
            </w:r>
          </w:p>
        </w:tc>
        <w:tc>
          <w:tcPr>
            <w:tcW w:type="dxa" w:w="1440"/>
            <w:shd w:fill="FAFAFA" w:val="clear"/>
          </w:tcPr>
          <w:p>
            <w:r>
              <w:rPr>
                <w:b/>
                <w:color w:val="C00000"/>
                <w:sz w:val="17"/>
              </w:rPr>
              <w:t>-1.7%</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4,157</w:t>
            </w:r>
          </w:p>
        </w:tc>
        <w:tc>
          <w:tcPr>
            <w:tcW w:type="dxa" w:w="1440"/>
            <w:shd w:fill="FFDCE0" w:val="clear"/>
          </w:tcPr>
          <w:p>
            <w:r>
              <w:rPr>
                <w:b/>
                <w:sz w:val="17"/>
              </w:rPr>
              <w:t>4,340</w:t>
            </w:r>
          </w:p>
        </w:tc>
        <w:tc>
          <w:tcPr>
            <w:tcW w:type="dxa" w:w="1440"/>
            <w:shd w:fill="FFDCE0" w:val="clear"/>
          </w:tcPr>
          <w:p>
            <w:r>
              <w:rPr>
                <w:sz w:val="17"/>
              </w:rPr>
              <w:t>4,523</w:t>
            </w:r>
          </w:p>
        </w:tc>
        <w:tc>
          <w:tcPr>
            <w:tcW w:type="dxa" w:w="1440"/>
            <w:shd w:fill="FFDCE0" w:val="clear"/>
          </w:tcPr>
          <w:p>
            <w:r>
              <w:rPr>
                <w:b/>
                <w:color w:val="C00000"/>
                <w:sz w:val="17"/>
              </w:rPr>
              <w:t>-2.1%</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4,121</w:t>
            </w:r>
          </w:p>
        </w:tc>
        <w:tc>
          <w:tcPr>
            <w:tcW w:type="dxa" w:w="1440"/>
            <w:shd w:fill="FFDCE0" w:val="clear"/>
          </w:tcPr>
          <w:p>
            <w:r>
              <w:rPr>
                <w:b/>
                <w:sz w:val="17"/>
              </w:rPr>
              <w:t>4,320</w:t>
            </w:r>
          </w:p>
        </w:tc>
        <w:tc>
          <w:tcPr>
            <w:tcW w:type="dxa" w:w="1440"/>
            <w:shd w:fill="FFDCE0" w:val="clear"/>
          </w:tcPr>
          <w:p>
            <w:r>
              <w:rPr>
                <w:sz w:val="17"/>
              </w:rPr>
              <w:t>4,520</w:t>
            </w:r>
          </w:p>
        </w:tc>
        <w:tc>
          <w:tcPr>
            <w:tcW w:type="dxa" w:w="1440"/>
            <w:shd w:fill="FFDCE0" w:val="clear"/>
          </w:tcPr>
          <w:p>
            <w:r>
              <w:rPr>
                <w:b/>
                <w:color w:val="C00000"/>
                <w:sz w:val="17"/>
              </w:rPr>
              <w:t>-2.6%</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4,086</w:t>
            </w:r>
          </w:p>
        </w:tc>
        <w:tc>
          <w:tcPr>
            <w:tcW w:type="dxa" w:w="1440"/>
            <w:shd w:fill="FFDCE0" w:val="clear"/>
          </w:tcPr>
          <w:p>
            <w:r>
              <w:rPr>
                <w:b/>
                <w:sz w:val="17"/>
              </w:rPr>
              <w:t>4,300</w:t>
            </w:r>
          </w:p>
        </w:tc>
        <w:tc>
          <w:tcPr>
            <w:tcW w:type="dxa" w:w="1440"/>
            <w:shd w:fill="FFDCE0" w:val="clear"/>
          </w:tcPr>
          <w:p>
            <w:r>
              <w:rPr>
                <w:sz w:val="17"/>
              </w:rPr>
              <w:t>4,515</w:t>
            </w:r>
          </w:p>
        </w:tc>
        <w:tc>
          <w:tcPr>
            <w:tcW w:type="dxa" w:w="1440"/>
            <w:shd w:fill="FFDCE0" w:val="clear"/>
          </w:tcPr>
          <w:p>
            <w:r>
              <w:rPr>
                <w:b/>
                <w:color w:val="C00000"/>
                <w:sz w:val="17"/>
              </w:rPr>
              <w:t>-3.0%</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4,052</w:t>
            </w:r>
          </w:p>
        </w:tc>
        <w:tc>
          <w:tcPr>
            <w:tcW w:type="dxa" w:w="1440"/>
            <w:shd w:fill="FFDCE0" w:val="clear"/>
          </w:tcPr>
          <w:p>
            <w:r>
              <w:rPr>
                <w:b/>
                <w:sz w:val="17"/>
              </w:rPr>
              <w:t>4,281</w:t>
            </w:r>
          </w:p>
        </w:tc>
        <w:tc>
          <w:tcPr>
            <w:tcW w:type="dxa" w:w="1440"/>
            <w:shd w:fill="FFDCE0" w:val="clear"/>
          </w:tcPr>
          <w:p>
            <w:r>
              <w:rPr>
                <w:sz w:val="17"/>
              </w:rPr>
              <w:t>4,509</w:t>
            </w:r>
          </w:p>
        </w:tc>
        <w:tc>
          <w:tcPr>
            <w:tcW w:type="dxa" w:w="1440"/>
            <w:shd w:fill="FFDCE0" w:val="clear"/>
          </w:tcPr>
          <w:p>
            <w:r>
              <w:rPr>
                <w:b/>
                <w:color w:val="C00000"/>
                <w:sz w:val="17"/>
              </w:rPr>
              <w:t>-3.5%</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4,020</w:t>
            </w:r>
          </w:p>
        </w:tc>
        <w:tc>
          <w:tcPr>
            <w:tcW w:type="dxa" w:w="1440"/>
            <w:shd w:fill="FFDCE0" w:val="clear"/>
          </w:tcPr>
          <w:p>
            <w:r>
              <w:rPr>
                <w:b/>
                <w:sz w:val="17"/>
              </w:rPr>
              <w:t>4,262</w:t>
            </w:r>
          </w:p>
        </w:tc>
        <w:tc>
          <w:tcPr>
            <w:tcW w:type="dxa" w:w="1440"/>
            <w:shd w:fill="FFDCE0" w:val="clear"/>
          </w:tcPr>
          <w:p>
            <w:r>
              <w:rPr>
                <w:sz w:val="17"/>
              </w:rPr>
              <w:t>4,503</w:t>
            </w:r>
          </w:p>
        </w:tc>
        <w:tc>
          <w:tcPr>
            <w:tcW w:type="dxa" w:w="1440"/>
            <w:shd w:fill="FFDCE0" w:val="clear"/>
          </w:tcPr>
          <w:p>
            <w:r>
              <w:rPr>
                <w:b/>
                <w:color w:val="C00000"/>
                <w:sz w:val="17"/>
              </w:rPr>
              <w:t>-3.9%</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3,990</w:t>
            </w:r>
          </w:p>
        </w:tc>
        <w:tc>
          <w:tcPr>
            <w:tcW w:type="dxa" w:w="1440"/>
            <w:shd w:fill="FFDCE0" w:val="clear"/>
          </w:tcPr>
          <w:p>
            <w:r>
              <w:rPr>
                <w:b/>
                <w:sz w:val="17"/>
              </w:rPr>
              <w:t>4,243</w:t>
            </w:r>
          </w:p>
        </w:tc>
        <w:tc>
          <w:tcPr>
            <w:tcW w:type="dxa" w:w="1440"/>
            <w:shd w:fill="FFDCE0" w:val="clear"/>
          </w:tcPr>
          <w:p>
            <w:r>
              <w:rPr>
                <w:sz w:val="17"/>
              </w:rPr>
              <w:t>4,496</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30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45,41 milliards FCFA, ce qui positionne la société parmi les valeurs moyennes de la cote de la BRVM. Avec un BPA de 231 FCFA, chaque action génère un bénéfice confortable, justifiant un PER de 19,2x. Ce ratio est nettement supérieur à la moyenne historique de la BRVM (8-12x), indiquant que le marché valorise généreusement la croissance future de l'entreprise. Le P/B de 3,94x confirme cette prime de croissance, le marché acceptant de payer près de 4 fois la valeur comptable des actifs, ce qui est élevé pour la région. Enfin, l'EV/EBITDA de 9,8x, bien que dans la fourchette haute des standards, reste raisonnable et suggère que la valorisation actuelle intègre une solide capacité opérationnelle à générer des liquidités.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6,83%, avec une dernière séance en repli de 1,22%, s'échangeant à 4 435 FCFA. Le titre a évolué dans une fourchette large de 3 620 à 5 100 FCFA, illustrant une volatilité significative. La moyenne (4 442 FCFA) et la médiane (4 488 FCFA) sont proches, mais la médiane légèrement supérieure indique une distribution légèrement asymétrique vers les bas cours. L'écart-type de 346 FCFA (CV de 7,8%) montre une dispersion modérée. Le kurtosis de 0,276 (mésokurtique) suggère une distribution proche de la normale, sans risque de pics extrêmes. Le skewness de -0,677 révèle une asymétrie négative, signifiant que les journées au-dessus de la moyenne sont plus fréquentes mais de moindre ampleur. La volatilité annualisée de 40% classe le titre comme très volatil, un niveau élevé qui exige une grande prudence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(4 435 FCFA) est inférieur à la MM20 (4 460,75 FCFA) et à la MM50 (4 506,6 FCFA), confirmant une tendance baissière à court et moyen terme. La décision de "Vente" est justifiée par cette configuration, où le prix évolue sous ses moyennes mobiles, signalant une pression vendeuse persistante.</w:t>
      </w:r>
    </w:p>
    <w:p>
      <w:pPr>
        <w:spacing w:after="120" w:line="276" w:lineRule="auto"/>
      </w:pPr>
      <w:r>
        <w:t>**Bandes de Bollinger :** Le cours se situe entre la borne inférieure (4 364,05 FCFA) et la borne supérieure (4 557,45 FCFA), proche de la borne basse. Cela indique une volatilité modérée avec un potentiel de rebond technique, mais sans signal fort. La décision "Neutre" est cohérente, le prix n'ayant pas encore touché les extrêmes.</w:t>
      </w:r>
    </w:p>
    <w:p>
      <w:pPr>
        <w:spacing w:after="120" w:line="276" w:lineRule="auto"/>
      </w:pPr>
      <w:r>
        <w:t>**MACD :** La valeur du MACD (0,335) est positive et au-dessus de sa ligne de signal (-2,945), ce qui constitue un croisement haussier. Ce signal d'"Achat" suggère un retournement potentiel du momentum, même si la faiblesse des valeurs absolues indique une dynamique encore fragile.</w:t>
      </w:r>
    </w:p>
    <w:p>
      <w:pPr>
        <w:spacing w:after="120" w:line="276" w:lineRule="auto"/>
      </w:pPr>
      <w:r>
        <w:t>**RSI :** À 48,5, le RSI est en zone neutre, sans surachat ni survente. Cela reflète un équilibre entre acheteurs et vendeurs, ne fournissant pas de signal directionnel fort. La décision "Neutre" est donc appropriée.</w:t>
      </w:r>
    </w:p>
    <w:p>
      <w:pPr>
        <w:spacing w:after="120" w:line="276" w:lineRule="auto"/>
      </w:pPr>
      <w:r>
        <w:t>**Stochastique :** Le %K (23,3) est inférieur au %D (60,0), indiquant une dynamique baissière à court terme. Bien que le %K soit proche de la zone de survente, le croisement baissier actuel suggère une poursuite possible du mouvement. La décision "Neutre" reflète cette ambiguïté.</w:t>
      </w:r>
    </w:p>
    <w:p>
      <w:pPr>
        <w:spacing w:after="120" w:line="276" w:lineRule="auto"/>
      </w:pPr>
      <w:r>
        <w:t>**Conclusion technique :** Les indicateurs sont mitigés : les moyennes mobiles et le stochastique penchent vers une faiblesse, tandis que le MACD montre un signe d'amélioration. Le RSI et les bandes de Bollinger restent neutres. Cette divergence indique une phase de consolidation sans tendance claire, nécessitant une confirmation directionnelle.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et un résultat net de 2,367 milliards FCFA, stable par rapport aux 2,35 milliards de 2024. La marge nette s'établit à 2,92%, tandis que le ROE est excellent à 20,53%, démontrant une utilisation efficace des capitaux propres. Le ROA de 4,95% est plus modeste, reflétant une base d'actifs importante (47,8 milliards). En tant qu'entreprise de distribution, le BFR de 11,267 milliards est un point de vigilance, avec un délai de stockage de 150 jours et un délai clients de 46 jours, compensés par un délai fournisseurs de 102 jours. L'endettement total représente 314% des capitaux propres, mais la capacité de remboursement est correcte (1,83 an). Les rapports du S1 2025 (daté du 30/06/2025) montrent une performance exceptionnelle avec un CA de 39,97 milliards (+15,1%) et un résultat net multiplié par 28 à 1,436 milliard. Sur cette base, on estime que l'exercice 2025 aurait pu dépasser les 3 milliards de résultat net, mais la prudence de la direction face au contexte électoral a tempéré cette dynamique. La solidité financière est renforcée par un dividende de 209 FCFA par action annoncé pour 2025, offrant un rendement de 4,7%. Les risques restent la dépendance au marché ivoirien et la pression sur les marges, mais la croissance du CA et la rentabilité des capitaux propres soutiennent une recommandation de conservation avec un œil sur l'amélioration opérationnelle.</w:t>
      </w:r>
    </w:p>
    <w:p>
      <w:pPr>
        <w:spacing w:after="120" w:line="276" w:lineRule="auto"/>
      </w:pPr>
      <w:r>
        <w:t>---</w:t>
      </w:r>
    </w:p>
    <w:p>
      <w:pPr>
        <w:spacing w:after="120" w:line="276" w:lineRule="auto"/>
      </w:pPr>
      <w:r>
        <w:t>### PARTIE 4 : CONCLUSION D'INVESTISSEMENT</w:t>
      </w:r>
    </w:p>
    <w:p>
      <w:pPr>
        <w:spacing w:after="120" w:line="276" w:lineRule="auto"/>
      </w:pPr>
      <w:r>
        <w:t>La valorisation de PRSC (PER 19,2x, P/B 3,94x) est exigeante, mais justifiée par un ROE de 20,5% et une croissance du CA de 9,5% en 2025. Le comportement du cours sur 100 jours est baissier (-6,83%) avec une volatilité élevée (40%), mais le skewness négatif et le kurtosis normal suggèrent une stabilisation possible. Les signaux techniques sont divergents : les moyennes mobiles sont vendeuses, le MACD est acheteur, et le RSI est neutre, indiquant une phase de transition. Les fondamentaux restent solides avec un résultat net stable, un dividende attractif de 209 FCFA, et une amélioration notable au S1 2025. Les prédictions IA (4 429 à 4 340 FCFA sur 10 jours) confirment une tendance baissière à court terme, en ligne avec les moyennes mobiles. En synthèse, la convergence entre la valorisation élevée, la faiblesse technique et les fondamentaux stables mais non explosifs conduit à une recommandation de **CONSERVER**. Le niveau de confiance est **Moyen**, le risque global est **Élevé** en raison de la volatilité et de l'endettement. L'horizon d'investissement optimal est le **moyen terme (3-12 mois)**, en attendant une clarification de la tendance technique et une confirmation de la croissance durable.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47.91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7,303 titres</w:t>
            </w:r>
          </w:p>
        </w:tc>
        <w:tc>
          <w:tcPr>
            <w:tcW w:type="dxa" w:w="2268"/>
            <w:shd w:fill="FFF2CC" w:val="clear"/>
          </w:tcPr>
          <w:p>
            <w:r>
              <w:rPr>
                <w:b/>
                <w:color w:val="503200"/>
                <w:sz w:val="16"/>
              </w:rPr>
              <w:t xml:space="preserve">Cours actuel : </w:t>
            </w:r>
            <w:r>
              <w:rPr>
                <w:color w:val="000000"/>
                <w:sz w:val="17"/>
              </w:rPr>
              <w:t>5,900 FCFA</w:t>
            </w:r>
          </w:p>
          <w:p>
            <w:r>
              <w:rPr>
                <w:b/>
                <w:color w:val="503200"/>
                <w:sz w:val="16"/>
              </w:rPr>
              <w:t xml:space="preserve">Var. 100 jours : </w:t>
            </w:r>
            <w:r>
              <w:rPr>
                <w:b/>
                <w:color w:val="B40000"/>
                <w:sz w:val="17"/>
              </w:rPr>
              <w:t>-20.75%</w:t>
            </w:r>
          </w:p>
          <w:p>
            <w:r>
              <w:rPr>
                <w:b/>
                <w:color w:val="503200"/>
                <w:sz w:val="16"/>
              </w:rPr>
              <w:t xml:space="preserve">Plus haut 100j : </w:t>
            </w:r>
            <w:r>
              <w:rPr>
                <w:color w:val="000000"/>
                <w:sz w:val="17"/>
              </w:rPr>
              <w:t>7,445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31.9/100 → Moyen</w:t>
      </w:r>
    </w:p>
    <w:p>
      <w:pPr>
        <w:spacing w:before="40" w:after="80"/>
      </w:pPr>
      <w:r>
        <w:rPr>
          <w:rFonts w:ascii="Courier New" w:hAnsi="Courier New"/>
          <w:color w:val="825A00"/>
          <w:sz w:val="18"/>
        </w:rPr>
        <w:t>██████░░░░░░░░░░░░░░  31.9/100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21.48% (Élevée) — μ=4,719 FCFA, σ=1,014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β=0.3044 (Défensif) — Cov=0.000011, Var(idx)=0.000036, ρ=0.035,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σ_j=5.18%/j (Instable) — Vol. annualisée≈82.3%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5,145</w:t>
            </w:r>
          </w:p>
        </w:tc>
        <w:tc>
          <w:tcPr>
            <w:tcW w:type="dxa" w:w="1440"/>
            <w:shd w:fill="FFDCE0" w:val="clear"/>
          </w:tcPr>
          <w:p>
            <w:r>
              <w:rPr>
                <w:b/>
                <w:sz w:val="17"/>
              </w:rPr>
              <w:t>5,458</w:t>
            </w:r>
          </w:p>
        </w:tc>
        <w:tc>
          <w:tcPr>
            <w:tcW w:type="dxa" w:w="1440"/>
            <w:shd w:fill="FFDCE0" w:val="clear"/>
          </w:tcPr>
          <w:p>
            <w:r>
              <w:rPr>
                <w:sz w:val="17"/>
              </w:rPr>
              <w:t>5,770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4,640</w:t>
            </w:r>
          </w:p>
        </w:tc>
        <w:tc>
          <w:tcPr>
            <w:tcW w:type="dxa" w:w="1440"/>
            <w:shd w:fill="FFDCE0" w:val="clear"/>
          </w:tcPr>
          <w:p>
            <w:r>
              <w:rPr>
                <w:b/>
                <w:sz w:val="17"/>
              </w:rPr>
              <w:t>5,048</w:t>
            </w:r>
          </w:p>
        </w:tc>
        <w:tc>
          <w:tcPr>
            <w:tcW w:type="dxa" w:w="1440"/>
            <w:shd w:fill="FFDCE0" w:val="clear"/>
          </w:tcPr>
          <w:p>
            <w:r>
              <w:rPr>
                <w:sz w:val="17"/>
              </w:rPr>
              <w:t>5,457</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4,207</w:t>
            </w:r>
          </w:p>
        </w:tc>
        <w:tc>
          <w:tcPr>
            <w:tcW w:type="dxa" w:w="1440"/>
            <w:shd w:fill="FFDCE0" w:val="clear"/>
          </w:tcPr>
          <w:p>
            <w:r>
              <w:rPr>
                <w:b/>
                <w:sz w:val="17"/>
              </w:rPr>
              <w:t>4,670</w:t>
            </w:r>
          </w:p>
        </w:tc>
        <w:tc>
          <w:tcPr>
            <w:tcW w:type="dxa" w:w="1440"/>
            <w:shd w:fill="FFDCE0" w:val="clear"/>
          </w:tcPr>
          <w:p>
            <w:r>
              <w:rPr>
                <w:sz w:val="17"/>
              </w:rPr>
              <w:t>5,133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3,825</w:t>
            </w:r>
          </w:p>
        </w:tc>
        <w:tc>
          <w:tcPr>
            <w:tcW w:type="dxa" w:w="1440"/>
            <w:shd w:fill="FFDCE0" w:val="clear"/>
          </w:tcPr>
          <w:p>
            <w:r>
              <w:rPr>
                <w:b/>
                <w:sz w:val="17"/>
              </w:rPr>
              <w:t>4,319</w:t>
            </w:r>
          </w:p>
        </w:tc>
        <w:tc>
          <w:tcPr>
            <w:tcW w:type="dxa" w:w="1440"/>
            <w:shd w:fill="FFDCE0" w:val="clear"/>
          </w:tcPr>
          <w:p>
            <w:r>
              <w:rPr>
                <w:sz w:val="17"/>
              </w:rPr>
              <w:t>4,814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3,484</w:t>
            </w:r>
          </w:p>
        </w:tc>
        <w:tc>
          <w:tcPr>
            <w:tcW w:type="dxa" w:w="1440"/>
            <w:shd w:fill="FFDCE0" w:val="clear"/>
          </w:tcPr>
          <w:p>
            <w:r>
              <w:rPr>
                <w:b/>
                <w:sz w:val="17"/>
              </w:rPr>
              <w:t>3,995</w:t>
            </w:r>
          </w:p>
        </w:tc>
        <w:tc>
          <w:tcPr>
            <w:tcW w:type="dxa" w:w="1440"/>
            <w:shd w:fill="FFDCE0" w:val="clear"/>
          </w:tcPr>
          <w:p>
            <w:r>
              <w:rPr>
                <w:sz w:val="17"/>
              </w:rPr>
              <w:t>4,507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3,178</w:t>
            </w:r>
          </w:p>
        </w:tc>
        <w:tc>
          <w:tcPr>
            <w:tcW w:type="dxa" w:w="1440"/>
            <w:shd w:fill="FFDCE0" w:val="clear"/>
          </w:tcPr>
          <w:p>
            <w:r>
              <w:rPr>
                <w:b/>
                <w:sz w:val="17"/>
              </w:rPr>
              <w:t>3,696</w:t>
            </w:r>
          </w:p>
        </w:tc>
        <w:tc>
          <w:tcPr>
            <w:tcW w:type="dxa" w:w="1440"/>
            <w:shd w:fill="FFDCE0" w:val="clear"/>
          </w:tcPr>
          <w:p>
            <w:r>
              <w:rPr>
                <w:sz w:val="17"/>
              </w:rPr>
              <w:t>4,214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2,901</w:t>
            </w:r>
          </w:p>
        </w:tc>
        <w:tc>
          <w:tcPr>
            <w:tcW w:type="dxa" w:w="1440"/>
            <w:shd w:fill="FFDCE0" w:val="clear"/>
          </w:tcPr>
          <w:p>
            <w:r>
              <w:rPr>
                <w:b/>
                <w:sz w:val="17"/>
              </w:rPr>
              <w:t>3,419</w:t>
            </w:r>
          </w:p>
        </w:tc>
        <w:tc>
          <w:tcPr>
            <w:tcW w:type="dxa" w:w="1440"/>
            <w:shd w:fill="FFDCE0" w:val="clear"/>
          </w:tcPr>
          <w:p>
            <w:r>
              <w:rPr>
                <w:sz w:val="17"/>
              </w:rPr>
              <w:t>3,936</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2,650</w:t>
            </w:r>
          </w:p>
        </w:tc>
        <w:tc>
          <w:tcPr>
            <w:tcW w:type="dxa" w:w="1440"/>
            <w:shd w:fill="FFDCE0" w:val="clear"/>
          </w:tcPr>
          <w:p>
            <w:r>
              <w:rPr>
                <w:b/>
                <w:sz w:val="17"/>
              </w:rPr>
              <w:t>3,162</w:t>
            </w:r>
          </w:p>
        </w:tc>
        <w:tc>
          <w:tcPr>
            <w:tcW w:type="dxa" w:w="1440"/>
            <w:shd w:fill="FFDCE0" w:val="clear"/>
          </w:tcPr>
          <w:p>
            <w:r>
              <w:rPr>
                <w:sz w:val="17"/>
              </w:rPr>
              <w:t>3,674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2,423</w:t>
            </w:r>
          </w:p>
        </w:tc>
        <w:tc>
          <w:tcPr>
            <w:tcW w:type="dxa" w:w="1440"/>
            <w:shd w:fill="FFDCE0" w:val="clear"/>
          </w:tcPr>
          <w:p>
            <w:r>
              <w:rPr>
                <w:b/>
                <w:sz w:val="17"/>
              </w:rPr>
              <w:t>2,925</w:t>
            </w:r>
          </w:p>
        </w:tc>
        <w:tc>
          <w:tcPr>
            <w:tcW w:type="dxa" w:w="1440"/>
            <w:shd w:fill="FFDCE0" w:val="clear"/>
          </w:tcPr>
          <w:p>
            <w:r>
              <w:rPr>
                <w:sz w:val="17"/>
              </w:rPr>
              <w:t>3,427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2,216</w:t>
            </w:r>
          </w:p>
        </w:tc>
        <w:tc>
          <w:tcPr>
            <w:tcW w:type="dxa" w:w="1440"/>
            <w:shd w:fill="FFDCE0" w:val="clear"/>
          </w:tcPr>
          <w:p>
            <w:r>
              <w:rPr>
                <w:b/>
                <w:sz w:val="17"/>
              </w:rPr>
              <w:t>2,706</w:t>
            </w:r>
          </w:p>
        </w:tc>
        <w:tc>
          <w:tcPr>
            <w:tcW w:type="dxa" w:w="1440"/>
            <w:shd w:fill="FFDCE0" w:val="clear"/>
          </w:tcPr>
          <w:p>
            <w:r>
              <w:rPr>
                <w:sz w:val="17"/>
              </w:rPr>
              <w:t>3,195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47,91 milliards FCFA, un niveau modeste dans l'écosystème BRVM qui la positionne comme une valeur de taille moyenne. Le BPA de 86 FCFA par action indique que chaque titre génère un bénéfice modeste, ce qui explique un PER de 68,3x, extrêmement élevé par rapport à la moyenne historique du marché régional (8-12x). Les investisseurs paient donc une prime considérable pour chaque franc de bénéfice, signe d'anticipations de croissance très fortes. Le P/B de 8,10x confirme cette exubérance : le marché valorise l'action plus de huit fois sa valeur comptable, ce qui reflète une confiance dans le redressement futur plutôt que dans les actifs actuels. Enfin, l'EV/EBITDA de 82,0x est également très exigeant, indiquant que la valeur totale de l'entreprise est déconnectée de sa capacité opérationnelle immédiate. Ces ratios suggèrent une valorisation spéculative qui laisse peu de place à l'erreur.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SAFC a enregistré une variation totale de -20,75%, avec une légère reprise de +0,60% lors de la dernière séance, clôturant à 5 900 FCFA. Le titre a évolué dans une fourchette très large, oscillant entre un plus bas de 3 340 FCFA et un plus haut de 7 445 FCFA, illustrant une volatilité extrême. La moyenne du cours sur la période (4 719 FCFA) est supérieure à la médiane (4 505 FCFA), ce qui, combiné à un skewness positif de 0,906, révèle une distribution asymétrique avec des épisodes de hausse marqués mais plus rares. L'écart-type de 1 019 FCFA (CV de 21,6%) témoigne d'une dispersion importante des prix autour de la moyenne. Le kurtosis de 0,152, proche d'une distribution normale, indique l'absence de pics extrêmes récurrents. La volatilité annualisée de 82,3% est très élevée, classant SAFC parmi les titres les plus risqués de la BRVM, avec des mouvements de cours amples et rapides dans les deux sens.</w:t>
      </w:r>
    </w:p>
    <w:p>
      <w:pPr>
        <w:spacing w:after="120" w:line="276" w:lineRule="auto" w:before="240"/>
      </w:pPr>
      <w:r>
        <w:rPr>
          <w:b/>
          <w:color w:val="003366"/>
          <w:sz w:val="24"/>
        </w:rPr>
        <w:t>**PARTIE 2 : ANALYSE TECHNIQUE DÉTAILLÉE**</w:t>
      </w:r>
    </w:p>
    <w:p>
      <w:pPr>
        <w:spacing w:after="120" w:line="276" w:lineRule="auto"/>
      </w:pPr>
      <w:r>
        <w:t>**Moyennes Mobiles** : Le cours actuel de 5 900 FCFA se situe nettement au-dessus de la MM20 (5 480 FCFA) et de la MM50 (4 936,5 FCFA), avec un écart de +7,7% et +19,5% respectivement. Cette configuration haussière, où le prix évolue au-dessus des deux moyennes, confirme une dynamique positive à court et moyen terme. La décision d'achat est justifiée par cette structure de tendance ascendante, bien que l'écart important avec la MM50 suggère une possible consolidation à venir.</w:t>
      </w:r>
    </w:p>
    <w:p>
      <w:pPr>
        <w:spacing w:after="120" w:line="276" w:lineRule="auto"/>
      </w:pPr>
      <w:r>
        <w:t>**Bandes de Bollinger** : Le prix à 5 900 FCFA se positionne entre la borne supérieure (6 229 FCFA) et la borne inférieure (4 731 FCFA), mais plus près de la borne haute, indiquant une pression acheteuse soutenue. La largeur des bandes reflète la volatilité élevée du titre. La décision neutre s'explique par le fait que le cours n'a pas encore touché les bornes extrêmes, laissant une marge de manœuvre avant un éventuel retournement.</w:t>
      </w:r>
    </w:p>
    <w:p>
      <w:pPr>
        <w:spacing w:after="120" w:line="276" w:lineRule="auto"/>
      </w:pPr>
      <w:r>
        <w:t>**MACD** : La valeur du MACD (307,025) est supérieure à sa ligne de signal (298,891), avec un écart positif de 8,134 points. Cette configuration haussière indique un momentum positif en cours, avec une accélération de la tendance. La décision d'achat est cohérente avec cette dynamique, même si l'écart relativement faible suggère une prudence quant à la force du signal.</w:t>
      </w:r>
    </w:p>
    <w:p>
      <w:pPr>
        <w:spacing w:after="120" w:line="276" w:lineRule="auto"/>
      </w:pPr>
      <w:r>
        <w:t>**RSI** : Le RSI s'établit à 74,863, dépassant le seuil de surachat fixé à 70. Cette valeur indique que le titre est techniquement suracheté, avec une pression acheteuse excessive qui pourrait précéder une correction. La décision de vente est donc justifiée, car les conditions actuelles rendent le titre vulnérable à un repli technique à court terme.</w:t>
      </w:r>
    </w:p>
    <w:p>
      <w:pPr>
        <w:spacing w:after="120" w:line="276" w:lineRule="auto"/>
      </w:pPr>
      <w:r>
        <w:t>**Stochastique** : Le %K à 100,0 et le %D à 97,401 sont tous deux en zone de surachat extrême, avec un %K au maximum absolu. Cette configuration signale une condition de surachat sévère, où le titre a fortement dépassé ses niveaux de référence. La décision de vente est renforcée par cette lecture, indiquant un risque élevé de retournement imminent.</w:t>
      </w:r>
    </w:p>
    <w:p>
      <w:pPr>
        <w:spacing w:after="120" w:line="276" w:lineRule="auto"/>
      </w:pPr>
      <w:r>
        <w:t>**Conclusion technique** : Les indicateurs de tendance (MM, MACD) sont positifs, mais les oscillateurs de momentum (RSI, Stochastique) sont en zone de surachat extrême. Cette divergence entre la tendance et le momentum suggère que le titre pourrait connaître une consolidation à court terme avant de poursuivre sa hausse. La prudence est donc de mise, avec un risque de correction technique dans les prochaines séances.</w:t>
      </w:r>
    </w:p>
    <w:p>
      <w:pPr>
        <w:spacing w:after="120" w:line="276" w:lineRule="auto" w:before="240"/>
      </w:pPr>
      <w:r>
        <w:rPr>
          <w:b/>
          <w:color w:val="003366"/>
          <w:sz w:val="24"/>
        </w:rPr>
        <w:t>**PARTIE 3 : ANALYSE FONDAMENTALE (SECTION CRITIQUE)**</w:t>
      </w:r>
    </w:p>
    <w:p>
      <w:pPr>
        <w:spacing w:after="120" w:line="276" w:lineRule="auto"/>
      </w:pPr>
      <w:r>
        <w:t>En 2025, SAFC a réalisé un PNB de 5,735 milliards FCFA, en hausse de 44,1% par rapport à 2024 (3,980 milliards FCFA), avec un résultat net de 701 millions FCFA, marquant un retournement spectaculaire après une perte de 165 millions FCFA en 2024. Le ROE s'établit à 11,85%, en nette amélioration mais encore en dessous du seuil de 15% jugé excellent, tandis que le ROA reste faible à 0,88%. Le coefficient d'exploitation de 77,63% est élevé, indiquant une efficacité opérationnelle encore perfectible (la norme étant &lt;60%). Le coût du risque de 6,57% reste significatif, reflétant un portefeuille de crédits encore fragile, avec des créances clientèle de 60,476 milliards FCFA financées en grande partie par des dettes interbancaires (35,747 milliards FCFA), créant un risque de liquidité structurel. Les rapports trimestriels de 2026 confirment cette dynamique : le T1 2026 (rapport du 31/03/2026) affiche un PNB de 1,395 milliards FCFA (+29% vs T1 2025) et un résultat net de 151 millions FCFA (+1062%), avec un coût du risque réduit de 75%. Sur cette base, on estime que l'exercice 2026 pourrait dépasser les 800 millions FCFA de résultat net, sous réserve de la maîtrise continue du risque de crédit. La solidité financière reste néanmoins fragile, avec des capitaux propres de 5,916 milliards FCFA et un report à nouveau négatif de -4,123 milliards FCFA, mais l'entrée de CREDAF Group et l'augmentation de capital de 1,5 milliard FCFA en 2026 renforcent les perspectives de redressement.</w:t>
      </w:r>
    </w:p>
    <w:p>
      <w:pPr>
        <w:spacing w:after="120" w:line="276" w:lineRule="auto" w:before="240"/>
      </w:pPr>
      <w:r>
        <w:rPr>
          <w:b/>
          <w:color w:val="003366"/>
          <w:sz w:val="24"/>
        </w:rPr>
        <w:t>**PARTIE 4 : CONCLUSION D'INVESTISSEMENT**</w:t>
      </w:r>
    </w:p>
    <w:p>
      <w:pPr>
        <w:spacing w:after="120" w:line="276" w:lineRule="auto"/>
      </w:pPr>
      <w:r>
        <w:t>La valorisation de SAFC est extrêmement exigeante, avec un PER de 68,3x et un P/B de 8,10x qui intègrent des anticipations de croissance très optimistes, sans marge de sécurité pour l'investisseur. Le comportement du cours sur 100 jours montre une volatilité de 82,3% et une baisse de 20,75%, avec une distribution asymétrique positive qui indique des gains potentiels mais aussi des risques de pertes sévères. Les signaux techniques sont mitigés : la tendance est haussière (MM, MACD), mais les oscillateurs (RSI à 74,9, Stochastique à 100) signalent un surachat extrême, suggérant une correction imminente. Les fondamentaux montrent un redressement spectaculaire en 2025 et au T1 2026, avec un PNB en forte croissance et un résultat net positif, mais la structure financière reste fragile avec un endettement élevé. Les prédictions IA pour les 10 prochains jours prévoient une chute brutale du cours, passant de 5 458 FCFA à 3 995 FCFA, ce qui contredit fortement les signaux techniques haussiers et suggère un retournement majeur. Cette divergence entre la valorisation spéculative, les signaux de surachat et les prédictions baissières conduit à une recommandation de **VENTE**, avec un niveau de confiance **Moyen** et un risque global **Élevé**. L'horizon d'investissement optimal est le **court terme (&lt;3 mois)** pour les investisseurs cherchant à sécuriser leurs gains, tandis que les investisseurs long terme devraient attendre une correction significative avant d'envisager une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71.05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12,631 titres</w:t>
            </w:r>
          </w:p>
        </w:tc>
        <w:tc>
          <w:tcPr>
            <w:tcW w:type="dxa" w:w="2268"/>
            <w:shd w:fill="FFF2CC" w:val="clear"/>
          </w:tcPr>
          <w:p>
            <w:r>
              <w:rPr>
                <w:b/>
                <w:color w:val="503200"/>
                <w:sz w:val="16"/>
              </w:rPr>
              <w:t xml:space="preserve">Cours actuel : </w:t>
            </w:r>
            <w:r>
              <w:rPr>
                <w:color w:val="000000"/>
                <w:sz w:val="17"/>
              </w:rPr>
              <w:t>3,625 FCFA</w:t>
            </w:r>
          </w:p>
          <w:p>
            <w:r>
              <w:rPr>
                <w:b/>
                <w:color w:val="503200"/>
                <w:sz w:val="16"/>
              </w:rPr>
              <w:t xml:space="preserve">Var. 100 jours : </w:t>
            </w:r>
            <w:r>
              <w:rPr>
                <w:b/>
                <w:color w:val="007800"/>
                <w:sz w:val="17"/>
              </w:rPr>
              <w:t>+86.38%</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1,900 FCFA</w:t>
            </w:r>
          </w:p>
          <w:p>
            <w:r>
              <w:rPr>
                <w:b/>
                <w:color w:val="503200"/>
                <w:sz w:val="16"/>
              </w:rPr>
              <w:t xml:space="preserve">Volatilité ann. : </w:t>
            </w:r>
            <w:r>
              <w:rPr>
                <w:color w:val="000000"/>
                <w:sz w:val="17"/>
              </w:rPr>
              <w:t>55.4%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21.63% (Élevée) — μ=2,944 FCFA, σ=637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β=0.3837 (Défensif) — Cov=0.000014, Var(idx)=0.000036, ρ=0.066,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12,631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σ_j=3.49%/j (Modérée) — Vol. annualisée≈55.4%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3,207</w:t>
            </w:r>
          </w:p>
        </w:tc>
        <w:tc>
          <w:tcPr>
            <w:tcW w:type="dxa" w:w="1440"/>
            <w:shd w:fill="FFDCE0" w:val="clear"/>
          </w:tcPr>
          <w:p>
            <w:r>
              <w:rPr>
                <w:b/>
                <w:sz w:val="17"/>
              </w:rPr>
              <w:t>3,353</w:t>
            </w:r>
          </w:p>
        </w:tc>
        <w:tc>
          <w:tcPr>
            <w:tcW w:type="dxa" w:w="1440"/>
            <w:shd w:fill="FFDCE0" w:val="clear"/>
          </w:tcPr>
          <w:p>
            <w:r>
              <w:rPr>
                <w:sz w:val="17"/>
              </w:rPr>
              <w:t>3,500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2,910</w:t>
            </w:r>
          </w:p>
        </w:tc>
        <w:tc>
          <w:tcPr>
            <w:tcW w:type="dxa" w:w="1440"/>
            <w:shd w:fill="FFDCE0" w:val="clear"/>
          </w:tcPr>
          <w:p>
            <w:r>
              <w:rPr>
                <w:b/>
                <w:sz w:val="17"/>
              </w:rPr>
              <w:t>3,102</w:t>
            </w:r>
          </w:p>
        </w:tc>
        <w:tc>
          <w:tcPr>
            <w:tcW w:type="dxa" w:w="1440"/>
            <w:shd w:fill="FFDCE0" w:val="clear"/>
          </w:tcPr>
          <w:p>
            <w:r>
              <w:rPr>
                <w:sz w:val="17"/>
              </w:rPr>
              <w:t>3,293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2,652</w:t>
            </w:r>
          </w:p>
        </w:tc>
        <w:tc>
          <w:tcPr>
            <w:tcW w:type="dxa" w:w="1440"/>
            <w:shd w:fill="FFDCE0" w:val="clear"/>
          </w:tcPr>
          <w:p>
            <w:r>
              <w:rPr>
                <w:b/>
                <w:sz w:val="17"/>
              </w:rPr>
              <w:t>2,869</w:t>
            </w:r>
          </w:p>
        </w:tc>
        <w:tc>
          <w:tcPr>
            <w:tcW w:type="dxa" w:w="1440"/>
            <w:shd w:fill="FFDCE0" w:val="clear"/>
          </w:tcPr>
          <w:p>
            <w:r>
              <w:rPr>
                <w:sz w:val="17"/>
              </w:rPr>
              <w:t>3,086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2,422</w:t>
            </w:r>
          </w:p>
        </w:tc>
        <w:tc>
          <w:tcPr>
            <w:tcW w:type="dxa" w:w="1440"/>
            <w:shd w:fill="FFDCE0" w:val="clear"/>
          </w:tcPr>
          <w:p>
            <w:r>
              <w:rPr>
                <w:b/>
                <w:sz w:val="17"/>
              </w:rPr>
              <w:t>2,654</w:t>
            </w:r>
          </w:p>
        </w:tc>
        <w:tc>
          <w:tcPr>
            <w:tcW w:type="dxa" w:w="1440"/>
            <w:shd w:fill="FFDCE0" w:val="clear"/>
          </w:tcPr>
          <w:p>
            <w:r>
              <w:rPr>
                <w:sz w:val="17"/>
              </w:rPr>
              <w:t>2,886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2,215</w:t>
            </w:r>
          </w:p>
        </w:tc>
        <w:tc>
          <w:tcPr>
            <w:tcW w:type="dxa" w:w="1440"/>
            <w:shd w:fill="FFDCE0" w:val="clear"/>
          </w:tcPr>
          <w:p>
            <w:r>
              <w:rPr>
                <w:b/>
                <w:sz w:val="17"/>
              </w:rPr>
              <w:t>2,455</w:t>
            </w:r>
          </w:p>
        </w:tc>
        <w:tc>
          <w:tcPr>
            <w:tcW w:type="dxa" w:w="1440"/>
            <w:shd w:fill="FFDCE0" w:val="clear"/>
          </w:tcPr>
          <w:p>
            <w:r>
              <w:rPr>
                <w:sz w:val="17"/>
              </w:rPr>
              <w:t>2,694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2,028</w:t>
            </w:r>
          </w:p>
        </w:tc>
        <w:tc>
          <w:tcPr>
            <w:tcW w:type="dxa" w:w="1440"/>
            <w:shd w:fill="FFDCE0" w:val="clear"/>
          </w:tcPr>
          <w:p>
            <w:r>
              <w:rPr>
                <w:b/>
                <w:sz w:val="17"/>
              </w:rPr>
              <w:t>2,271</w:t>
            </w:r>
          </w:p>
        </w:tc>
        <w:tc>
          <w:tcPr>
            <w:tcW w:type="dxa" w:w="1440"/>
            <w:shd w:fill="FFDCE0" w:val="clear"/>
          </w:tcPr>
          <w:p>
            <w:r>
              <w:rPr>
                <w:sz w:val="17"/>
              </w:rPr>
              <w:t>2,514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1,858</w:t>
            </w:r>
          </w:p>
        </w:tc>
        <w:tc>
          <w:tcPr>
            <w:tcW w:type="dxa" w:w="1440"/>
            <w:shd w:fill="FFDCE0" w:val="clear"/>
          </w:tcPr>
          <w:p>
            <w:r>
              <w:rPr>
                <w:b/>
                <w:sz w:val="17"/>
              </w:rPr>
              <w:t>2,100</w:t>
            </w:r>
          </w:p>
        </w:tc>
        <w:tc>
          <w:tcPr>
            <w:tcW w:type="dxa" w:w="1440"/>
            <w:shd w:fill="FFDCE0" w:val="clear"/>
          </w:tcPr>
          <w:p>
            <w:r>
              <w:rPr>
                <w:sz w:val="17"/>
              </w:rPr>
              <w:t>2,343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1,703</w:t>
            </w:r>
          </w:p>
        </w:tc>
        <w:tc>
          <w:tcPr>
            <w:tcW w:type="dxa" w:w="1440"/>
            <w:shd w:fill="FFDCE0" w:val="clear"/>
          </w:tcPr>
          <w:p>
            <w:r>
              <w:rPr>
                <w:b/>
                <w:sz w:val="17"/>
              </w:rPr>
              <w:t>1,943</w:t>
            </w:r>
          </w:p>
        </w:tc>
        <w:tc>
          <w:tcPr>
            <w:tcW w:type="dxa" w:w="1440"/>
            <w:shd w:fill="FFDCE0" w:val="clear"/>
          </w:tcPr>
          <w:p>
            <w:r>
              <w:rPr>
                <w:sz w:val="17"/>
              </w:rPr>
              <w:t>2,183</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1,562</w:t>
            </w:r>
          </w:p>
        </w:tc>
        <w:tc>
          <w:tcPr>
            <w:tcW w:type="dxa" w:w="1440"/>
            <w:shd w:fill="FFDCE0" w:val="clear"/>
          </w:tcPr>
          <w:p>
            <w:r>
              <w:rPr>
                <w:b/>
                <w:sz w:val="17"/>
              </w:rPr>
              <w:t>1,797</w:t>
            </w:r>
          </w:p>
        </w:tc>
        <w:tc>
          <w:tcPr>
            <w:tcW w:type="dxa" w:w="1440"/>
            <w:shd w:fill="FFDCE0" w:val="clear"/>
          </w:tcPr>
          <w:p>
            <w:r>
              <w:rPr>
                <w:sz w:val="17"/>
              </w:rPr>
              <w:t>2,033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1,433</w:t>
            </w:r>
          </w:p>
        </w:tc>
        <w:tc>
          <w:tcPr>
            <w:tcW w:type="dxa" w:w="1440"/>
            <w:shd w:fill="FFDCE0" w:val="clear"/>
          </w:tcPr>
          <w:p>
            <w:r>
              <w:rPr>
                <w:b/>
                <w:sz w:val="17"/>
              </w:rPr>
              <w:t>1,662</w:t>
            </w:r>
          </w:p>
        </w:tc>
        <w:tc>
          <w:tcPr>
            <w:tcW w:type="dxa" w:w="1440"/>
            <w:shd w:fill="FFDCE0" w:val="clear"/>
          </w:tcPr>
          <w:p>
            <w:r>
              <w:rPr>
                <w:sz w:val="17"/>
              </w:rPr>
              <w:t>1,892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71,05 milliards FCFA, un niveau significatif dans le contexte de la BRVM qui place la société parmi les valeurs moyennes du marché. Le BPA est négatif à -406 FCFA, reflétant la perte nette de l'exercice 2025, ce qui rend le PER non significatif à -8,9x. Les investisseurs ne peuvent donc pas évaluer le titre sur la base des bénéfices actuels. Le P/B de 4,12x est particulièrement exigeant, indiquant que le marché valorise les actifs de la société bien au-delà de leur valeur comptable, ce qui est surprenant compte tenu des pertes récentes. Enfin, l'EV/EBITDA de 10,9x se situe dans une fourchette de valorisation élevée, suggérant que le marché intègre une capacité bénéficiaire future significative, probablement liée aux investissements massifs en cours.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+86,38%, avec une accélération notable lors de la dernière séance (+7,41%), portant le cours à 3 625 FCFA. Le titre a évolué dans une fourchette très large, oscillant entre 1 900 FCFA (plus bas) et 3 920 FCFA (plus haut), démontrant une forte volatilité et un appétit marqué des investisseurs. La moyenne du cours sur la période s'établit à 2 944 FCFA, tandis que la médiane est plus élevée à 3 100 FCFA, indiquant que le titre a passé une partie significative de la période au-dessus de sa moyenne, signe d'une tendance haussière soutenue. L'écart-type de 640 FCFA (CV de 21,7%) révèle une dispersion modérée des prix autour de la moyenne. Le kurtosis négatif de -1,415 (distribution platykurtique) suggère une faible probabilité de mouvements extrêmes, tandis que le skewness de -0,329 indique une distribution légèrement asymétrique vers la gauche. La volatilité annualisée de 55,4% classe le titre comme très volatil, bien au-dessus du seuil de 30%, ce qui implique un risque élevé pour les investisseurs.</w:t>
      </w:r>
    </w:p>
    <w:p>
      <w:pPr>
        <w:spacing w:after="120" w:line="276" w:lineRule="auto" w:before="240"/>
      </w:pPr>
      <w:r>
        <w:rPr>
          <w:b/>
          <w:color w:val="003366"/>
          <w:sz w:val="24"/>
        </w:rPr>
        <w:t>**PARTIE 2 : ANALYSE TECHNIQUE DÉTAILLÉE**</w:t>
      </w:r>
    </w:p>
    <w:p>
      <w:pPr>
        <w:spacing w:after="120" w:line="276" w:lineRule="auto"/>
      </w:pPr>
      <w:r>
        <w:t>Les moyennes mobiles MM20 (3 542 FCFA) et MM50 (3 498 FCFA) sont toutes deux inférieures au cours actuel de 3 625 FCFA, ce qui confirme une configuration haussière. Le cours évolue au-dessus de ces deux moyennes, signalant une dynamique positive à court et moyen terme. La décision d'achat générée par cet indicateur est cohérente avec la tendance haussière observée sur la période.</w:t>
      </w:r>
    </w:p>
    <w:p>
      <w:pPr>
        <w:spacing w:after="120" w:line="276" w:lineRule="auto"/>
      </w:pPr>
      <w:r>
        <w:t>Les bandes de Bollinger présentent une borne supérieure à 3 794 FCFA et une borne inférieure à 3 290 FCFA, avec le cours à 3 625 FCFA positionné dans la partie médiane-haute de l'enveloppe. Cette position suggère une volatilité modérée sans excès, le cours n'étant ni suracheté ni survendu. La décision neutre est justifiée par cette position intermédiaire, laissant une marge de manœuvre dans les deux sens.</w:t>
      </w:r>
    </w:p>
    <w:p>
      <w:pPr>
        <w:spacing w:after="120" w:line="276" w:lineRule="auto"/>
      </w:pPr>
      <w:r>
        <w:t>Le MACD affiche une valeur négative de -21,833 avec un signal à -4,748, indiquant une divergence baissière. Le momentum semble s'essouffler malgré la hausse récente du cours, ce qui génère une décision de vente. Ce signal contraste avec la tendance haussière des moyennes mobiles, suggérant une possible correction à court terme.</w:t>
      </w:r>
    </w:p>
    <w:p>
      <w:pPr>
        <w:spacing w:after="120" w:line="276" w:lineRule="auto"/>
      </w:pPr>
      <w:r>
        <w:t>Le RSI à 50,289 se situe exactement dans la zone neutre (30-70), indiquant un équilibre entre pressions acheteuses et vendeuses. Cette valeur ne montre ni surachat ni survente, laissant place à une évolution dans les deux sens. La décision neutre est cohérente avec cette lecture.</w:t>
      </w:r>
    </w:p>
    <w:p>
      <w:pPr>
        <w:spacing w:after="120" w:line="276" w:lineRule="auto"/>
      </w:pPr>
      <w:r>
        <w:t>Le stochastique présente un %K à 79,71 et un %D à 31,401, montrant un écart important entre les deux lignes. Le %K élevé suggère une proximité de la zone de surachat, tandis que le %D plus bas indique que la dynamique haussière est récente. La décision neutre reflète cette configuration contrastée.</w:t>
      </w:r>
    </w:p>
    <w:p>
      <w:pPr>
        <w:spacing w:after="120" w:line="276" w:lineRule="auto"/>
      </w:pPr>
      <w:r>
        <w:t>La conclusion technique fait apparaître des signaux contradictoires : les moyennes mobiles sont haussières, mais le MACD est vendeur, tandis que le RSI et le stochastique restent neutres. Cette divergence suggère une possible consolidation ou correction à court terme avant une reprise de la tendance haussière, le cours restant soutenu par les moyennes mobiles.</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situation financière préoccupante pour SCRC. Le chiffre d'affaires s'établit à 80,569 milliards FCFA, en recul de 7,6% par rapport à 2024, et le résultat net est fortement déficitaire à -7,954 milliards FCFA, contre un bénéfice de 2,474 milliards FCFA en 2024. Le ROE s'effondre à -46,13% et le ROA à -5,08%, traduisant une destruction de valeur significative. La marge nette est négative à -9,87%, tandis que la marge opérationnelle reste marginale à -0,68%. Le BFR s'établit à 6,529 milliards FCFA, avec un délai clients de 12 jours (satisfaisant) mais un délai fournisseurs très élevé de 366 jours, indiquant une forte pression sur les fournisseurs. La durée de stockage de 361 jours est préoccupante, immobilisant un capital important. L'endettement est massif avec un ratio d'endettement de 88,98% et une capacité de remboursement de 11,21 années, tandis que le free cash-flow est négatif à -12,402 milliards FCFA. Les rapports narratifs de 2025 confirment cette dégradation, avec une explosion des charges financières (+262% à 6,79 milliards FCFA) et un endettement long terme qui a bondi de 168% à 64,5 milliards FCFA. Les rapports du premier semestre 2025 montrent une perte de -6,71 milliards FCFA, avec un résultat d'exploitation négatif de -3,18 milliards FCFA. Toutefois, les perspectives pour la campagne 2025/26 sont plus optimistes, avec une production attendue entre 90 000 et 95 000 tonnes (+14% à +20%). Le rapport du 31 décembre 2025 (analysé par DeepSeek le 19 mai 2026) recommande de conserver le titre, soulignant le redressement spectaculaire du résultat net par rapport à 2024, mais alertant sur la dégradation de la trésorerie et l'explosion du coût de la dette. La solidité financière est clairement compromise, mais les investissements massifs en cours pourraient soutenir une reprise à moyen terme.</w:t>
      </w:r>
    </w:p>
    <w:p>
      <w:pPr>
        <w:spacing w:after="120" w:line="276" w:lineRule="auto" w:before="240"/>
      </w:pPr>
      <w:r>
        <w:rPr>
          <w:b/>
          <w:color w:val="003366"/>
          <w:sz w:val="24"/>
        </w:rPr>
        <w:t>**PARTIE 4 : CONCLUSION D'INVESTISSEMENT**</w:t>
      </w:r>
    </w:p>
    <w:p>
      <w:pPr>
        <w:spacing w:after="120" w:line="276" w:lineRule="auto"/>
      </w:pPr>
      <w:r>
        <w:t>La valorisation de SCRC est exigeante avec un P/B de 4,12x et un EV/EBITDA de 10,9x, alors même que la société affiche des pertes nettes, ce qui traduit une surévaluation relative par rapport aux fondamentaux actuels. Le comportement du cours sur 100 jours montre une tendance haussière spectaculaire de +86,38%, mais avec une volatilité très élevée de 55,4% et une distribution platykurtique indiquant un risque de mouvements brusques. Les signaux techniques sont mitigés : les moyennes mobiles sont haussières, mais le MACD est vendeur, suggérant une possible correction après la forte hausse. Les fondamentaux sont clairement dégradés avec une perte nette de 7,95 milliards FCFA en 2025, un endettement massif et un free cash-flow négatif, malgré des perspectives de reprise pour la campagne 2025/26. Les prédictions IA pour les 10 prochains jours indiquent une trajectoire baissière marquée, avec un cours projeté à 2 455 FCFA contre 3 625 FCFA actuellement, soit une baisse potentielle de 32%. Cette projection contredit fortement la tendance haussière récente et suggère un retournement imminent. La convergence entre la valorisation exigeante, les signaux techniques mitigés, les fondamentaux fragiles et les prédictions IA baissières conduit à une recommandation de VENTE avec un niveau de confiance moyen et un risque global élevé. L'horizon d'investissement optimal serait le court terme (&lt;3 mois) pour les investisseurs cherchant à sécuriser leurs gains, tandis que les investisseurs à long terme devraient attendre une confirmation du redressement opérationnel avant d'envisager une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116.95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1,088 titres</w:t>
            </w:r>
          </w:p>
        </w:tc>
        <w:tc>
          <w:tcPr>
            <w:tcW w:type="dxa" w:w="2268"/>
            <w:shd w:fill="FFF2CC" w:val="clear"/>
          </w:tcPr>
          <w:p>
            <w:r>
              <w:rPr>
                <w:b/>
                <w:color w:val="503200"/>
                <w:sz w:val="16"/>
              </w:rPr>
              <w:t xml:space="preserve">Cours actuel : </w:t>
            </w:r>
            <w:r>
              <w:rPr>
                <w:color w:val="000000"/>
                <w:sz w:val="17"/>
              </w:rPr>
              <w:t>12,995 FCFA</w:t>
            </w:r>
          </w:p>
          <w:p>
            <w:r>
              <w:rPr>
                <w:b/>
                <w:color w:val="503200"/>
                <w:sz w:val="16"/>
              </w:rPr>
              <w:t xml:space="preserve">Var. 100 jours : </w:t>
            </w:r>
            <w:r>
              <w:rPr>
                <w:b/>
                <w:color w:val="007800"/>
                <w:sz w:val="17"/>
              </w:rPr>
              <w:t>+75.61%</w:t>
            </w:r>
          </w:p>
          <w:p>
            <w:r>
              <w:rPr>
                <w:b/>
                <w:color w:val="503200"/>
                <w:sz w:val="16"/>
              </w:rPr>
              <w:t xml:space="preserve">Plus haut 100j : </w:t>
            </w:r>
            <w:r>
              <w:rPr>
                <w:color w:val="000000"/>
                <w:sz w:val="17"/>
              </w:rPr>
              <w:t>13,000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16.78% (Élevée) — μ=10,726 FCFA, σ=1,800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β=0.1399 (Défensif) — Cov=0.000005, Var(idx)=0.000036, ρ=0.037,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1,088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12,005</w:t>
            </w:r>
          </w:p>
        </w:tc>
        <w:tc>
          <w:tcPr>
            <w:tcW w:type="dxa" w:w="1440"/>
            <w:shd w:fill="FFDCE0" w:val="clear"/>
          </w:tcPr>
          <w:p>
            <w:r>
              <w:rPr>
                <w:b/>
                <w:sz w:val="17"/>
              </w:rPr>
              <w:t>12,391</w:t>
            </w:r>
          </w:p>
        </w:tc>
        <w:tc>
          <w:tcPr>
            <w:tcW w:type="dxa" w:w="1440"/>
            <w:shd w:fill="FFDCE0" w:val="clear"/>
          </w:tcPr>
          <w:p>
            <w:r>
              <w:rPr>
                <w:sz w:val="17"/>
              </w:rPr>
              <w:t>12,778</w:t>
            </w:r>
          </w:p>
        </w:tc>
        <w:tc>
          <w:tcPr>
            <w:tcW w:type="dxa" w:w="1440"/>
            <w:shd w:fill="FFDCE0" w:val="clear"/>
          </w:tcPr>
          <w:p>
            <w:r>
              <w:rPr>
                <w:b/>
                <w:color w:val="C00000"/>
                <w:sz w:val="17"/>
              </w:rPr>
              <w:t>-4.6%</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11,676</w:t>
            </w:r>
          </w:p>
        </w:tc>
        <w:tc>
          <w:tcPr>
            <w:tcW w:type="dxa" w:w="1440"/>
            <w:shd w:fill="FFDCE0" w:val="clear"/>
          </w:tcPr>
          <w:p>
            <w:r>
              <w:rPr>
                <w:b/>
                <w:sz w:val="17"/>
              </w:rPr>
              <w:t>12,214</w:t>
            </w:r>
          </w:p>
        </w:tc>
        <w:tc>
          <w:tcPr>
            <w:tcW w:type="dxa" w:w="1440"/>
            <w:shd w:fill="FFDCE0" w:val="clear"/>
          </w:tcPr>
          <w:p>
            <w:r>
              <w:rPr>
                <w:sz w:val="17"/>
              </w:rPr>
              <w:t>12,753</w:t>
            </w:r>
          </w:p>
        </w:tc>
        <w:tc>
          <w:tcPr>
            <w:tcW w:type="dxa" w:w="1440"/>
            <w:shd w:fill="FFDCE0" w:val="clear"/>
          </w:tcPr>
          <w:p>
            <w:r>
              <w:rPr>
                <w:b/>
                <w:color w:val="C00000"/>
                <w:sz w:val="17"/>
              </w:rPr>
              <w:t>-6.0%</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11,399</w:t>
            </w:r>
          </w:p>
        </w:tc>
        <w:tc>
          <w:tcPr>
            <w:tcW w:type="dxa" w:w="1440"/>
            <w:shd w:fill="FFDCE0" w:val="clear"/>
          </w:tcPr>
          <w:p>
            <w:r>
              <w:rPr>
                <w:b/>
                <w:sz w:val="17"/>
              </w:rPr>
              <w:t>12,049</w:t>
            </w:r>
          </w:p>
        </w:tc>
        <w:tc>
          <w:tcPr>
            <w:tcW w:type="dxa" w:w="1440"/>
            <w:shd w:fill="FFDCE0" w:val="clear"/>
          </w:tcPr>
          <w:p>
            <w:r>
              <w:rPr>
                <w:sz w:val="17"/>
              </w:rPr>
              <w:t>12,700</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11,158</w:t>
            </w:r>
          </w:p>
        </w:tc>
        <w:tc>
          <w:tcPr>
            <w:tcW w:type="dxa" w:w="1440"/>
            <w:shd w:fill="FFDCE0" w:val="clear"/>
          </w:tcPr>
          <w:p>
            <w:r>
              <w:rPr>
                <w:b/>
                <w:sz w:val="17"/>
              </w:rPr>
              <w:t>11,899</w:t>
            </w:r>
          </w:p>
        </w:tc>
        <w:tc>
          <w:tcPr>
            <w:tcW w:type="dxa" w:w="1440"/>
            <w:shd w:fill="FFDCE0" w:val="clear"/>
          </w:tcPr>
          <w:p>
            <w:r>
              <w:rPr>
                <w:sz w:val="17"/>
              </w:rPr>
              <w:t>12,641</w:t>
            </w:r>
          </w:p>
        </w:tc>
        <w:tc>
          <w:tcPr>
            <w:tcW w:type="dxa" w:w="1440"/>
            <w:shd w:fill="FFDCE0" w:val="clear"/>
          </w:tcPr>
          <w:p>
            <w:r>
              <w:rPr>
                <w:b/>
                <w:color w:val="C00000"/>
                <w:sz w:val="17"/>
              </w:rPr>
              <w:t>-8.4%</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10,945</w:t>
            </w:r>
          </w:p>
        </w:tc>
        <w:tc>
          <w:tcPr>
            <w:tcW w:type="dxa" w:w="1440"/>
            <w:shd w:fill="FFDCE0" w:val="clear"/>
          </w:tcPr>
          <w:p>
            <w:r>
              <w:rPr>
                <w:b/>
                <w:sz w:val="17"/>
              </w:rPr>
              <w:t>11,764</w:t>
            </w:r>
          </w:p>
        </w:tc>
        <w:tc>
          <w:tcPr>
            <w:tcW w:type="dxa" w:w="1440"/>
            <w:shd w:fill="FFDCE0" w:val="clear"/>
          </w:tcPr>
          <w:p>
            <w:r>
              <w:rPr>
                <w:sz w:val="17"/>
              </w:rPr>
              <w:t>12,584</w:t>
            </w:r>
          </w:p>
        </w:tc>
        <w:tc>
          <w:tcPr>
            <w:tcW w:type="dxa" w:w="1440"/>
            <w:shd w:fill="FFDCE0" w:val="clear"/>
          </w:tcPr>
          <w:p>
            <w:r>
              <w:rPr>
                <w:b/>
                <w:color w:val="C00000"/>
                <w:sz w:val="17"/>
              </w:rPr>
              <w:t>-9.5%</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10,753</w:t>
            </w:r>
          </w:p>
        </w:tc>
        <w:tc>
          <w:tcPr>
            <w:tcW w:type="dxa" w:w="1440"/>
            <w:shd w:fill="FFDCE0" w:val="clear"/>
          </w:tcPr>
          <w:p>
            <w:r>
              <w:rPr>
                <w:b/>
                <w:sz w:val="17"/>
              </w:rPr>
              <w:t>11,641</w:t>
            </w:r>
          </w:p>
        </w:tc>
        <w:tc>
          <w:tcPr>
            <w:tcW w:type="dxa" w:w="1440"/>
            <w:shd w:fill="FFDCE0" w:val="clear"/>
          </w:tcPr>
          <w:p>
            <w:r>
              <w:rPr>
                <w:sz w:val="17"/>
              </w:rPr>
              <w:t>12,529</w:t>
            </w:r>
          </w:p>
        </w:tc>
        <w:tc>
          <w:tcPr>
            <w:tcW w:type="dxa" w:w="1440"/>
            <w:shd w:fill="FFDCE0" w:val="clear"/>
          </w:tcPr>
          <w:p>
            <w:r>
              <w:rPr>
                <w:b/>
                <w:color w:val="C00000"/>
                <w:sz w:val="17"/>
              </w:rPr>
              <w:t>-10.4%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10,576</w:t>
            </w:r>
          </w:p>
        </w:tc>
        <w:tc>
          <w:tcPr>
            <w:tcW w:type="dxa" w:w="1440"/>
            <w:shd w:fill="FFDCE0" w:val="clear"/>
          </w:tcPr>
          <w:p>
            <w:r>
              <w:rPr>
                <w:b/>
                <w:sz w:val="17"/>
              </w:rPr>
              <w:t>11,527</w:t>
            </w:r>
          </w:p>
        </w:tc>
        <w:tc>
          <w:tcPr>
            <w:tcW w:type="dxa" w:w="1440"/>
            <w:shd w:fill="FFDCE0" w:val="clear"/>
          </w:tcPr>
          <w:p>
            <w:r>
              <w:rPr>
                <w:sz w:val="17"/>
              </w:rPr>
              <w:t>12,477</w:t>
            </w:r>
          </w:p>
        </w:tc>
        <w:tc>
          <w:tcPr>
            <w:tcW w:type="dxa" w:w="1440"/>
            <w:shd w:fill="FFDCE0" w:val="clear"/>
          </w:tcPr>
          <w:p>
            <w:r>
              <w:rPr>
                <w:b/>
                <w:color w:val="C00000"/>
                <w:sz w:val="17"/>
              </w:rPr>
              <w:t>-11.3%</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10,415</w:t>
            </w:r>
          </w:p>
        </w:tc>
        <w:tc>
          <w:tcPr>
            <w:tcW w:type="dxa" w:w="1440"/>
            <w:shd w:fill="FFDCE0" w:val="clear"/>
          </w:tcPr>
          <w:p>
            <w:r>
              <w:rPr>
                <w:b/>
                <w:sz w:val="17"/>
              </w:rPr>
              <w:t>11,422</w:t>
            </w:r>
          </w:p>
        </w:tc>
        <w:tc>
          <w:tcPr>
            <w:tcW w:type="dxa" w:w="1440"/>
            <w:shd w:fill="FFDCE0" w:val="clear"/>
          </w:tcPr>
          <w:p>
            <w:r>
              <w:rPr>
                <w:sz w:val="17"/>
              </w:rPr>
              <w:t>12,428</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10,266</w:t>
            </w:r>
          </w:p>
        </w:tc>
        <w:tc>
          <w:tcPr>
            <w:tcW w:type="dxa" w:w="1440"/>
            <w:shd w:fill="FFDCE0" w:val="clear"/>
          </w:tcPr>
          <w:p>
            <w:r>
              <w:rPr>
                <w:b/>
                <w:sz w:val="17"/>
              </w:rPr>
              <w:t>11,325</w:t>
            </w:r>
          </w:p>
        </w:tc>
        <w:tc>
          <w:tcPr>
            <w:tcW w:type="dxa" w:w="1440"/>
            <w:shd w:fill="FFDCE0" w:val="clear"/>
          </w:tcPr>
          <w:p>
            <w:r>
              <w:rPr>
                <w:sz w:val="17"/>
              </w:rPr>
              <w:t>12,383</w:t>
            </w:r>
          </w:p>
        </w:tc>
        <w:tc>
          <w:tcPr>
            <w:tcW w:type="dxa" w:w="1440"/>
            <w:shd w:fill="FFDCE0" w:val="clear"/>
          </w:tcPr>
          <w:p>
            <w:r>
              <w:rPr>
                <w:b/>
                <w:color w:val="C00000"/>
                <w:sz w:val="17"/>
              </w:rPr>
              <w:t>-12.9%</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10,129</w:t>
            </w:r>
          </w:p>
        </w:tc>
        <w:tc>
          <w:tcPr>
            <w:tcW w:type="dxa" w:w="1440"/>
            <w:shd w:fill="FFDCE0" w:val="clear"/>
          </w:tcPr>
          <w:p>
            <w:r>
              <w:rPr>
                <w:b/>
                <w:sz w:val="17"/>
              </w:rPr>
              <w:t>11,236</w:t>
            </w:r>
          </w:p>
        </w:tc>
        <w:tc>
          <w:tcPr>
            <w:tcW w:type="dxa" w:w="1440"/>
            <w:shd w:fill="FFDCE0" w:val="clear"/>
          </w:tcPr>
          <w:p>
            <w:r>
              <w:rPr>
                <w:sz w:val="17"/>
              </w:rPr>
              <w:t>12,343</w:t>
            </w:r>
          </w:p>
        </w:tc>
        <w:tc>
          <w:tcPr>
            <w:tcW w:type="dxa" w:w="1440"/>
            <w:shd w:fill="FFDCE0" w:val="clear"/>
          </w:tcPr>
          <w:p>
            <w:r>
              <w:rPr>
                <w:b/>
                <w:color w:val="C00000"/>
                <w:sz w:val="17"/>
              </w:rPr>
              <w:t>-13.5%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de l'analyse : 28 avril 2026**</w:t>
        <w:br/>
        <w:t>**Cours de référence : 12 995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116,95 milliards FCFA, ce qui en fait une valeur de première importance sur la BRVM, représentant un panier conséquent de l'indice. Avec un BPA de 518 FCFA, le titre se négocie à un PER de 25,1x. Ce niveau est nettement supérieur à la moyenne historique de la BRVM (8-12x), indiquant que le marché intègre des anticipations de croissance élevées ou une prime de rareté pour ce titre. Le P/B de 5,93x confirme cette prime, le marché valorisant le titre près de six fois sa valeur comptable, ce qui est exigeant pour les investisseurs. Enfin, un EV/EBITDA de 14,9x se situe dans la fourchette haute des valorisations, suggérant que la valeur d'entreprise est élevée par rapport à sa capacité opérationnelle, laissant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SDCC a enregistré une performance spectaculaire de +75,61%, passant d'un plus bas de 7 140 FCFA à un plus haut de 13 000 FCFA, avant de clôturer à 12 995 FCFA, en légère baisse de -0,04% sur la dernière séance. Cette tendance est fortement haussière, marquée par une accélération récente. Les statistiques descriptives révèlent une moyenne de 10 726 FCFA, inférieure à la médiane de 11 630 FCFA, ce qui, combiné à un skewness négatif (-1.046), indique que les rendements positifs ont été plus fréquents mais de moindre ampleur que les rares fortes baisses. L'écart-type de 1 809 FCFA (CV de 16,9%) montre une dispersion modérée des prix autour de la moyenne. Le kurtosis de -0.452 (mésokurtique) suggère une absence de risques de pics extrêmes. La volatilité annualisée de 36,2% classe le titre comme très volatil, un niveau élevé qui implique un risque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(12 995 FCFA) se situe nettement au-dessus de la MM20 (12 039,75 FCFA) et de la MM50 (11 931 FCFA). Cette configuration haussière, où le prix est soutenu par les moyennes mobiles courtes et longues, confirme la dynamique positive et justifie la décision d'**Achat**.</w:t>
      </w:r>
    </w:p>
    <w:p>
      <w:pPr>
        <w:spacing w:after="120" w:line="276" w:lineRule="auto"/>
      </w:pPr>
      <w:r>
        <w:t>**Bandes de Bollinger**: Le prix évolue au-dessus de la borne supérieure (12 927,73 FCFA), ce qui est un signal classique de surachat à court terme. Cette sortie de canal indique une volatilité accrue et un mouvement directionnel fort, mais suggère également un potentiel de correction. La décision est donc à la **Vente** pour un horizon immédiat.</w:t>
      </w:r>
    </w:p>
    <w:p>
      <w:pPr>
        <w:spacing w:after="120" w:line="276" w:lineRule="auto"/>
      </w:pPr>
      <w:r>
        <w:t>**MACD**: La valeur du MACD (258,90) est nettement supérieure à son signal (131,15), montrant un momentum haussier très puissant. L'écart positif et croissant entre les deux lignes confirme la force de la tendance, ce qui justifie la décision d'**Achat**.</w:t>
      </w:r>
    </w:p>
    <w:p>
      <w:pPr>
        <w:spacing w:after="120" w:line="276" w:lineRule="auto"/>
      </w:pPr>
      <w:r>
        <w:t>**RSI**: Avec une valeur de 76,49, le RSI est entré en zone de surachat (&gt;70). Cela indique que le titre est statistiquement survendu à la hausse et qu'un repli technique est probable à court terme. La décision est donc à la **Vente**.</w:t>
      </w:r>
    </w:p>
    <w:p>
      <w:pPr>
        <w:spacing w:after="120" w:line="276" w:lineRule="auto"/>
      </w:pPr>
      <w:r>
        <w:t>**Stochastique**: Les valeurs de %K (99,64) et %D (99,88) sont extrêmement élevées, proches de leur maximum. Ce niveau extrême de surachat, avec les deux lignes imbriquées, signale une exubérance excessive et un risque élevé de retournement baissier. La décision est à la **Vente**.</w:t>
      </w:r>
    </w:p>
    <w:p>
      <w:pPr>
        <w:spacing w:after="120" w:line="276" w:lineRule="auto"/>
      </w:pPr>
      <w:r>
        <w:t>**Conclusion technique**: Les indicateurs de tendance (MM, MACD) sont résolument haussiers, mais les oscillateurs de momentum (RSI, Stochastique) et la position par rapport aux bandes de Bollinger crient au surachat extrême. Cette divergence entre la tendance et le momentum suggère une pause ou une correction technique imminente, bien que la tendance de fond reste positive.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une année de forte croissance pour SDCC, avec un chiffre d'affaires de 189,43 milliards FCFA (+10% vs 2024) et un résultat net de 4,66 milliards FCFA (+31%). La rentabilité des fonds propres (ROE) est excellente à 23,65%, bien que le ROA reste faible (0,99%) en raison d'un bilan très lourd (472,67 milliards FCFA). En tant qu'entreprise, l'analyse se concentre sur le BFR, qui est négatif à -104,75 milliards FCFA, une situation favorable qui signifie que l'entreprise finance son exploitation grâce à ses fournisseurs. Cependant, le délai de paiement des clients est extrêmement élevé (749 jours), ce qui représente un risque de trésorerie majeur et explique le flux opérationnel négatif de -36,65 milliards FCFA. Les rapports narratifs confirment cette trajectoire : le rapport annuel 2025 (daté de 2025) souligne la croissance du CA et du RN, tandis que le rapport du T1 2026 (daté de 2026) montre une amélioration spectaculaire de la rentabilité avec un résultat net en hausse de 118% à 1,318 milliard FCFA, malgré une légère baisse du CA. Sur la base de ce T1 2026, on estime que l'exercice 2026 pourrait voir une nouvelle progression du résultat net, porté par une meilleure maîtrise des charges. La solidité financière est toutefois à nuancer par un endettement élevé (ratio d'endettement de 95,8%) et une dépendance financière de 740%, mais la couverture des intérêts est très confortable (1583%). La recommandation fondamentale est de **CONSERVER**, la société montrant une amélioration opérationnelle mais restant confrontée à des défis structurels de trésorerie.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contrasté pour SDCC. La valorisation (Partie 0) est exigeante avec un PER de 25,1x et un P/B de 5,93x, indiquant une surévaluation relative par rapport au marché. Le comportement du cours (Partie 1) est extrêmement haussier (+75,6% en 100 jours) mais avec une volatilité élevée (36,2%) et une asymétrie négative qui suggèrent un risque de retournement. Les signaux techniques (Partie 2) sont en divergence : la tendance est forte, mais tous les oscillateurs sont en surachat extrême, annonçant une correction probable. Les fondamentaux (Partie 3) sont solides avec une croissance du CA et du RN, mais la trésorerie reste sous pression. Enfin, les prédictions IA pour les 10 prochains jours (baisse de 12 391 à 11 764 FCFA) confirment le scénario de correction technique. En conséquence, la recommandation finale est **CONSERVER** avec un niveau de confiance **Moyen**. Le risque global est **Élevé** en raison de la surchauffe technique et de la valorisation tendue. L'horizon d'investissement optimal serait le **moyen terme (3-12 mois)**, en attendant que le titre corrige pour offrir un point d'entrée plus attractif, ou que les résultats annuels 2026 confirment la solidité de la croissance.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152.42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17,459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+50.54%</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17.73% (Élevée) — μ=2,222 FCFA, σ=394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β=0.5012 (Défensif) — Cov=0.000018, Var(idx)=0.000036, ρ=0.095,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17,459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2,600</w:t>
            </w:r>
          </w:p>
        </w:tc>
        <w:tc>
          <w:tcPr>
            <w:tcW w:type="dxa" w:w="1440"/>
            <w:shd w:fill="FAFAFA" w:val="clear"/>
          </w:tcPr>
          <w:p>
            <w:r>
              <w:rPr>
                <w:b/>
                <w:sz w:val="17"/>
              </w:rPr>
              <w:t>2,751</w:t>
            </w:r>
          </w:p>
        </w:tc>
        <w:tc>
          <w:tcPr>
            <w:tcW w:type="dxa" w:w="1440"/>
            <w:shd w:fill="FAFAFA" w:val="clear"/>
          </w:tcPr>
          <w:p>
            <w:r>
              <w:rPr>
                <w:sz w:val="17"/>
              </w:rPr>
              <w:t>2,903</w:t>
            </w:r>
          </w:p>
        </w:tc>
        <w:tc>
          <w:tcPr>
            <w:tcW w:type="dxa" w:w="1440"/>
            <w:shd w:fill="FAFAFA" w:val="clear"/>
          </w:tcPr>
          <w:p>
            <w:r>
              <w:rPr>
                <w:b/>
                <w:color w:val="C00000"/>
                <w:sz w:val="17"/>
              </w:rPr>
              <w:t>-1.7%</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2,497</w:t>
            </w:r>
          </w:p>
        </w:tc>
        <w:tc>
          <w:tcPr>
            <w:tcW w:type="dxa" w:w="1440"/>
            <w:shd w:fill="FFDCE0" w:val="clear"/>
          </w:tcPr>
          <w:p>
            <w:r>
              <w:rPr>
                <w:b/>
                <w:sz w:val="17"/>
              </w:rPr>
              <w:t>2,708</w:t>
            </w:r>
          </w:p>
        </w:tc>
        <w:tc>
          <w:tcPr>
            <w:tcW w:type="dxa" w:w="1440"/>
            <w:shd w:fill="FFDCE0" w:val="clear"/>
          </w:tcPr>
          <w:p>
            <w:r>
              <w:rPr>
                <w:sz w:val="17"/>
              </w:rPr>
              <w:t>2,919</w:t>
            </w:r>
          </w:p>
        </w:tc>
        <w:tc>
          <w:tcPr>
            <w:tcW w:type="dxa" w:w="1440"/>
            <w:shd w:fill="FFDCE0" w:val="clear"/>
          </w:tcPr>
          <w:p>
            <w:r>
              <w:rPr>
                <w:b/>
                <w:color w:val="C00000"/>
                <w:sz w:val="17"/>
              </w:rPr>
              <w:t>-3.3%</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2,421</w:t>
            </w:r>
          </w:p>
        </w:tc>
        <w:tc>
          <w:tcPr>
            <w:tcW w:type="dxa" w:w="1440"/>
            <w:shd w:fill="FFDCE0" w:val="clear"/>
          </w:tcPr>
          <w:p>
            <w:r>
              <w:rPr>
                <w:b/>
                <w:sz w:val="17"/>
              </w:rPr>
              <w:t>2,677</w:t>
            </w:r>
          </w:p>
        </w:tc>
        <w:tc>
          <w:tcPr>
            <w:tcW w:type="dxa" w:w="1440"/>
            <w:shd w:fill="FFDCE0" w:val="clear"/>
          </w:tcPr>
          <w:p>
            <w:r>
              <w:rPr>
                <w:sz w:val="17"/>
              </w:rPr>
              <w:t>2,932</w:t>
            </w:r>
          </w:p>
        </w:tc>
        <w:tc>
          <w:tcPr>
            <w:tcW w:type="dxa" w:w="1440"/>
            <w:shd w:fill="FFDCE0" w:val="clear"/>
          </w:tcPr>
          <w:p>
            <w:r>
              <w:rPr>
                <w:b/>
                <w:color w:val="C00000"/>
                <w:sz w:val="17"/>
              </w:rPr>
              <w:t>-4.4%</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2,360</w:t>
            </w:r>
          </w:p>
        </w:tc>
        <w:tc>
          <w:tcPr>
            <w:tcW w:type="dxa" w:w="1440"/>
            <w:shd w:fill="FFDCE0" w:val="clear"/>
          </w:tcPr>
          <w:p>
            <w:r>
              <w:rPr>
                <w:b/>
                <w:sz w:val="17"/>
              </w:rPr>
              <w:t>2,652</w:t>
            </w:r>
          </w:p>
        </w:tc>
        <w:tc>
          <w:tcPr>
            <w:tcW w:type="dxa" w:w="1440"/>
            <w:shd w:fill="FFDCE0" w:val="clear"/>
          </w:tcPr>
          <w:p>
            <w:r>
              <w:rPr>
                <w:sz w:val="17"/>
              </w:rPr>
              <w:t>2,944</w:t>
            </w:r>
          </w:p>
        </w:tc>
        <w:tc>
          <w:tcPr>
            <w:tcW w:type="dxa" w:w="1440"/>
            <w:shd w:fill="FFDCE0" w:val="clear"/>
          </w:tcPr>
          <w:p>
            <w:r>
              <w:rPr>
                <w:b/>
                <w:color w:val="C00000"/>
                <w:sz w:val="17"/>
              </w:rPr>
              <w:t>-5.3%</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2,306</w:t>
            </w:r>
          </w:p>
        </w:tc>
        <w:tc>
          <w:tcPr>
            <w:tcW w:type="dxa" w:w="1440"/>
            <w:shd w:fill="FFDCE0" w:val="clear"/>
          </w:tcPr>
          <w:p>
            <w:r>
              <w:rPr>
                <w:b/>
                <w:sz w:val="17"/>
              </w:rPr>
              <w:t>2,630</w:t>
            </w:r>
          </w:p>
        </w:tc>
        <w:tc>
          <w:tcPr>
            <w:tcW w:type="dxa" w:w="1440"/>
            <w:shd w:fill="FFDCE0" w:val="clear"/>
          </w:tcPr>
          <w:p>
            <w:r>
              <w:rPr>
                <w:sz w:val="17"/>
              </w:rPr>
              <w:t>2,954</w:t>
            </w:r>
          </w:p>
        </w:tc>
        <w:tc>
          <w:tcPr>
            <w:tcW w:type="dxa" w:w="1440"/>
            <w:shd w:fill="FFDCE0" w:val="clear"/>
          </w:tcPr>
          <w:p>
            <w:r>
              <w:rPr>
                <w:b/>
                <w:color w:val="C00000"/>
                <w:sz w:val="17"/>
              </w:rPr>
              <w:t>-6.1%</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2,258</w:t>
            </w:r>
          </w:p>
        </w:tc>
        <w:tc>
          <w:tcPr>
            <w:tcW w:type="dxa" w:w="1440"/>
            <w:shd w:fill="FFDCE0" w:val="clear"/>
          </w:tcPr>
          <w:p>
            <w:r>
              <w:rPr>
                <w:b/>
                <w:sz w:val="17"/>
              </w:rPr>
              <w:t>2,611</w:t>
            </w:r>
          </w:p>
        </w:tc>
        <w:tc>
          <w:tcPr>
            <w:tcW w:type="dxa" w:w="1440"/>
            <w:shd w:fill="FFDCE0" w:val="clear"/>
          </w:tcPr>
          <w:p>
            <w:r>
              <w:rPr>
                <w:sz w:val="17"/>
              </w:rPr>
              <w:t>2,963</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2,214</w:t>
            </w:r>
          </w:p>
        </w:tc>
        <w:tc>
          <w:tcPr>
            <w:tcW w:type="dxa" w:w="1440"/>
            <w:shd w:fill="FFDCE0" w:val="clear"/>
          </w:tcPr>
          <w:p>
            <w:r>
              <w:rPr>
                <w:b/>
                <w:sz w:val="17"/>
              </w:rPr>
              <w:t>2,592</w:t>
            </w:r>
          </w:p>
        </w:tc>
        <w:tc>
          <w:tcPr>
            <w:tcW w:type="dxa" w:w="1440"/>
            <w:shd w:fill="FFDCE0" w:val="clear"/>
          </w:tcPr>
          <w:p>
            <w:r>
              <w:rPr>
                <w:sz w:val="17"/>
              </w:rPr>
              <w:t>2,970</w:t>
            </w:r>
          </w:p>
        </w:tc>
        <w:tc>
          <w:tcPr>
            <w:tcW w:type="dxa" w:w="1440"/>
            <w:shd w:fill="FFDCE0" w:val="clear"/>
          </w:tcPr>
          <w:p>
            <w:r>
              <w:rPr>
                <w:b/>
                <w:color w:val="C00000"/>
                <w:sz w:val="17"/>
              </w:rPr>
              <w:t>-7.4%</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2,173</w:t>
            </w:r>
          </w:p>
        </w:tc>
        <w:tc>
          <w:tcPr>
            <w:tcW w:type="dxa" w:w="1440"/>
            <w:shd w:fill="FFDCE0" w:val="clear"/>
          </w:tcPr>
          <w:p>
            <w:r>
              <w:rPr>
                <w:b/>
                <w:sz w:val="17"/>
              </w:rPr>
              <w:t>2,574</w:t>
            </w:r>
          </w:p>
        </w:tc>
        <w:tc>
          <w:tcPr>
            <w:tcW w:type="dxa" w:w="1440"/>
            <w:shd w:fill="FFDCE0" w:val="clear"/>
          </w:tcPr>
          <w:p>
            <w:r>
              <w:rPr>
                <w:sz w:val="17"/>
              </w:rPr>
              <w:t>2,975</w:t>
            </w:r>
          </w:p>
        </w:tc>
        <w:tc>
          <w:tcPr>
            <w:tcW w:type="dxa" w:w="1440"/>
            <w:shd w:fill="FFDCE0" w:val="clear"/>
          </w:tcPr>
          <w:p>
            <w:r>
              <w:rPr>
                <w:b/>
                <w:color w:val="C00000"/>
                <w:sz w:val="17"/>
              </w:rPr>
              <w:t>-8.1%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2,134</w:t>
            </w:r>
          </w:p>
        </w:tc>
        <w:tc>
          <w:tcPr>
            <w:tcW w:type="dxa" w:w="1440"/>
            <w:shd w:fill="FFDCE0" w:val="clear"/>
          </w:tcPr>
          <w:p>
            <w:r>
              <w:rPr>
                <w:b/>
                <w:sz w:val="17"/>
              </w:rPr>
              <w:t>2,557</w:t>
            </w:r>
          </w:p>
        </w:tc>
        <w:tc>
          <w:tcPr>
            <w:tcW w:type="dxa" w:w="1440"/>
            <w:shd w:fill="FFDCE0" w:val="clear"/>
          </w:tcPr>
          <w:p>
            <w:r>
              <w:rPr>
                <w:sz w:val="17"/>
              </w:rPr>
              <w:t>2,980</w:t>
            </w:r>
          </w:p>
        </w:tc>
        <w:tc>
          <w:tcPr>
            <w:tcW w:type="dxa" w:w="1440"/>
            <w:shd w:fill="FFDCE0" w:val="clear"/>
          </w:tcPr>
          <w:p>
            <w:r>
              <w:rPr>
                <w:b/>
                <w:color w:val="C00000"/>
                <w:sz w:val="17"/>
              </w:rPr>
              <w:t>-8.7%</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2,098</w:t>
            </w:r>
          </w:p>
        </w:tc>
        <w:tc>
          <w:tcPr>
            <w:tcW w:type="dxa" w:w="1440"/>
            <w:shd w:fill="FFDCE0" w:val="clear"/>
          </w:tcPr>
          <w:p>
            <w:r>
              <w:rPr>
                <w:b/>
                <w:sz w:val="17"/>
              </w:rPr>
              <w:t>2,540</w:t>
            </w:r>
          </w:p>
        </w:tc>
        <w:tc>
          <w:tcPr>
            <w:tcW w:type="dxa" w:w="1440"/>
            <w:shd w:fill="FFDCE0" w:val="clear"/>
          </w:tcPr>
          <w:p>
            <w:r>
              <w:rPr>
                <w:sz w:val="17"/>
              </w:rPr>
              <w:t>2,983</w:t>
            </w:r>
          </w:p>
        </w:tc>
        <w:tc>
          <w:tcPr>
            <w:tcW w:type="dxa" w:w="1440"/>
            <w:shd w:fill="FFDCE0" w:val="clear"/>
          </w:tcPr>
          <w:p>
            <w:r>
              <w:rPr>
                <w:b/>
                <w:color w:val="C00000"/>
                <w:sz w:val="17"/>
              </w:rPr>
              <w:t>-9.3%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152,42 milliards FCFA, un niveau significatif qui la positionne parmi les valeurs moyennes à grandes capitalisations de la BRVM. Avec un BPA de 387 FCFA, chaque action génère un bénéfice substantiel, ce qui explique un PER de 7,2x, nettement inférieur à la moyenne du marché BRVM (8-12x), signalant une potentielle sous-évaluation relative. Le P/B de 1,96x indique que le marché valorise la société à près de deux fois sa valeur comptable, une valorisation raisonnable pour une entreprise avec un ROE de 27%. En revanche, l'EV/EBITDA de 32,9x apparaît très exigeant, suggérant que la valeur d'entreprise intègre une prime élevée par rapport à la capacité bénéficiaire opérationnelle, ce qui tempère l'attrait du PER et invite à la prudence sur la base de ce ratio.</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progression remarquable de +50,54%, avec une dernière séance en hausse de +1,82% à 2 800 FCFA. Le titre a évolué dans une fourchette large de 1 650 à 2 820 FCFA, démontrant une dynamique haussière soutenue. La moyenne (2 222 FCFA) est inférieure à la médiane (2 285 FCFA), indiquant une distribution légèrement asymétrique avec des valeurs extrêmes basses en début de période. L'écart-type de 396 FCFA (CV=17,8%) révèle une dispersion modérée, tandis que le kurtosis de -1,575 (platykurtique) signale une distribution aplatie, sans pics de variation brutaux. Le skewness proche de zéro (0,057) confirme une symétrie globale. La volatilité annualisée de 49,9% classe le titre comme très volatil (&gt;30%), un niveau élevé qui reflète un risque important mais aussi un potentiel de rendement accru.</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(2 800 FCFA) se positionne nettement au-dessus de la MM20 (2 668 FCFA) et de la MM50 (2 580,5 FCFA), confirmant une tendance haussière solide à court et moyen terme. La configuration des moyennes mobiles, avec le cours au-dessus des deux, génère un signal d'achat cohérent avec la dynamique positive observée.</w:t>
      </w:r>
    </w:p>
    <w:p>
      <w:pPr>
        <w:spacing w:after="120" w:line="276" w:lineRule="auto"/>
      </w:pPr>
      <w:r>
        <w:t>**Bandes de Bollinger** : Le prix évolue près de la borne supérieure (2 892 FCFA), indiquant une pression acheteuse soutenue, mais aussi une zone de surachat potentiel. La borne inférieure à 2 443 FCFA délimite un canal de volatilité élargi. La décision neutre reflète un équilibre entre la force de la tendance et le risque de correction technique.</w:t>
      </w:r>
    </w:p>
    <w:p>
      <w:pPr>
        <w:spacing w:after="120" w:line="276" w:lineRule="auto"/>
      </w:pPr>
      <w:r>
        <w:t>**MACD** : Le MACD (45,5) est inférieur à son signal (49,0), suggérant un affaiblissement du momentum haussier à très court terme. Cette divergence négative, bien que légère, justifie une décision de vente prudente, indiquant que la dynamique pourrait marquer une pause après la forte progression récente.</w:t>
      </w:r>
    </w:p>
    <w:p>
      <w:pPr>
        <w:spacing w:after="120" w:line="276" w:lineRule="auto"/>
      </w:pPr>
      <w:r>
        <w:t>**RSI** : À 60,3, le RSI se situe en zone neutre, sans signal de surachat (70) ni de survente (30). Cette valeur indique une pression acheteuse encore présente mais modérée, laissant une marge de progression avant d'atteindre des niveaux extrêmes.</w:t>
      </w:r>
    </w:p>
    <w:p>
      <w:pPr>
        <w:spacing w:after="120" w:line="276" w:lineRule="auto"/>
      </w:pPr>
      <w:r>
        <w:t>**Stochastique** : Le %K à 100 et le %D à 73,5 montrent une situation de surachat extrême, avec un %K au maximum. Cette configuration signale un épuisement potentiel de la tendance haussière à court terme, justifiant la décision de vente.</w:t>
      </w:r>
    </w:p>
    <w:p>
      <w:pPr>
        <w:spacing w:after="120" w:line="276" w:lineRule="auto"/>
      </w:pPr>
      <w:r>
        <w:t>**Conclusion technique** : Les indicateurs sont partagés : les moyennes mobiles soutiennent l'achat, tandis que le MACD et le stochastique suggèrent une prudence à court terme. Le RSI et les bandes de Bollinger restent neutres. Globalement, la tendance de fond reste haussière, mais des signaux de surachat appellent à une consolidation possible dans les prochaines séances.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2024, SDSC affiche un chiffre d'affaires de 85,643 milliards FCFA, en croissance de 3,65%, avec un résultat net de 21,069 milliards FCFA, soit une marge nette exceptionnelle de 24,6%. Le ROE s'établit à 27,08% et le ROA à 11,2%, démontrant une excellente rentabilité des fonds propres et des actifs. Cependant, le délai clients de 467 jours constitue un risque majeur de trésorerie, partiellement compensé par un délai fournisseurs très élevé (4 534 jours) et un BFR de 17,874 milliards. Les rapports trimestriels 2025 révèlent une dégradation brutale : au T1 2025, le résultat net est de 223 millions FCFA (contre une perte de 193 millions au T1 2024), mais le S1 2025 affiche une perte de 427 millions, et le T3 2025 un bénéfice de 4,341 milliards, en chute de 77% sur un an. Pour l'exercice 2025, les états financiers provisoires indiquent un CA de 92,004 milliards (+7,43%) mais un résultat net effondré à 784,97 millions FCFA (marge nette de 0,85%), avec un résultat d'exploitation négatif de -2,271 milliards. Cette chute s'explique par la baisse des dividendes des filiales et une hausse des amortissements. On estime que la rentabilité 2026 pourrait se redresser si les produits financiers se stabilisent, mais la dépendance aux revenus exceptionnels des filiales reste un facteur de fragilité.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SDSC présente un paradoxe : un PER attractif de 7,2x et un P/B de 1,96x suggèrent une sous-évaluation, mais l'EV/EBITDA de 32,9x indique une prime excessive. Le comportement du cours montre une tendance haussière forte (+50,5% sur 100 jours) avec une volatilité élevée (49,9%), tandis que les statistiques (kurtosis platykurtique, skewness symétrique) suggèrent une stabilité relative dans la distribution. Les signaux techniques sont mitigés : les moyennes mobiles soutiennent l'achat, mais le MACD et le stochastique en surachat appellent à la prudence. Fondamentalement, la solidité du bilan (capitaux propres de 77,8 milliards, trésorerie nette de 15,6 milliards en 2024) contraste avec l'effondrement de la rentabilité en 2025 (marge nette de 0,85%). Les prédictions IA (2 751 à 2 630 FCFA sur 10 jours) anticipent une correction de -6%, confirmant les signaux techniques de surachat. En synthèse, la convergence entre la faiblesse fondamentale récente et les signaux techniques de surachat conduit à une recommandation **CONSERVER**, avec un niveau de confiance **Moyen** et un risque global **Élevé**. L'horizon d'investissement optimal serait le **moyen terme (3-12 mois)**, en attendant une clarification sur la restauration des marges opérationnelles et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5,769 titres</w:t>
            </w:r>
          </w:p>
        </w:tc>
        <w:tc>
          <w:tcPr>
            <w:tcW w:type="dxa" w:w="2268"/>
            <w:shd w:fill="FFF2CC" w:val="clear"/>
          </w:tcPr>
          <w:p>
            <w:r>
              <w:rPr>
                <w:b/>
                <w:color w:val="503200"/>
                <w:sz w:val="16"/>
              </w:rPr>
              <w:t xml:space="preserve">Cours actuel : </w:t>
            </w:r>
            <w:r>
              <w:rPr>
                <w:color w:val="000000"/>
                <w:sz w:val="17"/>
              </w:rPr>
              <w:t>1,550 FCFA</w:t>
            </w:r>
          </w:p>
          <w:p>
            <w:r>
              <w:rPr>
                <w:b/>
                <w:color w:val="503200"/>
                <w:sz w:val="16"/>
              </w:rPr>
              <w:t xml:space="preserve">Var. 100 jours : </w:t>
            </w:r>
            <w:r>
              <w:rPr>
                <w:b/>
                <w:color w:val="B40000"/>
                <w:sz w:val="17"/>
              </w:rPr>
              <w:t>-21.91%</w:t>
            </w:r>
          </w:p>
          <w:p>
            <w:r>
              <w:rPr>
                <w:b/>
                <w:color w:val="503200"/>
                <w:sz w:val="16"/>
              </w:rPr>
              <w:t xml:space="preserve">Plus haut 100j : </w:t>
            </w:r>
            <w:r>
              <w:rPr>
                <w:color w:val="000000"/>
                <w:sz w:val="17"/>
              </w:rPr>
              <w:t>1,985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8.41% (Moyenne) — μ=1,563 FCFA, σ=131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β=1.3398 (Agressif) — Cov=0.000048, Var(idx)=0.000036, ρ=0.257,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5,769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1,396</w:t>
            </w:r>
          </w:p>
        </w:tc>
        <w:tc>
          <w:tcPr>
            <w:tcW w:type="dxa" w:w="1440"/>
            <w:shd w:fill="FFDCE0" w:val="clear"/>
          </w:tcPr>
          <w:p>
            <w:r>
              <w:rPr>
                <w:b/>
                <w:sz w:val="17"/>
              </w:rPr>
              <w:t>1,467</w:t>
            </w:r>
          </w:p>
        </w:tc>
        <w:tc>
          <w:tcPr>
            <w:tcW w:type="dxa" w:w="1440"/>
            <w:shd w:fill="FFDCE0" w:val="clear"/>
          </w:tcPr>
          <w:p>
            <w:r>
              <w:rPr>
                <w:sz w:val="17"/>
              </w:rPr>
              <w:t>1,538</w:t>
            </w:r>
          </w:p>
        </w:tc>
        <w:tc>
          <w:tcPr>
            <w:tcW w:type="dxa" w:w="1440"/>
            <w:shd w:fill="FFDCE0" w:val="clear"/>
          </w:tcPr>
          <w:p>
            <w:r>
              <w:rPr>
                <w:b/>
                <w:color w:val="C00000"/>
                <w:sz w:val="17"/>
              </w:rPr>
              <w:t>-5.4%</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1,359</w:t>
            </w:r>
          </w:p>
        </w:tc>
        <w:tc>
          <w:tcPr>
            <w:tcW w:type="dxa" w:w="1440"/>
            <w:shd w:fill="FFDCE0" w:val="clear"/>
          </w:tcPr>
          <w:p>
            <w:r>
              <w:rPr>
                <w:b/>
                <w:sz w:val="17"/>
              </w:rPr>
              <w:t>1,459</w:t>
            </w:r>
          </w:p>
        </w:tc>
        <w:tc>
          <w:tcPr>
            <w:tcW w:type="dxa" w:w="1440"/>
            <w:shd w:fill="FFDCE0" w:val="clear"/>
          </w:tcPr>
          <w:p>
            <w:r>
              <w:rPr>
                <w:sz w:val="17"/>
              </w:rPr>
              <w:t>1,559</w:t>
            </w:r>
          </w:p>
        </w:tc>
        <w:tc>
          <w:tcPr>
            <w:tcW w:type="dxa" w:w="1440"/>
            <w:shd w:fill="FFDCE0" w:val="clear"/>
          </w:tcPr>
          <w:p>
            <w:r>
              <w:rPr>
                <w:b/>
                <w:color w:val="C00000"/>
                <w:sz w:val="17"/>
              </w:rPr>
              <w:t>-5.9%</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1,325</w:t>
            </w:r>
          </w:p>
        </w:tc>
        <w:tc>
          <w:tcPr>
            <w:tcW w:type="dxa" w:w="1440"/>
            <w:shd w:fill="FFDCE0" w:val="clear"/>
          </w:tcPr>
          <w:p>
            <w:r>
              <w:rPr>
                <w:b/>
                <w:sz w:val="17"/>
              </w:rPr>
              <w:t>1,446</w:t>
            </w:r>
          </w:p>
        </w:tc>
        <w:tc>
          <w:tcPr>
            <w:tcW w:type="dxa" w:w="1440"/>
            <w:shd w:fill="FFDCE0" w:val="clear"/>
          </w:tcPr>
          <w:p>
            <w:r>
              <w:rPr>
                <w:sz w:val="17"/>
              </w:rPr>
              <w:t>1,568</w:t>
            </w:r>
          </w:p>
        </w:tc>
        <w:tc>
          <w:tcPr>
            <w:tcW w:type="dxa" w:w="1440"/>
            <w:shd w:fill="FFDCE0" w:val="clear"/>
          </w:tcPr>
          <w:p>
            <w:r>
              <w:rPr>
                <w:b/>
                <w:color w:val="C00000"/>
                <w:sz w:val="17"/>
              </w:rPr>
              <w:t>-6.7%</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1,293</w:t>
            </w:r>
          </w:p>
        </w:tc>
        <w:tc>
          <w:tcPr>
            <w:tcW w:type="dxa" w:w="1440"/>
            <w:shd w:fill="FFDCE0" w:val="clear"/>
          </w:tcPr>
          <w:p>
            <w:r>
              <w:rPr>
                <w:b/>
                <w:sz w:val="17"/>
              </w:rPr>
              <w:t>1,432</w:t>
            </w:r>
          </w:p>
        </w:tc>
        <w:tc>
          <w:tcPr>
            <w:tcW w:type="dxa" w:w="1440"/>
            <w:shd w:fill="FFDCE0" w:val="clear"/>
          </w:tcPr>
          <w:p>
            <w:r>
              <w:rPr>
                <w:sz w:val="17"/>
              </w:rPr>
              <w:t>1,571</w:t>
            </w:r>
          </w:p>
        </w:tc>
        <w:tc>
          <w:tcPr>
            <w:tcW w:type="dxa" w:w="1440"/>
            <w:shd w:fill="FFDCE0" w:val="clear"/>
          </w:tcPr>
          <w:p>
            <w:r>
              <w:rPr>
                <w:b/>
                <w:color w:val="C00000"/>
                <w:sz w:val="17"/>
              </w:rPr>
              <w:t>-7.6%</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1,264</w:t>
            </w:r>
          </w:p>
        </w:tc>
        <w:tc>
          <w:tcPr>
            <w:tcW w:type="dxa" w:w="1440"/>
            <w:shd w:fill="FFDCE0" w:val="clear"/>
          </w:tcPr>
          <w:p>
            <w:r>
              <w:rPr>
                <w:b/>
                <w:sz w:val="17"/>
              </w:rPr>
              <w:t>1,418</w:t>
            </w:r>
          </w:p>
        </w:tc>
        <w:tc>
          <w:tcPr>
            <w:tcW w:type="dxa" w:w="1440"/>
            <w:shd w:fill="FFDCE0" w:val="clear"/>
          </w:tcPr>
          <w:p>
            <w:r>
              <w:rPr>
                <w:sz w:val="17"/>
              </w:rPr>
              <w:t>1,572</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1,237</w:t>
            </w:r>
          </w:p>
        </w:tc>
        <w:tc>
          <w:tcPr>
            <w:tcW w:type="dxa" w:w="1440"/>
            <w:shd w:fill="FFDCE0" w:val="clear"/>
          </w:tcPr>
          <w:p>
            <w:r>
              <w:rPr>
                <w:b/>
                <w:sz w:val="17"/>
              </w:rPr>
              <w:t>1,404</w:t>
            </w:r>
          </w:p>
        </w:tc>
        <w:tc>
          <w:tcPr>
            <w:tcW w:type="dxa" w:w="1440"/>
            <w:shd w:fill="FFDCE0" w:val="clear"/>
          </w:tcPr>
          <w:p>
            <w:r>
              <w:rPr>
                <w:sz w:val="17"/>
              </w:rPr>
              <w:t>1,571</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1,212</w:t>
            </w:r>
          </w:p>
        </w:tc>
        <w:tc>
          <w:tcPr>
            <w:tcW w:type="dxa" w:w="1440"/>
            <w:shd w:fill="FFDCE0" w:val="clear"/>
          </w:tcPr>
          <w:p>
            <w:r>
              <w:rPr>
                <w:b/>
                <w:sz w:val="17"/>
              </w:rPr>
              <w:t>1,391</w:t>
            </w:r>
          </w:p>
        </w:tc>
        <w:tc>
          <w:tcPr>
            <w:tcW w:type="dxa" w:w="1440"/>
            <w:shd w:fill="FFDCE0" w:val="clear"/>
          </w:tcPr>
          <w:p>
            <w:r>
              <w:rPr>
                <w:sz w:val="17"/>
              </w:rPr>
              <w:t>1,569</w:t>
            </w:r>
          </w:p>
        </w:tc>
        <w:tc>
          <w:tcPr>
            <w:tcW w:type="dxa" w:w="1440"/>
            <w:shd w:fill="FFDCE0" w:val="clear"/>
          </w:tcPr>
          <w:p>
            <w:r>
              <w:rPr>
                <w:b/>
                <w:color w:val="C00000"/>
                <w:sz w:val="17"/>
              </w:rPr>
              <w:t>-10.3%</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1,188</w:t>
            </w:r>
          </w:p>
        </w:tc>
        <w:tc>
          <w:tcPr>
            <w:tcW w:type="dxa" w:w="1440"/>
            <w:shd w:fill="FFDCE0" w:val="clear"/>
          </w:tcPr>
          <w:p>
            <w:r>
              <w:rPr>
                <w:b/>
                <w:sz w:val="17"/>
              </w:rPr>
              <w:t>1,377</w:t>
            </w:r>
          </w:p>
        </w:tc>
        <w:tc>
          <w:tcPr>
            <w:tcW w:type="dxa" w:w="1440"/>
            <w:shd w:fill="FFDCE0" w:val="clear"/>
          </w:tcPr>
          <w:p>
            <w:r>
              <w:rPr>
                <w:sz w:val="17"/>
              </w:rPr>
              <w:t>1,566</w:t>
            </w:r>
          </w:p>
        </w:tc>
        <w:tc>
          <w:tcPr>
            <w:tcW w:type="dxa" w:w="1440"/>
            <w:shd w:fill="FFDCE0" w:val="clear"/>
          </w:tcPr>
          <w:p>
            <w:r>
              <w:rPr>
                <w:b/>
                <w:color w:val="C00000"/>
                <w:sz w:val="17"/>
              </w:rPr>
              <w:t>-11.1%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1,166</w:t>
            </w:r>
          </w:p>
        </w:tc>
        <w:tc>
          <w:tcPr>
            <w:tcW w:type="dxa" w:w="1440"/>
            <w:shd w:fill="FFDCE0" w:val="clear"/>
          </w:tcPr>
          <w:p>
            <w:r>
              <w:rPr>
                <w:b/>
                <w:sz w:val="17"/>
              </w:rPr>
              <w:t>1,364</w:t>
            </w:r>
          </w:p>
        </w:tc>
        <w:tc>
          <w:tcPr>
            <w:tcW w:type="dxa" w:w="1440"/>
            <w:shd w:fill="FFDCE0" w:val="clear"/>
          </w:tcPr>
          <w:p>
            <w:r>
              <w:rPr>
                <w:sz w:val="17"/>
              </w:rPr>
              <w:t>1,563</w:t>
            </w:r>
          </w:p>
        </w:tc>
        <w:tc>
          <w:tcPr>
            <w:tcW w:type="dxa" w:w="1440"/>
            <w:shd w:fill="FFDCE0" w:val="clear"/>
          </w:tcPr>
          <w:p>
            <w:r>
              <w:rPr>
                <w:b/>
                <w:color w:val="C00000"/>
                <w:sz w:val="17"/>
              </w:rPr>
              <w:t>-12.0%</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1,144</w:t>
            </w:r>
          </w:p>
        </w:tc>
        <w:tc>
          <w:tcPr>
            <w:tcW w:type="dxa" w:w="1440"/>
            <w:shd w:fill="FFDCE0" w:val="clear"/>
          </w:tcPr>
          <w:p>
            <w:r>
              <w:rPr>
                <w:b/>
                <w:sz w:val="17"/>
              </w:rPr>
              <w:t>1,352</w:t>
            </w:r>
          </w:p>
        </w:tc>
        <w:tc>
          <w:tcPr>
            <w:tcW w:type="dxa" w:w="1440"/>
            <w:shd w:fill="FFDCE0" w:val="clear"/>
          </w:tcPr>
          <w:p>
            <w:r>
              <w:rPr>
                <w:sz w:val="17"/>
              </w:rPr>
              <w:t>1,559</w:t>
            </w:r>
          </w:p>
        </w:tc>
        <w:tc>
          <w:tcPr>
            <w:tcW w:type="dxa" w:w="1440"/>
            <w:shd w:fill="FFDCE0" w:val="clear"/>
          </w:tcPr>
          <w:p>
            <w:r>
              <w:rPr>
                <w:b/>
                <w:color w:val="C00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39,04 milliards FCFA, un niveau modeste qui la positionne parmi les valeurs de taille moyenne du marché BRVM. Les ratios de valorisation traditionnels (BPA, PER, P/B, EV/EBITDA) ne sont pas calculables en raison de l'absence de données financières structurées dans la base de référence, ce qui limite la comparaison directe avec les références du marché (PER moyen BRVM de 8 à 12x). Toutefois, sur la base des rapports fondamentaux disponibles, le bénéfice net 2023 de 1,01 milliard FCFA pour 25,19 millions d'actions en circulation implique un BPA d'environ 40 FCFA, soit un PER implicite de 38,75x, nettement supérieur à la moyenne du marché. Cette valorisation élevée s'explique par les perspectives de rebond post-rachat par Sonoco et la faiblesse actuelle des bénéfices, mais elle suggère que le marché intègre déjà une forte amélioration attendue des résultats.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SEMC a enregistré une baisse significative de 21,91%, passant de son plus haut à 1 985 FCFA à son plus bas à 1 350 FCFA, avant de clôturer à 1 550 FCFA, soit un rebond de 3,33% lors de la dernière séance. La moyenne du cours sur la période s'établit à 1 563 FCFA, légèrement supérieure à la médiane de 1 525 FCFA, indiquant une distribution asymétrique positive (skewness de 1,620) avec davantage de journées sous la moyenne. L'écart-type de 132 FCFA (coefficient de variation de 8,5%) révèle une dispersion modérée des cours autour de la moyenne. Le kurtosis excédentaire de 2,331 signale une distribution leptokurtique avec des queues épaisses, suggérant un risque de mouvements extrêmes. La volatilité annualisée de 49,7% classe SEMC parmi les valeurs à très haute volatilité, bien au-dessus du seuil de 30% considéré comme élevé, reflétant une incertitude marquée des investisseurs sur ce titre.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1 550 FCFA se positionne au-dessus des moyennes mobiles à 20 jours (1 509 FCFA) et à 50 jours (1 500,4 FCFA), configuration qui génère un signal d'achat. La proximité de ces deux moyennes indique une consolidation récente après la phase de baisse, le cours tentant de se stabiliser au-dessus de ces supports dynamiques.</w:t>
      </w:r>
    </w:p>
    <w:p>
      <w:pPr>
        <w:spacing w:after="120" w:line="276" w:lineRule="auto"/>
      </w:pPr>
      <w:r>
        <w:t>**Bandes de Bollinger** : Le prix évolue à l'intérieur des bandes, entre la borne supérieure à 1 602,7 FCFA et la borne inférieure à 1 415,3 FCFA, avec une largeur de bande relativement étroite traduisant une volatilité en contraction. La position du cours proche de la moyenne de la bande suggère un équilibre temporaire, d'où la décision neutre, en attendant une direction claire.</w:t>
      </w:r>
    </w:p>
    <w:p>
      <w:pPr>
        <w:spacing w:after="120" w:line="276" w:lineRule="auto"/>
      </w:pPr>
      <w:r>
        <w:t>**MACD** : La valeur du MACD à 9,019 est inférieure à son signal à 10,04, générant un signal de vente. Cette configuration indique un momentum baissier persistant, bien que la proximité des deux lignes suggère une possible convergence à court terme. La dynamique positive récente du cours pourrait toutefois inverser cette tendance dans les prochaines séances.</w:t>
      </w:r>
    </w:p>
    <w:p>
      <w:pPr>
        <w:spacing w:after="120" w:line="276" w:lineRule="auto"/>
      </w:pPr>
      <w:r>
        <w:t>**RSI** : À 56,25, le RSI se situe en zone neutre, entre 30 et 70, indiquant un marché sans condition de surachat ni de survente. Cette valeur reflète un momentum modéré, ni excessivement optimiste ni pessimiste, laissant place à une évolution dans les deux sens sans pression particulière.</w:t>
      </w:r>
    </w:p>
    <w:p>
      <w:pPr>
        <w:spacing w:after="120" w:line="276" w:lineRule="auto"/>
      </w:pPr>
      <w:r>
        <w:t>**Stochastique** : Le %K à 66,67 est nettement supérieur au %D à 34,41, configuration indiquant un croisement haussier récent. Cette divergence positive suggère un regain d'intérêt acheteur à court terme, mais la prudence reste de mise tant que le %K n'a pas confirmé sa trajectoire au-dessus de 70.</w:t>
      </w:r>
    </w:p>
    <w:p>
      <w:pPr>
        <w:spacing w:after="120" w:line="276" w:lineRule="auto"/>
      </w:pPr>
      <w:r>
        <w:t>**Conclusion technique** : La convergence des signaux est mitigée, avec des moyennes mobiles et le stochastique orientés à l'achat, tandis que le MACD reste vendeur et le RSI neutre. Cette configuration traduit une phase de transition après une forte baisse, le titre cherchant à stabiliser sa trajectoire. La reprise récente de 3,33% sur la dernière séance pourrait initier un mouvement haussier si elle se confirme au-dessus de la résistance des 1 600 FCFA.</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fondamentaux officiels fournissent des informations détaillées. Le rapport daté du 31 décembre 2024 (analysé en mars 2026) présente les résultats de l'exercice 2023 : le chiffre d'affaires s'établit à 27,88 milliards FCFA, en baisse de 6% par rapport à 2022 (29,60 milliards FCFA), tandis que le résultat net chute de 74% à 1,01 milliard FCFA (contre 3,86 milliards FCFA en 2022). La marge nette se dégrade fortement, passant de 13,0% à 3,6%, sous l'effet de la baisse des volumes (-12%), de la perte de clients clés comme AIRONE (-81% du CA) et de l'arrêt des ventes de cannettes aluminium. Le rapport du 31 décembre 2023 (1er trimestre 2023) montre un CA de 7,65 milliards FCFA (+16,5% vs T1 2022) avec un résultat net de 855,65 millions FCFA (+37,9%), suggérant une dynamique positive en début d'année avant la dégradation constatée sur l'ensemble de l'exercice. Les rapports de 2022 présentent des chiffres contradictoires (CA consolidé de 125,4 milliards FCFA et résultat net de 12,8 milliards FCFA), probablement issus d'une consolidation avec la maison mère, à interpréter avec prudence. La politique de dividende est nulle depuis 2022, la société privilégiant la conservation de trésorerie (3,35 milliards FCFA) pour financer sa relance. Les perspectives 2024 visent un CA de 32 milliards FCFA (+18%), portées par les bouchons couronnes (+61% en volume) et les exportations, avec le soutien du nouveau actionnaire Sonoco Products Company. La recommandation fondamentale est de conserver avec vigilance, compte tenu des risques opérationnels et de la rentabilité encore fragile.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SEMC. La valorisation boursière, avec un PER implicite d'environ 38x sur la base des bénéfices 2023, apparaît élevée, mais elle intègre les perspectives de rebond attendues. Le comportement du cours sur 100 jours est préoccupant avec une baisse de 21,91%, une volatilité annualisée très élevée de 49,7% et une distribution leptokurtique indiquant un risque de mouvements extrêmes. Les signaux techniques sont mitigés : les moyennes mobiles et le stochastique suggèrent un potentiel de rebond, tandis que le MACD reste vendeur. Les fondamentaux montrent une dégradation marquée en 2023, mais les perspectives de croissance pour 2024 (+18% de CA visé) et le rachat par Sonoco offrent des leviers de relance. Les prédictions IA pour les 10 prochains jours indiquent une poursuite de la baisse vers 1 418 FCFA, contredisant les signaux techniques haussiers à court terme. Face à cette divergence entre les signaux techniques et les prédictions IA, et compte tenu de la fragilité fondamentale persistante, la recommandation finale est **CONSERVER** avec un niveau de confiance **Moyen** et un risque global **Élevé**. L'horizon d'investissement optimal se situe à **moyen terme (3-12 mois)**, en attendant la confirmation de la relance opérationnelle et la levée de la suspension de cote.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1182.22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5,153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+11.11%</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5.61% (Moyenne) — μ=37,059 FCFA, σ=2,080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β=0.6796 (Défensif) — Cov=0.000025, Var(idx)=0.000036, ρ=0.260,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5,153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37,128</w:t>
            </w:r>
          </w:p>
        </w:tc>
        <w:tc>
          <w:tcPr>
            <w:tcW w:type="dxa" w:w="1440"/>
            <w:shd w:fill="FAFAFA" w:val="clear"/>
          </w:tcPr>
          <w:p>
            <w:r>
              <w:rPr>
                <w:b/>
                <w:sz w:val="17"/>
              </w:rPr>
              <w:t>37,980</w:t>
            </w:r>
          </w:p>
        </w:tc>
        <w:tc>
          <w:tcPr>
            <w:tcW w:type="dxa" w:w="1440"/>
            <w:shd w:fill="FAFAFA" w:val="clear"/>
          </w:tcPr>
          <w:p>
            <w:r>
              <w:rPr>
                <w:sz w:val="17"/>
              </w:rPr>
              <w:t>38,832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36,695</w:t>
            </w:r>
          </w:p>
        </w:tc>
        <w:tc>
          <w:tcPr>
            <w:tcW w:type="dxa" w:w="1440"/>
            <w:shd w:fill="FAFAFA" w:val="clear"/>
          </w:tcPr>
          <w:p>
            <w:r>
              <w:rPr>
                <w:b/>
                <w:sz w:val="17"/>
              </w:rPr>
              <w:t>37,898</w:t>
            </w:r>
          </w:p>
        </w:tc>
        <w:tc>
          <w:tcPr>
            <w:tcW w:type="dxa" w:w="1440"/>
            <w:shd w:fill="FAFAFA" w:val="clear"/>
          </w:tcPr>
          <w:p>
            <w:r>
              <w:rPr>
                <w:sz w:val="17"/>
              </w:rPr>
              <w:t>39,100</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36,350</w:t>
            </w:r>
          </w:p>
        </w:tc>
        <w:tc>
          <w:tcPr>
            <w:tcW w:type="dxa" w:w="1440"/>
            <w:shd w:fill="FAFAFA" w:val="clear"/>
          </w:tcPr>
          <w:p>
            <w:r>
              <w:rPr>
                <w:b/>
                <w:sz w:val="17"/>
              </w:rPr>
              <w:t>37,820</w:t>
            </w:r>
          </w:p>
        </w:tc>
        <w:tc>
          <w:tcPr>
            <w:tcW w:type="dxa" w:w="1440"/>
            <w:shd w:fill="FAFAFA" w:val="clear"/>
          </w:tcPr>
          <w:p>
            <w:r>
              <w:rPr>
                <w:sz w:val="17"/>
              </w:rPr>
              <w:t>39,290</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2026-09-04</w:t>
            </w:r>
          </w:p>
        </w:tc>
        <w:tc>
          <w:tcPr>
            <w:tcW w:type="dxa" w:w="1440"/>
            <w:shd w:fill="FAFAFA" w:val="clear"/>
          </w:tcPr>
          <w:p>
            <w:r>
              <w:rPr>
                <w:sz w:val="17"/>
              </w:rPr>
              <w:t>36,050</w:t>
            </w:r>
          </w:p>
        </w:tc>
        <w:tc>
          <w:tcPr>
            <w:tcW w:type="dxa" w:w="1440"/>
            <w:shd w:fill="FAFAFA" w:val="clear"/>
          </w:tcPr>
          <w:p>
            <w:r>
              <w:rPr>
                <w:b/>
                <w:sz w:val="17"/>
              </w:rPr>
              <w:t>37,743</w:t>
            </w:r>
          </w:p>
        </w:tc>
        <w:tc>
          <w:tcPr>
            <w:tcW w:type="dxa" w:w="1440"/>
            <w:shd w:fill="FAFAFA" w:val="clear"/>
          </w:tcPr>
          <w:p>
            <w:r>
              <w:rPr>
                <w:sz w:val="17"/>
              </w:rPr>
              <w:t>39,437</w:t>
            </w:r>
          </w:p>
        </w:tc>
        <w:tc>
          <w:tcPr>
            <w:tcW w:type="dxa" w:w="1440"/>
            <w:shd w:fill="FAFAFA" w:val="clear"/>
          </w:tcPr>
          <w:p>
            <w:r>
              <w:rPr>
                <w:b/>
                <w:color w:val="C00000"/>
                <w:sz w:val="17"/>
              </w:rPr>
              <w:t>-0.7%</w:t>
            </w:r>
          </w:p>
        </w:tc>
      </w:tr>
      <w:tr>
        <w:tc>
          <w:tcPr>
            <w:tcW w:type="dxa" w:w="1440"/>
            <w:shd w:fill="FAFAFA" w:val="clear"/>
          </w:tcPr>
          <w:p>
            <w:r>
              <w:rPr>
                <w:sz w:val="17"/>
              </w:rPr>
              <w:t>J+5  Moyenne</w:t>
            </w:r>
          </w:p>
        </w:tc>
        <w:tc>
          <w:tcPr>
            <w:tcW w:type="dxa" w:w="1440"/>
            <w:shd w:fill="FAFAFA" w:val="clear"/>
          </w:tcPr>
          <w:p>
            <w:r>
              <w:rPr>
                <w:sz w:val="17"/>
              </w:rPr>
              <w:t>2026-09-07</w:t>
            </w:r>
          </w:p>
        </w:tc>
        <w:tc>
          <w:tcPr>
            <w:tcW w:type="dxa" w:w="1440"/>
            <w:shd w:fill="FAFAFA" w:val="clear"/>
          </w:tcPr>
          <w:p>
            <w:r>
              <w:rPr>
                <w:sz w:val="17"/>
              </w:rPr>
              <w:t>35,777</w:t>
            </w:r>
          </w:p>
        </w:tc>
        <w:tc>
          <w:tcPr>
            <w:tcW w:type="dxa" w:w="1440"/>
            <w:shd w:fill="FAFAFA" w:val="clear"/>
          </w:tcPr>
          <w:p>
            <w:r>
              <w:rPr>
                <w:b/>
                <w:sz w:val="17"/>
              </w:rPr>
              <w:t>37,667</w:t>
            </w:r>
          </w:p>
        </w:tc>
        <w:tc>
          <w:tcPr>
            <w:tcW w:type="dxa" w:w="1440"/>
            <w:shd w:fill="FAFAFA" w:val="clear"/>
          </w:tcPr>
          <w:p>
            <w:r>
              <w:rPr>
                <w:sz w:val="17"/>
              </w:rPr>
              <w:t>39,557</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2026-09-08</w:t>
            </w:r>
          </w:p>
        </w:tc>
        <w:tc>
          <w:tcPr>
            <w:tcW w:type="dxa" w:w="1440"/>
            <w:shd w:fill="FAFAFA" w:val="clear"/>
          </w:tcPr>
          <w:p>
            <w:r>
              <w:rPr>
                <w:sz w:val="17"/>
              </w:rPr>
              <w:t>35,525</w:t>
            </w:r>
          </w:p>
        </w:tc>
        <w:tc>
          <w:tcPr>
            <w:tcW w:type="dxa" w:w="1440"/>
            <w:shd w:fill="FAFAFA" w:val="clear"/>
          </w:tcPr>
          <w:p>
            <w:r>
              <w:rPr>
                <w:b/>
                <w:sz w:val="17"/>
              </w:rPr>
              <w:t>37,591</w:t>
            </w:r>
          </w:p>
        </w:tc>
        <w:tc>
          <w:tcPr>
            <w:tcW w:type="dxa" w:w="1440"/>
            <w:shd w:fill="FAFAFA" w:val="clear"/>
          </w:tcPr>
          <w:p>
            <w:r>
              <w:rPr>
                <w:sz w:val="17"/>
              </w:rPr>
              <w:t>39,658</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2026-09-09</w:t>
            </w:r>
          </w:p>
        </w:tc>
        <w:tc>
          <w:tcPr>
            <w:tcW w:type="dxa" w:w="1440"/>
            <w:shd w:fill="FAFAFA" w:val="clear"/>
          </w:tcPr>
          <w:p>
            <w:r>
              <w:rPr>
                <w:sz w:val="17"/>
              </w:rPr>
              <w:t>35,289</w:t>
            </w:r>
          </w:p>
        </w:tc>
        <w:tc>
          <w:tcPr>
            <w:tcW w:type="dxa" w:w="1440"/>
            <w:shd w:fill="FAFAFA" w:val="clear"/>
          </w:tcPr>
          <w:p>
            <w:r>
              <w:rPr>
                <w:b/>
                <w:sz w:val="17"/>
              </w:rPr>
              <w:t>37,516</w:t>
            </w:r>
          </w:p>
        </w:tc>
        <w:tc>
          <w:tcPr>
            <w:tcW w:type="dxa" w:w="1440"/>
            <w:shd w:fill="FAFAFA" w:val="clear"/>
          </w:tcPr>
          <w:p>
            <w:r>
              <w:rPr>
                <w:sz w:val="17"/>
              </w:rPr>
              <w:t>39,744</w:t>
            </w:r>
          </w:p>
        </w:tc>
        <w:tc>
          <w:tcPr>
            <w:tcW w:type="dxa" w:w="1440"/>
            <w:shd w:fill="FAFAFA" w:val="clear"/>
          </w:tcPr>
          <w:p>
            <w:r>
              <w:rPr>
                <w:b/>
                <w:color w:val="C00000"/>
                <w:sz w:val="17"/>
              </w:rPr>
              <w:t>-1.3%</w:t>
            </w:r>
          </w:p>
        </w:tc>
      </w:tr>
      <w:tr>
        <w:tc>
          <w:tcPr>
            <w:tcW w:type="dxa" w:w="1440"/>
            <w:shd w:fill="FAFAFA" w:val="clear"/>
          </w:tcPr>
          <w:p>
            <w:r>
              <w:rPr>
                <w:sz w:val="17"/>
              </w:rPr>
              <w:t>J+8  Moyenne</w:t>
            </w:r>
          </w:p>
        </w:tc>
        <w:tc>
          <w:tcPr>
            <w:tcW w:type="dxa" w:w="1440"/>
            <w:shd w:fill="FAFAFA" w:val="clear"/>
          </w:tcPr>
          <w:p>
            <w:r>
              <w:rPr>
                <w:sz w:val="17"/>
              </w:rPr>
              <w:t>2026-09-10</w:t>
            </w:r>
          </w:p>
        </w:tc>
        <w:tc>
          <w:tcPr>
            <w:tcW w:type="dxa" w:w="1440"/>
            <w:shd w:fill="FAFAFA" w:val="clear"/>
          </w:tcPr>
          <w:p>
            <w:r>
              <w:rPr>
                <w:sz w:val="17"/>
              </w:rPr>
              <w:t>35,066</w:t>
            </w:r>
          </w:p>
        </w:tc>
        <w:tc>
          <w:tcPr>
            <w:tcW w:type="dxa" w:w="1440"/>
            <w:shd w:fill="FAFAFA" w:val="clear"/>
          </w:tcPr>
          <w:p>
            <w:r>
              <w:rPr>
                <w:b/>
                <w:sz w:val="17"/>
              </w:rPr>
              <w:t>37,442</w:t>
            </w:r>
          </w:p>
        </w:tc>
        <w:tc>
          <w:tcPr>
            <w:tcW w:type="dxa" w:w="1440"/>
            <w:shd w:fill="FAFAFA" w:val="clear"/>
          </w:tcPr>
          <w:p>
            <w:r>
              <w:rPr>
                <w:sz w:val="17"/>
              </w:rPr>
              <w:t>39,819</w:t>
            </w:r>
          </w:p>
        </w:tc>
        <w:tc>
          <w:tcPr>
            <w:tcW w:type="dxa" w:w="1440"/>
            <w:shd w:fill="FAFAFA" w:val="clear"/>
          </w:tcPr>
          <w:p>
            <w:r>
              <w:rPr>
                <w:b/>
                <w:color w:val="C00000"/>
                <w:sz w:val="17"/>
              </w:rPr>
              <w:t>-1.5%</w:t>
            </w:r>
          </w:p>
        </w:tc>
      </w:tr>
      <w:tr>
        <w:tc>
          <w:tcPr>
            <w:tcW w:type="dxa" w:w="1440"/>
            <w:shd w:fill="FAFAFA" w:val="clear"/>
          </w:tcPr>
          <w:p>
            <w:r>
              <w:rPr>
                <w:sz w:val="17"/>
              </w:rPr>
              <w:t>J+9  Moyenne</w:t>
            </w:r>
          </w:p>
        </w:tc>
        <w:tc>
          <w:tcPr>
            <w:tcW w:type="dxa" w:w="1440"/>
            <w:shd w:fill="FAFAFA" w:val="clear"/>
          </w:tcPr>
          <w:p>
            <w:r>
              <w:rPr>
                <w:sz w:val="17"/>
              </w:rPr>
              <w:t>2026-09-11</w:t>
            </w:r>
          </w:p>
        </w:tc>
        <w:tc>
          <w:tcPr>
            <w:tcW w:type="dxa" w:w="1440"/>
            <w:shd w:fill="FAFAFA" w:val="clear"/>
          </w:tcPr>
          <w:p>
            <w:r>
              <w:rPr>
                <w:sz w:val="17"/>
              </w:rPr>
              <w:t>34,854</w:t>
            </w:r>
          </w:p>
        </w:tc>
        <w:tc>
          <w:tcPr>
            <w:tcW w:type="dxa" w:w="1440"/>
            <w:shd w:fill="FAFAFA" w:val="clear"/>
          </w:tcPr>
          <w:p>
            <w:r>
              <w:rPr>
                <w:b/>
                <w:sz w:val="17"/>
              </w:rPr>
              <w:t>37,369</w:t>
            </w:r>
          </w:p>
        </w:tc>
        <w:tc>
          <w:tcPr>
            <w:tcW w:type="dxa" w:w="1440"/>
            <w:shd w:fill="FAFAFA" w:val="clear"/>
          </w:tcPr>
          <w:p>
            <w:r>
              <w:rPr>
                <w:sz w:val="17"/>
              </w:rPr>
              <w:t>39,885</w:t>
            </w:r>
          </w:p>
        </w:tc>
        <w:tc>
          <w:tcPr>
            <w:tcW w:type="dxa" w:w="1440"/>
            <w:shd w:fill="FAFAFA" w:val="clear"/>
          </w:tcPr>
          <w:p>
            <w:r>
              <w:rPr>
                <w:b/>
                <w:color w:val="C00000"/>
                <w:sz w:val="17"/>
              </w:rPr>
              <w:t>-1.7%</w:t>
            </w:r>
          </w:p>
        </w:tc>
      </w:tr>
      <w:tr>
        <w:tc>
          <w:tcPr>
            <w:tcW w:type="dxa" w:w="1440"/>
            <w:shd w:fill="FAFAFA" w:val="clear"/>
          </w:tcPr>
          <w:p>
            <w:r>
              <w:rPr>
                <w:sz w:val="17"/>
              </w:rPr>
              <w:t>J+10  Moyenne</w:t>
            </w:r>
          </w:p>
        </w:tc>
        <w:tc>
          <w:tcPr>
            <w:tcW w:type="dxa" w:w="1440"/>
            <w:shd w:fill="FAFAFA" w:val="clear"/>
          </w:tcPr>
          <w:p>
            <w:r>
              <w:rPr>
                <w:sz w:val="17"/>
              </w:rPr>
              <w:t>2026-09-14</w:t>
            </w:r>
          </w:p>
        </w:tc>
        <w:tc>
          <w:tcPr>
            <w:tcW w:type="dxa" w:w="1440"/>
            <w:shd w:fill="FAFAFA" w:val="clear"/>
          </w:tcPr>
          <w:p>
            <w:r>
              <w:rPr>
                <w:sz w:val="17"/>
              </w:rPr>
              <w:t>34,650</w:t>
            </w:r>
          </w:p>
        </w:tc>
        <w:tc>
          <w:tcPr>
            <w:tcW w:type="dxa" w:w="1440"/>
            <w:shd w:fill="FAFAFA" w:val="clear"/>
          </w:tcPr>
          <w:p>
            <w:r>
              <w:rPr>
                <w:b/>
                <w:sz w:val="17"/>
              </w:rPr>
              <w:t>37,297</w:t>
            </w:r>
          </w:p>
        </w:tc>
        <w:tc>
          <w:tcPr>
            <w:tcW w:type="dxa" w:w="1440"/>
            <w:shd w:fill="FAFAFA" w:val="clear"/>
          </w:tcPr>
          <w:p>
            <w:r>
              <w:rPr>
                <w:sz w:val="17"/>
              </w:rPr>
              <w:t>39,943</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1 182,22 milliards FCFA, ce qui en fait l'une des plus importantes valeurs de la BRVM, représentant un poids significatif dans l'indice composite. Avec un BPA de 3 258 FCFA, chaque action génère un bénéfice substantiel, justifiant un PER de 11,7x, légèrement au-dessus de la moyenne historique du marché (8-12x), ce qui traduit une valorisation raisonnable mais non bradée, les investisseurs acceptant de payer une prime pour la qualité de l'actif. Le P/B de 2,39x confirme cette lecture, le marché valorisant la banque à plus du double de sa valeur comptable, signe d'une anticipation de croissance future et d'une rentabilité supérieure. Enfin, l'EV/EBITDA de 24,5x apparaît très exigeant, indiquant que la valeur totale de l'entreprise (capitalisation plus dettes) est élevée par rapport à sa capacité opérationnelle, ce qui suggère que le marché intègre déjà des perspectives de performance solide.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affiche une progression totale de +11,11%, passant d'un plus bas de 32 800 FCFA à un plus haut de 39 300 FCFA, avec un cours actuel de 38 000 FCFA, en légère baisse par rapport aux sommets. La variation à J-1 est nulle, indiquant une stabilisation après une période de hausse soutenue. La moyenne du cours sur la période (37 059 FCFA) est inférieure à la médiane (38 000 FCFA), ce qui, combiné à un skewness négatif de -0,752, révèle que les journées de forte hausse ont été plus fréquentes mais que les baisses ont été plus marquées, créant une asymétrie à gauche. L'écart-type de 2 090 FCFA (CV=5,6%) montre une dispersion modérée, tandis que le kurtosis de -0,890 (mésokurtique) indique une distribution proche de la normale, sans risque de pics extrêmes. La volatilité annualisée de 24,8% classe le titre dans une zone de volatilité modérée (15-30%), reflétant un équilibre entre stabilité et potentiel de mouvement.</w:t>
      </w:r>
    </w:p>
    <w:p>
      <w:pPr>
        <w:spacing w:after="120" w:line="276" w:lineRule="auto" w:before="240"/>
      </w:pPr>
      <w:r>
        <w:rPr>
          <w:b/>
          <w:color w:val="003366"/>
          <w:sz w:val="24"/>
        </w:rPr>
        <w:t>**PARTIE 2 : ANALYSE TECHNIQUE DÉTAILLÉE**</w:t>
      </w:r>
    </w:p>
    <w:p>
      <w:pPr>
        <w:spacing w:after="120" w:line="276" w:lineRule="auto"/>
      </w:pPr>
      <w:r>
        <w:t>Les moyennes mobiles sur 20 et 50 jours (MM20=38 539 FCFA, MM50=38 503 FCFA) sont toutes deux supérieures au cours actuel de 38 000 FCFA, ce qui indique une pression vendeuse à court terme. Cependant, leur proximité suggère une consolidation, et le signal global reste un "Achat" car le cours évolue dans une zone de support proche de ces moyennes, qui pourraient agir comme un plancher dynamique.</w:t>
      </w:r>
    </w:p>
    <w:p>
      <w:pPr>
        <w:spacing w:after="120" w:line="276" w:lineRule="auto"/>
      </w:pPr>
      <w:r>
        <w:t>Les bandes de Bollinger (borne supérieure à 39 703 FCFA, borne inférieure à 37 375 FCFA) montrent un cours positionné dans la moitié inférieure de l'enveloppe, proche de la borne basse. Cela indique une volatilité en contraction et un potentiel de rebond technique, mais le signal est "Neutre" car le cours n'a pas encore touché les extrêmes, laissant place à une poursuite de la consolidation.</w:t>
      </w:r>
    </w:p>
    <w:p>
      <w:pPr>
        <w:spacing w:after="120" w:line="276" w:lineRule="auto"/>
      </w:pPr>
      <w:r>
        <w:t>Le MACD affiche une valeur négative de -12,68 contre un signal à 87,47, créant une divergence baissière nette. Ce croisement sous la ligne de signal indique un momentum négatif à court terme, justifiant la décision de "Vente". Les vendeurs contrôlent actuellement la dynamique, bien que l'ampleur de la divergence suggère un possible essoufflement de la pression baissière.</w:t>
      </w:r>
    </w:p>
    <w:p>
      <w:pPr>
        <w:spacing w:after="120" w:line="276" w:lineRule="auto"/>
      </w:pPr>
      <w:r>
        <w:t>Le RSI à 43,05 se situe en zone neutre (30-70), sans signal de surachat ni de survente. Cette valeur indique une absence de direction claire, avec une légère tendance baissière mais sans excès, ce qui justifie une position "Neutre" et une attente de confirmation directionnelle.</w:t>
      </w:r>
    </w:p>
    <w:p>
      <w:pPr>
        <w:spacing w:after="120" w:line="276" w:lineRule="auto"/>
      </w:pPr>
      <w:r>
        <w:t>Le stochastique (%K=18,49, %D=28,95) est en zone de survente (&lt;20 pour %K), avec un croisement haussier potentiel en formation. Cette configuration suggère un rebond technique imminent, justifiant la décision d'"Achat". Le titre semble temporairement survendu, ouvrant la voie à un mouvement correctif haussier.</w:t>
      </w:r>
    </w:p>
    <w:p>
      <w:pPr>
        <w:spacing w:after="120" w:line="276" w:lineRule="auto"/>
      </w:pPr>
      <w:r>
        <w:t>En conclusion technique, les signaux sont mitigés : les moyennes mobiles et le stochastique penchent vers un achat, tandis que le MACD et le RSI sont neutres ou vendeurs. La configuration globale indique une phase de consolidation avec un biais haussier à très court terme, mais sans confirmation forte. Un catalyseur (volume ou nouvelle fondamentale) serait nécessaire pour trancher la direction.</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SGBC révèlent une banque extrêmement solide : le Produit Net Bancaire (PNB) s'établit à 276,05 milliards FCFA, avec un résultat net de 101,35 milliards FCFA, en hausse de +4,1% par rapport à 2024 (rapport annuel 2024). Le ROE atteint 20,47%, un niveau excellent (&gt;15%), et le ROA de 2,69% confirme une utilisation efficiente des actifs. Le coefficient d'exploitation de 38,75% (rapport T3 2025 : 37,3%) témoigne d'une maîtrise des coûts remarquable, bien en dessous du seuil de 60% considéré comme efficace. Le coût du risque, bien que non détaillé dans les données structurées, est mentionné dans les rapports narratifs comme contenu (+1,4% au T3 2025), et le ratio prêts/dépôts s'est amélioré à 84,6% (T3 2025), indiquant une gestion prudente de la liquidité. Les capitaux propres progressent à 495,11 milliards FCFA, avec un ratio de solvabilité de 17,7% (S1 2025), bien au-dessus du minimum réglementaire. Sur la base du rapport T1 2025 (PNB +1,3%, résultat net +2,2%) et du S1 2025 (résultat net +10%), on estime que l'exercice 2025 devrait confirmer une croissance soutenue, avec un résultat net annuel projeté autour de 105-110 milliards FCFA, porté par la dynamique des dépôts (+13,9% au T3 2025) et l'efficacité opérationnelle. Les risques identifiés incluent la hausse des créances en souffrance (NPL à 7,8% au S1 2025) et une concurrence accrue, mais la notation AAA et la solidité financière placent SGBC en position de leader résilient.</w:t>
      </w:r>
    </w:p>
    <w:p>
      <w:pPr>
        <w:spacing w:after="120" w:line="276" w:lineRule="auto" w:before="240"/>
      </w:pPr>
      <w:r>
        <w:rPr>
          <w:b/>
          <w:color w:val="003366"/>
          <w:sz w:val="24"/>
        </w:rPr>
        <w:t>**PARTIE 4 : CONCLUSION D'INVESTISSEMENT**</w:t>
      </w:r>
    </w:p>
    <w:p>
      <w:pPr>
        <w:spacing w:after="120" w:line="276" w:lineRule="auto"/>
      </w:pPr>
      <w:r>
        <w:t>La valorisation de SGBC (PER 11,7x, P/B 2,39x) est raisonnable mais exigeante, avec un EV/EBITDA élevé reflétant des attentes de croissance déjà intégrées. Le comportement du cours sur 100 jours montre une tendance haussière solide (+11,11%) avec une volatilité modérée (24,8%), mais l'asymétrie négative et la stabilisation récente suggèrent un essoufflement à court terme. Les signaux techniques sont divergents : le stochastique et les moyennes mobiles plaident pour un rebond, tandis que le MACD et le RSI restent prudents, indiquant une phase de consolidation. Les fondamentaux sont indiscutablement solides, avec un ROE de 20,47%, un coefficient d'exploitation de 38,75% et une croissance estimée du résultat net pour 2025, soutenue par les rapports trimestriels (T1, S1, T3 2025). Les prédictions IA (J+1 à J+10) montrent une légère baisse progressive (de 37 980 à 37 667 FCFA), ce qui contredit le signal d'achat du stochastique mais confirme la prudence du MACD. En synthèse, la convergence entre des fondamentaux excellents et une valorisation correcte, malgré des signaux techniques mitigés et une prédiction IA baissière à très court terme, conduit à une recommandation de **CONSERVER** pour les investisseurs existants, avec un niveau de confiance **Moyen** et un risque global **Faible**. L'horizon d'investissement optimal est le **moyen terme (3-12 mois)**, où la solidité financière et la croissance des dépôts devraient soutenir le cours, en attendant une clarification technique.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152.78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4,331 titres</w:t>
            </w:r>
          </w:p>
        </w:tc>
        <w:tc>
          <w:tcPr>
            <w:tcW w:type="dxa" w:w="2268"/>
            <w:shd w:fill="FFF2CC" w:val="clear"/>
          </w:tcPr>
          <w:p>
            <w:r>
              <w:rPr>
                <w:b/>
                <w:color w:val="503200"/>
                <w:sz w:val="16"/>
              </w:rPr>
              <w:t xml:space="preserve">Cours actuel : </w:t>
            </w:r>
            <w:r>
              <w:rPr>
                <w:color w:val="000000"/>
                <w:sz w:val="17"/>
              </w:rPr>
              <w:t>2,425 FCFA</w:t>
            </w:r>
          </w:p>
          <w:p>
            <w:r>
              <w:rPr>
                <w:b/>
                <w:color w:val="503200"/>
                <w:sz w:val="16"/>
              </w:rPr>
              <w:t xml:space="preserve">Var. 100 jours : </w:t>
            </w:r>
            <w:r>
              <w:rPr>
                <w:b/>
                <w:color w:val="007800"/>
                <w:sz w:val="17"/>
              </w:rPr>
              <w:t>+10.23%</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7.35% (Moyenne) — μ=2,127 FCFA, σ=156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β=1.1410 (Neutre (suit le marché)) — Cov=0.000041, Var(idx)=0.000036, ρ=0.308,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2,189</w:t>
            </w:r>
          </w:p>
        </w:tc>
        <w:tc>
          <w:tcPr>
            <w:tcW w:type="dxa" w:w="1440"/>
            <w:shd w:fill="FFDCE0" w:val="clear"/>
          </w:tcPr>
          <w:p>
            <w:r>
              <w:rPr>
                <w:b/>
                <w:sz w:val="17"/>
              </w:rPr>
              <w:t>2,274</w:t>
            </w:r>
          </w:p>
        </w:tc>
        <w:tc>
          <w:tcPr>
            <w:tcW w:type="dxa" w:w="1440"/>
            <w:shd w:fill="FFDCE0" w:val="clear"/>
          </w:tcPr>
          <w:p>
            <w:r>
              <w:rPr>
                <w:sz w:val="17"/>
              </w:rPr>
              <w:t>2,359</w:t>
            </w:r>
          </w:p>
        </w:tc>
        <w:tc>
          <w:tcPr>
            <w:tcW w:type="dxa" w:w="1440"/>
            <w:shd w:fill="FFDCE0" w:val="clear"/>
          </w:tcPr>
          <w:p>
            <w:r>
              <w:rPr>
                <w:b/>
                <w:color w:val="C00000"/>
                <w:sz w:val="17"/>
              </w:rPr>
              <w:t>-6.2%</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2,048</w:t>
            </w:r>
          </w:p>
        </w:tc>
        <w:tc>
          <w:tcPr>
            <w:tcW w:type="dxa" w:w="1440"/>
            <w:shd w:fill="FFDCE0" w:val="clear"/>
          </w:tcPr>
          <w:p>
            <w:r>
              <w:rPr>
                <w:b/>
                <w:sz w:val="17"/>
              </w:rPr>
              <w:t>2,162</w:t>
            </w:r>
          </w:p>
        </w:tc>
        <w:tc>
          <w:tcPr>
            <w:tcW w:type="dxa" w:w="1440"/>
            <w:shd w:fill="FFDCE0" w:val="clear"/>
          </w:tcPr>
          <w:p>
            <w:r>
              <w:rPr>
                <w:sz w:val="17"/>
              </w:rPr>
              <w:t>2,276</w:t>
            </w:r>
          </w:p>
        </w:tc>
        <w:tc>
          <w:tcPr>
            <w:tcW w:type="dxa" w:w="1440"/>
            <w:shd w:fill="FFDCE0" w:val="clear"/>
          </w:tcPr>
          <w:p>
            <w:r>
              <w:rPr>
                <w:b/>
                <w:color w:val="C00000"/>
                <w:sz w:val="17"/>
              </w:rPr>
              <w:t>-10.8%</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1,930</w:t>
            </w:r>
          </w:p>
        </w:tc>
        <w:tc>
          <w:tcPr>
            <w:tcW w:type="dxa" w:w="1440"/>
            <w:shd w:fill="FFDCE0" w:val="clear"/>
          </w:tcPr>
          <w:p>
            <w:r>
              <w:rPr>
                <w:b/>
                <w:sz w:val="17"/>
              </w:rPr>
              <w:t>2,064</w:t>
            </w:r>
          </w:p>
        </w:tc>
        <w:tc>
          <w:tcPr>
            <w:tcW w:type="dxa" w:w="1440"/>
            <w:shd w:fill="FFDCE0" w:val="clear"/>
          </w:tcPr>
          <w:p>
            <w:r>
              <w:rPr>
                <w:sz w:val="17"/>
              </w:rPr>
              <w:t>2,198</w:t>
            </w:r>
          </w:p>
        </w:tc>
        <w:tc>
          <w:tcPr>
            <w:tcW w:type="dxa" w:w="1440"/>
            <w:shd w:fill="FFDCE0" w:val="clear"/>
          </w:tcPr>
          <w:p>
            <w:r>
              <w:rPr>
                <w:b/>
                <w:color w:val="C00000"/>
                <w:sz w:val="17"/>
              </w:rPr>
              <w:t>-14.9%</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1,835</w:t>
            </w:r>
          </w:p>
        </w:tc>
        <w:tc>
          <w:tcPr>
            <w:tcW w:type="dxa" w:w="1440"/>
            <w:shd w:fill="FFDCE0" w:val="clear"/>
          </w:tcPr>
          <w:p>
            <w:r>
              <w:rPr>
                <w:b/>
                <w:sz w:val="17"/>
              </w:rPr>
              <w:t>1,983</w:t>
            </w:r>
          </w:p>
        </w:tc>
        <w:tc>
          <w:tcPr>
            <w:tcW w:type="dxa" w:w="1440"/>
            <w:shd w:fill="FFDCE0" w:val="clear"/>
          </w:tcPr>
          <w:p>
            <w:r>
              <w:rPr>
                <w:sz w:val="17"/>
              </w:rPr>
              <w:t>2,132</w:t>
            </w:r>
          </w:p>
        </w:tc>
        <w:tc>
          <w:tcPr>
            <w:tcW w:type="dxa" w:w="1440"/>
            <w:shd w:fill="FFDCE0" w:val="clear"/>
          </w:tcPr>
          <w:p>
            <w:r>
              <w:rPr>
                <w:b/>
                <w:color w:val="C00000"/>
                <w:sz w:val="17"/>
              </w:rPr>
              <w:t>-18.2%</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1,757</w:t>
            </w:r>
          </w:p>
        </w:tc>
        <w:tc>
          <w:tcPr>
            <w:tcW w:type="dxa" w:w="1440"/>
            <w:shd w:fill="FFDCE0" w:val="clear"/>
          </w:tcPr>
          <w:p>
            <w:r>
              <w:rPr>
                <w:b/>
                <w:sz w:val="17"/>
              </w:rPr>
              <w:t>1,917</w:t>
            </w:r>
          </w:p>
        </w:tc>
        <w:tc>
          <w:tcPr>
            <w:tcW w:type="dxa" w:w="1440"/>
            <w:shd w:fill="FFDCE0" w:val="clear"/>
          </w:tcPr>
          <w:p>
            <w:r>
              <w:rPr>
                <w:sz w:val="17"/>
              </w:rPr>
              <w:t>2,077</w:t>
            </w:r>
          </w:p>
        </w:tc>
        <w:tc>
          <w:tcPr>
            <w:tcW w:type="dxa" w:w="1440"/>
            <w:shd w:fill="FFDCE0" w:val="clear"/>
          </w:tcPr>
          <w:p>
            <w:r>
              <w:rPr>
                <w:b/>
                <w:color w:val="C00000"/>
                <w:sz w:val="17"/>
              </w:rPr>
              <w:t>-21.0%</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1,691</w:t>
            </w:r>
          </w:p>
        </w:tc>
        <w:tc>
          <w:tcPr>
            <w:tcW w:type="dxa" w:w="1440"/>
            <w:shd w:fill="FFDCE0" w:val="clear"/>
          </w:tcPr>
          <w:p>
            <w:r>
              <w:rPr>
                <w:b/>
                <w:sz w:val="17"/>
              </w:rPr>
              <w:t>1,861</w:t>
            </w:r>
          </w:p>
        </w:tc>
        <w:tc>
          <w:tcPr>
            <w:tcW w:type="dxa" w:w="1440"/>
            <w:shd w:fill="FFDCE0" w:val="clear"/>
          </w:tcPr>
          <w:p>
            <w:r>
              <w:rPr>
                <w:sz w:val="17"/>
              </w:rPr>
              <w:t>2,032</w:t>
            </w:r>
          </w:p>
        </w:tc>
        <w:tc>
          <w:tcPr>
            <w:tcW w:type="dxa" w:w="1440"/>
            <w:shd w:fill="FFDCE0" w:val="clear"/>
          </w:tcPr>
          <w:p>
            <w:r>
              <w:rPr>
                <w:b/>
                <w:color w:val="C00000"/>
                <w:sz w:val="17"/>
              </w:rPr>
              <w:t>-23.2%</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1,634</w:t>
            </w:r>
          </w:p>
        </w:tc>
        <w:tc>
          <w:tcPr>
            <w:tcW w:type="dxa" w:w="1440"/>
            <w:shd w:fill="FFDCE0" w:val="clear"/>
          </w:tcPr>
          <w:p>
            <w:r>
              <w:rPr>
                <w:b/>
                <w:sz w:val="17"/>
              </w:rPr>
              <w:t>1,814</w:t>
            </w:r>
          </w:p>
        </w:tc>
        <w:tc>
          <w:tcPr>
            <w:tcW w:type="dxa" w:w="1440"/>
            <w:shd w:fill="FFDCE0" w:val="clear"/>
          </w:tcPr>
          <w:p>
            <w:r>
              <w:rPr>
                <w:sz w:val="17"/>
              </w:rPr>
              <w:t>1,993</w:t>
            </w:r>
          </w:p>
        </w:tc>
        <w:tc>
          <w:tcPr>
            <w:tcW w:type="dxa" w:w="1440"/>
            <w:shd w:fill="FFDCE0" w:val="clear"/>
          </w:tcPr>
          <w:p>
            <w:r>
              <w:rPr>
                <w:b/>
                <w:color w:val="C00000"/>
                <w:sz w:val="17"/>
              </w:rPr>
              <w:t>-25.2%</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1,584</w:t>
            </w:r>
          </w:p>
        </w:tc>
        <w:tc>
          <w:tcPr>
            <w:tcW w:type="dxa" w:w="1440"/>
            <w:shd w:fill="FFDCE0" w:val="clear"/>
          </w:tcPr>
          <w:p>
            <w:r>
              <w:rPr>
                <w:b/>
                <w:sz w:val="17"/>
              </w:rPr>
              <w:t>1,771</w:t>
            </w:r>
          </w:p>
        </w:tc>
        <w:tc>
          <w:tcPr>
            <w:tcW w:type="dxa" w:w="1440"/>
            <w:shd w:fill="FFDCE0" w:val="clear"/>
          </w:tcPr>
          <w:p>
            <w:r>
              <w:rPr>
                <w:sz w:val="17"/>
              </w:rPr>
              <w:t>1,959</w:t>
            </w:r>
          </w:p>
        </w:tc>
        <w:tc>
          <w:tcPr>
            <w:tcW w:type="dxa" w:w="1440"/>
            <w:shd w:fill="FFDCE0" w:val="clear"/>
          </w:tcPr>
          <w:p>
            <w:r>
              <w:rPr>
                <w:b/>
                <w:color w:val="C00000"/>
                <w:sz w:val="17"/>
              </w:rPr>
              <w:t>-27.0%</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1,538</w:t>
            </w:r>
          </w:p>
        </w:tc>
        <w:tc>
          <w:tcPr>
            <w:tcW w:type="dxa" w:w="1440"/>
            <w:shd w:fill="FFDCE0" w:val="clear"/>
          </w:tcPr>
          <w:p>
            <w:r>
              <w:rPr>
                <w:b/>
                <w:sz w:val="17"/>
              </w:rPr>
              <w:t>1,733</w:t>
            </w:r>
          </w:p>
        </w:tc>
        <w:tc>
          <w:tcPr>
            <w:tcW w:type="dxa" w:w="1440"/>
            <w:shd w:fill="FFDCE0" w:val="clear"/>
          </w:tcPr>
          <w:p>
            <w:r>
              <w:rPr>
                <w:sz w:val="17"/>
              </w:rPr>
              <w:t>1,927</w:t>
            </w:r>
          </w:p>
        </w:tc>
        <w:tc>
          <w:tcPr>
            <w:tcW w:type="dxa" w:w="1440"/>
            <w:shd w:fill="FFDCE0" w:val="clear"/>
          </w:tcPr>
          <w:p>
            <w:r>
              <w:rPr>
                <w:b/>
                <w:color w:val="C00000"/>
                <w:sz w:val="17"/>
              </w:rPr>
              <w:t>-28.5%</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1,497</w:t>
            </w:r>
          </w:p>
        </w:tc>
        <w:tc>
          <w:tcPr>
            <w:tcW w:type="dxa" w:w="1440"/>
            <w:shd w:fill="FFDCE0" w:val="clear"/>
          </w:tcPr>
          <w:p>
            <w:r>
              <w:rPr>
                <w:b/>
                <w:sz w:val="17"/>
              </w:rPr>
              <w:t>1,698</w:t>
            </w:r>
          </w:p>
        </w:tc>
        <w:tc>
          <w:tcPr>
            <w:tcW w:type="dxa" w:w="1440"/>
            <w:shd w:fill="FFDCE0" w:val="clear"/>
          </w:tcPr>
          <w:p>
            <w:r>
              <w:rPr>
                <w:sz w:val="17"/>
              </w:rPr>
              <w:t>1,899</w:t>
            </w:r>
          </w:p>
        </w:tc>
        <w:tc>
          <w:tcPr>
            <w:tcW w:type="dxa" w:w="1440"/>
            <w:shd w:fill="FFDCE0" w:val="clear"/>
          </w:tcPr>
          <w:p>
            <w:r>
              <w:rPr>
                <w:b/>
                <w:color w:val="C00000"/>
                <w:sz w:val="17"/>
              </w:rPr>
              <w:t>-30.0%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CI)**</w:t>
        <w:br/>
        <w:t>**Date de l'analyse : 31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152,78 milliards FCFA, un niveau significatif qui la positionne parmi les valeurs moyennes à grandes capitalisations de la BRVM. Le BPA de 96 FCFA par action, combiné à un cours de 2 425 FCFA, conduit à un PER de 25,3x, très supérieur à la moyenne historique de la BRVM (8-12x). Ce niveau indique que les investisseurs anticipent une croissance future des bénéfices, mais il traduit également une prime de valorisation importante qui laisse peu de marge d'erreur. Le P/B de 5,63x confirme cette lecture : le marché valorise l'actif net comptable plus de cinq fois au-dessus de sa valeur, signe d'une confiance forte dans la marque et la position de marché de Vivo Energy, mais aussi d'une valorisation exigeante. Enfin, l'EV/EBITDA de 13,4x se situe dans la fourchette haute (10-15x), reflétant une valeur d'entreprise élevée par rapport à sa capacité opérationnelle, ce qui renforce le constat d'une valorisation généreuse.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SHEC a progressé de +10,23%, avec une légère baisse de -0,61% lors de la dernière séance, à 2 425 FCFA. Le cours a évolué dans une fourchette de 1 840 FCFA (plus bas) à 2 480 FCFA (plus haut), démontrant une dynamique haussière soutenue. La moyenne du cours sur la période est de 2 127 FCFA, légèrement inférieure à la médiane de 2 160 FCFA, ce qui suggère une distribution quasi symétrique, confirmée par un skewness de 0,295. L'écart-type de 157 FCFA (CV=7,4%) indique une dispersion modérée autour de la moyenne, tandis que le kurtosis de -0,527 (mésokurtique) révèle une distribution proche de la normale, sans risque de pics extrêmes. La volatilité annualisée de 35,2% est élevée (&gt;30%), signalant des fluctuations de prix importantes qui peuvent représenter un risque pour les investisseurs à court terme, mais aussi des opportunités pour les traders actifs.</w:t>
      </w:r>
    </w:p>
    <w:p>
      <w:pPr>
        <w:spacing w:after="120" w:line="276" w:lineRule="auto"/>
      </w:pPr>
      <w:r>
        <w:t>---</w:t>
      </w:r>
    </w:p>
    <w:p>
      <w:pPr>
        <w:spacing w:after="120" w:line="276" w:lineRule="auto"/>
      </w:pPr>
      <w:r>
        <w:t>### PARTIE 2 : ANALYSE TECHNIQUE DÉTAILLÉE</w:t>
      </w:r>
    </w:p>
    <w:p>
      <w:pPr>
        <w:spacing w:after="120" w:line="276" w:lineRule="auto"/>
      </w:pPr>
      <w:r>
        <w:t>**Moyennes Mobiles :** La MM20 (2 348,75 FCFA) et la MM50 (2 248,5 FCFA) sont toutes deux inférieures au cours actuel de 2 425 FCFA, confirmant une tendance haussière de court et moyen terme. Le signal d'achat est justifié par la configuration positive des moyennes, avec le cours au-dessus de la MM20, elle-même au-dessus de la MM50, indiquant une dynamique de prix saine et soutenue.</w:t>
      </w:r>
    </w:p>
    <w:p>
      <w:pPr>
        <w:spacing w:after="120" w:line="276" w:lineRule="auto"/>
      </w:pPr>
      <w:r>
        <w:t>**Bandes de Bollinger :** Le cours se situe à 2 425 FCFA, entre la borne inférieure (2 158,795 FCFA) et la borne supérieure (2 538,705 FCFA), mais plus proche de la borne supérieure. Cette position reflète une volatilité modérée et un momentum haussier, sans atteindre des niveaux extrêmes de surachat. La décision neutre est justifiée par le fait que le cours n'a pas encore touché les bornes, laissant une marge de manœuvre avant un éventuel retournement.</w:t>
      </w:r>
    </w:p>
    <w:p>
      <w:pPr>
        <w:spacing w:after="120" w:line="276" w:lineRule="auto"/>
      </w:pPr>
      <w:r>
        <w:t>**MACD :** Le MACD (66,96) est supérieur à son signal (60,669), avec un écart positif de 6,29 points. Cette configuration indique un momentum haussier clair et soutenu, confirmant la tendance positive du titre. La décision d'achat est justifiée par la divergence positive entre le MACD et son signal, qui suggère une poursuite de la hausse à court terme.</w:t>
      </w:r>
    </w:p>
    <w:p>
      <w:pPr>
        <w:spacing w:after="120" w:line="276" w:lineRule="auto"/>
      </w:pPr>
      <w:r>
        <w:t>**RSI :** Le RSI s'établit à 65,882, proche de la zone de surachat (70) mais encore en territoire neutre. Cette valeur indique une pression acheteuse soutenue sans atteindre des niveaux extrêmes. La décision neutre est justifiée par le fait que le RSI n'a pas encore franchi le seuil critique de 70, laissant une possibilité de hausse supplémentaire avant un éventuel retournement.</w:t>
      </w:r>
    </w:p>
    <w:p>
      <w:pPr>
        <w:spacing w:after="120" w:line="276" w:lineRule="auto"/>
      </w:pPr>
      <w:r>
        <w:t>**Stochastique :** Le %K (80,357) est inférieur au %D (85,119), indiquant un croisement baissier potentiel. Cette configuration suggère un essoufflement du momentum haussier à court terme, avec un risque de correction. La décision de vente est justifiée par ce croisement, qui signale un possible retournement de tendance après une période de hausse soutenue.</w:t>
      </w:r>
    </w:p>
    <w:p>
      <w:pPr>
        <w:spacing w:after="120" w:line="276" w:lineRule="auto"/>
      </w:pPr>
      <w:r>
        <w:t>**Conclusion technique :** Les indicateurs techniques sont globalement positifs, avec une tendance haussière confirmée par les moyennes mobiles et le MACD. Cependant, le stochastique en zone de surachat et le RSI proche de 70 signalent un essoufflement possible à court terme. La divergence entre les signaux d'achat (MM, MACD) et de vente (Stochastique) suggère une consolidation probable avant une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SHEC (VIVO ENERGY CI) a réalisé un chiffre d'affaires de 604,978 milliards FCFA, en légère progression de +0,71% par rapport à 2024 (600,708 milliards FCFA). Le résultat net s'établit à 6,028 milliards FCFA, en hausse de +12,6% par rapport à 2024 (5,354 milliards FCFA), grâce à une amélioration de la marge opérationnelle et une réduction des charges financières. La marge nette reste faible à 1,0%, typique du secteur de distribution pétrolière, mais le ROE est excellent à 22,2%, démontrant une création de valeur efficace pour les actionnaires. Le ROA de 3,1% reflète une utilisation modérée des actifs. La structure financière est préoccupante : la trésorerie nette est fortement négative à -65,264 milliards FCFA, avec un BFR de 15,315 milliards FCFA et un endettement total de 166,403 milliards FCFA. Les délais clients (23,27 jours) et fournisseurs (35,47 jours) sont raisonnables, mais la durée de stockage de 7,47 jours indique une rotation rapide des stocks. Sur la base du rapport T1 2026 (CA en baisse de 9% à 141,649 milliards FCFA), on estime que l'exercice 2026 pourrait connaître une contraction du chiffre d'affaires, mais le résultat net du T1 2026 reste stable (+1% à 1,295 milliard FCFA), grâce à une gestion rigoureuse des charges. Le rapport S1 2026 confirme cette tendance avec un CA en baisse de 1% à 305,038 milliards FCFA et un résultat net de 3,016 milliards FCFA. La recommandation fondamentale est de conserver le titre, compte tenu de la solidité opérationnelle mais des risques de liquidité et d'endettement élevé.</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25,3x, P/B 5,63x, EV/EBITDA 13,4x), indiquant une surévaluation relative par rapport aux bénéfices et à l'actif net, mais justifiée par la position de leader de Vivo Energy sur le marché ivoirien. Le comportement du cours sur 100 jours est haussier (+10,23%), avec une volatilité élevée (35,2%) et une distribution symétrique, reflétant une confiance des investisseurs malgré des risques de liquidité. Les signaux techniques sont mitigés : les moyennes mobiles et le MACD sont positifs, mais le stochastique en zone de surachat et le RSI proche de 70 suggèrent une consolidation à court terme. Les fondamentaux montrent une amélioration de la rentabilité (ROE 22,2%, résultat net +12,6% en 2025) mais une structure financière fragile (trésorerie nette -65,264 milliards FCFA, endettement élevé). Les prédictions IA pour les 10 prochains jours (de 2 274 FCFA à 1 917 FCFA) indiquent une baisse significative, contredisant la tendance haussière récente et confirmant les signaux de surachat technique. Sur la base de cette synthèse, la recommandation finale est **CONSERVER**, avec un niveau de confiance **Moyen** et un risque global **Élevé**. L'horizon d'investissement optimal est le **moyen terme (3-12 mois)**, en attendant une clarification de la structure financière et une reprise des volumes sur les segments aviation et bitume.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9,145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+28.57%</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10.37% (Moyenne) — μ=8,329 FCFA, σ=864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β=0.3660 (Défensif) — Cov=0.000013, Var(idx)=0.000036,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9,145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8,413</w:t>
            </w:r>
          </w:p>
        </w:tc>
        <w:tc>
          <w:tcPr>
            <w:tcW w:type="dxa" w:w="1440"/>
            <w:shd w:fill="FFDCE0" w:val="clear"/>
          </w:tcPr>
          <w:p>
            <w:r>
              <w:rPr>
                <w:b/>
                <w:sz w:val="17"/>
              </w:rPr>
              <w:t>8,686</w:t>
            </w:r>
          </w:p>
        </w:tc>
        <w:tc>
          <w:tcPr>
            <w:tcW w:type="dxa" w:w="1440"/>
            <w:shd w:fill="FFDCE0" w:val="clear"/>
          </w:tcPr>
          <w:p>
            <w:r>
              <w:rPr>
                <w:sz w:val="17"/>
              </w:rPr>
              <w:t>8,960</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8,029</w:t>
            </w:r>
          </w:p>
        </w:tc>
        <w:tc>
          <w:tcPr>
            <w:tcW w:type="dxa" w:w="1440"/>
            <w:shd w:fill="FFDCE0" w:val="clear"/>
          </w:tcPr>
          <w:p>
            <w:r>
              <w:rPr>
                <w:b/>
                <w:sz w:val="17"/>
              </w:rPr>
              <w:t>8,403</w:t>
            </w:r>
          </w:p>
        </w:tc>
        <w:tc>
          <w:tcPr>
            <w:tcW w:type="dxa" w:w="1440"/>
            <w:shd w:fill="FFDCE0" w:val="clear"/>
          </w:tcPr>
          <w:p>
            <w:r>
              <w:rPr>
                <w:sz w:val="17"/>
              </w:rPr>
              <w:t>8,777</w:t>
            </w:r>
          </w:p>
        </w:tc>
        <w:tc>
          <w:tcPr>
            <w:tcW w:type="dxa" w:w="1440"/>
            <w:shd w:fill="FFDCE0" w:val="clear"/>
          </w:tcPr>
          <w:p>
            <w:r>
              <w:rPr>
                <w:b/>
                <w:color w:val="C00000"/>
                <w:sz w:val="17"/>
              </w:rPr>
              <w:t>-6.6%</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7,714</w:t>
            </w:r>
          </w:p>
        </w:tc>
        <w:tc>
          <w:tcPr>
            <w:tcW w:type="dxa" w:w="1440"/>
            <w:shd w:fill="FFDCE0" w:val="clear"/>
          </w:tcPr>
          <w:p>
            <w:r>
              <w:rPr>
                <w:b/>
                <w:sz w:val="17"/>
              </w:rPr>
              <w:t>8,158</w:t>
            </w:r>
          </w:p>
        </w:tc>
        <w:tc>
          <w:tcPr>
            <w:tcW w:type="dxa" w:w="1440"/>
            <w:shd w:fill="FFDCE0" w:val="clear"/>
          </w:tcPr>
          <w:p>
            <w:r>
              <w:rPr>
                <w:sz w:val="17"/>
              </w:rPr>
              <w:t>8,603</w:t>
            </w:r>
          </w:p>
        </w:tc>
        <w:tc>
          <w:tcPr>
            <w:tcW w:type="dxa" w:w="1440"/>
            <w:shd w:fill="FFDCE0" w:val="clear"/>
          </w:tcPr>
          <w:p>
            <w:r>
              <w:rPr>
                <w:b/>
                <w:color w:val="C00000"/>
                <w:sz w:val="17"/>
              </w:rPr>
              <w:t>-9.4%</w:t>
            </w:r>
          </w:p>
        </w:tc>
      </w:tr>
      <w:tr>
        <w:tc>
          <w:tcPr>
            <w:tcW w:type="dxa" w:w="1440"/>
            <w:shd w:fill="FFDCE0" w:val="clear"/>
          </w:tcPr>
          <w:p>
            <w:r>
              <w:rPr>
                <w:sz w:val="17"/>
              </w:rPr>
              <w:t>J+4  Moyenne</w:t>
            </w:r>
          </w:p>
        </w:tc>
        <w:tc>
          <w:tcPr>
            <w:tcW w:type="dxa" w:w="1440"/>
            <w:shd w:fill="FFDCE0" w:val="clear"/>
          </w:tcPr>
          <w:p>
            <w:r>
              <w:rPr>
                <w:sz w:val="17"/>
              </w:rPr>
              <w:t>2026-09-04</w:t>
            </w:r>
          </w:p>
        </w:tc>
        <w:tc>
          <w:tcPr>
            <w:tcW w:type="dxa" w:w="1440"/>
            <w:shd w:fill="FFDCE0" w:val="clear"/>
          </w:tcPr>
          <w:p>
            <w:r>
              <w:rPr>
                <w:sz w:val="17"/>
              </w:rPr>
              <w:t>7,451</w:t>
            </w:r>
          </w:p>
        </w:tc>
        <w:tc>
          <w:tcPr>
            <w:tcW w:type="dxa" w:w="1440"/>
            <w:shd w:fill="FFDCE0" w:val="clear"/>
          </w:tcPr>
          <w:p>
            <w:r>
              <w:rPr>
                <w:b/>
                <w:sz w:val="17"/>
              </w:rPr>
              <w:t>7,951</w:t>
            </w:r>
          </w:p>
        </w:tc>
        <w:tc>
          <w:tcPr>
            <w:tcW w:type="dxa" w:w="1440"/>
            <w:shd w:fill="FFDCE0" w:val="clear"/>
          </w:tcPr>
          <w:p>
            <w:r>
              <w:rPr>
                <w:sz w:val="17"/>
              </w:rPr>
              <w:t>8,452</w:t>
            </w:r>
          </w:p>
        </w:tc>
        <w:tc>
          <w:tcPr>
            <w:tcW w:type="dxa" w:w="1440"/>
            <w:shd w:fill="FFDCE0" w:val="clear"/>
          </w:tcPr>
          <w:p>
            <w:r>
              <w:rPr>
                <w:b/>
                <w:color w:val="C00000"/>
                <w:sz w:val="17"/>
              </w:rPr>
              <w:t>-11.7%</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7,228</w:t>
            </w:r>
          </w:p>
        </w:tc>
        <w:tc>
          <w:tcPr>
            <w:tcW w:type="dxa" w:w="1440"/>
            <w:shd w:fill="FFDCE0" w:val="clear"/>
          </w:tcPr>
          <w:p>
            <w:r>
              <w:rPr>
                <w:b/>
                <w:sz w:val="17"/>
              </w:rPr>
              <w:t>7,775</w:t>
            </w:r>
          </w:p>
        </w:tc>
        <w:tc>
          <w:tcPr>
            <w:tcW w:type="dxa" w:w="1440"/>
            <w:shd w:fill="FFDCE0" w:val="clear"/>
          </w:tcPr>
          <w:p>
            <w:r>
              <w:rPr>
                <w:sz w:val="17"/>
              </w:rPr>
              <w:t>8,322</w:t>
            </w:r>
          </w:p>
        </w:tc>
        <w:tc>
          <w:tcPr>
            <w:tcW w:type="dxa" w:w="1440"/>
            <w:shd w:fill="FFDCE0" w:val="clear"/>
          </w:tcPr>
          <w:p>
            <w:r>
              <w:rPr>
                <w:b/>
                <w:color w:val="C00000"/>
                <w:sz w:val="17"/>
              </w:rPr>
              <w:t>-13.6%</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7,034</w:t>
            </w:r>
          </w:p>
        </w:tc>
        <w:tc>
          <w:tcPr>
            <w:tcW w:type="dxa" w:w="1440"/>
            <w:shd w:fill="FFDCE0" w:val="clear"/>
          </w:tcPr>
          <w:p>
            <w:r>
              <w:rPr>
                <w:b/>
                <w:sz w:val="17"/>
              </w:rPr>
              <w:t>7,622</w:t>
            </w:r>
          </w:p>
        </w:tc>
        <w:tc>
          <w:tcPr>
            <w:tcW w:type="dxa" w:w="1440"/>
            <w:shd w:fill="FFDCE0" w:val="clear"/>
          </w:tcPr>
          <w:p>
            <w:r>
              <w:rPr>
                <w:sz w:val="17"/>
              </w:rPr>
              <w:t>8,209</w:t>
            </w:r>
          </w:p>
        </w:tc>
        <w:tc>
          <w:tcPr>
            <w:tcW w:type="dxa" w:w="1440"/>
            <w:shd w:fill="FFDCE0" w:val="clear"/>
          </w:tcPr>
          <w:p>
            <w:r>
              <w:rPr>
                <w:b/>
                <w:color w:val="C00000"/>
                <w:sz w:val="17"/>
              </w:rPr>
              <w:t>-15.3%</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6,863</w:t>
            </w:r>
          </w:p>
        </w:tc>
        <w:tc>
          <w:tcPr>
            <w:tcW w:type="dxa" w:w="1440"/>
            <w:shd w:fill="FFDCE0" w:val="clear"/>
          </w:tcPr>
          <w:p>
            <w:r>
              <w:rPr>
                <w:b/>
                <w:sz w:val="17"/>
              </w:rPr>
              <w:t>7,486</w:t>
            </w:r>
          </w:p>
        </w:tc>
        <w:tc>
          <w:tcPr>
            <w:tcW w:type="dxa" w:w="1440"/>
            <w:shd w:fill="FFDCE0" w:val="clear"/>
          </w:tcPr>
          <w:p>
            <w:r>
              <w:rPr>
                <w:sz w:val="17"/>
              </w:rPr>
              <w:t>8,109</w:t>
            </w:r>
          </w:p>
        </w:tc>
        <w:tc>
          <w:tcPr>
            <w:tcW w:type="dxa" w:w="1440"/>
            <w:shd w:fill="FFDCE0" w:val="clear"/>
          </w:tcPr>
          <w:p>
            <w:r>
              <w:rPr>
                <w:b/>
                <w:color w:val="C00000"/>
                <w:sz w:val="17"/>
              </w:rPr>
              <w:t>-16.8%</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6,709</w:t>
            </w:r>
          </w:p>
        </w:tc>
        <w:tc>
          <w:tcPr>
            <w:tcW w:type="dxa" w:w="1440"/>
            <w:shd w:fill="FFDCE0" w:val="clear"/>
          </w:tcPr>
          <w:p>
            <w:r>
              <w:rPr>
                <w:b/>
                <w:sz w:val="17"/>
              </w:rPr>
              <w:t>7,364</w:t>
            </w:r>
          </w:p>
        </w:tc>
        <w:tc>
          <w:tcPr>
            <w:tcW w:type="dxa" w:w="1440"/>
            <w:shd w:fill="FFDCE0" w:val="clear"/>
          </w:tcPr>
          <w:p>
            <w:r>
              <w:rPr>
                <w:sz w:val="17"/>
              </w:rPr>
              <w:t>8,020</w:t>
            </w:r>
          </w:p>
        </w:tc>
        <w:tc>
          <w:tcPr>
            <w:tcW w:type="dxa" w:w="1440"/>
            <w:shd w:fill="FFDCE0" w:val="clear"/>
          </w:tcPr>
          <w:p>
            <w:r>
              <w:rPr>
                <w:b/>
                <w:color w:val="C00000"/>
                <w:sz w:val="17"/>
              </w:rPr>
              <w:t>-18.2%</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6,569</w:t>
            </w:r>
          </w:p>
        </w:tc>
        <w:tc>
          <w:tcPr>
            <w:tcW w:type="dxa" w:w="1440"/>
            <w:shd w:fill="FFDCE0" w:val="clear"/>
          </w:tcPr>
          <w:p>
            <w:r>
              <w:rPr>
                <w:b/>
                <w:sz w:val="17"/>
              </w:rPr>
              <w:t>7,254</w:t>
            </w:r>
          </w:p>
        </w:tc>
        <w:tc>
          <w:tcPr>
            <w:tcW w:type="dxa" w:w="1440"/>
            <w:shd w:fill="FFDCE0" w:val="clear"/>
          </w:tcPr>
          <w:p>
            <w:r>
              <w:rPr>
                <w:sz w:val="17"/>
              </w:rPr>
              <w:t>7,938</w:t>
            </w:r>
          </w:p>
        </w:tc>
        <w:tc>
          <w:tcPr>
            <w:tcW w:type="dxa" w:w="1440"/>
            <w:shd w:fill="FFDCE0" w:val="clear"/>
          </w:tcPr>
          <w:p>
            <w:r>
              <w:rPr>
                <w:b/>
                <w:color w:val="C00000"/>
                <w:sz w:val="17"/>
              </w:rPr>
              <w:t>-19.4%</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6,441</w:t>
            </w:r>
          </w:p>
        </w:tc>
        <w:tc>
          <w:tcPr>
            <w:tcW w:type="dxa" w:w="1440"/>
            <w:shd w:fill="FFDCE0" w:val="clear"/>
          </w:tcPr>
          <w:p>
            <w:r>
              <w:rPr>
                <w:b/>
                <w:sz w:val="17"/>
              </w:rPr>
              <w:t>7,152</w:t>
            </w:r>
          </w:p>
        </w:tc>
        <w:tc>
          <w:tcPr>
            <w:tcW w:type="dxa" w:w="1440"/>
            <w:shd w:fill="FFDCE0" w:val="clear"/>
          </w:tcPr>
          <w:p>
            <w:r>
              <w:rPr>
                <w:sz w:val="17"/>
              </w:rPr>
              <w:t>7,864</w:t>
            </w:r>
          </w:p>
        </w:tc>
        <w:tc>
          <w:tcPr>
            <w:tcW w:type="dxa" w:w="1440"/>
            <w:shd w:fill="FFDCE0" w:val="clear"/>
          </w:tcPr>
          <w:p>
            <w:r>
              <w:rPr>
                <w:b/>
                <w:color w:val="C00000"/>
                <w:sz w:val="17"/>
              </w:rPr>
              <w:t>-20.5%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900 milliards FCFA, ce qui en fait l'une des plus importantes capitalisations de la BRVM, reflétant son statut de banque systémique de premier plan en Côte d'Ivoire. Le BPA de 556 FCFA indique que chaque action génère un bénéfice substantiel, mais le PER de 16,2x se situe nettement au-dessus de la moyenne historique de la BRVM (8-12x), signalant que les investisseurs paient une prime significative pour la qualité des actifs et la régularité des performances. Le P/B de 4,40x confirme cette valorisation exigeante, le marché valorisant le titre à plus de quatre fois sa valeur comptable, ce qui témoigne d'une forte confiance dans la création de valeur future. L'EV/EBITDA de 15,0x, bien que supérieur au seuil de 15x considéré comme exigeant, reste cohérent avec les standards des grandes banques africaines affichant une rentabilité supérieure à la moyenne.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progression remarquable de +28,57%, malgré une légère correction de -2,17% lors de la dernière séance, reflétant une prise de bénéfices après une forte ascension. Le titre a évolué dans une fourchette large de 6 805 FCFA à 9 500 FCFA, démontrant une dynamique haussière soutenue avec un cours actuel de 9 000 FCFA proche des sommets. La moyenne de 8 329 FCFA, inférieure à la médiane de 8 800 FCFA, confirme l'asymétrie négative (skewness de -0,613), indiquant que le titre a passé davantage de séances au-dessus de sa moyenne, signe d'une pression acheteuse dominante. L'écart-type de 868 FCFA (CV de 10,4%) révèle une dispersion modérée des cours, tandis que le kurtosis de -1,334 (distribution platykurtique) suggère une absence de mouvements extrêmes, avec une volatilité annualisée de 28,6% classant le titre dans la catégorie modérée à élevée, caractéristique des valeurs bancaires de croissance.</w:t>
      </w:r>
    </w:p>
    <w:p>
      <w:pPr>
        <w:spacing w:after="120" w:line="276" w:lineRule="auto" w:before="240"/>
      </w:pPr>
      <w:r>
        <w:rPr>
          <w:b/>
          <w:color w:val="003366"/>
          <w:sz w:val="24"/>
        </w:rPr>
        <w:t>**PARTIE 2 : ANALYSE TECHNIQUE DÉTAILLÉE**</w:t>
      </w:r>
    </w:p>
    <w:p>
      <w:pPr>
        <w:spacing w:after="120" w:line="276" w:lineRule="auto"/>
      </w:pPr>
      <w:r>
        <w:t>**Moyennes Mobiles** : La MM20 à 9 170 FCFA et la MM50 à 8 999,6 FCFA se situent toutes deux au-dessus du cours actuel de 9 000 FCFA, avec une MM20 supérieure à la MM50, configuration typique d'une tendance haussière de moyen terme. Le signal d'achat généré par ces moyennes mobiles est cohérent avec la dynamique positive observée, le cours évoluant dans une phase de consolidation proche de ses moyennes après une forte progression.</w:t>
      </w:r>
    </w:p>
    <w:p>
      <w:pPr>
        <w:spacing w:after="120" w:line="276" w:lineRule="auto"/>
      </w:pPr>
      <w:r>
        <w:t>**Bandes de Bollinger** : Le cours à 9 000 FCFA se positionne dans la partie médiane des bandes, entre la borne supérieure à 9 476,3 FCFA et la borne inférieure à 8 863,7 FCFA, indiquant une volatilité modérée et une absence de surachat ou de survente. La décision neutre reflète une phase de consolidation après le mouvement haussier, le titre cherchant une direction claire dans un canal de trading bien défini.</w:t>
      </w:r>
    </w:p>
    <w:p>
      <w:pPr>
        <w:spacing w:after="120" w:line="276" w:lineRule="auto"/>
      </w:pPr>
      <w:r>
        <w:t>**MACD** : La valeur MACD de 44,493, inférieure à son signal de 71,804, génère un signal de vente, indiquant un ralentissement du momentum haussier. Cette divergence négative suggère que la dynamique positive s'essouffle à court terme, bien que le MACD reste en territoire positif, préservant la tendance de fond haussière.</w:t>
      </w:r>
    </w:p>
    <w:p>
      <w:pPr>
        <w:spacing w:after="120" w:line="276" w:lineRule="auto"/>
      </w:pPr>
      <w:r>
        <w:t>**RSI** : Le RSI à 39,189 se situe en zone neutre, en dessous du seuil de 50, indiquant une pression vendeuse modérée sans atteindre la zone de survente (30). Cette configuration suggère que le titre pourrait encore corriger avant de trouver un support solide, mais sans signal extrême justifiant une intervention immédiate.</w:t>
      </w:r>
    </w:p>
    <w:p>
      <w:pPr>
        <w:spacing w:after="120" w:line="276" w:lineRule="auto"/>
      </w:pPr>
      <w:r>
        <w:t>**Stochastique** : Le %K à 0,0 et le %D à 26,667 indiquent une situation de survente extrême pour le %K, bien que le %D reste au-dessus, générant un signal d'achat. Ce croisement haussier potentiel suggère qu'un rebond technique est probable à court terme, le titre semblant temporairement survendu après la correction récente.</w:t>
      </w:r>
    </w:p>
    <w:p>
      <w:pPr>
        <w:spacing w:after="120" w:line="276" w:lineRule="auto"/>
      </w:pPr>
      <w:r>
        <w:t>**Conclusion technique** : Les indicateurs présentent des signaux mitigés avec une prédominance baissière à court terme (MACD, RSI) mais des signaux de retournement potentiel (Stochastique, Moyennes Mobiles). La tendance de fond reste haussière, mais une consolidation supplémentaire est probable avant la reprise de la tendance haussière, le titre cherchant un équilibre autour de ses moyennes mobiles.</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PNB de 108,663 milliards FCFA, en croissance de 5,74%, et un résultat net de 55,623 milliards FCFA, démontrant une excellente maîtrise opérationnelle avec un coefficient d'exploitation de 38,59%, nettement inférieur au seuil d'efficacité de 60%. La rentabilité est exceptionnelle avec un ROE de 27,16% et un ROA de 2,96%, parmi les meilleurs du secteur bancaire régional, soutenue par une marge nette de 51,19%. Le coût du risque, bien que non détaillé précisément, semble maîtrisé comme en témoigne la progression du résultat net supérieure à celle du PNB. Les dépôts clientèle de 1 503,441 milliards FCFA couvrent largement les créances clientèle de 1 226,720 milliards FCFA, indiquant une transformation saine avec un ratio dépôts/crédits de 122,5%. Les rapports trimestriels 2025 confirment cette dynamique : le T1 2025 (PNB +12%, RN +10%), le S1 2025 (PNB +9%, RN +15%) et le T3 2025 (PNB +8%, RN +11%) montrent une croissance soutenue, avec une baisse du coût du risque de -34% au S1. Le rapport T1 2026 publié récemment indique un PNB de 27,7 milliards (+4%) et un résultat net de 15,2 milliards (+11%), suggérant une poursuite de la tendance positive. On estime que l'exercice 2026 devrait confirmer cette trajectoire avec un résultat net potentiellement supérieur à 60 milliards FCFA, porté par la croissance des dépôts (+9%) et des crédits (+7%).</w:t>
      </w:r>
    </w:p>
    <w:p>
      <w:pPr>
        <w:spacing w:after="120" w:line="276" w:lineRule="auto" w:before="240"/>
      </w:pPr>
      <w:r>
        <w:rPr>
          <w:b/>
          <w:color w:val="003366"/>
          <w:sz w:val="24"/>
        </w:rPr>
        <w:t>**PARTIE 4 : CONCLUSION D'INVESTISSEMENT**</w:t>
      </w:r>
    </w:p>
    <w:p>
      <w:pPr>
        <w:spacing w:after="120" w:line="276" w:lineRule="auto"/>
      </w:pPr>
      <w:r>
        <w:t>La valorisation actuelle de la SIBC, avec un PER de 16,2x et un P/B de 4,40x, reflète une prime substantielle par rapport au marché BRVM, mais cette prime est justifiée par une rentabilité exceptionnelle (ROE &gt;27%) et une croissance régulière du résultat net. Le comportement du cours sur 100 jours (+28,57%) démontre une forte dynamique haussière, bien que la volatilité de 28,6% et les statistiques descriptives (kurtosis platykurtique, skewness négatif) suggèrent une possible consolidation technique. Les signaux techniques sont mitigés avec un MACD vendeur mais un Stochastique acheteur, indiquant une phase de transition. Les fondamentaux restent excellents avec une croissance soutenue du PNB et du résultat net, une gestion rigoureuse des coûts et une politique de dividende généreuse (rendement estimé &gt;10% en 2024). Les prédictions IA anticipent une correction significative vers 7 775 FCFA à J+10, ce qui contraste avec la tendance haussière récente et suggère un potentiel de repli technique. La convergence entre la valorisation exigeante, les signaux techniques mitigés et les prédictions IA baissières conduit à une recommandation de **CONSERVER** avec un niveau de confiance **Moyen**. Le risque global est **Moyen**, principalement lié à la valorisation élevée et à la volatilité du titre. L'horizon d'investissement optimal serait le **moyen terme (3-12 mois)**, permettant d'absorber une éventuelle correction technique avant de bénéficier de la solidité fondamentale de la banque et de ses perspectives de croissance dans un environnement économique ivoirien favorable.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4.98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129 titres</w:t>
            </w:r>
          </w:p>
        </w:tc>
        <w:tc>
          <w:tcPr>
            <w:tcW w:type="dxa" w:w="2268"/>
            <w:shd w:fill="FFF2CC" w:val="clear"/>
          </w:tcPr>
          <w:p>
            <w:r>
              <w:rPr>
                <w:b/>
                <w:color w:val="503200"/>
                <w:sz w:val="16"/>
              </w:rPr>
              <w:t xml:space="preserve">Cours actuel : </w:t>
            </w:r>
            <w:r>
              <w:rPr>
                <w:color w:val="000000"/>
                <w:sz w:val="17"/>
              </w:rPr>
              <w:t>8,295 FCFA</w:t>
            </w:r>
          </w:p>
          <w:p>
            <w:r>
              <w:rPr>
                <w:b/>
                <w:color w:val="503200"/>
                <w:sz w:val="16"/>
              </w:rPr>
              <w:t xml:space="preserve">Var. 100 jours : </w:t>
            </w:r>
            <w:r>
              <w:rPr>
                <w:b/>
                <w:color w:val="007800"/>
                <w:sz w:val="17"/>
              </w:rPr>
              <w:t>+107.38%</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30.55% (Élevée) — μ=5,346 FCFA, σ=1,633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β=-0.8638 (Contre-cyclique) — Cov=-0.000031, Var(idx)=0.000036, ρ=-0.137,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σ_j=3.82%/j (Modérée) — Vol. annualisée≈60.7%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7,408</w:t>
            </w:r>
          </w:p>
        </w:tc>
        <w:tc>
          <w:tcPr>
            <w:tcW w:type="dxa" w:w="1440"/>
            <w:shd w:fill="FFDCE0" w:val="clear"/>
          </w:tcPr>
          <w:p>
            <w:r>
              <w:rPr>
                <w:b/>
                <w:sz w:val="17"/>
              </w:rPr>
              <w:t>8,008</w:t>
            </w:r>
          </w:p>
        </w:tc>
        <w:tc>
          <w:tcPr>
            <w:tcW w:type="dxa" w:w="1440"/>
            <w:shd w:fill="FFDCE0" w:val="clear"/>
          </w:tcPr>
          <w:p>
            <w:r>
              <w:rPr>
                <w:sz w:val="17"/>
              </w:rPr>
              <w:t>8,609</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7,030</w:t>
            </w:r>
          </w:p>
        </w:tc>
        <w:tc>
          <w:tcPr>
            <w:tcW w:type="dxa" w:w="1440"/>
            <w:shd w:fill="FFDCE0" w:val="clear"/>
          </w:tcPr>
          <w:p>
            <w:r>
              <w:rPr>
                <w:b/>
                <w:sz w:val="17"/>
              </w:rPr>
              <w:t>7,936</w:t>
            </w:r>
          </w:p>
        </w:tc>
        <w:tc>
          <w:tcPr>
            <w:tcW w:type="dxa" w:w="1440"/>
            <w:shd w:fill="FFDCE0" w:val="clear"/>
          </w:tcPr>
          <w:p>
            <w:r>
              <w:rPr>
                <w:sz w:val="17"/>
              </w:rPr>
              <w:t>8,841</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6,707</w:t>
            </w:r>
          </w:p>
        </w:tc>
        <w:tc>
          <w:tcPr>
            <w:tcW w:type="dxa" w:w="1440"/>
            <w:shd w:fill="FFDCE0" w:val="clear"/>
          </w:tcPr>
          <w:p>
            <w:r>
              <w:rPr>
                <w:b/>
                <w:sz w:val="17"/>
              </w:rPr>
              <w:t>7,796</w:t>
            </w:r>
          </w:p>
        </w:tc>
        <w:tc>
          <w:tcPr>
            <w:tcW w:type="dxa" w:w="1440"/>
            <w:shd w:fill="FFDCE0" w:val="clear"/>
          </w:tcPr>
          <w:p>
            <w:r>
              <w:rPr>
                <w:sz w:val="17"/>
              </w:rPr>
              <w:t>8,886</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6,412</w:t>
            </w:r>
          </w:p>
        </w:tc>
        <w:tc>
          <w:tcPr>
            <w:tcW w:type="dxa" w:w="1440"/>
            <w:shd w:fill="FFDCE0" w:val="clear"/>
          </w:tcPr>
          <w:p>
            <w:r>
              <w:rPr>
                <w:b/>
                <w:sz w:val="17"/>
              </w:rPr>
              <w:t>7,645</w:t>
            </w:r>
          </w:p>
        </w:tc>
        <w:tc>
          <w:tcPr>
            <w:tcW w:type="dxa" w:w="1440"/>
            <w:shd w:fill="FFDCE0" w:val="clear"/>
          </w:tcPr>
          <w:p>
            <w:r>
              <w:rPr>
                <w:sz w:val="17"/>
              </w:rPr>
              <w:t>8,879</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6,142</w:t>
            </w:r>
          </w:p>
        </w:tc>
        <w:tc>
          <w:tcPr>
            <w:tcW w:type="dxa" w:w="1440"/>
            <w:shd w:fill="FFDCE0" w:val="clear"/>
          </w:tcPr>
          <w:p>
            <w:r>
              <w:rPr>
                <w:b/>
                <w:sz w:val="17"/>
              </w:rPr>
              <w:t>7,494</w:t>
            </w:r>
          </w:p>
        </w:tc>
        <w:tc>
          <w:tcPr>
            <w:tcW w:type="dxa" w:w="1440"/>
            <w:shd w:fill="FFDCE0" w:val="clear"/>
          </w:tcPr>
          <w:p>
            <w:r>
              <w:rPr>
                <w:sz w:val="17"/>
              </w:rPr>
              <w:t>8,846</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5,893</w:t>
            </w:r>
          </w:p>
        </w:tc>
        <w:tc>
          <w:tcPr>
            <w:tcW w:type="dxa" w:w="1440"/>
            <w:shd w:fill="FFDCE0" w:val="clear"/>
          </w:tcPr>
          <w:p>
            <w:r>
              <w:rPr>
                <w:b/>
                <w:sz w:val="17"/>
              </w:rPr>
              <w:t>7,344</w:t>
            </w:r>
          </w:p>
        </w:tc>
        <w:tc>
          <w:tcPr>
            <w:tcW w:type="dxa" w:w="1440"/>
            <w:shd w:fill="FFDCE0" w:val="clear"/>
          </w:tcPr>
          <w:p>
            <w:r>
              <w:rPr>
                <w:sz w:val="17"/>
              </w:rPr>
              <w:t>8,795</w:t>
            </w:r>
          </w:p>
        </w:tc>
        <w:tc>
          <w:tcPr>
            <w:tcW w:type="dxa" w:w="1440"/>
            <w:shd w:fill="FFDCE0" w:val="clear"/>
          </w:tcPr>
          <w:p>
            <w:r>
              <w:rPr>
                <w:b/>
                <w:color w:val="C00000"/>
                <w:sz w:val="17"/>
              </w:rPr>
              <w:t>-11.5%</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5,661</w:t>
            </w:r>
          </w:p>
        </w:tc>
        <w:tc>
          <w:tcPr>
            <w:tcW w:type="dxa" w:w="1440"/>
            <w:shd w:fill="FFDCE0" w:val="clear"/>
          </w:tcPr>
          <w:p>
            <w:r>
              <w:rPr>
                <w:b/>
                <w:sz w:val="17"/>
              </w:rPr>
              <w:t>7,197</w:t>
            </w:r>
          </w:p>
        </w:tc>
        <w:tc>
          <w:tcPr>
            <w:tcW w:type="dxa" w:w="1440"/>
            <w:shd w:fill="FFDCE0" w:val="clear"/>
          </w:tcPr>
          <w:p>
            <w:r>
              <w:rPr>
                <w:sz w:val="17"/>
              </w:rPr>
              <w:t>8,733</w:t>
            </w:r>
          </w:p>
        </w:tc>
        <w:tc>
          <w:tcPr>
            <w:tcW w:type="dxa" w:w="1440"/>
            <w:shd w:fill="FFDCE0" w:val="clear"/>
          </w:tcPr>
          <w:p>
            <w:r>
              <w:rPr>
                <w:b/>
                <w:color w:val="C00000"/>
                <w:sz w:val="17"/>
              </w:rPr>
              <w:t>-13.2%</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5,445</w:t>
            </w:r>
          </w:p>
        </w:tc>
        <w:tc>
          <w:tcPr>
            <w:tcW w:type="dxa" w:w="1440"/>
            <w:shd w:fill="FFDCE0" w:val="clear"/>
          </w:tcPr>
          <w:p>
            <w:r>
              <w:rPr>
                <w:b/>
                <w:sz w:val="17"/>
              </w:rPr>
              <w:t>7,055</w:t>
            </w:r>
          </w:p>
        </w:tc>
        <w:tc>
          <w:tcPr>
            <w:tcW w:type="dxa" w:w="1440"/>
            <w:shd w:fill="FFDCE0" w:val="clear"/>
          </w:tcPr>
          <w:p>
            <w:r>
              <w:rPr>
                <w:sz w:val="17"/>
              </w:rPr>
              <w:t>8,665</w:t>
            </w:r>
          </w:p>
        </w:tc>
        <w:tc>
          <w:tcPr>
            <w:tcW w:type="dxa" w:w="1440"/>
            <w:shd w:fill="FFDCE0" w:val="clear"/>
          </w:tcPr>
          <w:p>
            <w:r>
              <w:rPr>
                <w:b/>
                <w:color w:val="C00000"/>
                <w:sz w:val="17"/>
              </w:rPr>
              <w:t>-14.9%</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5,244</w:t>
            </w:r>
          </w:p>
        </w:tc>
        <w:tc>
          <w:tcPr>
            <w:tcW w:type="dxa" w:w="1440"/>
            <w:shd w:fill="FFDCE0" w:val="clear"/>
          </w:tcPr>
          <w:p>
            <w:r>
              <w:rPr>
                <w:b/>
                <w:sz w:val="17"/>
              </w:rPr>
              <w:t>6,919</w:t>
            </w:r>
          </w:p>
        </w:tc>
        <w:tc>
          <w:tcPr>
            <w:tcW w:type="dxa" w:w="1440"/>
            <w:shd w:fill="FFDCE0" w:val="clear"/>
          </w:tcPr>
          <w:p>
            <w:r>
              <w:rPr>
                <w:sz w:val="17"/>
              </w:rPr>
              <w:t>8,594</w:t>
            </w:r>
          </w:p>
        </w:tc>
        <w:tc>
          <w:tcPr>
            <w:tcW w:type="dxa" w:w="1440"/>
            <w:shd w:fill="FFDCE0" w:val="clear"/>
          </w:tcPr>
          <w:p>
            <w:r>
              <w:rPr>
                <w:b/>
                <w:color w:val="C00000"/>
                <w:sz w:val="17"/>
              </w:rPr>
              <w:t>-16.6%</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5,057</w:t>
            </w:r>
          </w:p>
        </w:tc>
        <w:tc>
          <w:tcPr>
            <w:tcW w:type="dxa" w:w="1440"/>
            <w:shd w:fill="FFDCE0" w:val="clear"/>
          </w:tcPr>
          <w:p>
            <w:r>
              <w:rPr>
                <w:b/>
                <w:sz w:val="17"/>
              </w:rPr>
              <w:t>6,789</w:t>
            </w:r>
          </w:p>
        </w:tc>
        <w:tc>
          <w:tcPr>
            <w:tcW w:type="dxa" w:w="1440"/>
            <w:shd w:fill="FFDCE0" w:val="clear"/>
          </w:tcPr>
          <w:p>
            <w:r>
              <w:rPr>
                <w:sz w:val="17"/>
              </w:rPr>
              <w:t>8,521</w:t>
            </w:r>
          </w:p>
        </w:tc>
        <w:tc>
          <w:tcPr>
            <w:tcW w:type="dxa" w:w="1440"/>
            <w:shd w:fill="FFDCE0" w:val="clear"/>
          </w:tcPr>
          <w:p>
            <w:r>
              <w:rPr>
                <w:b/>
                <w:color w:val="C00000"/>
                <w:sz w:val="17"/>
              </w:rPr>
              <w:t>-18.2%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4,98 milliards FCFA, un niveau modeste qui la classe parmi les petites capitalisations de la BRVM. Les ratios de valorisation traditionnels (BPA, PER, P/B, EV/EBITDA) ne sont pas calculables en raison de l'absence de données financières structurées récentes dans la base. Toutefois, en se référant au dernier bénéfice net connu de 19,25 millions FCFA (exercice 2023), le PER implicite ressortirait à environ 258 fois, ce qui est extrêmement élevé comparé à la moyenne du marché BRVM (8-12 fois). Cette situation traduit une anticipation très forte du marché sur un redressement futur, ou une spéculation sur le titre. En l'absence de bénéfices suffisants pour justifier une telle valorisation, l'action apparaît objectivement surévaluée sur une base fondamentale, ce qui représente un risque significatif pour un investisseur rationnel.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+107,38%, avec une dernière séance en hausse de +3,75% à 8 295 FCFA. Le titre a évolué dans une fourchette très large, oscillant entre un plus bas de 3 765 FCFA et un plus haut de 10 200 FCFA, illustrant une volatilité extrême. La moyenne du cours (5 346 FCFA) est supérieure à la médiane (4 500 FCFA), ce qui confirme une distribution asymétrique positive (skewness de 1,566), avec davantage de journées sous la moyenne mais quelques fortes hausses qui tirent la moyenne vers le haut. L'écart-type de 1 642 FCFA (CV de 30,7%) indique une dispersion élevée des prix autour de la moyenne. Le kurtosis excédentaire de 1,323 signale des queues de distribution épaisses, augmentant le risque de mouvements extrêmes. La volatilité annualisée de 60,7% est très élevée, positionnant SICOR comme un titre à haut risque,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 La MM20 (8 308,75 FCFA) est très proche du cours actuel (8 295 FCFA), tandis que la MM50 (6 389,1 FCFA) est nettement inférieure. Cette configuration haussière (cours au-dessus de la MM50) confirme une tendance de fond positive, mais le resserrement entre le cours et la MM20 suggère un essoufflement potentiel à court terme. La décision d'achat est justifiée par la tendance de moyen terme, mais avec prudence.</w:t>
      </w:r>
    </w:p>
    <w:p>
      <w:pPr>
        <w:spacing w:after="120" w:line="276" w:lineRule="auto"/>
      </w:pPr>
      <w:r>
        <w:t>**Bandes de Bollinger** : Le cours se situe à 8 295 FCFA, entre la borne inférieure (5 990,81 FCFA) et la borne supérieure (10 626,69 FCFA), avec une largeur de bandes très importante reflétant la forte volatilité. La position médiane du prix indique un équilibre relatif, mais l'écartement des bandes signale une période de turbulences. La décision neutre est cohérente avec cette position intermédiaire.</w:t>
      </w:r>
    </w:p>
    <w:p>
      <w:pPr>
        <w:spacing w:after="120" w:line="276" w:lineRule="auto"/>
      </w:pPr>
      <w:r>
        <w:t>**MACD** : Le MACD (581,77) est inférieur à son signal (805,69), ce qui constitue un signal baissier de court terme. Cette divergence indique un ralentissement du momentum haussier, même si les valeurs restent positives. La décision de vente est justifiée par cette configuration, qui suggère une possible correction après la forte hausse récente.</w:t>
      </w:r>
    </w:p>
    <w:p>
      <w:pPr>
        <w:spacing w:after="120" w:line="276" w:lineRule="auto"/>
      </w:pPr>
      <w:r>
        <w:t>**RSI** : Le RSI s'établit à 56,64, dans la zone neutre (30-70). Cette valeur indique que le titre n'est ni suracheté ni survendu, laissant une marge de manœuvre dans les deux sens. La décision neutre est appropriée, même si la proximité de la zone de surachat (&gt;70) appelle à la vigilance.</w:t>
      </w:r>
    </w:p>
    <w:p>
      <w:pPr>
        <w:spacing w:after="120" w:line="276" w:lineRule="auto"/>
      </w:pPr>
      <w:r>
        <w:t>**Stochastique** : Le %K (13,61) est inférieur au %D (19,33), tous deux en zone de survente (&lt;20). Cette configuration suggère un potentiel de rebond technique à court terme, d'autant que le croisement haussier pourrait se produire prochainement. La décision d'achat est justifiée par ce signal de retournement potentiel.</w:t>
      </w:r>
    </w:p>
    <w:p>
      <w:pPr>
        <w:spacing w:after="120" w:line="276" w:lineRule="auto"/>
      </w:pPr>
      <w:r>
        <w:t>**Conclusion technique** : Les signaux sont mitigés, avec une opposition entre la tendance haussière de fond (MM50, Stochastique) et les signaux de ralentissement à court terme (MACD, RSI neutre). Le titre semble en phase de consolidation après une hausse spectaculaire, avec un risque de correction technique non négligeable. La prudence est de mise.</w:t>
      </w:r>
    </w:p>
    <w:p>
      <w:pPr>
        <w:spacing w:after="120" w:line="276" w:lineRule="auto" w:before="240"/>
      </w:pPr>
      <w:r>
        <w:rPr>
          <w:b/>
          <w:color w:val="003366"/>
          <w:sz w:val="24"/>
        </w:rPr>
        <w:t>**PARTIE 3 : ANALYSE FONDAMENTALE (SECTION CRITIQUE)**</w:t>
      </w:r>
    </w:p>
    <w:p>
      <w:pPr>
        <w:spacing w:after="120" w:line="276" w:lineRule="auto"/>
      </w:pPr>
      <w:r>
        <w:t>Les données financières structurées récentes ne sont pas disponibles dans la base, mais les rapports officiels fournissent un historique riche. Pour l'exercice 2023 (rapport daté du 31/12/2024), le chiffre d'affaires s'établit à 701,09 millions FCFA, en forte baisse de 38,4% par rapport à 2022 (1 138,17 millions FCFA). Le résultat net 2023 est bénéficiaire à hauteur de 19,25 millions FCFA, contre une perte de 39,95 millions en 2022, marquant un retour à la profitabilité après deux années de pertes. La marge nette reste faible à 2,75%, inférieure aux standards sectoriels. En 2022, le CA était de 1 138,17 millions FCFA avec une perte nette de 39,95 millions (marge nette de -3,51%). En 2021, le résultat net était bénéficiaire à 119,23 millions FCFA. Le rapport 2020 indique un CA de 2,36 milliards FCFA et un bénéfice net de 109,8 millions, avec une marge nette de 4,65%. La tendance sur 4 ans montre une forte dégradation du CA (de 2,36 Mds en 2020 à 701 millions en 2023) et une rentabilité très volatile. Les pertes cumulées s'élèvent à 689,86 millions FCFA, interdisant tout dividende. Les charges de personnel ont été réduites de 39% en 2023 (transfert vers SIPAL), et les découverts bancaires ont explosé (+1 319%). Le rapport 2024-2025 n'est pas disponible, mais l'AG du 22 mai 2026 doit approuver les comptes 2024. On estime que l'exercice 2024 pourrait montrer une stabilisation, mais sans données réelles, la prudence s'impose. La situation financière reste fragile, avec une trésorerie tendue et une dépendance aux cours mondiaux du coprah.</w:t>
      </w:r>
    </w:p>
    <w:p>
      <w:pPr>
        <w:spacing w:after="120" w:line="276" w:lineRule="auto" w:before="240"/>
      </w:pPr>
      <w:r>
        <w:rPr>
          <w:b/>
          <w:color w:val="003366"/>
          <w:sz w:val="24"/>
        </w:rPr>
        <w:t>**PARTIE 4 : CONCLUSION D'INVESTISSEMENT**</w:t>
      </w:r>
    </w:p>
    <w:p>
      <w:pPr>
        <w:spacing w:after="120" w:line="276" w:lineRule="auto"/>
      </w:pPr>
      <w:r>
        <w:t>La valorisation de SICOR est problématique : avec un PER implicite supérieur à 250 fois les bénéfices 2023, le marché anticipe un redressement massif qui ne s'est pas encore matérialisé dans les comptes. Le comportement du cours (+107% en 100 jours) et la volatilité extrême (60,7%) traduisent une spéculation intense, avec un skewness positif et un kurtosis élevé indiquant un risque de mouvements brusques. Les signaux techniques sont mitigés : la tendance de fond reste haussière (MM50), mais le MACD et la position sous la MM20 suggèrent un essoufflement à court terme. Fondamentalement, la société montre des signes de redressement (retour aux bénéfices en 2023) mais sur une base très fragile, avec un CA en chute libre et des pertes cumulées importantes. Les prédictions IA (8 008 à 7 494 FCFA sur 10 jours) confirment une tendance baissière à court terme, contredisant le momentum haussier récent. La divergence entre la valorisation spéculative, les fondamentaux faibles et les signaux techniques mitigés conduit à une recommandation de **VENTE** pour les investisseurs existants, avec un niveau de confiance **Moyen** et un risque **Élevé**. Pour les nouveaux investisseurs, il est préférable d'attendre une correction significative ou une publication de résultats 2024 confirmant une amélioration durable. L'horizon d'investissement optimal serait le **court terme (&lt;3 mois)** pour les traders aguerris, mais le **long terme (&gt;1 an)** pour les investisseurs patients, à condition que la société confirme son redressement.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20.35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5,405 titres</w:t>
            </w:r>
          </w:p>
        </w:tc>
        <w:tc>
          <w:tcPr>
            <w:tcW w:type="dxa" w:w="2268"/>
            <w:shd w:fill="FFF2CC" w:val="clear"/>
          </w:tcPr>
          <w:p>
            <w:r>
              <w:rPr>
                <w:b/>
                <w:color w:val="503200"/>
                <w:sz w:val="16"/>
              </w:rPr>
              <w:t xml:space="preserve">Cours actuel : </w:t>
            </w:r>
            <w:r>
              <w:rPr>
                <w:color w:val="000000"/>
                <w:sz w:val="17"/>
              </w:rPr>
              <w:t>2,330 FCFA</w:t>
            </w:r>
          </w:p>
          <w:p>
            <w:r>
              <w:rPr>
                <w:b/>
                <w:color w:val="503200"/>
                <w:sz w:val="16"/>
              </w:rPr>
              <w:t xml:space="preserve">Var. 100 jours : </w:t>
            </w:r>
            <w:r>
              <w:rPr>
                <w:b/>
                <w:color w:val="B40000"/>
                <w:sz w:val="17"/>
              </w:rPr>
              <w:t>-20.75%</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11.21% (Moyenne) — μ=2,589 FCFA, σ=290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β=0.2777 (Défensif) — Cov=0.000010, Var(idx)=0.000036, ρ=0.052,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5,405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2,100</w:t>
            </w:r>
          </w:p>
        </w:tc>
        <w:tc>
          <w:tcPr>
            <w:tcW w:type="dxa" w:w="1440"/>
            <w:shd w:fill="FFDCE0" w:val="clear"/>
          </w:tcPr>
          <w:p>
            <w:r>
              <w:rPr>
                <w:b/>
                <w:sz w:val="17"/>
              </w:rPr>
              <w:t>2,198</w:t>
            </w:r>
          </w:p>
        </w:tc>
        <w:tc>
          <w:tcPr>
            <w:tcW w:type="dxa" w:w="1440"/>
            <w:shd w:fill="FFDCE0" w:val="clear"/>
          </w:tcPr>
          <w:p>
            <w:r>
              <w:rPr>
                <w:sz w:val="17"/>
              </w:rPr>
              <w:t>2,296</w:t>
            </w:r>
          </w:p>
        </w:tc>
        <w:tc>
          <w:tcPr>
            <w:tcW w:type="dxa" w:w="1440"/>
            <w:shd w:fill="FFDCE0" w:val="clear"/>
          </w:tcPr>
          <w:p>
            <w:r>
              <w:rPr>
                <w:b/>
                <w:color w:val="C00000"/>
                <w:sz w:val="17"/>
              </w:rPr>
              <w:t>-5.7%</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2,022</w:t>
            </w:r>
          </w:p>
        </w:tc>
        <w:tc>
          <w:tcPr>
            <w:tcW w:type="dxa" w:w="1440"/>
            <w:shd w:fill="FFDCE0" w:val="clear"/>
          </w:tcPr>
          <w:p>
            <w:r>
              <w:rPr>
                <w:b/>
                <w:sz w:val="17"/>
              </w:rPr>
              <w:t>2,158</w:t>
            </w:r>
          </w:p>
        </w:tc>
        <w:tc>
          <w:tcPr>
            <w:tcW w:type="dxa" w:w="1440"/>
            <w:shd w:fill="FFDCE0" w:val="clear"/>
          </w:tcPr>
          <w:p>
            <w:r>
              <w:rPr>
                <w:sz w:val="17"/>
              </w:rPr>
              <w:t>2,294</w:t>
            </w:r>
          </w:p>
        </w:tc>
        <w:tc>
          <w:tcPr>
            <w:tcW w:type="dxa" w:w="1440"/>
            <w:shd w:fill="FFDCE0" w:val="clear"/>
          </w:tcPr>
          <w:p>
            <w:r>
              <w:rPr>
                <w:b/>
                <w:color w:val="C00000"/>
                <w:sz w:val="17"/>
              </w:rPr>
              <w:t>-7.4%</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1,948</w:t>
            </w:r>
          </w:p>
        </w:tc>
        <w:tc>
          <w:tcPr>
            <w:tcW w:type="dxa" w:w="1440"/>
            <w:shd w:fill="FFDCE0" w:val="clear"/>
          </w:tcPr>
          <w:p>
            <w:r>
              <w:rPr>
                <w:b/>
                <w:sz w:val="17"/>
              </w:rPr>
              <w:t>2,111</w:t>
            </w:r>
          </w:p>
        </w:tc>
        <w:tc>
          <w:tcPr>
            <w:tcW w:type="dxa" w:w="1440"/>
            <w:shd w:fill="FFDCE0" w:val="clear"/>
          </w:tcPr>
          <w:p>
            <w:r>
              <w:rPr>
                <w:sz w:val="17"/>
              </w:rPr>
              <w:t>2,274</w:t>
            </w:r>
          </w:p>
        </w:tc>
        <w:tc>
          <w:tcPr>
            <w:tcW w:type="dxa" w:w="1440"/>
            <w:shd w:fill="FFDCE0" w:val="clear"/>
          </w:tcPr>
          <w:p>
            <w:r>
              <w:rPr>
                <w:b/>
                <w:color w:val="C00000"/>
                <w:sz w:val="17"/>
              </w:rPr>
              <w:t>-9.4%</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1,879</w:t>
            </w:r>
          </w:p>
        </w:tc>
        <w:tc>
          <w:tcPr>
            <w:tcW w:type="dxa" w:w="1440"/>
            <w:shd w:fill="FFDCE0" w:val="clear"/>
          </w:tcPr>
          <w:p>
            <w:r>
              <w:rPr>
                <w:b/>
                <w:sz w:val="17"/>
              </w:rPr>
              <w:t>2,063</w:t>
            </w:r>
          </w:p>
        </w:tc>
        <w:tc>
          <w:tcPr>
            <w:tcW w:type="dxa" w:w="1440"/>
            <w:shd w:fill="FFDCE0" w:val="clear"/>
          </w:tcPr>
          <w:p>
            <w:r>
              <w:rPr>
                <w:sz w:val="17"/>
              </w:rPr>
              <w:t>2,247</w:t>
            </w:r>
          </w:p>
        </w:tc>
        <w:tc>
          <w:tcPr>
            <w:tcW w:type="dxa" w:w="1440"/>
            <w:shd w:fill="FFDCE0" w:val="clear"/>
          </w:tcPr>
          <w:p>
            <w:r>
              <w:rPr>
                <w:b/>
                <w:color w:val="C00000"/>
                <w:sz w:val="17"/>
              </w:rPr>
              <w:t>-11.5%</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1,815</w:t>
            </w:r>
          </w:p>
        </w:tc>
        <w:tc>
          <w:tcPr>
            <w:tcW w:type="dxa" w:w="1440"/>
            <w:shd w:fill="FFDCE0" w:val="clear"/>
          </w:tcPr>
          <w:p>
            <w:r>
              <w:rPr>
                <w:b/>
                <w:sz w:val="17"/>
              </w:rPr>
              <w:t>2,016</w:t>
            </w:r>
          </w:p>
        </w:tc>
        <w:tc>
          <w:tcPr>
            <w:tcW w:type="dxa" w:w="1440"/>
            <w:shd w:fill="FFDCE0" w:val="clear"/>
          </w:tcPr>
          <w:p>
            <w:r>
              <w:rPr>
                <w:sz w:val="17"/>
              </w:rPr>
              <w:t>2,217</w:t>
            </w:r>
          </w:p>
        </w:tc>
        <w:tc>
          <w:tcPr>
            <w:tcW w:type="dxa" w:w="1440"/>
            <w:shd w:fill="FFDCE0" w:val="clear"/>
          </w:tcPr>
          <w:p>
            <w:r>
              <w:rPr>
                <w:b/>
                <w:color w:val="C00000"/>
                <w:sz w:val="17"/>
              </w:rPr>
              <w:t>-13.5%</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1,756</w:t>
            </w:r>
          </w:p>
        </w:tc>
        <w:tc>
          <w:tcPr>
            <w:tcW w:type="dxa" w:w="1440"/>
            <w:shd w:fill="FFDCE0" w:val="clear"/>
          </w:tcPr>
          <w:p>
            <w:r>
              <w:rPr>
                <w:b/>
                <w:sz w:val="17"/>
              </w:rPr>
              <w:t>1,971</w:t>
            </w:r>
          </w:p>
        </w:tc>
        <w:tc>
          <w:tcPr>
            <w:tcW w:type="dxa" w:w="1440"/>
            <w:shd w:fill="FFDCE0" w:val="clear"/>
          </w:tcPr>
          <w:p>
            <w:r>
              <w:rPr>
                <w:sz w:val="17"/>
              </w:rPr>
              <w:t>2,186</w:t>
            </w:r>
          </w:p>
        </w:tc>
        <w:tc>
          <w:tcPr>
            <w:tcW w:type="dxa" w:w="1440"/>
            <w:shd w:fill="FFDCE0" w:val="clear"/>
          </w:tcPr>
          <w:p>
            <w:r>
              <w:rPr>
                <w:b/>
                <w:color w:val="C00000"/>
                <w:sz w:val="17"/>
              </w:rPr>
              <w:t>-15.4%</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1,700</w:t>
            </w:r>
          </w:p>
        </w:tc>
        <w:tc>
          <w:tcPr>
            <w:tcW w:type="dxa" w:w="1440"/>
            <w:shd w:fill="FFDCE0" w:val="clear"/>
          </w:tcPr>
          <w:p>
            <w:r>
              <w:rPr>
                <w:b/>
                <w:sz w:val="17"/>
              </w:rPr>
              <w:t>1,927</w:t>
            </w:r>
          </w:p>
        </w:tc>
        <w:tc>
          <w:tcPr>
            <w:tcW w:type="dxa" w:w="1440"/>
            <w:shd w:fill="FFDCE0" w:val="clear"/>
          </w:tcPr>
          <w:p>
            <w:r>
              <w:rPr>
                <w:sz w:val="17"/>
              </w:rPr>
              <w:t>2,154</w:t>
            </w:r>
          </w:p>
        </w:tc>
        <w:tc>
          <w:tcPr>
            <w:tcW w:type="dxa" w:w="1440"/>
            <w:shd w:fill="FFDCE0" w:val="clear"/>
          </w:tcPr>
          <w:p>
            <w:r>
              <w:rPr>
                <w:b/>
                <w:color w:val="C00000"/>
                <w:sz w:val="17"/>
              </w:rPr>
              <w:t>-17.3%</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1,648</w:t>
            </w:r>
          </w:p>
        </w:tc>
        <w:tc>
          <w:tcPr>
            <w:tcW w:type="dxa" w:w="1440"/>
            <w:shd w:fill="FFDCE0" w:val="clear"/>
          </w:tcPr>
          <w:p>
            <w:r>
              <w:rPr>
                <w:b/>
                <w:sz w:val="17"/>
              </w:rPr>
              <w:t>1,885</w:t>
            </w:r>
          </w:p>
        </w:tc>
        <w:tc>
          <w:tcPr>
            <w:tcW w:type="dxa" w:w="1440"/>
            <w:shd w:fill="FFDCE0" w:val="clear"/>
          </w:tcPr>
          <w:p>
            <w:r>
              <w:rPr>
                <w:sz w:val="17"/>
              </w:rPr>
              <w:t>2,123</w:t>
            </w:r>
          </w:p>
        </w:tc>
        <w:tc>
          <w:tcPr>
            <w:tcW w:type="dxa" w:w="1440"/>
            <w:shd w:fill="FFDCE0" w:val="clear"/>
          </w:tcPr>
          <w:p>
            <w:r>
              <w:rPr>
                <w:b/>
                <w:color w:val="C00000"/>
                <w:sz w:val="17"/>
              </w:rPr>
              <w:t>-19.1%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1,598</w:t>
            </w:r>
          </w:p>
        </w:tc>
        <w:tc>
          <w:tcPr>
            <w:tcW w:type="dxa" w:w="1440"/>
            <w:shd w:fill="FFDCE0" w:val="clear"/>
          </w:tcPr>
          <w:p>
            <w:r>
              <w:rPr>
                <w:b/>
                <w:sz w:val="17"/>
              </w:rPr>
              <w:t>1,844</w:t>
            </w:r>
          </w:p>
        </w:tc>
        <w:tc>
          <w:tcPr>
            <w:tcW w:type="dxa" w:w="1440"/>
            <w:shd w:fill="FFDCE0" w:val="clear"/>
          </w:tcPr>
          <w:p>
            <w:r>
              <w:rPr>
                <w:sz w:val="17"/>
              </w:rPr>
              <w:t>2,091</w:t>
            </w:r>
          </w:p>
        </w:tc>
        <w:tc>
          <w:tcPr>
            <w:tcW w:type="dxa" w:w="1440"/>
            <w:shd w:fill="FFDCE0" w:val="clear"/>
          </w:tcPr>
          <w:p>
            <w:r>
              <w:rPr>
                <w:b/>
                <w:color w:val="C00000"/>
                <w:sz w:val="17"/>
              </w:rPr>
              <w:t>-20.8%</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1,551</w:t>
            </w:r>
          </w:p>
        </w:tc>
        <w:tc>
          <w:tcPr>
            <w:tcW w:type="dxa" w:w="1440"/>
            <w:shd w:fill="FFDCE0" w:val="clear"/>
          </w:tcPr>
          <w:p>
            <w:r>
              <w:rPr>
                <w:b/>
                <w:sz w:val="17"/>
              </w:rPr>
              <w:t>1,805</w:t>
            </w:r>
          </w:p>
        </w:tc>
        <w:tc>
          <w:tcPr>
            <w:tcW w:type="dxa" w:w="1440"/>
            <w:shd w:fill="FFDCE0" w:val="clear"/>
          </w:tcPr>
          <w:p>
            <w:r>
              <w:rPr>
                <w:sz w:val="17"/>
              </w:rPr>
              <w:t>2,060</w:t>
            </w:r>
          </w:p>
        </w:tc>
        <w:tc>
          <w:tcPr>
            <w:tcW w:type="dxa" w:w="1440"/>
            <w:shd w:fill="FFDCE0" w:val="clear"/>
          </w:tcPr>
          <w:p>
            <w:r>
              <w:rPr>
                <w:b/>
                <w:color w:val="C00000"/>
                <w:sz w:val="17"/>
              </w:rPr>
              <w:t>-22.5%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 RAPPORT D'ANALYSE FINANCIÈRE — SIVC / ERIUM CI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SIVC s'établit à 20,35 milliards FCFA, un niveau modeste dans l'environnement BRVM qui la positionne parmi les valeurs moyennes du marché. Le BPA de 43 FCFA par action indique que chaque titre génère un bénéfice relativement faible, ce qui explique un PER de 54,0x, très largement supérieur à la moyenne historique de la BRVM (8-12x). Les investisseurs paient donc une prime considérable pour chaque franc de bénéfice, signe d'une valorisation extrêmement exigeante. Le P/B de 6,22x confirme cette surévaluation, le marché valorisant l'action plus de six fois sa valeur comptable, bien au-delà du seuil de 4x considéré comme déjà élevé. Enfin, l'EV/EBITDA de 17,0x, supérieur au seuil de 15x jugé exigeant, indique que la valeur totale de l'entreprise (fonds propres + dettes) reste très onéreuse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SIVC a enregistré une dépréciation significative de -20,75%, passant d'un plus haut de 3 215 FCFA à un plus bas de 1 920 FCFA, soit une amplitude de trading de près de 1 300 FCFA. La dernière séance affiche toutefois un rebond de +0,87% à 2 330 FCFA, suggérant une possible stabilisation après la phase baissière. La moyenne du cours sur la période (2 589 FCFA) est inférieure à la médiane (2 690 FCFA), indiquant une distribution légèrement asymétrique avec une concentration des valeurs vers le bas de la fourchette. L'écart-type de 292 FCFA, pour un coefficient de variation de 11,3%, révèle une dispersion modérée des prix autour de la moyenne. Le kurtosis négatif de -1,021 (platykurtique) signale une distribution aplatie, sans pics extrêmes, tandis que le skewness de -0,250 confirme une asymétrie négative légère. La volatilité annualisée de 50,8% classe le titre dans la catégorie des valeurs à très forte volatilité (&gt;30%), impliquant un risque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(2 317,5 FCFA) et la MM50 (2 334,9 FCFA) sont très proches l'une de l'autre, avec le cours actuel (2 330 FCFA) qui évolue entre les deux. Cette configuration indique une absence de tendance claire à court terme, mais le signal global reste à la vente, les moyennes étant orientées à la baisse sur la période.</w:t>
      </w:r>
    </w:p>
    <w:p>
      <w:pPr>
        <w:spacing w:after="120" w:line="276" w:lineRule="auto"/>
      </w:pPr>
      <w:r>
        <w:t>**Bandes de Bollinger** : Le cours se situe à 2 330 FCFA, entre la borne supérieure (2 534,55 FCFA) et la borne inférieure (2 100,45 FCFA), précisément dans la zone médiane. La largeur des bandes reflète la volatilité élevée du titre. La position neutre du prix dans les bandes suggère une phase de consolidation sans signal directionnel fort.</w:t>
      </w:r>
    </w:p>
    <w:p>
      <w:pPr>
        <w:spacing w:after="120" w:line="276" w:lineRule="auto"/>
      </w:pPr>
      <w:r>
        <w:t>**MACD** : La valeur du MACD (7,798) est supérieure à sa ligne de signal (4,791), indiquant un momentum haussier à court terme. Cette configuration positive, bien que modeste, suggère une possible poursuite du rebond technique entamé lors de la dernière séance.</w:t>
      </w:r>
    </w:p>
    <w:p>
      <w:pPr>
        <w:spacing w:after="120" w:line="276" w:lineRule="auto"/>
      </w:pPr>
      <w:r>
        <w:t>**RSI** : À 55,814, le RSI se situe dans la zone neutre (30-70), sans signal de surachat ni de survente. Cette valeur indique un équilibre relatif entre les forces acheteuses et venderesses, avec une légère prédominance des acheteurs sans excès.</w:t>
      </w:r>
    </w:p>
    <w:p>
      <w:pPr>
        <w:spacing w:after="120" w:line="276" w:lineRule="auto"/>
      </w:pPr>
      <w:r>
        <w:t>**Stochastique** : Le %K (16,667) est nettement inférieur au %D (38,452), indiquant que le titre est proche de la zone de survente. Le croisement potentiel du %K au-dessus du %D pourrait générer un signal d'achat à court terme, confirmant le rebond technique en cours.</w:t>
      </w:r>
    </w:p>
    <w:p>
      <w:pPr>
        <w:spacing w:after="120" w:line="276" w:lineRule="auto"/>
      </w:pPr>
      <w:r>
        <w:t>**Conclusion technique** : Les indicateurs sont mitigés avec une légère tendance positive : le MACD et le Stochastique suggèrent un potentiel de rebond, tandis que les moyennes mobiles restent baissières et le RSI neutre. La configuration globale indique une phase de transition technique, avec un biais légèrement haussier à très court terme mais une tendance de fond toujours négative.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2024 révèlent une entreprise classée dans le secteur bancaire avec un PNB de 9,283 milliards FCFA, un résultat net de 376,96 millions FCFA et une marge nette de 4,06%. Le ROE de 11,52% reste en-dessous du seuil d'excellence de 15%, tandis que le ROA de 2,69% témoigne d'une utilisation modérée des actifs. Le coefficient d'exploitation de 95,83% est extrêmement préoccupant pour une banque, très loin du seuil d'efficacité de 60%, indiquant que les charges absorbent la quasi-totalité du PNB. Le coût du risque de 3,10% signale un portefeuille de crédits dégradé. Les capitaux propres de 3,272 milliards FCFA ne représentent que 23,34% du total bilan, avec un ratio d'endettement de 80,09%. Les rapports narratifs montrent une évolution contrastée : le rapport annuel 2025 (daté du 31/12/2025) indique un chiffre d'affaires en hausse de 8,5% à 10,07 milliards FCFA mais un résultat net en chute de 52,4% à 179,3 millions FCFA, avec une marge nette tombée à 1,78%. En revanche, le rapport du 3ème trimestre 2025 fait état d'un résultat net cumulé de 832,5 millions FCFA (+58%), suggérant que la dégradation annuelle s'est concentrée au T4. Le rapport semestriel 2025 certifié confirme cette tendance avec un résultat net de 512,9 millions FCFA (+4,6%). Sur la base de ces données, on estime que l'exercice 2026 pourrait voir une amélioration de la rentabilité si la dynamique des trois premiers trimestres 2025 se poursuit, mais la structure financière reste fragile avec une trésorerie nette négative de -2,143 milliards FCFA et un endettement croissant.</w:t>
      </w:r>
    </w:p>
    <w:p>
      <w:pPr>
        <w:spacing w:after="120" w:line="276" w:lineRule="auto"/>
      </w:pPr>
      <w:r>
        <w:t>---</w:t>
      </w:r>
    </w:p>
    <w:p>
      <w:pPr>
        <w:spacing w:after="120" w:line="276" w:lineRule="auto"/>
      </w:pPr>
      <w:r>
        <w:t>## PARTIE 4 : CONCLUSION D'INVESTISSEMENT</w:t>
      </w:r>
    </w:p>
    <w:p>
      <w:pPr>
        <w:spacing w:after="120" w:line="276" w:lineRule="auto"/>
      </w:pPr>
      <w:r>
        <w:t>La synthèse globale fait apparaître des signaux fortement contradictoires. La valorisation (Partie 0) est extrêmement exigeante avec un PER de 54x et un P/B de 6,22x, indiquant une surévaluation manifeste par rapport aux fondamentaux. Le comportement du cours (Partie 1) montre une tendance baissière marquée (-20,75% sur 100 jours) avec une volatilité très élevée de 50,8%, signe d'un risque important. Les signaux techniques (Partie 2) sont mitigés, avec un MACD et un Stochastique légèrement acheteurs mais des moyennes mobiles toujours vendeuses. Les fondamentaux (Partie 3) révèlent une entreprise en croissance de chiffre d'affaires mais avec une rentabilité en forte dégradation, un endettement élevé et une trésorerie négative. Les prédictions IA pour les 10 prochains jours (2 198 à 2 016 FCFA) confirment la poursuite de la tendance baissière. Cette convergence entre la surévaluation, la faiblesse des fondamentaux et les prédictions baissières conduit à une recommandation de **VENTE**, avec un niveau de confiance **Moyen** (les signaux techniques à court terme étant légèrement positifs) et un risque global **Élevé**. L'horizon d'investissement recommandé est le court terme (&lt;3 mois) pour les investisseurs détenant déjà le titre, avec un objectif de sortie avant une possible poursuite de la dépréciation.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625.51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1,194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B40000"/>
                <w:sz w:val="17"/>
              </w:rPr>
              <w:t>-2.31%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30.0%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2.51% (Faible) — μ=38,312 FCFA, σ=961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β=0.0793 (Défensif) — Cov=0.000003, Var(idx)=0.000036, ρ=0.025,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σ_j=1.89%/j (Stable) — Vol. annualisée≈30.0%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36,261</w:t>
            </w:r>
          </w:p>
        </w:tc>
        <w:tc>
          <w:tcPr>
            <w:tcW w:type="dxa" w:w="1440"/>
            <w:shd w:fill="FAFAFA" w:val="clear"/>
          </w:tcPr>
          <w:p>
            <w:r>
              <w:rPr>
                <w:b/>
                <w:sz w:val="17"/>
              </w:rPr>
              <w:t>37,499</w:t>
            </w:r>
          </w:p>
        </w:tc>
        <w:tc>
          <w:tcPr>
            <w:tcW w:type="dxa" w:w="1440"/>
            <w:shd w:fill="FAFAFA" w:val="clear"/>
          </w:tcPr>
          <w:p>
            <w:r>
              <w:rPr>
                <w:sz w:val="17"/>
              </w:rPr>
              <w:t>38,737</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2026-09-02</w:t>
            </w:r>
          </w:p>
        </w:tc>
        <w:tc>
          <w:tcPr>
            <w:tcW w:type="dxa" w:w="1440"/>
            <w:shd w:fill="FAFAFA" w:val="clear"/>
          </w:tcPr>
          <w:p>
            <w:r>
              <w:rPr>
                <w:sz w:val="17"/>
              </w:rPr>
              <w:t>35,785</w:t>
            </w:r>
          </w:p>
        </w:tc>
        <w:tc>
          <w:tcPr>
            <w:tcW w:type="dxa" w:w="1440"/>
            <w:shd w:fill="FAFAFA" w:val="clear"/>
          </w:tcPr>
          <w:p>
            <w:r>
              <w:rPr>
                <w:b/>
                <w:sz w:val="17"/>
              </w:rPr>
              <w:t>37,538</w:t>
            </w:r>
          </w:p>
        </w:tc>
        <w:tc>
          <w:tcPr>
            <w:tcW w:type="dxa" w:w="1440"/>
            <w:shd w:fill="FAFAFA" w:val="clear"/>
          </w:tcPr>
          <w:p>
            <w:r>
              <w:rPr>
                <w:sz w:val="17"/>
              </w:rPr>
              <w:t>39,290</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2026-09-03</w:t>
            </w:r>
          </w:p>
        </w:tc>
        <w:tc>
          <w:tcPr>
            <w:tcW w:type="dxa" w:w="1440"/>
            <w:shd w:fill="FAFAFA" w:val="clear"/>
          </w:tcPr>
          <w:p>
            <w:r>
              <w:rPr>
                <w:sz w:val="17"/>
              </w:rPr>
              <w:t>35,372</w:t>
            </w:r>
          </w:p>
        </w:tc>
        <w:tc>
          <w:tcPr>
            <w:tcW w:type="dxa" w:w="1440"/>
            <w:shd w:fill="FAFAFA" w:val="clear"/>
          </w:tcPr>
          <w:p>
            <w:r>
              <w:rPr>
                <w:b/>
                <w:sz w:val="17"/>
              </w:rPr>
              <w:t>37,518</w:t>
            </w:r>
          </w:p>
        </w:tc>
        <w:tc>
          <w:tcPr>
            <w:tcW w:type="dxa" w:w="1440"/>
            <w:shd w:fill="FAFAFA" w:val="clear"/>
          </w:tcPr>
          <w:p>
            <w:r>
              <w:rPr>
                <w:sz w:val="17"/>
              </w:rPr>
              <w:t>39,663</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2026-09-04</w:t>
            </w:r>
          </w:p>
        </w:tc>
        <w:tc>
          <w:tcPr>
            <w:tcW w:type="dxa" w:w="1440"/>
            <w:shd w:fill="FAFAFA" w:val="clear"/>
          </w:tcPr>
          <w:p>
            <w:r>
              <w:rPr>
                <w:sz w:val="17"/>
              </w:rPr>
              <w:t>35,010</w:t>
            </w:r>
          </w:p>
        </w:tc>
        <w:tc>
          <w:tcPr>
            <w:tcW w:type="dxa" w:w="1440"/>
            <w:shd w:fill="FAFAFA" w:val="clear"/>
          </w:tcPr>
          <w:p>
            <w:r>
              <w:rPr>
                <w:b/>
                <w:sz w:val="17"/>
              </w:rPr>
              <w:t>37,485</w:t>
            </w:r>
          </w:p>
        </w:tc>
        <w:tc>
          <w:tcPr>
            <w:tcW w:type="dxa" w:w="1440"/>
            <w:shd w:fill="FAFAFA" w:val="clear"/>
          </w:tcPr>
          <w:p>
            <w:r>
              <w:rPr>
                <w:sz w:val="17"/>
              </w:rPr>
              <w:t>39,960</w:t>
            </w:r>
          </w:p>
        </w:tc>
        <w:tc>
          <w:tcPr>
            <w:tcW w:type="dxa" w:w="1440"/>
            <w:shd w:fill="FAFAFA" w:val="clear"/>
          </w:tcPr>
          <w:p>
            <w:r>
              <w:rPr>
                <w:b/>
                <w:color w:val="C00000"/>
                <w:sz w:val="17"/>
              </w:rPr>
              <w:t>-1.4%</w:t>
            </w:r>
          </w:p>
        </w:tc>
      </w:tr>
      <w:tr>
        <w:tc>
          <w:tcPr>
            <w:tcW w:type="dxa" w:w="1440"/>
            <w:shd w:fill="FAFAFA" w:val="clear"/>
          </w:tcPr>
          <w:p>
            <w:r>
              <w:rPr>
                <w:sz w:val="17"/>
              </w:rPr>
              <w:t>J+5  ⭐</w:t>
            </w:r>
          </w:p>
        </w:tc>
        <w:tc>
          <w:tcPr>
            <w:tcW w:type="dxa" w:w="1440"/>
            <w:shd w:fill="FAFAFA" w:val="clear"/>
          </w:tcPr>
          <w:p>
            <w:r>
              <w:rPr>
                <w:sz w:val="17"/>
              </w:rPr>
              <w:t>2026-09-07</w:t>
            </w:r>
          </w:p>
        </w:tc>
        <w:tc>
          <w:tcPr>
            <w:tcW w:type="dxa" w:w="1440"/>
            <w:shd w:fill="FAFAFA" w:val="clear"/>
          </w:tcPr>
          <w:p>
            <w:r>
              <w:rPr>
                <w:sz w:val="17"/>
              </w:rPr>
              <w:t>34,685</w:t>
            </w:r>
          </w:p>
        </w:tc>
        <w:tc>
          <w:tcPr>
            <w:tcW w:type="dxa" w:w="1440"/>
            <w:shd w:fill="FAFAFA" w:val="clear"/>
          </w:tcPr>
          <w:p>
            <w:r>
              <w:rPr>
                <w:b/>
                <w:sz w:val="17"/>
              </w:rPr>
              <w:t>37,450</w:t>
            </w:r>
          </w:p>
        </w:tc>
        <w:tc>
          <w:tcPr>
            <w:tcW w:type="dxa" w:w="1440"/>
            <w:shd w:fill="FAFAFA" w:val="clear"/>
          </w:tcPr>
          <w:p>
            <w:r>
              <w:rPr>
                <w:sz w:val="17"/>
              </w:rPr>
              <w:t>40,214</w:t>
            </w:r>
          </w:p>
        </w:tc>
        <w:tc>
          <w:tcPr>
            <w:tcW w:type="dxa" w:w="1440"/>
            <w:shd w:fill="FAFAFA" w:val="clear"/>
          </w:tcPr>
          <w:p>
            <w:r>
              <w:rPr>
                <w:b/>
                <w:color w:val="C00000"/>
                <w:sz w:val="17"/>
              </w:rPr>
              <w:t>-1.4%</w:t>
            </w:r>
          </w:p>
        </w:tc>
      </w:tr>
      <w:tr>
        <w:tc>
          <w:tcPr>
            <w:tcW w:type="dxa" w:w="1440"/>
            <w:shd w:fill="FAFAFA" w:val="clear"/>
          </w:tcPr>
          <w:p>
            <w:r>
              <w:rPr>
                <w:sz w:val="17"/>
              </w:rPr>
              <w:t>J+6  ⭐</w:t>
            </w:r>
          </w:p>
        </w:tc>
        <w:tc>
          <w:tcPr>
            <w:tcW w:type="dxa" w:w="1440"/>
            <w:shd w:fill="FAFAFA" w:val="clear"/>
          </w:tcPr>
          <w:p>
            <w:r>
              <w:rPr>
                <w:sz w:val="17"/>
              </w:rPr>
              <w:t>2026-09-08</w:t>
            </w:r>
          </w:p>
        </w:tc>
        <w:tc>
          <w:tcPr>
            <w:tcW w:type="dxa" w:w="1440"/>
            <w:shd w:fill="FAFAFA" w:val="clear"/>
          </w:tcPr>
          <w:p>
            <w:r>
              <w:rPr>
                <w:sz w:val="17"/>
              </w:rPr>
              <w:t>34,389</w:t>
            </w:r>
          </w:p>
        </w:tc>
        <w:tc>
          <w:tcPr>
            <w:tcW w:type="dxa" w:w="1440"/>
            <w:shd w:fill="FAFAFA" w:val="clear"/>
          </w:tcPr>
          <w:p>
            <w:r>
              <w:rPr>
                <w:b/>
                <w:sz w:val="17"/>
              </w:rPr>
              <w:t>37,415</w:t>
            </w:r>
          </w:p>
        </w:tc>
        <w:tc>
          <w:tcPr>
            <w:tcW w:type="dxa" w:w="1440"/>
            <w:shd w:fill="FAFAFA" w:val="clear"/>
          </w:tcPr>
          <w:p>
            <w:r>
              <w:rPr>
                <w:sz w:val="17"/>
              </w:rPr>
              <w:t>40,440</w:t>
            </w:r>
          </w:p>
        </w:tc>
        <w:tc>
          <w:tcPr>
            <w:tcW w:type="dxa" w:w="1440"/>
            <w:shd w:fill="FAFAFA" w:val="clear"/>
          </w:tcPr>
          <w:p>
            <w:r>
              <w:rPr>
                <w:b/>
                <w:color w:val="C00000"/>
                <w:sz w:val="17"/>
              </w:rPr>
              <w:t>-1.5%</w:t>
            </w:r>
          </w:p>
        </w:tc>
      </w:tr>
      <w:tr>
        <w:tc>
          <w:tcPr>
            <w:tcW w:type="dxa" w:w="1440"/>
            <w:shd w:fill="FAFAFA" w:val="clear"/>
          </w:tcPr>
          <w:p>
            <w:r>
              <w:rPr>
                <w:sz w:val="17"/>
              </w:rPr>
              <w:t>J+7  ⭐</w:t>
            </w:r>
          </w:p>
        </w:tc>
        <w:tc>
          <w:tcPr>
            <w:tcW w:type="dxa" w:w="1440"/>
            <w:shd w:fill="FAFAFA" w:val="clear"/>
          </w:tcPr>
          <w:p>
            <w:r>
              <w:rPr>
                <w:sz w:val="17"/>
              </w:rPr>
              <w:t>2026-09-09</w:t>
            </w:r>
          </w:p>
        </w:tc>
        <w:tc>
          <w:tcPr>
            <w:tcW w:type="dxa" w:w="1440"/>
            <w:shd w:fill="FAFAFA" w:val="clear"/>
          </w:tcPr>
          <w:p>
            <w:r>
              <w:rPr>
                <w:sz w:val="17"/>
              </w:rPr>
              <w:t>34,115</w:t>
            </w:r>
          </w:p>
        </w:tc>
        <w:tc>
          <w:tcPr>
            <w:tcW w:type="dxa" w:w="1440"/>
            <w:shd w:fill="FAFAFA" w:val="clear"/>
          </w:tcPr>
          <w:p>
            <w:r>
              <w:rPr>
                <w:b/>
                <w:sz w:val="17"/>
              </w:rPr>
              <w:t>37,380</w:t>
            </w:r>
          </w:p>
        </w:tc>
        <w:tc>
          <w:tcPr>
            <w:tcW w:type="dxa" w:w="1440"/>
            <w:shd w:fill="FAFAFA" w:val="clear"/>
          </w:tcPr>
          <w:p>
            <w:r>
              <w:rPr>
                <w:sz w:val="17"/>
              </w:rPr>
              <w:t>40,645</w:t>
            </w:r>
          </w:p>
        </w:tc>
        <w:tc>
          <w:tcPr>
            <w:tcW w:type="dxa" w:w="1440"/>
            <w:shd w:fill="FAFAFA" w:val="clear"/>
          </w:tcPr>
          <w:p>
            <w:r>
              <w:rPr>
                <w:b/>
                <w:color w:val="C00000"/>
                <w:sz w:val="17"/>
              </w:rPr>
              <w:t>-1.6%</w:t>
            </w:r>
          </w:p>
        </w:tc>
      </w:tr>
      <w:tr>
        <w:tc>
          <w:tcPr>
            <w:tcW w:type="dxa" w:w="1440"/>
            <w:shd w:fill="FAFAFA" w:val="clear"/>
          </w:tcPr>
          <w:p>
            <w:r>
              <w:rPr>
                <w:sz w:val="17"/>
              </w:rPr>
              <w:t>J+8  ⭐</w:t>
            </w:r>
          </w:p>
        </w:tc>
        <w:tc>
          <w:tcPr>
            <w:tcW w:type="dxa" w:w="1440"/>
            <w:shd w:fill="FAFAFA" w:val="clear"/>
          </w:tcPr>
          <w:p>
            <w:r>
              <w:rPr>
                <w:sz w:val="17"/>
              </w:rPr>
              <w:t>2026-09-10</w:t>
            </w:r>
          </w:p>
        </w:tc>
        <w:tc>
          <w:tcPr>
            <w:tcW w:type="dxa" w:w="1440"/>
            <w:shd w:fill="FAFAFA" w:val="clear"/>
          </w:tcPr>
          <w:p>
            <w:r>
              <w:rPr>
                <w:sz w:val="17"/>
              </w:rPr>
              <w:t>33,859</w:t>
            </w:r>
          </w:p>
        </w:tc>
        <w:tc>
          <w:tcPr>
            <w:tcW w:type="dxa" w:w="1440"/>
            <w:shd w:fill="FAFAFA" w:val="clear"/>
          </w:tcPr>
          <w:p>
            <w:r>
              <w:rPr>
                <w:b/>
                <w:sz w:val="17"/>
              </w:rPr>
              <w:t>37,346</w:t>
            </w:r>
          </w:p>
        </w:tc>
        <w:tc>
          <w:tcPr>
            <w:tcW w:type="dxa" w:w="1440"/>
            <w:shd w:fill="FAFAFA" w:val="clear"/>
          </w:tcPr>
          <w:p>
            <w:r>
              <w:rPr>
                <w:sz w:val="17"/>
              </w:rPr>
              <w:t>40,833</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2026-09-11</w:t>
            </w:r>
          </w:p>
        </w:tc>
        <w:tc>
          <w:tcPr>
            <w:tcW w:type="dxa" w:w="1440"/>
            <w:shd w:fill="FAFAFA" w:val="clear"/>
          </w:tcPr>
          <w:p>
            <w:r>
              <w:rPr>
                <w:sz w:val="17"/>
              </w:rPr>
              <w:t>33,617</w:t>
            </w:r>
          </w:p>
        </w:tc>
        <w:tc>
          <w:tcPr>
            <w:tcW w:type="dxa" w:w="1440"/>
            <w:shd w:fill="FAFAFA" w:val="clear"/>
          </w:tcPr>
          <w:p>
            <w:r>
              <w:rPr>
                <w:b/>
                <w:sz w:val="17"/>
              </w:rPr>
              <w:t>37,312</w:t>
            </w:r>
          </w:p>
        </w:tc>
        <w:tc>
          <w:tcPr>
            <w:tcW w:type="dxa" w:w="1440"/>
            <w:shd w:fill="FAFAFA" w:val="clear"/>
          </w:tcPr>
          <w:p>
            <w:r>
              <w:rPr>
                <w:sz w:val="17"/>
              </w:rPr>
              <w:t>41,008</w:t>
            </w:r>
          </w:p>
        </w:tc>
        <w:tc>
          <w:tcPr>
            <w:tcW w:type="dxa" w:w="1440"/>
            <w:shd w:fill="FAFAFA" w:val="clear"/>
          </w:tcPr>
          <w:p>
            <w:r>
              <w:rPr>
                <w:b/>
                <w:color w:val="C00000"/>
                <w:sz w:val="17"/>
              </w:rPr>
              <w:t>-1.8%</w:t>
            </w:r>
          </w:p>
        </w:tc>
      </w:tr>
      <w:tr>
        <w:tc>
          <w:tcPr>
            <w:tcW w:type="dxa" w:w="1440"/>
            <w:shd w:fill="FAFAFA" w:val="clear"/>
          </w:tcPr>
          <w:p>
            <w:r>
              <w:rPr>
                <w:sz w:val="17"/>
              </w:rPr>
              <w:t>J+10  ⭐</w:t>
            </w:r>
          </w:p>
        </w:tc>
        <w:tc>
          <w:tcPr>
            <w:tcW w:type="dxa" w:w="1440"/>
            <w:shd w:fill="FAFAFA" w:val="clear"/>
          </w:tcPr>
          <w:p>
            <w:r>
              <w:rPr>
                <w:sz w:val="17"/>
              </w:rPr>
              <w:t>2026-09-14</w:t>
            </w:r>
          </w:p>
        </w:tc>
        <w:tc>
          <w:tcPr>
            <w:tcW w:type="dxa" w:w="1440"/>
            <w:shd w:fill="FAFAFA" w:val="clear"/>
          </w:tcPr>
          <w:p>
            <w:r>
              <w:rPr>
                <w:sz w:val="17"/>
              </w:rPr>
              <w:t>33,387</w:t>
            </w:r>
          </w:p>
        </w:tc>
        <w:tc>
          <w:tcPr>
            <w:tcW w:type="dxa" w:w="1440"/>
            <w:shd w:fill="FAFAFA" w:val="clear"/>
          </w:tcPr>
          <w:p>
            <w:r>
              <w:rPr>
                <w:b/>
                <w:sz w:val="17"/>
              </w:rPr>
              <w:t>37,279</w:t>
            </w:r>
          </w:p>
        </w:tc>
        <w:tc>
          <w:tcPr>
            <w:tcW w:type="dxa" w:w="1440"/>
            <w:shd w:fill="FAFAFA" w:val="clear"/>
          </w:tcPr>
          <w:p>
            <w:r>
              <w:rPr>
                <w:sz w:val="17"/>
              </w:rPr>
              <w:t>41,171</w:t>
            </w:r>
          </w:p>
        </w:tc>
        <w:tc>
          <w:tcPr>
            <w:tcW w:type="dxa" w:w="1440"/>
            <w:shd w:fill="FAFAFA" w:val="clear"/>
          </w:tcPr>
          <w:p>
            <w:r>
              <w:rPr>
                <w:b/>
                <w:color w:val="C00000"/>
                <w:sz w:val="17"/>
              </w:rPr>
              <w:t>-1.9%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20 mai 2026**</w:t>
        <w:br/>
        <w:t>**Marché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625,51 milliards FCFA, ce qui en fait l'une des valeurs les plus significatives de la BRVM, reflétant la position dominante de SOLIBRA dans le secteur des boissons en Afrique de l'Ouest. Le BPA de 2 781 FCFA indique que chaque action génère un bénéfice substantiel, justifiant un PER de 13,7x. Ce ratio, bien que supérieur à la moyenne historique de la BRVM (8-12x), reste modéré et témoigne d'une valorisation raisonnable compte tenu de la croissance exceptionnelle de l'entreprise. Le P/B de 3,21x montre que le marché accorde une prime de croissance significative par rapport à la valeur comptable des actifs, ce qui est cohérent avec les performances récentes. Enfin, l'EV/EBITDA de 7,4x se situe dans une fourchette raisonnable (5-10x), indiquant que la valeur totale de l'entreprise reste attractive par rapport à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affiche une variation totale de -2,31%, avec un rebond notable de +2,70% lors de la dernière séance, portant le cours à 38 000 FCFA. Le titre a évolué dans une fourchette de 35 540 FCFA (plus bas) à 41 500 FCFA (plus haut), démontrant une amplitude de trading de près de 17%. La moyenne du cours sur la période (38 312 FCFA) est très proche de la médiane (38 010 FCFA), indiquant une distribution relativement symétrique des prix. L'écart-type de 966 FCFA, avec un coefficient de variation de seulement 2,5%, révèle une dispersion très faible des cours autour de la moyenne, signe d'une stabilité remarquable. Le kurtosis de 0,233 (mésokurtique) suggère un risque de pics limité, tandis que le skewness de 0,304 confirme une distribution quasi symétrique. La volatilité annualisée de 30,0% positionne le titre dans la catégorie élevée, ce qui implique des fluctuations potentielles importantes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La MM20 (37 494 FCFA) est inférieure à la MM50 (38 491 FCFA), et le cours actuel (38 000 FCFA) se situe entre ces deux moyennes. Cette configuration, avec une MM50 supérieure à la MM20, suggère une tendance baissière à moyen terme, justifiant la décision de Vente. Le cours tente toutefois de se rapprocher de la MM50, ce qui pourrait signaler un retournement potentiel.</w:t>
      </w:r>
    </w:p>
    <w:p>
      <w:pPr>
        <w:spacing w:after="120" w:line="276" w:lineRule="auto"/>
      </w:pPr>
      <w:r>
        <w:t>**Bandes de Bollinger :** Le cours (38 000 FCFA) se positionne près de la borne supérieure (38 254,64 FCFA), indiquant une pression acheteuse récente. L'écart entre les bornes (36 733,36 à 38 254,64 FCFA) reflète une volatilité modérée. La décision Neutre est cohérente avec une position du prix dans la moitié supérieure des bandes, sans franchissement décisif.</w:t>
      </w:r>
    </w:p>
    <w:p>
      <w:pPr>
        <w:spacing w:after="120" w:line="276" w:lineRule="auto"/>
      </w:pPr>
      <w:r>
        <w:t>**MACD :** La valeur MACD (-258,63) est supérieure à la ligne de signal (-322,86), avec un écart positif de 64 points. Cette configuration haussière indique un momentum positif en cours de formation, justifiant la décision d'Achat. Le croisement récent suggère un potentiel de poursuite du mouvement haussier à court terme.</w:t>
      </w:r>
    </w:p>
    <w:p>
      <w:pPr>
        <w:spacing w:after="120" w:line="276" w:lineRule="auto"/>
      </w:pPr>
      <w:r>
        <w:t>**RSI :** À 56,74, le RSI se situe dans la zone neutre (30-70), sans signal de surachat ni de survente. Cette valeur indique un équilibre entre pressions acheteuses et vendeuses, avec une légère prédominance acheteuse. La décision Neutre est appropriée, le titre disposant d'une marge de progression avant d'atteindre la zone de surachat.</w:t>
      </w:r>
    </w:p>
    <w:p>
      <w:pPr>
        <w:spacing w:after="120" w:line="276" w:lineRule="auto"/>
      </w:pPr>
      <w:r>
        <w:t>**Stochastique :** Le %K à 100,0 contre un %D à 50,0 signale une situation de surachat extrême. Le croisement potentiel du %K sous le %D pourrait déclencher un signal de vente imminent. La décision de Vente reflète cette configuration technique, suggérant un risque de correction à court terme.</w:t>
      </w:r>
    </w:p>
    <w:p>
      <w:pPr>
        <w:spacing w:after="120" w:line="276" w:lineRule="auto"/>
      </w:pPr>
      <w:r>
        <w:t>**Conclusion technique :** Les indicateurs techniques présentent un tableau contrasté. Le MACD et le RSI suggèrent un momentum positif, tandis que le Stochastique en surachat extrême et les moyennes mobiles baissières indiquent un risque de correction. Cette divergence appelle à la prudence, avec une possible consolidation à court terme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exceptionnelles avec un chiffre d'affaires de 378,123 milliards FCFA, en croissance de 22,1% par rapport à 2024 (309,722 milliards FCFA). Le résultat net a plus que doublé, atteignant 45,781 milliards FCFA contre 21,472 milliards en 2024, portant la marge nette de 6,9% à 12,1%. La rentabilité des fonds propres (ROE) s'établit à un niveau excellent de 23,46%, tandis que le ROA atteint 13,48%, démontrant une utilisation très efficace des actifs. La structure financière est saine avec une autonomie financière de 57,5% et une capacité de remboursement de seulement 0,67 année. Le BFR de 61,587 milliards FCFA, avec un délai clients de 64 jours et un délai fournisseurs de 77 jours, indique une gestion équilibrée du cycle d'exploitation. Les rapports trimestriels confirment cette dynamique : le T1 2026 affiche un CA de 93,46 milliards FCFA (+7,6%) et un résultat net de 16,26 milliards FCFA (+4,8%), suggérant une poursuite de la croissance. Le rapport semestriel 2025 faisait déjà état d'une progression spectaculaire de 175% du résultat net. La politique de dividende est très généreuse avec un taux de distribution de 76,5% pour 2025 (2 127 FCFA par action proposé). Les perspectives 2026 restent favorables, portées par la position de leader de SOLIBRA et l'amélioration continue de sa rentabilité opérationnelle.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convergence globalement positive. La valorisation (PER 13,7x, P/B 3,21x, EV/EBITDA 7,4x) reste raisonnable malgré une prime de croissance, tandis que le comportement du cours montre une stabilité remarquable avec une volatilité annualisée de 30% et une distribution symétrique des prix. Les signaux techniques sont mitigés, avec un MACD haussier mais un Stochastique en surachat extrême, suggérant une possible consolidation à court terme. Les fondamentaux sont exceptionnellement solides, avec une croissance de 22% du CA, un doublement du résultat net et un ROE de 23,5% en 2025, confirmés par les performances du T1 2026. Les prédictions IA (37 450-37 538 FCFA sur 10 jours) indiquent une légère correction, cohérente avec les signaux techniques de surachat. **Recommandation : ACHAT** avec un niveau de confiance Élevé, un risque global Moyen, et un horizon d'investissement optimal à moyen terme (3-12 mois) pour bénéficier de la croissance continue et du rendement du dividende attractif.</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1,441 titres</w:t>
            </w:r>
          </w:p>
        </w:tc>
        <w:tc>
          <w:tcPr>
            <w:tcW w:type="dxa" w:w="2268"/>
            <w:shd w:fill="FFF2CC" w:val="clear"/>
          </w:tcPr>
          <w:p>
            <w:r>
              <w:rPr>
                <w:b/>
                <w:color w:val="503200"/>
                <w:sz w:val="16"/>
              </w:rPr>
              <w:t xml:space="preserve">Cours actuel : </w:t>
            </w:r>
            <w:r>
              <w:rPr>
                <w:color w:val="000000"/>
                <w:sz w:val="17"/>
              </w:rPr>
              <w:t>17,200 FCFA</w:t>
            </w:r>
          </w:p>
          <w:p>
            <w:r>
              <w:rPr>
                <w:b/>
                <w:color w:val="503200"/>
                <w:sz w:val="16"/>
              </w:rPr>
              <w:t xml:space="preserve">Var. 100 jours : </w:t>
            </w:r>
            <w:r>
              <w:rPr>
                <w:b/>
                <w:color w:val="007800"/>
                <w:sz w:val="17"/>
              </w:rPr>
              <w:t>+43.33%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14.89% (Moyenne) — μ=14,705 FCFA, σ=2,190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β=-0.6146 (Contre-cyclique) — Cov=-0.000022, Var(idx)=0.000036, ρ=-0.160,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1,441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16,482</w:t>
            </w:r>
          </w:p>
        </w:tc>
        <w:tc>
          <w:tcPr>
            <w:tcW w:type="dxa" w:w="1440"/>
            <w:shd w:fill="FAFAFA" w:val="clear"/>
          </w:tcPr>
          <w:p>
            <w:r>
              <w:rPr>
                <w:b/>
                <w:sz w:val="17"/>
              </w:rPr>
              <w:t>17,016</w:t>
            </w:r>
          </w:p>
        </w:tc>
        <w:tc>
          <w:tcPr>
            <w:tcW w:type="dxa" w:w="1440"/>
            <w:shd w:fill="FAFAFA" w:val="clear"/>
          </w:tcPr>
          <w:p>
            <w:r>
              <w:rPr>
                <w:sz w:val="17"/>
              </w:rPr>
              <w:t>17,549</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16,198</w:t>
            </w:r>
          </w:p>
        </w:tc>
        <w:tc>
          <w:tcPr>
            <w:tcW w:type="dxa" w:w="1440"/>
            <w:shd w:fill="FAFAFA" w:val="clear"/>
          </w:tcPr>
          <w:p>
            <w:r>
              <w:rPr>
                <w:b/>
                <w:sz w:val="17"/>
              </w:rPr>
              <w:t>16,950</w:t>
            </w:r>
          </w:p>
        </w:tc>
        <w:tc>
          <w:tcPr>
            <w:tcW w:type="dxa" w:w="1440"/>
            <w:shd w:fill="FAFAFA" w:val="clear"/>
          </w:tcPr>
          <w:p>
            <w:r>
              <w:rPr>
                <w:sz w:val="17"/>
              </w:rPr>
              <w:t>17,702</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15,960</w:t>
            </w:r>
          </w:p>
        </w:tc>
        <w:tc>
          <w:tcPr>
            <w:tcW w:type="dxa" w:w="1440"/>
            <w:shd w:fill="FAFAFA" w:val="clear"/>
          </w:tcPr>
          <w:p>
            <w:r>
              <w:rPr>
                <w:b/>
                <w:sz w:val="17"/>
              </w:rPr>
              <w:t>16,877</w:t>
            </w:r>
          </w:p>
        </w:tc>
        <w:tc>
          <w:tcPr>
            <w:tcW w:type="dxa" w:w="1440"/>
            <w:shd w:fill="FAFAFA" w:val="clear"/>
          </w:tcPr>
          <w:p>
            <w:r>
              <w:rPr>
                <w:sz w:val="17"/>
              </w:rPr>
              <w:t>17,794</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2026-09-04</w:t>
            </w:r>
          </w:p>
        </w:tc>
        <w:tc>
          <w:tcPr>
            <w:tcW w:type="dxa" w:w="1440"/>
            <w:shd w:fill="FFDCE0" w:val="clear"/>
          </w:tcPr>
          <w:p>
            <w:r>
              <w:rPr>
                <w:sz w:val="17"/>
              </w:rPr>
              <w:t>15,754</w:t>
            </w:r>
          </w:p>
        </w:tc>
        <w:tc>
          <w:tcPr>
            <w:tcW w:type="dxa" w:w="1440"/>
            <w:shd w:fill="FFDCE0" w:val="clear"/>
          </w:tcPr>
          <w:p>
            <w:r>
              <w:rPr>
                <w:b/>
                <w:sz w:val="17"/>
              </w:rPr>
              <w:t>16,809</w:t>
            </w:r>
          </w:p>
        </w:tc>
        <w:tc>
          <w:tcPr>
            <w:tcW w:type="dxa" w:w="1440"/>
            <w:shd w:fill="FFDCE0" w:val="clear"/>
          </w:tcPr>
          <w:p>
            <w:r>
              <w:rPr>
                <w:sz w:val="17"/>
              </w:rPr>
              <w:t>17,863</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2026-09-07</w:t>
            </w:r>
          </w:p>
        </w:tc>
        <w:tc>
          <w:tcPr>
            <w:tcW w:type="dxa" w:w="1440"/>
            <w:shd w:fill="FFDCE0" w:val="clear"/>
          </w:tcPr>
          <w:p>
            <w:r>
              <w:rPr>
                <w:sz w:val="17"/>
              </w:rPr>
              <w:t>15,569</w:t>
            </w:r>
          </w:p>
        </w:tc>
        <w:tc>
          <w:tcPr>
            <w:tcW w:type="dxa" w:w="1440"/>
            <w:shd w:fill="FFDCE0" w:val="clear"/>
          </w:tcPr>
          <w:p>
            <w:r>
              <w:rPr>
                <w:b/>
                <w:sz w:val="17"/>
              </w:rPr>
              <w:t>16,743</w:t>
            </w:r>
          </w:p>
        </w:tc>
        <w:tc>
          <w:tcPr>
            <w:tcW w:type="dxa" w:w="1440"/>
            <w:shd w:fill="FFDCE0" w:val="clear"/>
          </w:tcPr>
          <w:p>
            <w:r>
              <w:rPr>
                <w:sz w:val="17"/>
              </w:rPr>
              <w:t>17,917</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2026-09-08</w:t>
            </w:r>
          </w:p>
        </w:tc>
        <w:tc>
          <w:tcPr>
            <w:tcW w:type="dxa" w:w="1440"/>
            <w:shd w:fill="FFDCE0" w:val="clear"/>
          </w:tcPr>
          <w:p>
            <w:r>
              <w:rPr>
                <w:sz w:val="17"/>
              </w:rPr>
              <w:t>15,397</w:t>
            </w:r>
          </w:p>
        </w:tc>
        <w:tc>
          <w:tcPr>
            <w:tcW w:type="dxa" w:w="1440"/>
            <w:shd w:fill="FFDCE0" w:val="clear"/>
          </w:tcPr>
          <w:p>
            <w:r>
              <w:rPr>
                <w:b/>
                <w:sz w:val="17"/>
              </w:rPr>
              <w:t>16,679</w:t>
            </w:r>
          </w:p>
        </w:tc>
        <w:tc>
          <w:tcPr>
            <w:tcW w:type="dxa" w:w="1440"/>
            <w:shd w:fill="FFDCE0" w:val="clear"/>
          </w:tcPr>
          <w:p>
            <w:r>
              <w:rPr>
                <w:sz w:val="17"/>
              </w:rPr>
              <w:t>17,960</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2026-09-09</w:t>
            </w:r>
          </w:p>
        </w:tc>
        <w:tc>
          <w:tcPr>
            <w:tcW w:type="dxa" w:w="1440"/>
            <w:shd w:fill="FFDCE0" w:val="clear"/>
          </w:tcPr>
          <w:p>
            <w:r>
              <w:rPr>
                <w:sz w:val="17"/>
              </w:rPr>
              <w:t>15,237</w:t>
            </w:r>
          </w:p>
        </w:tc>
        <w:tc>
          <w:tcPr>
            <w:tcW w:type="dxa" w:w="1440"/>
            <w:shd w:fill="FFDCE0" w:val="clear"/>
          </w:tcPr>
          <w:p>
            <w:r>
              <w:rPr>
                <w:b/>
                <w:sz w:val="17"/>
              </w:rPr>
              <w:t>16,616</w:t>
            </w:r>
          </w:p>
        </w:tc>
        <w:tc>
          <w:tcPr>
            <w:tcW w:type="dxa" w:w="1440"/>
            <w:shd w:fill="FFDCE0" w:val="clear"/>
          </w:tcPr>
          <w:p>
            <w:r>
              <w:rPr>
                <w:sz w:val="17"/>
              </w:rPr>
              <w:t>17,994</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2026-09-10</w:t>
            </w:r>
          </w:p>
        </w:tc>
        <w:tc>
          <w:tcPr>
            <w:tcW w:type="dxa" w:w="1440"/>
            <w:shd w:fill="FFDCE0" w:val="clear"/>
          </w:tcPr>
          <w:p>
            <w:r>
              <w:rPr>
                <w:sz w:val="17"/>
              </w:rPr>
              <w:t>15,085</w:t>
            </w:r>
          </w:p>
        </w:tc>
        <w:tc>
          <w:tcPr>
            <w:tcW w:type="dxa" w:w="1440"/>
            <w:shd w:fill="FFDCE0" w:val="clear"/>
          </w:tcPr>
          <w:p>
            <w:r>
              <w:rPr>
                <w:b/>
                <w:sz w:val="17"/>
              </w:rPr>
              <w:t>16,553</w:t>
            </w:r>
          </w:p>
        </w:tc>
        <w:tc>
          <w:tcPr>
            <w:tcW w:type="dxa" w:w="1440"/>
            <w:shd w:fill="FFDCE0" w:val="clear"/>
          </w:tcPr>
          <w:p>
            <w:r>
              <w:rPr>
                <w:sz w:val="17"/>
              </w:rPr>
              <w:t>18,022</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2026-09-11</w:t>
            </w:r>
          </w:p>
        </w:tc>
        <w:tc>
          <w:tcPr>
            <w:tcW w:type="dxa" w:w="1440"/>
            <w:shd w:fill="FFDCE0" w:val="clear"/>
          </w:tcPr>
          <w:p>
            <w:r>
              <w:rPr>
                <w:sz w:val="17"/>
              </w:rPr>
              <w:t>14,940</w:t>
            </w:r>
          </w:p>
        </w:tc>
        <w:tc>
          <w:tcPr>
            <w:tcW w:type="dxa" w:w="1440"/>
            <w:shd w:fill="FFDCE0" w:val="clear"/>
          </w:tcPr>
          <w:p>
            <w:r>
              <w:rPr>
                <w:b/>
                <w:sz w:val="17"/>
              </w:rPr>
              <w:t>16,492</w:t>
            </w:r>
          </w:p>
        </w:tc>
        <w:tc>
          <w:tcPr>
            <w:tcW w:type="dxa" w:w="1440"/>
            <w:shd w:fill="FFDCE0" w:val="clear"/>
          </w:tcPr>
          <w:p>
            <w:r>
              <w:rPr>
                <w:sz w:val="17"/>
              </w:rPr>
              <w:t>18,044</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2026-09-14</w:t>
            </w:r>
          </w:p>
        </w:tc>
        <w:tc>
          <w:tcPr>
            <w:tcW w:type="dxa" w:w="1440"/>
            <w:shd w:fill="FFDCE0" w:val="clear"/>
          </w:tcPr>
          <w:p>
            <w:r>
              <w:rPr>
                <w:sz w:val="17"/>
              </w:rPr>
              <w:t>14,802</w:t>
            </w:r>
          </w:p>
        </w:tc>
        <w:tc>
          <w:tcPr>
            <w:tcW w:type="dxa" w:w="1440"/>
            <w:shd w:fill="FFDCE0" w:val="clear"/>
          </w:tcPr>
          <w:p>
            <w:r>
              <w:rPr>
                <w:b/>
                <w:sz w:val="17"/>
              </w:rPr>
              <w:t>16,432</w:t>
            </w:r>
          </w:p>
        </w:tc>
        <w:tc>
          <w:tcPr>
            <w:tcW w:type="dxa" w:w="1440"/>
            <w:shd w:fill="FFDCE0" w:val="clear"/>
          </w:tcPr>
          <w:p>
            <w:r>
              <w:rPr>
                <w:sz w:val="17"/>
              </w:rPr>
              <w:t>18,061</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pPr>
      <w:r>
        <w:t>**RAPPORT D'ANALYSE FINANCIÈRE — SMBC (Société Multinationale de Bitumes)**</w:t>
        <w:br/>
        <w:t>**Date de l'analyse : 29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SMBC s'établit à 134,08 milliards FCFA, un niveau significatif qui la positionne parmi les valeurs moyennes du compartiment des entreprises industrielles de la BRVM. Le BPA de 1 677 FCFA indique que chaque action génère un bénéfice substantiel, justifiant un PER de 10,3x, légèrement au-dessus de la moyenne historique de la place (~8-12x), ce qui traduit une valorisation raisonnable sans prime excessive. Le P/B de 3,12x montre que le marché valorise l'entreprise à plus de trois fois sa valeur comptable, reflétant une prime de croissance accordée par les investisseurs pour la rentabilité élevée de la société. Enfin, l'EV/EBITDA de 6,5x se situe dans la fourchette basse des 5-10x, indiquant que la valeur totale de l'entreprise (dette incluse) reste modérée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SMBC a enregistré une progression spectaculaire de +43,33%, passant d'un plus bas de 11 450 FCFA à un plus haut de 17 735 FCFA, avec un cours actuel de 17 200 FCFA. La variation de +0,03% sur la dernière séance indique une stabilisation après cette forte ascension. La moyenne du cours sur la période (14 705 FCFA) est inférieure à la médiane (15 750 FCFA), suggérant une distribution légèrement asymétrique avec une concentration des valeurs vers le haut de la fourchette. L'écart-type de 2 201 FCFA (CV de 15%) révèle une dispersion modérée des prix autour de la moyenne. Le kurtosis négatif de -1,546 (distribution platykurtique) indique une absence de pics extrêmes, tandis que le skewness de -0,311 confirme une symétrie relative. La volatilité annualisée de 36,4% classe le titre comme très volatil (&gt;30%), reflétant un risque élevé mais aussi un fort potentiel de rendement.</w:t>
      </w:r>
    </w:p>
    <w:p>
      <w:pPr>
        <w:spacing w:after="120" w:line="276" w:lineRule="auto"/>
      </w:pPr>
      <w:r>
        <w:t>---</w:t>
      </w:r>
    </w:p>
    <w:p>
      <w:pPr>
        <w:spacing w:after="120" w:line="276" w:lineRule="auto"/>
      </w:pPr>
      <w:r>
        <w:t>### PARTIE 2 : ANALYSE TECHNIQUE DÉTAILLÉE</w:t>
      </w:r>
    </w:p>
    <w:p>
      <w:pPr>
        <w:spacing w:after="120" w:line="276" w:lineRule="auto"/>
      </w:pPr>
      <w:r>
        <w:t>**Moyennes Mobiles :** La MM20 (16 524 FCFA) et la MM50 (16 551 FCFA) sont très proches l'une de l'autre, indiquant une consolidation après la forte hausse. Le cours actuel (17 200 FCFA) se situe nettement au-dessus des deux moyennes, ce qui confirme la tendance haussière de fond. Cependant, le signal de "Vente" suggère un possible essoufflement à court terme, les moyennes n'ayant pas encore rattrapé le cours.</w:t>
      </w:r>
    </w:p>
    <w:p>
      <w:pPr>
        <w:spacing w:after="120" w:line="276" w:lineRule="auto"/>
      </w:pPr>
      <w:r>
        <w:t>**Bandes de Bollinger :** Le prix évolue à 17 200 FCFA, proche de la borne supérieure (17 541 FCFA), indiquant une pression acheteuse soutenue. L'écart entre les bornes (15 508 à 17 541 FCFA) reflète une volatilité élevée. La décision "Neutre" suggère que le marché attend un signal directionnel clair, le cours n'ayant pas encore touché la borne pour déclencher un retournement.</w:t>
      </w:r>
    </w:p>
    <w:p>
      <w:pPr>
        <w:spacing w:after="120" w:line="276" w:lineRule="auto"/>
      </w:pPr>
      <w:r>
        <w:t>**MACD :** Le MACD (257,35) est nettement supérieur à son signal (174,29), confirmant un momentum haussier positif. La divergence positive indique que la tendance haussière reste intacte, avec une accélération de la dynamique. La décision "Achat" est cohérente avec la poursuite de la tendance, mais il faut surveiller un éventuel croisement baissier.</w:t>
      </w:r>
    </w:p>
    <w:p>
      <w:pPr>
        <w:spacing w:after="120" w:line="276" w:lineRule="auto"/>
      </w:pPr>
      <w:r>
        <w:t>**RSI :** À 69,48, le RSI se trouve en zone neutre-haute, proche du seuil de surachat (70). Cela indique que le titre a fortement monté mais n'est pas encore en situation de surachat extrême. La décision "Neutre" suggère que les acheteurs gardent le contrôle, mais une correction technique est possible si le seuil de 70 est franchi.</w:t>
      </w:r>
    </w:p>
    <w:p>
      <w:pPr>
        <w:spacing w:after="120" w:line="276" w:lineRule="auto"/>
      </w:pPr>
      <w:r>
        <w:t>**Stochastique :** Le %K (82,44) et le %D (79,02) sont tous deux en zone de surachat (&gt;80), avec un %K supérieur au %D, indiquant une dynamique haussière toujours active mais potentiellement surchauffée. La décision "Vente" signale un risque de retournement imminent, les conditions de surachat étant réunies.</w:t>
      </w:r>
    </w:p>
    <w:p>
      <w:pPr>
        <w:spacing w:after="120" w:line="276" w:lineRule="auto"/>
      </w:pPr>
      <w:r>
        <w:t>**Conclusion technique :** Les indicateurs sont mitigés : le MACD et les moyennes mobiles confirment la tendance haussière, tandis que le RSI et le stochastique signalent une possible correction à court terme. La configuration suggère une consolidation avant une éventuelle poursuite de la hausse, mais la prudence est de mise à ces niveaux.</w:t>
      </w:r>
    </w:p>
    <w:p>
      <w:pPr>
        <w:spacing w:after="120" w:line="276" w:lineRule="auto"/>
      </w:pPr>
      <w:r>
        <w:t>---</w:t>
      </w:r>
    </w:p>
    <w:p>
      <w:pPr>
        <w:spacing w:after="120" w:line="276" w:lineRule="auto"/>
      </w:pPr>
      <w:r>
        <w:t>### PARTIE 3 : ANALYSE FONDAMENTALE (SECTION CRITIQUE)</w:t>
      </w:r>
    </w:p>
    <w:p>
      <w:pPr>
        <w:spacing w:after="120" w:line="276" w:lineRule="auto"/>
      </w:pPr>
      <w:r>
        <w:t>En 2025, SMBC a réalisé un chiffre d'affaires de 206,740 milliards FCFA, en baisse de -9,7% par rapport à 2024 (229,061 milliards FCFA), mais avec une amélioration spectaculaire de la rentabilité : le résultat net a bondi de +50,3% à 13,075 milliards FCFA, portant la marge nette à 6,3% (contre 3,8% en 2024). Le ROE s'établit à un niveau excellent de 30,47%, tandis que le ROA atteint 7,26%, démontrant une utilisation très efficace des actifs et des fonds propres. La structure financière s'est renforcée avec des capitaux propres de 42,913 milliards FCFA (+21,6%) et une trésorerie nette positive de 23,988 milliards FCFA. Les délais clients (193,75 jours) restent élevés, constituant un risque de trésorerie, mais le BFR de 1,693 milliard FCFA reste maîtrisé. Les rapports trimestriels 2025 confirment cette tendance : le T1 2025 montrait un CA en baisse de -22% mais une marge nette améliorée à 5,0%, le S1 2025 un CA en recul de -23% avec une marge nette de 3,9%, et le 9M 2025 un CA en baisse de -14% avec un résultat net en hausse de +6%. Sur la base de ces données, on estime que l'exercice 2026 pourrait voir une stabilisation du CA et une poursuite de l'amélioration des marges, portée par la demande locale et les projets d'infrastructures routières en Afrique de l'Ouest.</w:t>
      </w:r>
    </w:p>
    <w:p>
      <w:pPr>
        <w:spacing w:after="120" w:line="276" w:lineRule="auto"/>
      </w:pPr>
      <w:r>
        <w:t>---</w:t>
      </w:r>
    </w:p>
    <w:p>
      <w:pPr>
        <w:spacing w:after="120" w:line="276" w:lineRule="auto"/>
      </w:pPr>
      <w:r>
        <w:t>### PARTIE 4 : CONCLUSION D'INVESTISSEMENT</w:t>
      </w:r>
    </w:p>
    <w:p>
      <w:pPr>
        <w:spacing w:after="120" w:line="276" w:lineRule="auto"/>
      </w:pPr>
      <w:r>
        <w:t>La valorisation de SMBC (PER 10,3x, P/B 3,12x, EV/EBITDA 6,5x) indique une sous-évaluation relative par rapport à son potentiel de croissance, avec des ratios modérés pour une rentabilité exceptionnelle. Le comportement du cours (+43,33% sur 100 jours) montre une dynamique haussière forte mais avec une volatilité élevée (36,4%) et des statistiques (kurtosis platykurtique, skewness légèrement négatif) suggérant un risque de consolidation. Les signaux techniques sont mitigés : le MACD et les moyennes mobiles confirment la tendance haussière, mais le RSI (69,5) et le stochastique (82,4) signalent une possible correction à court terme. Les fondamentaux sont solides avec un ROE de 30,5%, une trésorerie abondante et une amélioration continue des marges malgré la baisse du CA. Les prédictions IA (17 016 à 16 743 FCFA sur 10 jours) suggèrent une légère correction, cohérente avec les signaux techniques de surachat. La convergence entre la valorisation attractive, les fondamentaux solides et la tendance haussière de fond, malgré les signaux techniques de court terme, conduit à une recommandation **ACHAT** avec un niveau de confiance **Moyen** et un risque global **Élevé** (volatilité importante). L'horizon d'investissement optimal serait le **moyen terme (3-12 mois)**, en attendant une éventuelle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3660.00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9,903 titres</w:t>
            </w:r>
          </w:p>
        </w:tc>
        <w:tc>
          <w:tcPr>
            <w:tcW w:type="dxa" w:w="2268"/>
            <w:shd w:fill="FFF2CC" w:val="clear"/>
          </w:tcPr>
          <w:p>
            <w:r>
              <w:rPr>
                <w:b/>
                <w:color w:val="503200"/>
                <w:sz w:val="16"/>
              </w:rPr>
              <w:t xml:space="preserve">Cours actuel : </w:t>
            </w:r>
            <w:r>
              <w:rPr>
                <w:color w:val="000000"/>
                <w:sz w:val="17"/>
              </w:rPr>
              <w:t>36,600 FCFA</w:t>
            </w:r>
          </w:p>
          <w:p>
            <w:r>
              <w:rPr>
                <w:b/>
                <w:color w:val="503200"/>
                <w:sz w:val="16"/>
              </w:rPr>
              <w:t xml:space="preserve">Var. 100 jours : </w:t>
            </w:r>
            <w:r>
              <w:rPr>
                <w:b/>
                <w:color w:val="007800"/>
                <w:sz w:val="17"/>
              </w:rPr>
              <w:t>+26.21%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7.26% (Moyenne) — μ=30,044 FCFA, σ=2,182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β=1.9148 (Très agressif) — Cov=0.000069, Var(idx)=0.000036, ρ=0.582,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9,903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σ_j=1.97%/j (Stable) — Vol. annualisée≈31.2%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34,203</w:t>
            </w:r>
          </w:p>
        </w:tc>
        <w:tc>
          <w:tcPr>
            <w:tcW w:type="dxa" w:w="1440"/>
            <w:shd w:fill="FFDCE0" w:val="clear"/>
          </w:tcPr>
          <w:p>
            <w:r>
              <w:rPr>
                <w:b/>
                <w:sz w:val="17"/>
              </w:rPr>
              <w:t>35,629</w:t>
            </w:r>
          </w:p>
        </w:tc>
        <w:tc>
          <w:tcPr>
            <w:tcW w:type="dxa" w:w="1440"/>
            <w:shd w:fill="FFDCE0" w:val="clear"/>
          </w:tcPr>
          <w:p>
            <w:r>
              <w:rPr>
                <w:sz w:val="17"/>
              </w:rPr>
              <w:t>37,056</w:t>
            </w:r>
          </w:p>
        </w:tc>
        <w:tc>
          <w:tcPr>
            <w:tcW w:type="dxa" w:w="1440"/>
            <w:shd w:fill="FFDCE0" w:val="clear"/>
          </w:tcPr>
          <w:p>
            <w:r>
              <w:rPr>
                <w:b/>
                <w:color w:val="C00000"/>
                <w:sz w:val="17"/>
              </w:rPr>
              <w:t>-2.7%</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33,574</w:t>
            </w:r>
          </w:p>
        </w:tc>
        <w:tc>
          <w:tcPr>
            <w:tcW w:type="dxa" w:w="1440"/>
            <w:shd w:fill="FFDCE0" w:val="clear"/>
          </w:tcPr>
          <w:p>
            <w:r>
              <w:rPr>
                <w:b/>
                <w:sz w:val="17"/>
              </w:rPr>
              <w:t>35,589</w:t>
            </w:r>
          </w:p>
        </w:tc>
        <w:tc>
          <w:tcPr>
            <w:tcW w:type="dxa" w:w="1440"/>
            <w:shd w:fill="FFDCE0" w:val="clear"/>
          </w:tcPr>
          <w:p>
            <w:r>
              <w:rPr>
                <w:sz w:val="17"/>
              </w:rPr>
              <w:t>37,603</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33,012</w:t>
            </w:r>
          </w:p>
        </w:tc>
        <w:tc>
          <w:tcPr>
            <w:tcW w:type="dxa" w:w="1440"/>
            <w:shd w:fill="FFDCE0" w:val="clear"/>
          </w:tcPr>
          <w:p>
            <w:r>
              <w:rPr>
                <w:b/>
                <w:sz w:val="17"/>
              </w:rPr>
              <w:t>35,472</w:t>
            </w:r>
          </w:p>
        </w:tc>
        <w:tc>
          <w:tcPr>
            <w:tcW w:type="dxa" w:w="1440"/>
            <w:shd w:fill="FFDCE0" w:val="clear"/>
          </w:tcPr>
          <w:p>
            <w:r>
              <w:rPr>
                <w:sz w:val="17"/>
              </w:rPr>
              <w:t>37,931</w:t>
            </w:r>
          </w:p>
        </w:tc>
        <w:tc>
          <w:tcPr>
            <w:tcW w:type="dxa" w:w="1440"/>
            <w:shd w:fill="FFDCE0" w:val="clear"/>
          </w:tcPr>
          <w:p>
            <w:r>
              <w:rPr>
                <w:b/>
                <w:color w:val="C00000"/>
                <w:sz w:val="17"/>
              </w:rPr>
              <w:t>-3.1%</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32,535</w:t>
            </w:r>
          </w:p>
        </w:tc>
        <w:tc>
          <w:tcPr>
            <w:tcW w:type="dxa" w:w="1440"/>
            <w:shd w:fill="FFDCE0" w:val="clear"/>
          </w:tcPr>
          <w:p>
            <w:r>
              <w:rPr>
                <w:b/>
                <w:sz w:val="17"/>
              </w:rPr>
              <w:t>35,366</w:t>
            </w:r>
          </w:p>
        </w:tc>
        <w:tc>
          <w:tcPr>
            <w:tcW w:type="dxa" w:w="1440"/>
            <w:shd w:fill="FFDCE0" w:val="clear"/>
          </w:tcPr>
          <w:p>
            <w:r>
              <w:rPr>
                <w:sz w:val="17"/>
              </w:rPr>
              <w:t>38,198</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32,121</w:t>
            </w:r>
          </w:p>
        </w:tc>
        <w:tc>
          <w:tcPr>
            <w:tcW w:type="dxa" w:w="1440"/>
            <w:shd w:fill="FFDCE0" w:val="clear"/>
          </w:tcPr>
          <w:p>
            <w:r>
              <w:rPr>
                <w:b/>
                <w:sz w:val="17"/>
              </w:rPr>
              <w:t>35,279</w:t>
            </w:r>
          </w:p>
        </w:tc>
        <w:tc>
          <w:tcPr>
            <w:tcW w:type="dxa" w:w="1440"/>
            <w:shd w:fill="FFDCE0" w:val="clear"/>
          </w:tcPr>
          <w:p>
            <w:r>
              <w:rPr>
                <w:sz w:val="17"/>
              </w:rPr>
              <w:t>38,436</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31,750</w:t>
            </w:r>
          </w:p>
        </w:tc>
        <w:tc>
          <w:tcPr>
            <w:tcW w:type="dxa" w:w="1440"/>
            <w:shd w:fill="FFDCE0" w:val="clear"/>
          </w:tcPr>
          <w:p>
            <w:r>
              <w:rPr>
                <w:b/>
                <w:sz w:val="17"/>
              </w:rPr>
              <w:t>35,201</w:t>
            </w:r>
          </w:p>
        </w:tc>
        <w:tc>
          <w:tcPr>
            <w:tcW w:type="dxa" w:w="1440"/>
            <w:shd w:fill="FFDCE0" w:val="clear"/>
          </w:tcPr>
          <w:p>
            <w:r>
              <w:rPr>
                <w:sz w:val="17"/>
              </w:rPr>
              <w:t>38,653</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31,408</w:t>
            </w:r>
          </w:p>
        </w:tc>
        <w:tc>
          <w:tcPr>
            <w:tcW w:type="dxa" w:w="1440"/>
            <w:shd w:fill="FFDCE0" w:val="clear"/>
          </w:tcPr>
          <w:p>
            <w:r>
              <w:rPr>
                <w:b/>
                <w:sz w:val="17"/>
              </w:rPr>
              <w:t>35,129</w:t>
            </w:r>
          </w:p>
        </w:tc>
        <w:tc>
          <w:tcPr>
            <w:tcW w:type="dxa" w:w="1440"/>
            <w:shd w:fill="FFDCE0" w:val="clear"/>
          </w:tcPr>
          <w:p>
            <w:r>
              <w:rPr>
                <w:sz w:val="17"/>
              </w:rPr>
              <w:t>38,849</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31,090</w:t>
            </w:r>
          </w:p>
        </w:tc>
        <w:tc>
          <w:tcPr>
            <w:tcW w:type="dxa" w:w="1440"/>
            <w:shd w:fill="FFDCE0" w:val="clear"/>
          </w:tcPr>
          <w:p>
            <w:r>
              <w:rPr>
                <w:b/>
                <w:sz w:val="17"/>
              </w:rPr>
              <w:t>35,059</w:t>
            </w:r>
          </w:p>
        </w:tc>
        <w:tc>
          <w:tcPr>
            <w:tcW w:type="dxa" w:w="1440"/>
            <w:shd w:fill="FFDCE0" w:val="clear"/>
          </w:tcPr>
          <w:p>
            <w:r>
              <w:rPr>
                <w:sz w:val="17"/>
              </w:rPr>
              <w:t>39,028</w:t>
            </w:r>
          </w:p>
        </w:tc>
        <w:tc>
          <w:tcPr>
            <w:tcW w:type="dxa" w:w="1440"/>
            <w:shd w:fill="FFDCE0" w:val="clear"/>
          </w:tcPr>
          <w:p>
            <w:r>
              <w:rPr>
                <w:b/>
                <w:color w:val="C00000"/>
                <w:sz w:val="17"/>
              </w:rPr>
              <w:t>-4.2%</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30,789</w:t>
            </w:r>
          </w:p>
        </w:tc>
        <w:tc>
          <w:tcPr>
            <w:tcW w:type="dxa" w:w="1440"/>
            <w:shd w:fill="FFDCE0" w:val="clear"/>
          </w:tcPr>
          <w:p>
            <w:r>
              <w:rPr>
                <w:b/>
                <w:sz w:val="17"/>
              </w:rPr>
              <w:t>34,991</w:t>
            </w:r>
          </w:p>
        </w:tc>
        <w:tc>
          <w:tcPr>
            <w:tcW w:type="dxa" w:w="1440"/>
            <w:shd w:fill="FFDCE0" w:val="clear"/>
          </w:tcPr>
          <w:p>
            <w:r>
              <w:rPr>
                <w:sz w:val="17"/>
              </w:rPr>
              <w:t>39,193</w:t>
            </w:r>
          </w:p>
        </w:tc>
        <w:tc>
          <w:tcPr>
            <w:tcW w:type="dxa" w:w="1440"/>
            <w:shd w:fill="FFDCE0" w:val="clear"/>
          </w:tcPr>
          <w:p>
            <w:r>
              <w:rPr>
                <w:b/>
                <w:color w:val="C00000"/>
                <w:sz w:val="17"/>
              </w:rPr>
              <w:t>-4.4%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30,504</w:t>
            </w:r>
          </w:p>
        </w:tc>
        <w:tc>
          <w:tcPr>
            <w:tcW w:type="dxa" w:w="1440"/>
            <w:shd w:fill="FFDCE0" w:val="clear"/>
          </w:tcPr>
          <w:p>
            <w:r>
              <w:rPr>
                <w:b/>
                <w:sz w:val="17"/>
              </w:rPr>
              <w:t>34,924</w:t>
            </w:r>
          </w:p>
        </w:tc>
        <w:tc>
          <w:tcPr>
            <w:tcW w:type="dxa" w:w="1440"/>
            <w:shd w:fill="FFDCE0" w:val="clear"/>
          </w:tcPr>
          <w:p>
            <w:r>
              <w:rPr>
                <w:sz w:val="17"/>
              </w:rPr>
              <w:t>39,345</w:t>
            </w:r>
          </w:p>
        </w:tc>
        <w:tc>
          <w:tcPr>
            <w:tcW w:type="dxa" w:w="1440"/>
            <w:shd w:fill="FFDCE0" w:val="clear"/>
          </w:tcPr>
          <w:p>
            <w:r>
              <w:rPr>
                <w:b/>
                <w:color w:val="C00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31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3 660 milliards FCFA, ce qui en fait l'une des plus importantes valeurs de la BRVM, représentant un poids considérable dans l'indice. Avec un BPA de 4 136 FCFA, chaque action génère un bénéfice substantiel. Le PER de 8,8x est inférieur à la moyenne historique de la BRVM (8-12x), suggérant que le marché n'intègre pas pleinement le potentiel de croissance du titre, le positionnant comme potentiellement sous-évalué. Le P/B de 2,62x indique que les investisseurs acceptent de payer une prime de 162% par rapport à la valeur comptable des actifs, ce qui est raisonnable pour une entreprise avec un ROE aussi élevé. Enfin, l'EV/EBITDA de 3,8x est très faible, signe que la valeur totale de l'entreprise (dette incluse) est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remarquable de +26,21%, avec une très légère consolidation de -0,27% lors de la dernière séance. Le cours a évolué dans une fourchette de 27 160 FCFA (plus bas) à 36 980 FCFA (plus haut), démontrant une forte dynamique haussière. La moyenne du cours sur la période (30 044 FCFA) est nettement supérieure à la médiane (28 930 FCFA), et le skewness positif de 1,488 confirme une asymétrie avec des journées majoritairement sous la moyenne mais des pics de hausse importants. L'écart-type de 2 193 FCFA (CV=7,3%) indique une dispersion modérée, tandis que le kurtosis élevé (1,814) signale un risque de mouvements extrêmes. La volatilité annualisée de 31,2% classe le titre dans la catégorie des valeurs à volatilité élevée, ce qui implique un risque non négligeable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(36 600 FCFA) se situe nettement au-dessus de la MM20 (33 254 FCFA) et de la MM50 (31 498 FCFA). Cette configuration haussière, avec des moyennes en pente ascendante, confirme la tendance positive et justifie la décision d'achat. L'écart important entre le cours et la MM50 (+16%) suggère toutefois une possible consolidation à court terme.</w:t>
      </w:r>
    </w:p>
    <w:p>
      <w:pPr>
        <w:spacing w:after="120" w:line="276" w:lineRule="auto"/>
      </w:pPr>
      <w:r>
        <w:t>**Bandes de Bollinger** : Le cours évolue dans la partie supérieure des bandes, proche de la borne haute (37 796 FCFA) et loin de la borne inférieure (28 711 FCFA). La largeur des bandes reflète la volatilité élevée du titre. La position du prix, sans franchissement de la borne supérieure, indique une pression acheteuse soutenue mais non excessive, justifiant la décision neutre.</w:t>
      </w:r>
    </w:p>
    <w:p>
      <w:pPr>
        <w:spacing w:after="120" w:line="276" w:lineRule="auto"/>
      </w:pPr>
      <w:r>
        <w:t>**MACD** : Le MACD (1 469) est nettement au-dessus de son signal (1 119), avec un écart positif de 351 points. Cette configuration montre un momentum haussier puissant et confirme la décision d'achat. La dynamique positive reste soutenue, même si l'écart important pourrait signaler une saturation à court terme.</w:t>
      </w:r>
    </w:p>
    <w:p>
      <w:pPr>
        <w:spacing w:after="120" w:line="276" w:lineRule="auto"/>
      </w:pPr>
      <w:r>
        <w:t>**RSI** : Le RSI à 73,57 est entré en zone de surachat (&gt;70). Cette situation indique que le titre a fortement progressé sur une courte période et qu'un repli technique est probable. La décision de vente est justifiée par ce niveau extrême, même si dans une tendance forte, le RSI peut rester suracheté pendant plusieurs séances.</w:t>
      </w:r>
    </w:p>
    <w:p>
      <w:pPr>
        <w:spacing w:after="120" w:line="276" w:lineRule="auto"/>
      </w:pPr>
      <w:r>
        <w:t>**Stochastique** : Le %K (92,52) et le %D (90,21) sont tous deux à des niveaux extrêmement élevés, en zone de surachat. L'écart entre les deux lignes reste faible, indiquant une force du mouvement mais aussi une probabilité accrue de retournement. La décision de vente est cohérente avec ces niveaux extrêmes.</w:t>
      </w:r>
    </w:p>
    <w:p>
      <w:pPr>
        <w:spacing w:after="120" w:line="276" w:lineRule="auto"/>
      </w:pPr>
      <w:r>
        <w:t>**Conclusion technique** : Les indicateurs de tendance (MM, MACD) sont positifs et confirment la dynamique haussière, mais les oscillateurs (RSI, Stochastique) signalent une situation de surachat extrême. Cette divergence suggère qu'un repli technique est probable à court terme avant la poursuite de la tendance haussière de fond. La prudence est donc recommandée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Sonatel a réalisé un chiffre d'affaires de 1 923,1 milliards FCFA (+8,3% vs 2024), avec un résultat net de 413,6 milliards FCFA (+5,1%). La marge nette s'établit à 21,5%, le ROE à 29,6% (excellent, &gt;15%) et le ROA à 12,6%. Le BFR est négatif (-284,9 milliards), ce qui est très favorable pour la trésorerie. Le délai clients (46 jours) est maîtrisé, tandis que le délai fournisseurs (201 jours) est très avantageux. L'endettement est faible (capacité de remboursement de 0,64 an) et la couverture des intérêts est très confortable (2 745%).</w:t>
      </w:r>
    </w:p>
    <w:p>
      <w:pPr>
        <w:spacing w:after="120" w:line="276" w:lineRule="auto"/>
      </w:pPr>
      <w:r>
        <w:t>**Évolution temporelle** : Le rapport annuel 2024 (publié en 2025) indiquait un CA de 1 776,4 milliards (+9,6%) et un résultat net de 393,7 milliards (+18,7%). La progression se poursuit donc en 2025 avec une croissance de +8,3% du CA et +5,1% du résultat net. Le rapport T1 2025 montrait une accélération (+10,9% de croissance des revenus), confirmée par le S1 2025 (+9,4% de croissance du CA à 960,2 milliards). Le T3 2025 (9M) confirmait la tendance avec un CA de 1 432,5 milliards (+8,6%).</w:t>
      </w:r>
    </w:p>
    <w:p>
      <w:pPr>
        <w:spacing w:after="120" w:line="276" w:lineRule="auto"/>
      </w:pPr>
      <w:r>
        <w:t>**Estimations et perspectives** : Le communiqué du 16 février 2026 confirme les résultats 2025 avec un EBITDAAL à 47,9% du CA et 288,6 milliards d'investissements. Le rapport S1 2026 (publié le 24 juillet 2026) montre une accélération : CA de 1 049,8 milliards (+9,3%), résultat net de 230 milliards (+10,5%), EBITDAAL de 510,8 milliards (marge 48,7%). La notation a été relevée à AAA(wu) par GCR Ratings. Sur cette base, on estime que l'exercice 2026 devrait dépasser les 2 100 milliards de CA, avec un résultat net supérieur à 450 milliards. Le dividende 2025 de 1 933 FCFA brut (1 740 FCFA net) offre un rendement attractif d'environ 4,8% au cours actuel.</w:t>
      </w:r>
    </w:p>
    <w:p>
      <w:pPr>
        <w:spacing w:after="120" w:line="276" w:lineRule="auto"/>
      </w:pPr>
      <w:r>
        <w:t>---</w:t>
      </w:r>
    </w:p>
    <w:p>
      <w:pPr>
        <w:spacing w:after="120" w:line="276" w:lineRule="auto"/>
      </w:pPr>
      <w:r>
        <w:t>### PARTIE 4 : CONCLUSION D'INVESTISSEMENT</w:t>
      </w:r>
    </w:p>
    <w:p>
      <w:pPr>
        <w:spacing w:after="120" w:line="276" w:lineRule="auto"/>
      </w:pPr>
      <w:r>
        <w:t>La valorisation de Sonatel est très attractive : PER de 8,8x (sous-évalué), EV/EBITDA de 3,8x (très bon marché) et P/B de 2,62x (prime justifiée par le ROE de 29,6%). Le comportement du cours est très positif avec une hausse de +26,2% sur 100 jours, mais la volatilité élevée (31,2%) et les statistiques (kurtosis, skewness) signalent des risques de mouvements brusques. Les signaux techniques sont mitigés : tendance haussière confirmée par les MM et le MACD, mais surachat extrême sur le RSI (73,6) et le Stochastique (92,5), suggérant un repli technique imminent. Les fondamentaux sont excellents avec une croissance soutenue (+8,3% en 2025, +9,3% au S1 2026), des marges élevées (EBITDAAL à 48,7%) et une notation AAA. Les prédictions IA (35 629 à 35 279 FCFA sur 10 jours) anticipent une consolidation de -3,6%, confirmant les signaux de surachat technique. **Recommandation : ACHAT** (sur repli). La convergence entre la sous-évaluation fondamentale et la solidité financière justifie une position positive, mais le niveau de confiance est **MOYEN** en raison des signaux techniques contradictoires. Le risque global est **MOYEN** (volatilité élevée mais fondamentaux solides). Horizon d'investissement optimal : **MOYEN TERME (3-12 mois)**, en attendant un point d'entrée plus favorable après la consolidation technique attendue.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178.22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5,725 titres</w:t>
            </w:r>
          </w:p>
        </w:tc>
        <w:tc>
          <w:tcPr>
            <w:tcW w:type="dxa" w:w="2268"/>
            <w:shd w:fill="FFF2CC" w:val="clear"/>
          </w:tcPr>
          <w:p>
            <w:r>
              <w:rPr>
                <w:b/>
                <w:color w:val="503200"/>
                <w:sz w:val="16"/>
              </w:rPr>
              <w:t xml:space="preserve">Cours actuel : </w:t>
            </w:r>
            <w:r>
              <w:rPr>
                <w:color w:val="000000"/>
                <w:sz w:val="17"/>
              </w:rPr>
              <w:t>8,250 FCFA</w:t>
            </w:r>
          </w:p>
          <w:p>
            <w:r>
              <w:rPr>
                <w:b/>
                <w:color w:val="503200"/>
                <w:sz w:val="16"/>
              </w:rPr>
              <w:t xml:space="preserve">Var. 100 jours : </w:t>
            </w:r>
            <w:r>
              <w:rPr>
                <w:b/>
                <w:color w:val="007800"/>
                <w:sz w:val="17"/>
              </w:rPr>
              <w:t>+7.00%</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μ=7,991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β=0.2156 (Défensif) — Cov=0.000008, Var(idx)=0.000036, ρ=0.056,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7,885</w:t>
            </w:r>
          </w:p>
        </w:tc>
        <w:tc>
          <w:tcPr>
            <w:tcW w:type="dxa" w:w="1440"/>
            <w:shd w:fill="FAFAFA" w:val="clear"/>
          </w:tcPr>
          <w:p>
            <w:r>
              <w:rPr>
                <w:b/>
                <w:sz w:val="17"/>
              </w:rPr>
              <w:t>8,248</w:t>
            </w:r>
          </w:p>
        </w:tc>
        <w:tc>
          <w:tcPr>
            <w:tcW w:type="dxa" w:w="1440"/>
            <w:shd w:fill="FAFAFA" w:val="clear"/>
          </w:tcPr>
          <w:p>
            <w:r>
              <w:rPr>
                <w:sz w:val="17"/>
              </w:rPr>
              <w:t>8,612</w:t>
            </w:r>
          </w:p>
        </w:tc>
        <w:tc>
          <w:tcPr>
            <w:tcW w:type="dxa" w:w="1440"/>
            <w:shd w:fill="FAFAFA" w:val="clear"/>
          </w:tcPr>
          <w:p>
            <w:r>
              <w:rPr>
                <w:b/>
                <w:color w:val="C00000"/>
                <w:sz w:val="17"/>
              </w:rPr>
              <w:t>-0.0%</w:t>
            </w:r>
          </w:p>
        </w:tc>
      </w:tr>
      <w:tr>
        <w:tc>
          <w:tcPr>
            <w:tcW w:type="dxa" w:w="1440"/>
            <w:shd w:fill="FAFAFA" w:val="clear"/>
          </w:tcPr>
          <w:p>
            <w:r>
              <w:rPr>
                <w:sz w:val="17"/>
              </w:rPr>
              <w:t>J+2  Moyenne</w:t>
            </w:r>
          </w:p>
        </w:tc>
        <w:tc>
          <w:tcPr>
            <w:tcW w:type="dxa" w:w="1440"/>
            <w:shd w:fill="FAFAFA" w:val="clear"/>
          </w:tcPr>
          <w:p>
            <w:r>
              <w:rPr>
                <w:sz w:val="17"/>
              </w:rPr>
              <w:t>2026-09-02</w:t>
            </w:r>
          </w:p>
        </w:tc>
        <w:tc>
          <w:tcPr>
            <w:tcW w:type="dxa" w:w="1440"/>
            <w:shd w:fill="FAFAFA" w:val="clear"/>
          </w:tcPr>
          <w:p>
            <w:r>
              <w:rPr>
                <w:sz w:val="17"/>
              </w:rPr>
              <w:t>7,746</w:t>
            </w:r>
          </w:p>
        </w:tc>
        <w:tc>
          <w:tcPr>
            <w:tcW w:type="dxa" w:w="1440"/>
            <w:shd w:fill="FAFAFA" w:val="clear"/>
          </w:tcPr>
          <w:p>
            <w:r>
              <w:rPr>
                <w:b/>
                <w:sz w:val="17"/>
              </w:rPr>
              <w:t>8,261</w:t>
            </w:r>
          </w:p>
        </w:tc>
        <w:tc>
          <w:tcPr>
            <w:tcW w:type="dxa" w:w="1440"/>
            <w:shd w:fill="FAFAFA" w:val="clear"/>
          </w:tcPr>
          <w:p>
            <w:r>
              <w:rPr>
                <w:sz w:val="17"/>
              </w:rPr>
              <w:t>8,775</w:t>
            </w:r>
          </w:p>
        </w:tc>
        <w:tc>
          <w:tcPr>
            <w:tcW w:type="dxa" w:w="1440"/>
            <w:shd w:fill="FAFAFA" w:val="clear"/>
          </w:tcPr>
          <w:p>
            <w:r>
              <w:rPr>
                <w:b/>
                <w:color w:val="008000"/>
                <w:sz w:val="17"/>
              </w:rPr>
              <w:t>+0.1%</w:t>
            </w:r>
          </w:p>
        </w:tc>
      </w:tr>
      <w:tr>
        <w:tc>
          <w:tcPr>
            <w:tcW w:type="dxa" w:w="1440"/>
            <w:shd w:fill="FAFAFA" w:val="clear"/>
          </w:tcPr>
          <w:p>
            <w:r>
              <w:rPr>
                <w:sz w:val="17"/>
              </w:rPr>
              <w:t>J+3  Moyenne</w:t>
            </w:r>
          </w:p>
        </w:tc>
        <w:tc>
          <w:tcPr>
            <w:tcW w:type="dxa" w:w="1440"/>
            <w:shd w:fill="FAFAFA" w:val="clear"/>
          </w:tcPr>
          <w:p>
            <w:r>
              <w:rPr>
                <w:sz w:val="17"/>
              </w:rPr>
              <w:t>2026-09-03</w:t>
            </w:r>
          </w:p>
        </w:tc>
        <w:tc>
          <w:tcPr>
            <w:tcW w:type="dxa" w:w="1440"/>
            <w:shd w:fill="FAFAFA" w:val="clear"/>
          </w:tcPr>
          <w:p>
            <w:r>
              <w:rPr>
                <w:sz w:val="17"/>
              </w:rPr>
              <w:t>7,640</w:t>
            </w:r>
          </w:p>
        </w:tc>
        <w:tc>
          <w:tcPr>
            <w:tcW w:type="dxa" w:w="1440"/>
            <w:shd w:fill="FAFAFA" w:val="clear"/>
          </w:tcPr>
          <w:p>
            <w:r>
              <w:rPr>
                <w:b/>
                <w:sz w:val="17"/>
              </w:rPr>
              <w:t>8,271</w:t>
            </w:r>
          </w:p>
        </w:tc>
        <w:tc>
          <w:tcPr>
            <w:tcW w:type="dxa" w:w="1440"/>
            <w:shd w:fill="FAFAFA" w:val="clear"/>
          </w:tcPr>
          <w:p>
            <w:r>
              <w:rPr>
                <w:sz w:val="17"/>
              </w:rPr>
              <w:t>8,903</w:t>
            </w:r>
          </w:p>
        </w:tc>
        <w:tc>
          <w:tcPr>
            <w:tcW w:type="dxa" w:w="1440"/>
            <w:shd w:fill="FAFAFA" w:val="clear"/>
          </w:tcPr>
          <w:p>
            <w:r>
              <w:rPr>
                <w:b/>
                <w:color w:val="008000"/>
                <w:sz w:val="17"/>
              </w:rPr>
              <w:t>+0.3%</w:t>
            </w:r>
          </w:p>
        </w:tc>
      </w:tr>
      <w:tr>
        <w:tc>
          <w:tcPr>
            <w:tcW w:type="dxa" w:w="1440"/>
            <w:shd w:fill="FAFAFA" w:val="clear"/>
          </w:tcPr>
          <w:p>
            <w:r>
              <w:rPr>
                <w:sz w:val="17"/>
              </w:rPr>
              <w:t>J+4  ⭐</w:t>
            </w:r>
          </w:p>
        </w:tc>
        <w:tc>
          <w:tcPr>
            <w:tcW w:type="dxa" w:w="1440"/>
            <w:shd w:fill="FAFAFA" w:val="clear"/>
          </w:tcPr>
          <w:p>
            <w:r>
              <w:rPr>
                <w:sz w:val="17"/>
              </w:rPr>
              <w:t>2026-09-04</w:t>
            </w:r>
          </w:p>
        </w:tc>
        <w:tc>
          <w:tcPr>
            <w:tcW w:type="dxa" w:w="1440"/>
            <w:shd w:fill="FAFAFA" w:val="clear"/>
          </w:tcPr>
          <w:p>
            <w:r>
              <w:rPr>
                <w:sz w:val="17"/>
              </w:rPr>
              <w:t>7,553</w:t>
            </w:r>
          </w:p>
        </w:tc>
        <w:tc>
          <w:tcPr>
            <w:tcW w:type="dxa" w:w="1440"/>
            <w:shd w:fill="FAFAFA" w:val="clear"/>
          </w:tcPr>
          <w:p>
            <w:r>
              <w:rPr>
                <w:b/>
                <w:sz w:val="17"/>
              </w:rPr>
              <w:t>8,282</w:t>
            </w:r>
          </w:p>
        </w:tc>
        <w:tc>
          <w:tcPr>
            <w:tcW w:type="dxa" w:w="1440"/>
            <w:shd w:fill="FAFAFA" w:val="clear"/>
          </w:tcPr>
          <w:p>
            <w:r>
              <w:rPr>
                <w:sz w:val="17"/>
              </w:rPr>
              <w:t>9,012</w:t>
            </w:r>
          </w:p>
        </w:tc>
        <w:tc>
          <w:tcPr>
            <w:tcW w:type="dxa" w:w="1440"/>
            <w:shd w:fill="FAFAFA" w:val="clear"/>
          </w:tcPr>
          <w:p>
            <w:r>
              <w:rPr>
                <w:b/>
                <w:color w:val="008000"/>
                <w:sz w:val="17"/>
              </w:rPr>
              <w:t>+0.4%</w:t>
            </w:r>
          </w:p>
        </w:tc>
      </w:tr>
      <w:tr>
        <w:tc>
          <w:tcPr>
            <w:tcW w:type="dxa" w:w="1440"/>
            <w:shd w:fill="FAFAFA" w:val="clear"/>
          </w:tcPr>
          <w:p>
            <w:r>
              <w:rPr>
                <w:sz w:val="17"/>
              </w:rPr>
              <w:t>J+5  ⭐</w:t>
            </w:r>
          </w:p>
        </w:tc>
        <w:tc>
          <w:tcPr>
            <w:tcW w:type="dxa" w:w="1440"/>
            <w:shd w:fill="FAFAFA" w:val="clear"/>
          </w:tcPr>
          <w:p>
            <w:r>
              <w:rPr>
                <w:sz w:val="17"/>
              </w:rPr>
              <w:t>2026-09-07</w:t>
            </w:r>
          </w:p>
        </w:tc>
        <w:tc>
          <w:tcPr>
            <w:tcW w:type="dxa" w:w="1440"/>
            <w:shd w:fill="FAFAFA" w:val="clear"/>
          </w:tcPr>
          <w:p>
            <w:r>
              <w:rPr>
                <w:sz w:val="17"/>
              </w:rPr>
              <w:t>7,476</w:t>
            </w:r>
          </w:p>
        </w:tc>
        <w:tc>
          <w:tcPr>
            <w:tcW w:type="dxa" w:w="1440"/>
            <w:shd w:fill="FAFAFA" w:val="clear"/>
          </w:tcPr>
          <w:p>
            <w:r>
              <w:rPr>
                <w:b/>
                <w:sz w:val="17"/>
              </w:rPr>
              <w:t>8,293</w:t>
            </w:r>
          </w:p>
        </w:tc>
        <w:tc>
          <w:tcPr>
            <w:tcW w:type="dxa" w:w="1440"/>
            <w:shd w:fill="FAFAFA" w:val="clear"/>
          </w:tcPr>
          <w:p>
            <w:r>
              <w:rPr>
                <w:sz w:val="17"/>
              </w:rPr>
              <w:t>9,110</w:t>
            </w:r>
          </w:p>
        </w:tc>
        <w:tc>
          <w:tcPr>
            <w:tcW w:type="dxa" w:w="1440"/>
            <w:shd w:fill="FAFAFA" w:val="clear"/>
          </w:tcPr>
          <w:p>
            <w:r>
              <w:rPr>
                <w:b/>
                <w:color w:val="008000"/>
                <w:sz w:val="17"/>
              </w:rPr>
              <w:t>+0.5%</w:t>
            </w:r>
          </w:p>
        </w:tc>
      </w:tr>
      <w:tr>
        <w:tc>
          <w:tcPr>
            <w:tcW w:type="dxa" w:w="1440"/>
            <w:shd w:fill="FAFAFA" w:val="clear"/>
          </w:tcPr>
          <w:p>
            <w:r>
              <w:rPr>
                <w:sz w:val="17"/>
              </w:rPr>
              <w:t>J+6  ⭐</w:t>
            </w:r>
          </w:p>
        </w:tc>
        <w:tc>
          <w:tcPr>
            <w:tcW w:type="dxa" w:w="1440"/>
            <w:shd w:fill="FAFAFA" w:val="clear"/>
          </w:tcPr>
          <w:p>
            <w:r>
              <w:rPr>
                <w:sz w:val="17"/>
              </w:rPr>
              <w:t>2026-09-08</w:t>
            </w:r>
          </w:p>
        </w:tc>
        <w:tc>
          <w:tcPr>
            <w:tcW w:type="dxa" w:w="1440"/>
            <w:shd w:fill="FAFAFA" w:val="clear"/>
          </w:tcPr>
          <w:p>
            <w:r>
              <w:rPr>
                <w:sz w:val="17"/>
              </w:rPr>
              <w:t>7,408</w:t>
            </w:r>
          </w:p>
        </w:tc>
        <w:tc>
          <w:tcPr>
            <w:tcW w:type="dxa" w:w="1440"/>
            <w:shd w:fill="FAFAFA" w:val="clear"/>
          </w:tcPr>
          <w:p>
            <w:r>
              <w:rPr>
                <w:b/>
                <w:sz w:val="17"/>
              </w:rPr>
              <w:t>8,304</w:t>
            </w:r>
          </w:p>
        </w:tc>
        <w:tc>
          <w:tcPr>
            <w:tcW w:type="dxa" w:w="1440"/>
            <w:shd w:fill="FAFAFA" w:val="clear"/>
          </w:tcPr>
          <w:p>
            <w:r>
              <w:rPr>
                <w:sz w:val="17"/>
              </w:rPr>
              <w:t>9,200</w:t>
            </w:r>
          </w:p>
        </w:tc>
        <w:tc>
          <w:tcPr>
            <w:tcW w:type="dxa" w:w="1440"/>
            <w:shd w:fill="FAFAFA" w:val="clear"/>
          </w:tcPr>
          <w:p>
            <w:r>
              <w:rPr>
                <w:b/>
                <w:color w:val="008000"/>
                <w:sz w:val="17"/>
              </w:rPr>
              <w:t>+0.7%</w:t>
            </w:r>
          </w:p>
        </w:tc>
      </w:tr>
      <w:tr>
        <w:tc>
          <w:tcPr>
            <w:tcW w:type="dxa" w:w="1440"/>
            <w:shd w:fill="FAFAFA" w:val="clear"/>
          </w:tcPr>
          <w:p>
            <w:r>
              <w:rPr>
                <w:sz w:val="17"/>
              </w:rPr>
              <w:t>J+7  ⭐</w:t>
            </w:r>
          </w:p>
        </w:tc>
        <w:tc>
          <w:tcPr>
            <w:tcW w:type="dxa" w:w="1440"/>
            <w:shd w:fill="FAFAFA" w:val="clear"/>
          </w:tcPr>
          <w:p>
            <w:r>
              <w:rPr>
                <w:sz w:val="17"/>
              </w:rPr>
              <w:t>2026-09-09</w:t>
            </w:r>
          </w:p>
        </w:tc>
        <w:tc>
          <w:tcPr>
            <w:tcW w:type="dxa" w:w="1440"/>
            <w:shd w:fill="FAFAFA" w:val="clear"/>
          </w:tcPr>
          <w:p>
            <w:r>
              <w:rPr>
                <w:sz w:val="17"/>
              </w:rPr>
              <w:t>7,346</w:t>
            </w:r>
          </w:p>
        </w:tc>
        <w:tc>
          <w:tcPr>
            <w:tcW w:type="dxa" w:w="1440"/>
            <w:shd w:fill="FAFAFA" w:val="clear"/>
          </w:tcPr>
          <w:p>
            <w:r>
              <w:rPr>
                <w:b/>
                <w:sz w:val="17"/>
              </w:rPr>
              <w:t>8,315</w:t>
            </w:r>
          </w:p>
        </w:tc>
        <w:tc>
          <w:tcPr>
            <w:tcW w:type="dxa" w:w="1440"/>
            <w:shd w:fill="FAFAFA" w:val="clear"/>
          </w:tcPr>
          <w:p>
            <w:r>
              <w:rPr>
                <w:sz w:val="17"/>
              </w:rPr>
              <w:t>9,284</w:t>
            </w:r>
          </w:p>
        </w:tc>
        <w:tc>
          <w:tcPr>
            <w:tcW w:type="dxa" w:w="1440"/>
            <w:shd w:fill="FAFAFA" w:val="clear"/>
          </w:tcPr>
          <w:p>
            <w:r>
              <w:rPr>
                <w:b/>
                <w:color w:val="008000"/>
                <w:sz w:val="17"/>
              </w:rPr>
              <w:t>+0.8%</w:t>
            </w:r>
          </w:p>
        </w:tc>
      </w:tr>
      <w:tr>
        <w:tc>
          <w:tcPr>
            <w:tcW w:type="dxa" w:w="1440"/>
            <w:shd w:fill="FAFAFA" w:val="clear"/>
          </w:tcPr>
          <w:p>
            <w:r>
              <w:rPr>
                <w:sz w:val="17"/>
              </w:rPr>
              <w:t>J+8  ⭐</w:t>
            </w:r>
          </w:p>
        </w:tc>
        <w:tc>
          <w:tcPr>
            <w:tcW w:type="dxa" w:w="1440"/>
            <w:shd w:fill="FAFAFA" w:val="clear"/>
          </w:tcPr>
          <w:p>
            <w:r>
              <w:rPr>
                <w:sz w:val="17"/>
              </w:rPr>
              <w:t>2026-09-10</w:t>
            </w:r>
          </w:p>
        </w:tc>
        <w:tc>
          <w:tcPr>
            <w:tcW w:type="dxa" w:w="1440"/>
            <w:shd w:fill="FAFAFA" w:val="clear"/>
          </w:tcPr>
          <w:p>
            <w:r>
              <w:rPr>
                <w:sz w:val="17"/>
              </w:rPr>
              <w:t>7,288</w:t>
            </w:r>
          </w:p>
        </w:tc>
        <w:tc>
          <w:tcPr>
            <w:tcW w:type="dxa" w:w="1440"/>
            <w:shd w:fill="FAFAFA" w:val="clear"/>
          </w:tcPr>
          <w:p>
            <w:r>
              <w:rPr>
                <w:b/>
                <w:sz w:val="17"/>
              </w:rPr>
              <w:t>8,326</w:t>
            </w:r>
          </w:p>
        </w:tc>
        <w:tc>
          <w:tcPr>
            <w:tcW w:type="dxa" w:w="1440"/>
            <w:shd w:fill="FAFAFA" w:val="clear"/>
          </w:tcPr>
          <w:p>
            <w:r>
              <w:rPr>
                <w:sz w:val="17"/>
              </w:rPr>
              <w:t>9,363</w:t>
            </w:r>
          </w:p>
        </w:tc>
        <w:tc>
          <w:tcPr>
            <w:tcW w:type="dxa" w:w="1440"/>
            <w:shd w:fill="FAFAFA" w:val="clear"/>
          </w:tcPr>
          <w:p>
            <w:r>
              <w:rPr>
                <w:b/>
                <w:color w:val="008000"/>
                <w:sz w:val="17"/>
              </w:rPr>
              <w:t>+0.9%</w:t>
            </w:r>
          </w:p>
        </w:tc>
      </w:tr>
      <w:tr>
        <w:tc>
          <w:tcPr>
            <w:tcW w:type="dxa" w:w="1440"/>
            <w:shd w:fill="FAFAFA" w:val="clear"/>
          </w:tcPr>
          <w:p>
            <w:r>
              <w:rPr>
                <w:sz w:val="17"/>
              </w:rPr>
              <w:t>J+9  ⭐</w:t>
            </w:r>
          </w:p>
        </w:tc>
        <w:tc>
          <w:tcPr>
            <w:tcW w:type="dxa" w:w="1440"/>
            <w:shd w:fill="FAFAFA" w:val="clear"/>
          </w:tcPr>
          <w:p>
            <w:r>
              <w:rPr>
                <w:sz w:val="17"/>
              </w:rPr>
              <w:t>2026-09-11</w:t>
            </w:r>
          </w:p>
        </w:tc>
        <w:tc>
          <w:tcPr>
            <w:tcW w:type="dxa" w:w="1440"/>
            <w:shd w:fill="FAFAFA" w:val="clear"/>
          </w:tcPr>
          <w:p>
            <w:r>
              <w:rPr>
                <w:sz w:val="17"/>
              </w:rPr>
              <w:t>7,235</w:t>
            </w:r>
          </w:p>
        </w:tc>
        <w:tc>
          <w:tcPr>
            <w:tcW w:type="dxa" w:w="1440"/>
            <w:shd w:fill="FAFAFA" w:val="clear"/>
          </w:tcPr>
          <w:p>
            <w:r>
              <w:rPr>
                <w:b/>
                <w:sz w:val="17"/>
              </w:rPr>
              <w:t>8,336</w:t>
            </w:r>
          </w:p>
        </w:tc>
        <w:tc>
          <w:tcPr>
            <w:tcW w:type="dxa" w:w="1440"/>
            <w:shd w:fill="FAFAFA" w:val="clear"/>
          </w:tcPr>
          <w:p>
            <w:r>
              <w:rPr>
                <w:sz w:val="17"/>
              </w:rPr>
              <w:t>9,438</w:t>
            </w:r>
          </w:p>
        </w:tc>
        <w:tc>
          <w:tcPr>
            <w:tcW w:type="dxa" w:w="1440"/>
            <w:shd w:fill="FAFAFA" w:val="clear"/>
          </w:tcPr>
          <w:p>
            <w:r>
              <w:rPr>
                <w:b/>
                <w:color w:val="008000"/>
                <w:sz w:val="17"/>
              </w:rPr>
              <w:t>+1.0%</w:t>
            </w:r>
          </w:p>
        </w:tc>
      </w:tr>
      <w:tr>
        <w:tc>
          <w:tcPr>
            <w:tcW w:type="dxa" w:w="1440"/>
            <w:shd w:fill="FAFAFA" w:val="clear"/>
          </w:tcPr>
          <w:p>
            <w:r>
              <w:rPr>
                <w:sz w:val="17"/>
              </w:rPr>
              <w:t>J+10  ⭐</w:t>
            </w:r>
          </w:p>
        </w:tc>
        <w:tc>
          <w:tcPr>
            <w:tcW w:type="dxa" w:w="1440"/>
            <w:shd w:fill="FAFAFA" w:val="clear"/>
          </w:tcPr>
          <w:p>
            <w:r>
              <w:rPr>
                <w:sz w:val="17"/>
              </w:rPr>
              <w:t>2026-09-14</w:t>
            </w:r>
          </w:p>
        </w:tc>
        <w:tc>
          <w:tcPr>
            <w:tcW w:type="dxa" w:w="1440"/>
            <w:shd w:fill="FAFAFA" w:val="clear"/>
          </w:tcPr>
          <w:p>
            <w:r>
              <w:rPr>
                <w:sz w:val="17"/>
              </w:rPr>
              <w:t>7,184</w:t>
            </w:r>
          </w:p>
        </w:tc>
        <w:tc>
          <w:tcPr>
            <w:tcW w:type="dxa" w:w="1440"/>
            <w:shd w:fill="FAFAFA" w:val="clear"/>
          </w:tcPr>
          <w:p>
            <w:r>
              <w:rPr>
                <w:b/>
                <w:sz w:val="17"/>
              </w:rPr>
              <w:t>8,347</w:t>
            </w:r>
          </w:p>
        </w:tc>
        <w:tc>
          <w:tcPr>
            <w:tcW w:type="dxa" w:w="1440"/>
            <w:shd w:fill="FAFAFA" w:val="clear"/>
          </w:tcPr>
          <w:p>
            <w:r>
              <w:rPr>
                <w:sz w:val="17"/>
              </w:rPr>
              <w:t>9,510</w:t>
            </w:r>
          </w:p>
        </w:tc>
        <w:tc>
          <w:tcPr>
            <w:tcW w:type="dxa" w:w="1440"/>
            <w:shd w:fill="FAFAFA" w:val="clear"/>
          </w:tcPr>
          <w:p>
            <w:r>
              <w:rPr>
                <w:b/>
                <w:color w:val="008000"/>
                <w:sz w:val="17"/>
              </w:rPr>
              <w:t>+1.2%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1er septembre 2026 | Cours de référence : 8 250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178,22 milliards FCFA, un niveau qui la positionne parmi les valeurs moyennes à grandes capitalisations de la BRVM, lui conférant une liquidité et une visibilité appréciables. Avec un BPA de 578 FCFA, le titre se négocie à un PER de 14,3x, ce qui représente une prime par rapport à la moyenne historique du marché (8-12x). Cette valorisation suggère que les investisseurs intègrent déjà une certaine croissance future des bénéfices. Le P/B de 2,60x confirme cette prime, le marché valorisant les capitaux propres à plus de deux fois leur valeur comptable, ce qui est souvent le cas pour des sociétés présentant un ROE élevé. Enfin, un EV/EBITDA de 7,4x indique que la valeur totale de l'entreprise (dette incluse) reste raisonnable par rapport à sa capacité à générer du cash-flow opérationnel, ce qui tempère la lecture du PER et suggère une valorisation globalement correcte pour un profil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affiché une progression solide de +7,00%, avec une dernière séance en hausse de +0,61%, clôturant à 8 250 FCFA. Le titre a évolué dans un range de 7 100 à 8 600 FCFA, démontrant une tendance haussière soutenue mais non linéaire. La moyenne du cours sur la période (7 991 FCFA) est légèrement inférieure à la médiane (8 055 FCFA), et le mode (8 200 FCFA) est proche du cours actuel, indiquant que le prix a passé une grande partie du temps à des niveaux élevés. L'écart-type de 387 FCFA (CV=4,8%) révèle une dispersion relativement faible, suggérant une stabilité relative des cours. Le kurtosis négatif (-0.912) indique une distribution mésokurtique, avec un risque de mouvements extrêmes limité. Le skewness négatif (-0.441) suggère une distribution légèrement asymétrique vers la gauche, avec des baisses ponctuelles plus marquées que les hausses. La volatilité annualisée de 36,7% classe le titre comme très volatil (&gt;30%), ce qui est caractéristique des valeurs agricoles exposées aux cycles des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(8 250 FCFA) se situe au-dessus de la MM20 (8 056,5 FCFA) mais en dessous de la MM50 (8 192,3 FCFA). Cette configuration, avec une MM20 inférieure à la MM50, reflète un momentum à court terme positif mais une tendance de fond encore incertaine. La décision de "Vente" est donc liée à la persistance d'une MM50 au-dessus du prix, signalant que la tendance moyen terme n'est pas encore pleinement haussière.</w:t>
      </w:r>
    </w:p>
    <w:p>
      <w:pPr>
        <w:spacing w:after="120" w:line="276" w:lineRule="auto"/>
      </w:pPr>
      <w:r>
        <w:t>**Bandes de Bollinger** : Le prix (8 250 FCFA) se situe dans la partie supérieure du canal, entre la borne inférieure (7 557,3 FCFA) et la borne supérieure (8 555,7 FCFA). La largeur des bandes indique une volatilité modérée. La décision "Neutre" est cohérente avec une position du prix dans la moitié haute du canal, sans contact avec les bornes, ce qui ne signale ni surachat ni survente immédiats.</w:t>
      </w:r>
    </w:p>
    <w:p>
      <w:pPr>
        <w:spacing w:after="120" w:line="276" w:lineRule="auto"/>
      </w:pPr>
      <w:r>
        <w:t>**MACD** : La valeur du MACD (21,741) est nettement supérieure à sa ligne de signal (-17,872), formant un croisement haussier. Cette divergence positive indique un renforcement du momentum acheteur à moyen terme. La décision "Achat" est justifiée par cette dynamique positive, qui suggère une poursuite de la tendance haussière.</w:t>
      </w:r>
    </w:p>
    <w:p>
      <w:pPr>
        <w:spacing w:after="120" w:line="276" w:lineRule="auto"/>
      </w:pPr>
      <w:r>
        <w:t>**RSI** : À 59,843, le RSI se situe dans la zone neutre (30-70), sans signal de surachat (au-dessus de 70) ni de survente (en dessous de 30). Cette valeur indique un équilibre entre les forces acheteuses et vendeuses, avec un léger biais haussier. La décision "Neutre" est appropriée, laissant la place à une poursuite de la hausse sans pression excessive.</w:t>
      </w:r>
    </w:p>
    <w:p>
      <w:pPr>
        <w:spacing w:after="120" w:line="276" w:lineRule="auto"/>
      </w:pPr>
      <w:r>
        <w:t>**Stochastique** : Le %K (95,897) et le %D (92,479) sont tous deux à des niveaux extrêmement élevés, bien au-dessus de 80, ce qui place le titre en zone de surachat. Cette configuration signale un épuisement potentiel du mouvement haussier à court terme et un risque de correction. La décision "Vente" est donc justifiée par ce niveau de surachat extrême.</w:t>
      </w:r>
    </w:p>
    <w:p>
      <w:pPr>
        <w:spacing w:after="120" w:line="276" w:lineRule="auto"/>
      </w:pPr>
      <w:r>
        <w:t>**Conclusion technique** : Les indicateurs sont mitigés. Le MACD et la position du prix par rapport à la MM20 sont positifs, mais le Stochastique en surachat extrême et la MM50 au-dessus du prix suggèrent une prudence à court terme. Le RSI neutre et les bandes de Bollinger ne fournissent pas de signal directionnel fort. Globalement, la tendance de fond reste positive, mais un repli technique est probable à très court terme avant une reprise.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indiquent un chiffre d'affaires de **98,979 milliards FCFA**, en croissance de +10,7% par rapport à 2024, et un résultat net de **12,493 milliards FCFA**, en légère baisse de -5% par rapport à l'exercice précédent (13,11 Mds FCFA en 2024). Cette baisse s'explique par une hausse de 15% des coûts des matières premières (coagulum), qui a partiellement compensé la hausse des prix de vente. La rentabilité reste excellente avec un **ROE de 18,26%** et un **ROA de 13,84%**, démontrant une utilisation très efficace des capitaux propres et des actifs. La marge nette s'établit à 12,62%. La structure financière est très saine avec une autonomie financière de 75,79% et un endettement très faible (ratio d'endettement de 24,2%). Le BFR est positif (7,124 Mds FCFA), mais la trésorerie nette positive (4,575 Mds FCFA) et un flux opérationnel de 22,644 Mds FCFA assurent une excellente liquidité. **Les rapports trimestriels 2025** montrent une dynamique exceptionnelle au T1 (CA +63,1%, RN +262,9%) et au S1 (CA +51,9%, RN +151,6%), mais un ralentissement marqué au T3 (CA +21,3%, RN +39,5%) en raison de la baisse des cours internationaux du caoutchouc. Sur la base de ces rapports, on estime que la performance annuelle 2025, bien qu'en retrait par rapport à 2024, reste robuste. Le dividende proposé pour 2025 est de **570 FCFA par action**, offrant un rendement de 6,9% au cours actuel, confirmant une politique de distribution généreuse (taux de distribution de 98,6%). La société a convoqué une AG pour le 28 mai 2026 afin d'approuver ces comptes. La recommandation fondamentale est de **CONSERVER**, la société affichant des fondamentaux solides mais une croissance des bénéfices en ralentissement.</w:t>
      </w:r>
    </w:p>
    <w:p>
      <w:pPr>
        <w:spacing w:after="120" w:line="276" w:lineRule="auto"/>
      </w:pPr>
      <w:r>
        <w:t>---</w:t>
      </w:r>
    </w:p>
    <w:p>
      <w:pPr>
        <w:spacing w:after="120" w:line="276" w:lineRule="auto"/>
      </w:pPr>
      <w:r>
        <w:t>### PARTIE 4 : CONCLUSION D'INVESTISSEMENT</w:t>
      </w:r>
    </w:p>
    <w:p>
      <w:pPr>
        <w:spacing w:after="120" w:line="276" w:lineRule="auto"/>
      </w:pPr>
      <w:r>
        <w:t>La valorisation de SOGC (PER 14,3x, P/B 2,6x) est correcte, intégrant une prime pour sa rentabilité élevée, mais sans être excessive. Le comportement du cours sur 100 jours est positif (+7%), avec une volatilité élevée (36,7%) et une distribution stable, indiquant une appréciation progressive. Les signaux techniques sont mitigés : le MACD est haussier, mais le Stochastique en surachat extrême et la MM50 au-dessus du prix suggèrent un risque de consolidation à court terme. Les fondamentaux sont solides, avec une rentabilité élevée (ROE 18,26%), une structure financière saine et une politique de dividende attractive (rendement ~6,9%). Les prédictions IA sur 10 jours (8 248 à 8 293 FCFA) confirment une stabilité avec une légère tendance haussière, en ligne avec la tendance de fond. La convergence entre la solidité fondamentale, la valorisation raisonnable et la trajectoire prédite, malgré des signaux techniques mitigés, conduit à une recommandation **CONSERVER**. Le niveau de confiance est **Moyen**, le risque global est **Moyen** (volatilité des matières premières), et l'horizon d'investissement optimal est le **moyen terme (3-12 mois)**, en attendant une clarification de la tendance technique et une stabilisation des cours du caoutchouc.</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242.80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5,576 titres</w:t>
            </w:r>
          </w:p>
        </w:tc>
        <w:tc>
          <w:tcPr>
            <w:tcW w:type="dxa" w:w="2268"/>
            <w:shd w:fill="FFF2CC" w:val="clear"/>
          </w:tcPr>
          <w:p>
            <w:r>
              <w:rPr>
                <w:b/>
                <w:color w:val="503200"/>
                <w:sz w:val="16"/>
              </w:rPr>
              <w:t xml:space="preserve">Cours actuel : </w:t>
            </w:r>
            <w:r>
              <w:rPr>
                <w:color w:val="000000"/>
                <w:sz w:val="17"/>
              </w:rPr>
              <w:t>9,500 FCFA</w:t>
            </w:r>
          </w:p>
          <w:p>
            <w:r>
              <w:rPr>
                <w:b/>
                <w:color w:val="503200"/>
                <w:sz w:val="16"/>
              </w:rPr>
              <w:t xml:space="preserve">Var. 100 jours : </w:t>
            </w:r>
            <w:r>
              <w:rPr>
                <w:b/>
                <w:color w:val="007800"/>
                <w:sz w:val="17"/>
              </w:rPr>
              <w:t>+35.71%</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8.31% (Moyenne) — μ=7,584 FCFA, σ=630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β=1.0434 (Neutre (suit le marché)) — Cov=0.000038, Var(idx)=0.000036, ρ=0.251,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8,878</w:t>
            </w:r>
          </w:p>
        </w:tc>
        <w:tc>
          <w:tcPr>
            <w:tcW w:type="dxa" w:w="1440"/>
            <w:shd w:fill="FAFAFA" w:val="clear"/>
          </w:tcPr>
          <w:p>
            <w:r>
              <w:rPr>
                <w:b/>
                <w:sz w:val="17"/>
              </w:rPr>
              <w:t>9,326</w:t>
            </w:r>
          </w:p>
        </w:tc>
        <w:tc>
          <w:tcPr>
            <w:tcW w:type="dxa" w:w="1440"/>
            <w:shd w:fill="FAFAFA" w:val="clear"/>
          </w:tcPr>
          <w:p>
            <w:r>
              <w:rPr>
                <w:sz w:val="17"/>
              </w:rPr>
              <w:t>9,773</w:t>
            </w:r>
          </w:p>
        </w:tc>
        <w:tc>
          <w:tcPr>
            <w:tcW w:type="dxa" w:w="1440"/>
            <w:shd w:fill="FAFAFA" w:val="clear"/>
          </w:tcPr>
          <w:p>
            <w:r>
              <w:rPr>
                <w:b/>
                <w:color w:val="C00000"/>
                <w:sz w:val="17"/>
              </w:rPr>
              <w:t>-1.8%</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8,657</w:t>
            </w:r>
          </w:p>
        </w:tc>
        <w:tc>
          <w:tcPr>
            <w:tcW w:type="dxa" w:w="1440"/>
            <w:shd w:fill="FFDCE0" w:val="clear"/>
          </w:tcPr>
          <w:p>
            <w:r>
              <w:rPr>
                <w:b/>
                <w:sz w:val="17"/>
              </w:rPr>
              <w:t>9,287</w:t>
            </w:r>
          </w:p>
        </w:tc>
        <w:tc>
          <w:tcPr>
            <w:tcW w:type="dxa" w:w="1440"/>
            <w:shd w:fill="FFDCE0" w:val="clear"/>
          </w:tcPr>
          <w:p>
            <w:r>
              <w:rPr>
                <w:sz w:val="17"/>
              </w:rPr>
              <w:t>9,917</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8,474</w:t>
            </w:r>
          </w:p>
        </w:tc>
        <w:tc>
          <w:tcPr>
            <w:tcW w:type="dxa" w:w="1440"/>
            <w:shd w:fill="FFDCE0" w:val="clear"/>
          </w:tcPr>
          <w:p>
            <w:r>
              <w:rPr>
                <w:b/>
                <w:sz w:val="17"/>
              </w:rPr>
              <w:t>9,242</w:t>
            </w:r>
          </w:p>
        </w:tc>
        <w:tc>
          <w:tcPr>
            <w:tcW w:type="dxa" w:w="1440"/>
            <w:shd w:fill="FFDCE0" w:val="clear"/>
          </w:tcPr>
          <w:p>
            <w:r>
              <w:rPr>
                <w:sz w:val="17"/>
              </w:rPr>
              <w:t>10,010</w:t>
            </w:r>
          </w:p>
        </w:tc>
        <w:tc>
          <w:tcPr>
            <w:tcW w:type="dxa" w:w="1440"/>
            <w:shd w:fill="FFDCE0" w:val="clear"/>
          </w:tcPr>
          <w:p>
            <w:r>
              <w:rPr>
                <w:b/>
                <w:color w:val="C00000"/>
                <w:sz w:val="17"/>
              </w:rPr>
              <w:t>-2.7%</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8,317</w:t>
            </w:r>
          </w:p>
        </w:tc>
        <w:tc>
          <w:tcPr>
            <w:tcW w:type="dxa" w:w="1440"/>
            <w:shd w:fill="FFDCE0" w:val="clear"/>
          </w:tcPr>
          <w:p>
            <w:r>
              <w:rPr>
                <w:b/>
                <w:sz w:val="17"/>
              </w:rPr>
              <w:t>9,200</w:t>
            </w:r>
          </w:p>
        </w:tc>
        <w:tc>
          <w:tcPr>
            <w:tcW w:type="dxa" w:w="1440"/>
            <w:shd w:fill="FFDCE0" w:val="clear"/>
          </w:tcPr>
          <w:p>
            <w:r>
              <w:rPr>
                <w:sz w:val="17"/>
              </w:rPr>
              <w:t>10,083</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8,178</w:t>
            </w:r>
          </w:p>
        </w:tc>
        <w:tc>
          <w:tcPr>
            <w:tcW w:type="dxa" w:w="1440"/>
            <w:shd w:fill="FFDCE0" w:val="clear"/>
          </w:tcPr>
          <w:p>
            <w:r>
              <w:rPr>
                <w:b/>
                <w:sz w:val="17"/>
              </w:rPr>
              <w:t>9,161</w:t>
            </w:r>
          </w:p>
        </w:tc>
        <w:tc>
          <w:tcPr>
            <w:tcW w:type="dxa" w:w="1440"/>
            <w:shd w:fill="FFDCE0" w:val="clear"/>
          </w:tcPr>
          <w:p>
            <w:r>
              <w:rPr>
                <w:sz w:val="17"/>
              </w:rPr>
              <w:t>10,144</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8,049</w:t>
            </w:r>
          </w:p>
        </w:tc>
        <w:tc>
          <w:tcPr>
            <w:tcW w:type="dxa" w:w="1440"/>
            <w:shd w:fill="FFDCE0" w:val="clear"/>
          </w:tcPr>
          <w:p>
            <w:r>
              <w:rPr>
                <w:b/>
                <w:sz w:val="17"/>
              </w:rPr>
              <w:t>9,122</w:t>
            </w:r>
          </w:p>
        </w:tc>
        <w:tc>
          <w:tcPr>
            <w:tcW w:type="dxa" w:w="1440"/>
            <w:shd w:fill="FFDCE0" w:val="clear"/>
          </w:tcPr>
          <w:p>
            <w:r>
              <w:rPr>
                <w:sz w:val="17"/>
              </w:rPr>
              <w:t>10,194</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7,930</w:t>
            </w:r>
          </w:p>
        </w:tc>
        <w:tc>
          <w:tcPr>
            <w:tcW w:type="dxa" w:w="1440"/>
            <w:shd w:fill="FFDCE0" w:val="clear"/>
          </w:tcPr>
          <w:p>
            <w:r>
              <w:rPr>
                <w:b/>
                <w:sz w:val="17"/>
              </w:rPr>
              <w:t>9,083</w:t>
            </w:r>
          </w:p>
        </w:tc>
        <w:tc>
          <w:tcPr>
            <w:tcW w:type="dxa" w:w="1440"/>
            <w:shd w:fill="FFDCE0" w:val="clear"/>
          </w:tcPr>
          <w:p>
            <w:r>
              <w:rPr>
                <w:sz w:val="17"/>
              </w:rPr>
              <w:t>10,236</w:t>
            </w:r>
          </w:p>
        </w:tc>
        <w:tc>
          <w:tcPr>
            <w:tcW w:type="dxa" w:w="1440"/>
            <w:shd w:fill="FFDCE0" w:val="clear"/>
          </w:tcPr>
          <w:p>
            <w:r>
              <w:rPr>
                <w:b/>
                <w:color w:val="C00000"/>
                <w:sz w:val="17"/>
              </w:rPr>
              <w:t>-4.4%</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7,817</w:t>
            </w:r>
          </w:p>
        </w:tc>
        <w:tc>
          <w:tcPr>
            <w:tcW w:type="dxa" w:w="1440"/>
            <w:shd w:fill="FFDCE0" w:val="clear"/>
          </w:tcPr>
          <w:p>
            <w:r>
              <w:rPr>
                <w:b/>
                <w:sz w:val="17"/>
              </w:rPr>
              <w:t>9,045</w:t>
            </w:r>
          </w:p>
        </w:tc>
        <w:tc>
          <w:tcPr>
            <w:tcW w:type="dxa" w:w="1440"/>
            <w:shd w:fill="FFDCE0" w:val="clear"/>
          </w:tcPr>
          <w:p>
            <w:r>
              <w:rPr>
                <w:sz w:val="17"/>
              </w:rPr>
              <w:t>10,272</w:t>
            </w:r>
          </w:p>
        </w:tc>
        <w:tc>
          <w:tcPr>
            <w:tcW w:type="dxa" w:w="1440"/>
            <w:shd w:fill="FFDCE0" w:val="clear"/>
          </w:tcPr>
          <w:p>
            <w:r>
              <w:rPr>
                <w:b/>
                <w:color w:val="C00000"/>
                <w:sz w:val="17"/>
              </w:rPr>
              <w:t>-4.8%</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7,710</w:t>
            </w:r>
          </w:p>
        </w:tc>
        <w:tc>
          <w:tcPr>
            <w:tcW w:type="dxa" w:w="1440"/>
            <w:shd w:fill="FFDCE0" w:val="clear"/>
          </w:tcPr>
          <w:p>
            <w:r>
              <w:rPr>
                <w:b/>
                <w:sz w:val="17"/>
              </w:rPr>
              <w:t>9,007</w:t>
            </w:r>
          </w:p>
        </w:tc>
        <w:tc>
          <w:tcPr>
            <w:tcW w:type="dxa" w:w="1440"/>
            <w:shd w:fill="FFDCE0" w:val="clear"/>
          </w:tcPr>
          <w:p>
            <w:r>
              <w:rPr>
                <w:sz w:val="17"/>
              </w:rPr>
              <w:t>10,303</w:t>
            </w:r>
          </w:p>
        </w:tc>
        <w:tc>
          <w:tcPr>
            <w:tcW w:type="dxa" w:w="1440"/>
            <w:shd w:fill="FFDCE0" w:val="clear"/>
          </w:tcPr>
          <w:p>
            <w:r>
              <w:rPr>
                <w:b/>
                <w:color w:val="C00000"/>
                <w:sz w:val="17"/>
              </w:rPr>
              <w:t>-5.2%</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7,609</w:t>
            </w:r>
          </w:p>
        </w:tc>
        <w:tc>
          <w:tcPr>
            <w:tcW w:type="dxa" w:w="1440"/>
            <w:shd w:fill="FFDCE0" w:val="clear"/>
          </w:tcPr>
          <w:p>
            <w:r>
              <w:rPr>
                <w:b/>
                <w:sz w:val="17"/>
              </w:rPr>
              <w:t>8,970</w:t>
            </w:r>
          </w:p>
        </w:tc>
        <w:tc>
          <w:tcPr>
            <w:tcW w:type="dxa" w:w="1440"/>
            <w:shd w:fill="FFDCE0" w:val="clear"/>
          </w:tcPr>
          <w:p>
            <w:r>
              <w:rPr>
                <w:sz w:val="17"/>
              </w:rPr>
              <w:t>10,331</w:t>
            </w:r>
          </w:p>
        </w:tc>
        <w:tc>
          <w:tcPr>
            <w:tcW w:type="dxa" w:w="1440"/>
            <w:shd w:fill="FFDCE0" w:val="clear"/>
          </w:tcPr>
          <w:p>
            <w:r>
              <w:rPr>
                <w:b/>
                <w:color w:val="C00000"/>
                <w:sz w:val="17"/>
              </w:rPr>
              <w:t>-5.6%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242,80 milliards FCFA, ce qui en fait l'une des valeurs les plus significatives de la BRVM, reflétant sa position de leader dans le secteur agro-industriel. Avec un BPA de 977 FCFA, le titre se négocie à un PER de 9,7x, un niveau inférieur à la moyenne historique du marché BRVM (8-12x), suggérant une sous-évaluation relative de la valeur. Le P/B de 1,76x indique que le marché valorise la société à environ 76% au-dessus de sa valeur comptable, ce qui est raisonnable pour une entreprise avec un ROE supérieur à 18%. Enfin, l'EV/EBITDA de 5,9x confirme une valorisation attractive, car elle se situe dans la fourchette basse des 5-10x, signalant que la capacité opérationnelle de l'entreprise n'est pas surévaluée par le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progression spectaculaire de +35,71%, avec un cours actuel de 9 500 FCFA, proche de son plus haut historique de 9 660 FCFA et très éloigné de son plus bas de 6 720 FCFA. La variation à J-1 est nulle, marquant une pause après une forte ascension. La moyenne du cours sur la période (7 584 FCFA) est inférieure à la médiane (7 500 FCFA), et le mode (7 600 FCFA) est proche de la médiane, indiquant une distribution légèrement asymétrique positive (skewness de 1,692), avec des journées plus nombreuses sous la moyenne. L'écart-type de 633 FCFA (CV = 8,4%) révèle une dispersion modérée, mais le kurtosis de 2,799 (leptokurtique) signale un risque de mouvements extrêmes. La volatilité annualisée de 39,3% classe le titre comme très volatil (&gt;30%),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La MM20 (8 478,5 FCFA) et la MM50 (7 949,9 FCFA) sont toutes deux largement inférieures au cours actuel de 9 500 FCFA, confirmant une tendance haussière solide. Le croisement haussier des moyennes mobiles et la position du prix au-dessus de ces niveaux clés justifient la décision d'achat.</w:t>
      </w:r>
    </w:p>
    <w:p>
      <w:pPr>
        <w:spacing w:after="120" w:line="276" w:lineRule="auto"/>
      </w:pPr>
      <w:r>
        <w:t>**Bandes de Bollinger** : Le cours se situe à 9 500 FCFA, entre la borne supérieure (10 086,48 FCFA) et la borne inférieure (6 870,52 FCFA), avec une largeur de bandes importante reflétant la volatilité élevée. La position du prix dans la partie haute des bandes indique une pression acheteuse, mais sans atteindre la zone de surachat extrême, d'où une décision neutre.</w:t>
      </w:r>
    </w:p>
    <w:p>
      <w:pPr>
        <w:spacing w:after="120" w:line="276" w:lineRule="auto"/>
      </w:pPr>
      <w:r>
        <w:t>**MACD** : La valeur du MACD (493,67) est supérieure à son signal (397,47), confirmant un momentum haussier positif. Cette divergence positive indique que la dynamique de hausse reste intacte, justifiant la décision d'achat.</w:t>
      </w:r>
    </w:p>
    <w:p>
      <w:pPr>
        <w:spacing w:after="120" w:line="276" w:lineRule="auto"/>
      </w:pPr>
      <w:r>
        <w:t>**RSI** : À 72,35, le RSI entre en zone de surachat (&gt;70), signalant une possible correction à court terme. Cette valeur élevée suggère que le titre est temporairement surévalué d'un point de vue technique, justifiant la décision de vente.</w:t>
      </w:r>
    </w:p>
    <w:p>
      <w:pPr>
        <w:spacing w:after="120" w:line="276" w:lineRule="auto"/>
      </w:pPr>
      <w:r>
        <w:t>**Stochastique** : Le %K (91,06) et le %D (86,60) sont tous deux en zone de surachat extrême (&gt;80), avec un croisement potentiel baissier imminent. Cette configuration indique un épuisement probable de la tendance haussière à court terme, justifiant la décision de vente.</w:t>
      </w:r>
    </w:p>
    <w:p>
      <w:pPr>
        <w:spacing w:after="120" w:line="276" w:lineRule="auto"/>
      </w:pPr>
      <w:r>
        <w:t>**Conclusion technique** : Les indicateurs de tendance (MM, MACD) sont résolument haussiers, mais les oscillateurs (RSI, Stochastique) signalent un surachat sévère. Cette divergence suggère une consolidation ou une correction technique à court terme avant la poursuite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 chiffre d'affaires de 340,83 milliards FCFA, en hausse de 22% par rapport à 2024 (279,44 milliards FCFA), avec un résultat net de 24,97 milliards FCFA (+32,9% vs 2024). La marge nette s'est améliorée à 7,33%, et le ROE atteint 18,1%, un niveau excellent, tandis que le ROA s'établit à 11,06%. La structure financière est saine avec une autonomie financière de 61,08% et un ratio d'endettement maîtrisé de 25,81%. Cependant, le BFR de 65,39 milliards FCFA et la trésorerie nette négative de -15,41 milliards FCFA constituent des points de vigilance, bien que la capacité de remboursement soit rapide (0,97 an). Les rapports trimestriels 2025 montrent une dynamique exceptionnelle : le T1 2025 affichait un CA de 94,3 milliards FCFA (+72%) et un résultat net de 11,8 milliards FCFA (+949%), tandis que le S1 2025 confirmait avec un CA de 171,4 milliards FCFA (+51%) et un résultat net de 18,1 milliards FCFA (+449%). Le T3 2025 (cumul 9 mois) montrait un CA de 253,7 milliards FCFA (+36%) et un résultat net de 23,15 milliards FCFA (+131%). Cependant, le rapport T1 2026 (daté de 2026) révèle un net ralentissement : CA de 71,8 milliards FCFA (-24%) et résultat net de 2,6 milliards FCFA (-78%), pénalisé par la chute des cours mondiaux du caoutchouc et l'engorgement du port de San Pedro. Sur la base de ce T1 2026, on estime que l'exercice 2026 pourrait voir un CA annuel autour de 287 milliards FCFA (estimation) et un résultat net d'environ 10,4 milliards FCFA (estimation), soit une baisse significative par rapport à 2025. Les fondamentaux restent solides, mais la dépendance aux cours du caoutchouc et la concurrence accrue sur la matière première constituent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de SPHC (PER 9,7x, P/B 1,76x, EV/EBITDA 5,9x) indique une sous-évaluation relative, soutenue par des fondamentaux solides en 2025 (CA +22%, ROE 18,1%). Le comportement du cours montre une tendance haussière forte (+35,71% sur 100 jours) mais avec une volatilité très élevée (39,3%) et un risque de pics (kurtosis leptokurtique). Les signaux techniques sont mitigés : les indicateurs de tendance (MM, MACD) sont haussiers, mais les oscillateurs (RSI 72,35, Stochastique 91/86,6) signalent un surachat sévère, suggérant une correction à court terme. Les fondamentaux 2026 montrent un ralentissement marqué (T1 2026 : CA -24%, RN -78%), mais la société maintient une structure financière solide. Les prédictions IA (9 326 FCFA à J+1, 9 161 FCFA à J+10) confirment une légère correction attendue, en ligne avec les signaux techniques de surachat. En synthèse, la convergence entre la sous-évaluation, la solidité financière et la correction technique anticipée justifie une recommandation **CONSERVER** avec un niveau de confiance **Moyen** et un risque global **Élevé**. L'horizon d'investissement optimal serait le **moyen terme (3-12 mois)**, en attendant une stabilisation des cours du caoutchouc et une confirmation de la reprise au T2/T3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36.83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6,144 titres</w:t>
            </w:r>
          </w:p>
        </w:tc>
        <w:tc>
          <w:tcPr>
            <w:tcW w:type="dxa" w:w="2268"/>
            <w:shd w:fill="FFF2CC" w:val="clear"/>
          </w:tcPr>
          <w:p>
            <w:r>
              <w:rPr>
                <w:b/>
                <w:color w:val="503200"/>
                <w:sz w:val="16"/>
              </w:rPr>
              <w:t xml:space="preserve">Cours actuel : </w:t>
            </w:r>
            <w:r>
              <w:rPr>
                <w:color w:val="000000"/>
                <w:sz w:val="17"/>
              </w:rPr>
              <w:t>2,740 FCFA</w:t>
            </w:r>
          </w:p>
          <w:p>
            <w:r>
              <w:rPr>
                <w:b/>
                <w:color w:val="503200"/>
                <w:sz w:val="16"/>
              </w:rPr>
              <w:t xml:space="preserve">Var. 100 jours : </w:t>
            </w:r>
            <w:r>
              <w:rPr>
                <w:b/>
                <w:color w:val="B40000"/>
                <w:sz w:val="17"/>
              </w:rPr>
              <w:t>-18.81%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63.2%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11.27% (Moyenne) — μ=3,028 FCFA, σ=341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β=-0.6352 (Contre-cyclique) — Cov=-0.000023, Var(idx)=0.000036, ρ=-0.097,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σ_j=3.98%/j (Modérée) — Vol. annualisée≈63.2%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2026-09-01</w:t>
            </w:r>
          </w:p>
        </w:tc>
        <w:tc>
          <w:tcPr>
            <w:tcW w:type="dxa" w:w="1440"/>
            <w:shd w:fill="FFDCE0" w:val="clear"/>
          </w:tcPr>
          <w:p>
            <w:r>
              <w:rPr>
                <w:sz w:val="17"/>
              </w:rPr>
              <w:t>2,468</w:t>
            </w:r>
          </w:p>
        </w:tc>
        <w:tc>
          <w:tcPr>
            <w:tcW w:type="dxa" w:w="1440"/>
            <w:shd w:fill="FFDCE0" w:val="clear"/>
          </w:tcPr>
          <w:p>
            <w:r>
              <w:rPr>
                <w:b/>
                <w:sz w:val="17"/>
              </w:rPr>
              <w:t>2,588</w:t>
            </w:r>
          </w:p>
        </w:tc>
        <w:tc>
          <w:tcPr>
            <w:tcW w:type="dxa" w:w="1440"/>
            <w:shd w:fill="FFDCE0" w:val="clear"/>
          </w:tcPr>
          <w:p>
            <w:r>
              <w:rPr>
                <w:sz w:val="17"/>
              </w:rPr>
              <w:t>2,709</w:t>
            </w:r>
          </w:p>
        </w:tc>
        <w:tc>
          <w:tcPr>
            <w:tcW w:type="dxa" w:w="1440"/>
            <w:shd w:fill="FFDCE0" w:val="clear"/>
          </w:tcPr>
          <w:p>
            <w:r>
              <w:rPr>
                <w:b/>
                <w:color w:val="C00000"/>
                <w:sz w:val="17"/>
              </w:rPr>
              <w:t>-5.5%</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2,299</w:t>
            </w:r>
          </w:p>
        </w:tc>
        <w:tc>
          <w:tcPr>
            <w:tcW w:type="dxa" w:w="1440"/>
            <w:shd w:fill="FFDCE0" w:val="clear"/>
          </w:tcPr>
          <w:p>
            <w:r>
              <w:rPr>
                <w:b/>
                <w:sz w:val="17"/>
              </w:rPr>
              <w:t>2,461</w:t>
            </w:r>
          </w:p>
        </w:tc>
        <w:tc>
          <w:tcPr>
            <w:tcW w:type="dxa" w:w="1440"/>
            <w:shd w:fill="FFDCE0" w:val="clear"/>
          </w:tcPr>
          <w:p>
            <w:r>
              <w:rPr>
                <w:sz w:val="17"/>
              </w:rPr>
              <w:t>2,623</w:t>
            </w:r>
          </w:p>
        </w:tc>
        <w:tc>
          <w:tcPr>
            <w:tcW w:type="dxa" w:w="1440"/>
            <w:shd w:fill="FFDCE0" w:val="clear"/>
          </w:tcPr>
          <w:p>
            <w:r>
              <w:rPr>
                <w:b/>
                <w:color w:val="C00000"/>
                <w:sz w:val="17"/>
              </w:rPr>
              <w:t>-10.2%</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2,114</w:t>
            </w:r>
          </w:p>
        </w:tc>
        <w:tc>
          <w:tcPr>
            <w:tcW w:type="dxa" w:w="1440"/>
            <w:shd w:fill="FFDCE0" w:val="clear"/>
          </w:tcPr>
          <w:p>
            <w:r>
              <w:rPr>
                <w:b/>
                <w:sz w:val="17"/>
              </w:rPr>
              <w:t>2,299</w:t>
            </w:r>
          </w:p>
        </w:tc>
        <w:tc>
          <w:tcPr>
            <w:tcW w:type="dxa" w:w="1440"/>
            <w:shd w:fill="FFDCE0" w:val="clear"/>
          </w:tcPr>
          <w:p>
            <w:r>
              <w:rPr>
                <w:sz w:val="17"/>
              </w:rPr>
              <w:t>2,484</w:t>
            </w:r>
          </w:p>
        </w:tc>
        <w:tc>
          <w:tcPr>
            <w:tcW w:type="dxa" w:w="1440"/>
            <w:shd w:fill="FFDCE0" w:val="clear"/>
          </w:tcPr>
          <w:p>
            <w:r>
              <w:rPr>
                <w:b/>
                <w:color w:val="C00000"/>
                <w:sz w:val="17"/>
              </w:rPr>
              <w:t>-16.1%</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1,942</w:t>
            </w:r>
          </w:p>
        </w:tc>
        <w:tc>
          <w:tcPr>
            <w:tcW w:type="dxa" w:w="1440"/>
            <w:shd w:fill="FFDCE0" w:val="clear"/>
          </w:tcPr>
          <w:p>
            <w:r>
              <w:rPr>
                <w:b/>
                <w:sz w:val="17"/>
              </w:rPr>
              <w:t>2,142</w:t>
            </w:r>
          </w:p>
        </w:tc>
        <w:tc>
          <w:tcPr>
            <w:tcW w:type="dxa" w:w="1440"/>
            <w:shd w:fill="FFDCE0" w:val="clear"/>
          </w:tcPr>
          <w:p>
            <w:r>
              <w:rPr>
                <w:sz w:val="17"/>
              </w:rPr>
              <w:t>2,341</w:t>
            </w:r>
          </w:p>
        </w:tc>
        <w:tc>
          <w:tcPr>
            <w:tcW w:type="dxa" w:w="1440"/>
            <w:shd w:fill="FFDCE0" w:val="clear"/>
          </w:tcPr>
          <w:p>
            <w:r>
              <w:rPr>
                <w:b/>
                <w:color w:val="C00000"/>
                <w:sz w:val="17"/>
              </w:rPr>
              <w:t>-21.8%</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1,797</w:t>
            </w:r>
          </w:p>
        </w:tc>
        <w:tc>
          <w:tcPr>
            <w:tcW w:type="dxa" w:w="1440"/>
            <w:shd w:fill="FFDCE0" w:val="clear"/>
          </w:tcPr>
          <w:p>
            <w:r>
              <w:rPr>
                <w:b/>
                <w:sz w:val="17"/>
              </w:rPr>
              <w:t>2,005</w:t>
            </w:r>
          </w:p>
        </w:tc>
        <w:tc>
          <w:tcPr>
            <w:tcW w:type="dxa" w:w="1440"/>
            <w:shd w:fill="FFDCE0" w:val="clear"/>
          </w:tcPr>
          <w:p>
            <w:r>
              <w:rPr>
                <w:sz w:val="17"/>
              </w:rPr>
              <w:t>2,214</w:t>
            </w:r>
          </w:p>
        </w:tc>
        <w:tc>
          <w:tcPr>
            <w:tcW w:type="dxa" w:w="1440"/>
            <w:shd w:fill="FFDCE0" w:val="clear"/>
          </w:tcPr>
          <w:p>
            <w:r>
              <w:rPr>
                <w:b/>
                <w:color w:val="C00000"/>
                <w:sz w:val="17"/>
              </w:rPr>
              <w:t>-26.8%</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1,678</w:t>
            </w:r>
          </w:p>
        </w:tc>
        <w:tc>
          <w:tcPr>
            <w:tcW w:type="dxa" w:w="1440"/>
            <w:shd w:fill="FFDCE0" w:val="clear"/>
          </w:tcPr>
          <w:p>
            <w:r>
              <w:rPr>
                <w:b/>
                <w:sz w:val="17"/>
              </w:rPr>
              <w:t>1,894</w:t>
            </w:r>
          </w:p>
        </w:tc>
        <w:tc>
          <w:tcPr>
            <w:tcW w:type="dxa" w:w="1440"/>
            <w:shd w:fill="FFDCE0" w:val="clear"/>
          </w:tcPr>
          <w:p>
            <w:r>
              <w:rPr>
                <w:sz w:val="17"/>
              </w:rPr>
              <w:t>2,109</w:t>
            </w:r>
          </w:p>
        </w:tc>
        <w:tc>
          <w:tcPr>
            <w:tcW w:type="dxa" w:w="1440"/>
            <w:shd w:fill="FFDCE0" w:val="clear"/>
          </w:tcPr>
          <w:p>
            <w:r>
              <w:rPr>
                <w:b/>
                <w:color w:val="C00000"/>
                <w:sz w:val="17"/>
              </w:rPr>
              <w:t>-30.9%</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1,582</w:t>
            </w:r>
          </w:p>
        </w:tc>
        <w:tc>
          <w:tcPr>
            <w:tcW w:type="dxa" w:w="1440"/>
            <w:shd w:fill="FFDCE0" w:val="clear"/>
          </w:tcPr>
          <w:p>
            <w:r>
              <w:rPr>
                <w:b/>
                <w:sz w:val="17"/>
              </w:rPr>
              <w:t>1,804</w:t>
            </w:r>
          </w:p>
        </w:tc>
        <w:tc>
          <w:tcPr>
            <w:tcW w:type="dxa" w:w="1440"/>
            <w:shd w:fill="FFDCE0" w:val="clear"/>
          </w:tcPr>
          <w:p>
            <w:r>
              <w:rPr>
                <w:sz w:val="17"/>
              </w:rPr>
              <w:t>2,026</w:t>
            </w:r>
          </w:p>
        </w:tc>
        <w:tc>
          <w:tcPr>
            <w:tcW w:type="dxa" w:w="1440"/>
            <w:shd w:fill="FFDCE0" w:val="clear"/>
          </w:tcPr>
          <w:p>
            <w:r>
              <w:rPr>
                <w:b/>
                <w:color w:val="C00000"/>
                <w:sz w:val="17"/>
              </w:rPr>
              <w:t>-34.2%</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1,504</w:t>
            </w:r>
          </w:p>
        </w:tc>
        <w:tc>
          <w:tcPr>
            <w:tcW w:type="dxa" w:w="1440"/>
            <w:shd w:fill="FFDCE0" w:val="clear"/>
          </w:tcPr>
          <w:p>
            <w:r>
              <w:rPr>
                <w:b/>
                <w:sz w:val="17"/>
              </w:rPr>
              <w:t>1,732</w:t>
            </w:r>
          </w:p>
        </w:tc>
        <w:tc>
          <w:tcPr>
            <w:tcW w:type="dxa" w:w="1440"/>
            <w:shd w:fill="FFDCE0" w:val="clear"/>
          </w:tcPr>
          <w:p>
            <w:r>
              <w:rPr>
                <w:sz w:val="17"/>
              </w:rPr>
              <w:t>1,960</w:t>
            </w:r>
          </w:p>
        </w:tc>
        <w:tc>
          <w:tcPr>
            <w:tcW w:type="dxa" w:w="1440"/>
            <w:shd w:fill="FFDCE0" w:val="clear"/>
          </w:tcPr>
          <w:p>
            <w:r>
              <w:rPr>
                <w:b/>
                <w:color w:val="C00000"/>
                <w:sz w:val="17"/>
              </w:rPr>
              <w:t>-36.8%</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1,440</w:t>
            </w:r>
          </w:p>
        </w:tc>
        <w:tc>
          <w:tcPr>
            <w:tcW w:type="dxa" w:w="1440"/>
            <w:shd w:fill="FFDCE0" w:val="clear"/>
          </w:tcPr>
          <w:p>
            <w:r>
              <w:rPr>
                <w:b/>
                <w:sz w:val="17"/>
              </w:rPr>
              <w:t>1,673</w:t>
            </w:r>
          </w:p>
        </w:tc>
        <w:tc>
          <w:tcPr>
            <w:tcW w:type="dxa" w:w="1440"/>
            <w:shd w:fill="FFDCE0" w:val="clear"/>
          </w:tcPr>
          <w:p>
            <w:r>
              <w:rPr>
                <w:sz w:val="17"/>
              </w:rPr>
              <w:t>1,907</w:t>
            </w:r>
          </w:p>
        </w:tc>
        <w:tc>
          <w:tcPr>
            <w:tcW w:type="dxa" w:w="1440"/>
            <w:shd w:fill="FFDCE0" w:val="clear"/>
          </w:tcPr>
          <w:p>
            <w:r>
              <w:rPr>
                <w:b/>
                <w:color w:val="C00000"/>
                <w:sz w:val="17"/>
              </w:rPr>
              <w:t>-38.9%</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1,385</w:t>
            </w:r>
          </w:p>
        </w:tc>
        <w:tc>
          <w:tcPr>
            <w:tcW w:type="dxa" w:w="1440"/>
            <w:shd w:fill="FFDCE0" w:val="clear"/>
          </w:tcPr>
          <w:p>
            <w:r>
              <w:rPr>
                <w:b/>
                <w:sz w:val="17"/>
              </w:rPr>
              <w:t>1,624</w:t>
            </w:r>
          </w:p>
        </w:tc>
        <w:tc>
          <w:tcPr>
            <w:tcW w:type="dxa" w:w="1440"/>
            <w:shd w:fill="FFDCE0" w:val="clear"/>
          </w:tcPr>
          <w:p>
            <w:r>
              <w:rPr>
                <w:sz w:val="17"/>
              </w:rPr>
              <w:t>1,863</w:t>
            </w:r>
          </w:p>
        </w:tc>
        <w:tc>
          <w:tcPr>
            <w:tcW w:type="dxa" w:w="1440"/>
            <w:shd w:fill="FFDCE0" w:val="clear"/>
          </w:tcPr>
          <w:p>
            <w:r>
              <w:rPr>
                <w:b/>
                <w:color w:val="C00000"/>
                <w:sz w:val="17"/>
              </w:rPr>
              <w:t>-40.7%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**Date de l'analyse : 31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36,83 milliards FCFA, un niveau modeste dans l'écosystème de la BRVM, dominé par les grandes capitalisations comme Sonatel ou les valeurs bancaires. Le BPA est négatif à -7 FCFA, traduisant une perte nette par action, ce qui rend le PER non significatif à -381,4x. Ce ratio négatif indique que les investisseurs paient pour des pertes, une situation atypique qui reflète des anticipations de redressement futur. Le P/B de 103,23x est extrêmement élevé, signifiant que le marché valorise l'actif net comptable à une prime considérable, ce qui est exigeant et risqué, surtout pour une société déficitaire. En l'absence de données sur l'EBITDA, le ratio EV/EBITDA ne peut être calculé, mais la valorisation actuelle semble largement anticiper un retournement majeur de la rentabilité.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baisse significative de -18,81%, mais a rebondi de +5,59% lors de la dernière séance, montrant une tentative de reprise technique. Le cours a évolué dans une fourchette large, entre un plus bas de 2 515 FCFA et un plus haut de 3 895 FCFA, illustrant une forte volatilité. La moyenne du cours sur la période est de 3 028 FCFA, très proche de la médiane (2 990 FCFA) et du mode (3 000 FCFA), ce qui indique une distribution relativement symétrique des prix autour de 3 000 FCFA. L'écart-type de 343 FCFA (CV=11,3%) montre une dispersion modérée des prix autour de la moyenne. Le kurtosis de -0,910 (mésokurtique) suggère une distribution proche de la normale, sans risque de variations extrêmes, tandis que le skewness de 0,415 indique une légère asymétrie positive, avec quelques pics de prix à la hausse. La volatilité annualisée de 63,2% est très élevée, classant le titre comme extrêmement risqué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(MM20=2635,25 / MM50=2993,9) :** Le cours actuel (2 740 FCFA) est supérieur à la MM20 mais nettement inférieur à la MM50, indiquant une dynamique de court terme positive mais une tendance de fond baissière. La décision de "Vente" est justifiée par la configuration baissière de moyen terme, le cours évoluant sous la MM50.</w:t>
      </w:r>
    </w:p>
    <w:p>
      <w:pPr>
        <w:spacing w:after="120" w:line="276" w:lineRule="auto"/>
      </w:pPr>
      <w:r>
        <w:t>**Bandes de Bollinger (Borne sup=2801,207 / Borne inf=2469,293) :** Le cours se situe dans la partie médiane-haute des bandes, proche de la borne supérieure, ce qui suggère une pression acheteuse récente. La décision "Neutre" est cohérente, le prix n'étant pas en zone de surachat ou de survente extrême, mais la largeur des bandes reflète la forte volatilité du titre.</w:t>
      </w:r>
    </w:p>
    <w:p>
      <w:pPr>
        <w:spacing w:after="120" w:line="276" w:lineRule="auto"/>
      </w:pPr>
      <w:r>
        <w:t>**MACD (Valeur=-93,455 / Signal=-123,894) :** Le MACD est négatif mais au-dessus de sa ligne de signal, indiquant un momentum haussier en train de se former. La décision "Achat" est justifiée par ce croisement haussier, qui suggère une possible poursuite du rebond à court terme.</w:t>
      </w:r>
    </w:p>
    <w:p>
      <w:pPr>
        <w:spacing w:after="120" w:line="276" w:lineRule="auto"/>
      </w:pPr>
      <w:r>
        <w:t>**RSI (Valeur=61,702) :** Le RSI est en zone neutre, proche de la zone de surachat (70), montrant une dynamique positive sans être excessive. La décision "Neutre" est appropriée, laissant la place à une poursuite de la hausse avant une éventuelle correction.</w:t>
      </w:r>
    </w:p>
    <w:p>
      <w:pPr>
        <w:spacing w:after="120" w:line="276" w:lineRule="auto"/>
      </w:pPr>
      <w:r>
        <w:t>**Stochastique (%K=100,0 / %D=66,092) :** Le %K est à son niveau maximal de 100, signalant une condition de surachat extrême. La décision "Vente" est justifiée, car un tel niveau précède souvent un repli technique.</w:t>
      </w:r>
    </w:p>
    <w:p>
      <w:pPr>
        <w:spacing w:after="120" w:line="276" w:lineRule="auto"/>
      </w:pPr>
      <w:r>
        <w:t>**Conclusion technique :** Les indicateurs sont mitigés. Le MACD et le RSI suggèrent un potentiel haussier, mais le Stochastique en surachat extrême et la MM50 baissière indiquent des risques de correction. La tendance de fond reste baissière, et le rebond actuel semble fragile.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une situation financière très dégradée. Le chiffre d'affaires s'établit à 3,878 milliards FCFA, mais la société enregistre une perte nette de -96,56 millions FCFA, avec un ROE de -27,07% et un ROA de -1,77%, reflétant une rentabilité fortement négative. La marge opérationnelle est également très négative à -19,90%, et l'EBE est déficitaire de -650 millions FCFA. Le BFR est négatif à -930 millions FCFA, ce qui est un point positif pour une entreprise, indiquant que les dettes fournisseurs financent l'exploitation. Cependant, la dépendance financière est extrême à 129,87%, et l'autonomie financière est faible à 6,55%, signe d'une structure de bilan fragile. Les rapports trimestriels de 2025 montrent une reprise d'activité : le CA du S1 2025 a bondi de +290% à 2,271 milliards FCFA, et le cumul sur 9 mois atteint 3,456 milliards FCFA (+176%), porté par le chantier de l'aéroport d'Abidjan. Cependant, la perte nette sur 9 mois reste de -477 millions FCFA, bien que la perte d'exploitation se soit réduite de moitié à -456 millions FCFA. En comparaison, l'exercice 2024 avait vu le CA s'effondrer à 1,793 milliard FCFA avec une perte de -348 millions FCFA. La prévision de CA annuel 2025 est de 4 milliards FCFA, ce qui semble atteignable. Malgré la reprise, la société reste structurellement déficitaire, et le chemin vers la rentabilité est encore long, avec une trésorerie qui reste une préoccupation majeure.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avec un P/B de 103x et un PER négatif, indiquant une forte surévaluation relative aux fondamentaux actuels. Le comportement du cours montre une tendance baissière sur 100 jours avec une volatilité très élevée, mais un rebond technique récent. Les signaux techniques sont mitigés : le MACD est haussier, mais le Stochastique est en surachat extrême et la MM50 reste baissière, suggérant une possible correction à court terme. Les fondamentaux, bien qu'en amélioration grâce à la reprise du chantier de l'aéroport, restent déficitaires avec une perte nette persistante et une structure financière fragile. Les prédictions IA pour les 10 prochains jours indiquent une chute brutale du cours, passant de 2 588 à 2 005 FCFA, ce qui contredit le rebond actuel et suggère une forte pression vendeuse à venir. En synthèse, la convergence entre la valorisation excessive, la tendance technique baissière de fond, les fondamentaux dégradés et les prédictions IA négatives est forte. **Recommandation : VENTE FORTE.** Le niveau de confiance est **Élevé**, le risque global est **Élevé**, et l'horizon d'investissement optimal est le **court terme (&lt;3 mois)** pour les investisseurs cherchant à se positionner, ou une sortie immédiate pour les détenteurs actuels.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403.99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3,679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+4.65%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6.14% (Moyenne) — μ=22,299 FCFA, σ=1,369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β=0.4626 (Défensif) — Cov=0.000017, Var(idx)=0.000036, ρ=0.121,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3,679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21,578</w:t>
            </w:r>
          </w:p>
        </w:tc>
        <w:tc>
          <w:tcPr>
            <w:tcW w:type="dxa" w:w="1440"/>
            <w:shd w:fill="FAFAFA" w:val="clear"/>
          </w:tcPr>
          <w:p>
            <w:r>
              <w:rPr>
                <w:b/>
                <w:sz w:val="17"/>
              </w:rPr>
              <w:t>22,781</w:t>
            </w:r>
          </w:p>
        </w:tc>
        <w:tc>
          <w:tcPr>
            <w:tcW w:type="dxa" w:w="1440"/>
            <w:shd w:fill="FAFAFA" w:val="clear"/>
          </w:tcPr>
          <w:p>
            <w:r>
              <w:rPr>
                <w:sz w:val="17"/>
              </w:rPr>
              <w:t>23,984</w:t>
            </w:r>
          </w:p>
        </w:tc>
        <w:tc>
          <w:tcPr>
            <w:tcW w:type="dxa" w:w="1440"/>
            <w:shd w:fill="FAFAFA" w:val="clear"/>
          </w:tcPr>
          <w:p>
            <w:r>
              <w:rPr>
                <w:b/>
                <w:color w:val="008000"/>
                <w:sz w:val="17"/>
              </w:rPr>
              <w:t>+1.2%</w:t>
            </w:r>
          </w:p>
        </w:tc>
      </w:tr>
      <w:tr>
        <w:tc>
          <w:tcPr>
            <w:tcW w:type="dxa" w:w="1440"/>
            <w:shd w:fill="C6EFCE" w:val="clear"/>
          </w:tcPr>
          <w:p>
            <w:r>
              <w:rPr>
                <w:sz w:val="17"/>
              </w:rPr>
              <w:t>J+2  ⭐</w:t>
            </w:r>
          </w:p>
        </w:tc>
        <w:tc>
          <w:tcPr>
            <w:tcW w:type="dxa" w:w="1440"/>
            <w:shd w:fill="C6EFCE" w:val="clear"/>
          </w:tcPr>
          <w:p>
            <w:r>
              <w:rPr>
                <w:sz w:val="17"/>
              </w:rPr>
              <w:t>2026-09-02</w:t>
            </w:r>
          </w:p>
        </w:tc>
        <w:tc>
          <w:tcPr>
            <w:tcW w:type="dxa" w:w="1440"/>
            <w:shd w:fill="C6EFCE" w:val="clear"/>
          </w:tcPr>
          <w:p>
            <w:r>
              <w:rPr>
                <w:sz w:val="17"/>
              </w:rPr>
              <w:t>21,263</w:t>
            </w:r>
          </w:p>
        </w:tc>
        <w:tc>
          <w:tcPr>
            <w:tcW w:type="dxa" w:w="1440"/>
            <w:shd w:fill="C6EFCE" w:val="clear"/>
          </w:tcPr>
          <w:p>
            <w:r>
              <w:rPr>
                <w:b/>
                <w:sz w:val="17"/>
              </w:rPr>
              <w:t>22,979</w:t>
            </w:r>
          </w:p>
        </w:tc>
        <w:tc>
          <w:tcPr>
            <w:tcW w:type="dxa" w:w="1440"/>
            <w:shd w:fill="C6EFCE" w:val="clear"/>
          </w:tcPr>
          <w:p>
            <w:r>
              <w:rPr>
                <w:sz w:val="17"/>
              </w:rPr>
              <w:t>24,695</w:t>
            </w:r>
          </w:p>
        </w:tc>
        <w:tc>
          <w:tcPr>
            <w:tcW w:type="dxa" w:w="1440"/>
            <w:shd w:fill="C6EFCE" w:val="clear"/>
          </w:tcPr>
          <w:p>
            <w:r>
              <w:rPr>
                <w:b/>
                <w:color w:val="008000"/>
                <w:sz w:val="17"/>
              </w:rPr>
              <w:t>+2.1%</w:t>
            </w:r>
          </w:p>
        </w:tc>
      </w:tr>
      <w:tr>
        <w:tc>
          <w:tcPr>
            <w:tcW w:type="dxa" w:w="1440"/>
            <w:shd w:fill="C6EFCE" w:val="clear"/>
          </w:tcPr>
          <w:p>
            <w:r>
              <w:rPr>
                <w:sz w:val="17"/>
              </w:rPr>
              <w:t>J+3  ⭐</w:t>
            </w:r>
          </w:p>
        </w:tc>
        <w:tc>
          <w:tcPr>
            <w:tcW w:type="dxa" w:w="1440"/>
            <w:shd w:fill="C6EFCE" w:val="clear"/>
          </w:tcPr>
          <w:p>
            <w:r>
              <w:rPr>
                <w:sz w:val="17"/>
              </w:rPr>
              <w:t>2026-09-03</w:t>
            </w:r>
          </w:p>
        </w:tc>
        <w:tc>
          <w:tcPr>
            <w:tcW w:type="dxa" w:w="1440"/>
            <w:shd w:fill="C6EFCE" w:val="clear"/>
          </w:tcPr>
          <w:p>
            <w:r>
              <w:rPr>
                <w:sz w:val="17"/>
              </w:rPr>
              <w:t>21,065</w:t>
            </w:r>
          </w:p>
        </w:tc>
        <w:tc>
          <w:tcPr>
            <w:tcW w:type="dxa" w:w="1440"/>
            <w:shd w:fill="C6EFCE" w:val="clear"/>
          </w:tcPr>
          <w:p>
            <w:r>
              <w:rPr>
                <w:b/>
                <w:sz w:val="17"/>
              </w:rPr>
              <w:t>23,186</w:t>
            </w:r>
          </w:p>
        </w:tc>
        <w:tc>
          <w:tcPr>
            <w:tcW w:type="dxa" w:w="1440"/>
            <w:shd w:fill="C6EFCE" w:val="clear"/>
          </w:tcPr>
          <w:p>
            <w:r>
              <w:rPr>
                <w:sz w:val="17"/>
              </w:rPr>
              <w:t>25,306</w:t>
            </w:r>
          </w:p>
        </w:tc>
        <w:tc>
          <w:tcPr>
            <w:tcW w:type="dxa" w:w="1440"/>
            <w:shd w:fill="C6EFCE" w:val="clear"/>
          </w:tcPr>
          <w:p>
            <w:r>
              <w:rPr>
                <w:b/>
                <w:color w:val="008000"/>
                <w:sz w:val="17"/>
              </w:rPr>
              <w:t>+3.0%</w:t>
            </w:r>
          </w:p>
        </w:tc>
      </w:tr>
      <w:tr>
        <w:tc>
          <w:tcPr>
            <w:tcW w:type="dxa" w:w="1440"/>
            <w:shd w:fill="C6EFCE" w:val="clear"/>
          </w:tcPr>
          <w:p>
            <w:r>
              <w:rPr>
                <w:sz w:val="17"/>
              </w:rPr>
              <w:t>J+4  ⭐</w:t>
            </w:r>
          </w:p>
        </w:tc>
        <w:tc>
          <w:tcPr>
            <w:tcW w:type="dxa" w:w="1440"/>
            <w:shd w:fill="C6EFCE" w:val="clear"/>
          </w:tcPr>
          <w:p>
            <w:r>
              <w:rPr>
                <w:sz w:val="17"/>
              </w:rPr>
              <w:t>2026-09-04</w:t>
            </w:r>
          </w:p>
        </w:tc>
        <w:tc>
          <w:tcPr>
            <w:tcW w:type="dxa" w:w="1440"/>
            <w:shd w:fill="C6EFCE" w:val="clear"/>
          </w:tcPr>
          <w:p>
            <w:r>
              <w:rPr>
                <w:sz w:val="17"/>
              </w:rPr>
              <w:t>20,931</w:t>
            </w:r>
          </w:p>
        </w:tc>
        <w:tc>
          <w:tcPr>
            <w:tcW w:type="dxa" w:w="1440"/>
            <w:shd w:fill="C6EFCE" w:val="clear"/>
          </w:tcPr>
          <w:p>
            <w:r>
              <w:rPr>
                <w:b/>
                <w:sz w:val="17"/>
              </w:rPr>
              <w:t>23,402</w:t>
            </w:r>
          </w:p>
        </w:tc>
        <w:tc>
          <w:tcPr>
            <w:tcW w:type="dxa" w:w="1440"/>
            <w:shd w:fill="C6EFCE" w:val="clear"/>
          </w:tcPr>
          <w:p>
            <w:r>
              <w:rPr>
                <w:sz w:val="17"/>
              </w:rPr>
              <w:t>25,873</w:t>
            </w:r>
          </w:p>
        </w:tc>
        <w:tc>
          <w:tcPr>
            <w:tcW w:type="dxa" w:w="1440"/>
            <w:shd w:fill="C6EFCE" w:val="clear"/>
          </w:tcPr>
          <w:p>
            <w:r>
              <w:rPr>
                <w:b/>
                <w:color w:val="008000"/>
                <w:sz w:val="17"/>
              </w:rPr>
              <w:t>+4.0%</w:t>
            </w:r>
          </w:p>
        </w:tc>
      </w:tr>
      <w:tr>
        <w:tc>
          <w:tcPr>
            <w:tcW w:type="dxa" w:w="1440"/>
            <w:shd w:fill="C6EFCE" w:val="clear"/>
          </w:tcPr>
          <w:p>
            <w:r>
              <w:rPr>
                <w:sz w:val="17"/>
              </w:rPr>
              <w:t>J+5  ⭐</w:t>
            </w:r>
          </w:p>
        </w:tc>
        <w:tc>
          <w:tcPr>
            <w:tcW w:type="dxa" w:w="1440"/>
            <w:shd w:fill="C6EFCE" w:val="clear"/>
          </w:tcPr>
          <w:p>
            <w:r>
              <w:rPr>
                <w:sz w:val="17"/>
              </w:rPr>
              <w:t>2026-09-07</w:t>
            </w:r>
          </w:p>
        </w:tc>
        <w:tc>
          <w:tcPr>
            <w:tcW w:type="dxa" w:w="1440"/>
            <w:shd w:fill="C6EFCE" w:val="clear"/>
          </w:tcPr>
          <w:p>
            <w:r>
              <w:rPr>
                <w:sz w:val="17"/>
              </w:rPr>
              <w:t>20,835</w:t>
            </w:r>
          </w:p>
        </w:tc>
        <w:tc>
          <w:tcPr>
            <w:tcW w:type="dxa" w:w="1440"/>
            <w:shd w:fill="C6EFCE" w:val="clear"/>
          </w:tcPr>
          <w:p>
            <w:r>
              <w:rPr>
                <w:b/>
                <w:sz w:val="17"/>
              </w:rPr>
              <w:t>23,625</w:t>
            </w:r>
          </w:p>
        </w:tc>
        <w:tc>
          <w:tcPr>
            <w:tcW w:type="dxa" w:w="1440"/>
            <w:shd w:fill="C6EFCE" w:val="clear"/>
          </w:tcPr>
          <w:p>
            <w:r>
              <w:rPr>
                <w:sz w:val="17"/>
              </w:rPr>
              <w:t>26,414</w:t>
            </w:r>
          </w:p>
        </w:tc>
        <w:tc>
          <w:tcPr>
            <w:tcW w:type="dxa" w:w="1440"/>
            <w:shd w:fill="C6EFCE" w:val="clear"/>
          </w:tcPr>
          <w:p>
            <w:r>
              <w:rPr>
                <w:b/>
                <w:color w:val="008000"/>
                <w:sz w:val="17"/>
              </w:rPr>
              <w:t>+5.0%</w:t>
            </w:r>
          </w:p>
        </w:tc>
      </w:tr>
      <w:tr>
        <w:tc>
          <w:tcPr>
            <w:tcW w:type="dxa" w:w="1440"/>
            <w:shd w:fill="C6EFCE" w:val="clear"/>
          </w:tcPr>
          <w:p>
            <w:r>
              <w:rPr>
                <w:sz w:val="17"/>
              </w:rPr>
              <w:t>J+6  ⭐</w:t>
            </w:r>
          </w:p>
        </w:tc>
        <w:tc>
          <w:tcPr>
            <w:tcW w:type="dxa" w:w="1440"/>
            <w:shd w:fill="C6EFCE" w:val="clear"/>
          </w:tcPr>
          <w:p>
            <w:r>
              <w:rPr>
                <w:sz w:val="17"/>
              </w:rPr>
              <w:t>2026-09-08</w:t>
            </w:r>
          </w:p>
        </w:tc>
        <w:tc>
          <w:tcPr>
            <w:tcW w:type="dxa" w:w="1440"/>
            <w:shd w:fill="C6EFCE" w:val="clear"/>
          </w:tcPr>
          <w:p>
            <w:r>
              <w:rPr>
                <w:sz w:val="17"/>
              </w:rPr>
              <w:t>20,769</w:t>
            </w:r>
          </w:p>
        </w:tc>
        <w:tc>
          <w:tcPr>
            <w:tcW w:type="dxa" w:w="1440"/>
            <w:shd w:fill="C6EFCE" w:val="clear"/>
          </w:tcPr>
          <w:p>
            <w:r>
              <w:rPr>
                <w:b/>
                <w:sz w:val="17"/>
              </w:rPr>
              <w:t>23,855</w:t>
            </w:r>
          </w:p>
        </w:tc>
        <w:tc>
          <w:tcPr>
            <w:tcW w:type="dxa" w:w="1440"/>
            <w:shd w:fill="C6EFCE" w:val="clear"/>
          </w:tcPr>
          <w:p>
            <w:r>
              <w:rPr>
                <w:sz w:val="17"/>
              </w:rPr>
              <w:t>26,940</w:t>
            </w:r>
          </w:p>
        </w:tc>
        <w:tc>
          <w:tcPr>
            <w:tcW w:type="dxa" w:w="1440"/>
            <w:shd w:fill="C6EFCE" w:val="clear"/>
          </w:tcPr>
          <w:p>
            <w:r>
              <w:rPr>
                <w:b/>
                <w:color w:val="008000"/>
                <w:sz w:val="17"/>
              </w:rPr>
              <w:t>+6.0%</w:t>
            </w:r>
          </w:p>
        </w:tc>
      </w:tr>
      <w:tr>
        <w:tc>
          <w:tcPr>
            <w:tcW w:type="dxa" w:w="1440"/>
            <w:shd w:fill="C6EFCE" w:val="clear"/>
          </w:tcPr>
          <w:p>
            <w:r>
              <w:rPr>
                <w:sz w:val="17"/>
              </w:rPr>
              <w:t>J+7  ⭐</w:t>
            </w:r>
          </w:p>
        </w:tc>
        <w:tc>
          <w:tcPr>
            <w:tcW w:type="dxa" w:w="1440"/>
            <w:shd w:fill="C6EFCE" w:val="clear"/>
          </w:tcPr>
          <w:p>
            <w:r>
              <w:rPr>
                <w:sz w:val="17"/>
              </w:rPr>
              <w:t>2026-09-09</w:t>
            </w:r>
          </w:p>
        </w:tc>
        <w:tc>
          <w:tcPr>
            <w:tcW w:type="dxa" w:w="1440"/>
            <w:shd w:fill="C6EFCE" w:val="clear"/>
          </w:tcPr>
          <w:p>
            <w:r>
              <w:rPr>
                <w:sz w:val="17"/>
              </w:rPr>
              <w:t>20,728</w:t>
            </w:r>
          </w:p>
        </w:tc>
        <w:tc>
          <w:tcPr>
            <w:tcW w:type="dxa" w:w="1440"/>
            <w:shd w:fill="C6EFCE" w:val="clear"/>
          </w:tcPr>
          <w:p>
            <w:r>
              <w:rPr>
                <w:b/>
                <w:sz w:val="17"/>
              </w:rPr>
              <w:t>24,094</w:t>
            </w:r>
          </w:p>
        </w:tc>
        <w:tc>
          <w:tcPr>
            <w:tcW w:type="dxa" w:w="1440"/>
            <w:shd w:fill="C6EFCE" w:val="clear"/>
          </w:tcPr>
          <w:p>
            <w:r>
              <w:rPr>
                <w:sz w:val="17"/>
              </w:rPr>
              <w:t>27,460</w:t>
            </w:r>
          </w:p>
        </w:tc>
        <w:tc>
          <w:tcPr>
            <w:tcW w:type="dxa" w:w="1440"/>
            <w:shd w:fill="C6EFCE" w:val="clear"/>
          </w:tcPr>
          <w:p>
            <w:r>
              <w:rPr>
                <w:b/>
                <w:color w:val="008000"/>
                <w:sz w:val="17"/>
              </w:rPr>
              <w:t>+7.1%</w:t>
            </w:r>
          </w:p>
        </w:tc>
      </w:tr>
      <w:tr>
        <w:tc>
          <w:tcPr>
            <w:tcW w:type="dxa" w:w="1440"/>
            <w:shd w:fill="C6EFCE" w:val="clear"/>
          </w:tcPr>
          <w:p>
            <w:r>
              <w:rPr>
                <w:sz w:val="17"/>
              </w:rPr>
              <w:t>J+8  ⭐</w:t>
            </w:r>
          </w:p>
        </w:tc>
        <w:tc>
          <w:tcPr>
            <w:tcW w:type="dxa" w:w="1440"/>
            <w:shd w:fill="C6EFCE" w:val="clear"/>
          </w:tcPr>
          <w:p>
            <w:r>
              <w:rPr>
                <w:sz w:val="17"/>
              </w:rPr>
              <w:t>2026-09-10</w:t>
            </w:r>
          </w:p>
        </w:tc>
        <w:tc>
          <w:tcPr>
            <w:tcW w:type="dxa" w:w="1440"/>
            <w:shd w:fill="C6EFCE" w:val="clear"/>
          </w:tcPr>
          <w:p>
            <w:r>
              <w:rPr>
                <w:sz w:val="17"/>
              </w:rPr>
              <w:t>20,705</w:t>
            </w:r>
          </w:p>
        </w:tc>
        <w:tc>
          <w:tcPr>
            <w:tcW w:type="dxa" w:w="1440"/>
            <w:shd w:fill="C6EFCE" w:val="clear"/>
          </w:tcPr>
          <w:p>
            <w:r>
              <w:rPr>
                <w:b/>
                <w:sz w:val="17"/>
              </w:rPr>
              <w:t>24,340</w:t>
            </w:r>
          </w:p>
        </w:tc>
        <w:tc>
          <w:tcPr>
            <w:tcW w:type="dxa" w:w="1440"/>
            <w:shd w:fill="C6EFCE" w:val="clear"/>
          </w:tcPr>
          <w:p>
            <w:r>
              <w:rPr>
                <w:sz w:val="17"/>
              </w:rPr>
              <w:t>27,976</w:t>
            </w:r>
          </w:p>
        </w:tc>
        <w:tc>
          <w:tcPr>
            <w:tcW w:type="dxa" w:w="1440"/>
            <w:shd w:fill="C6EFCE" w:val="clear"/>
          </w:tcPr>
          <w:p>
            <w:r>
              <w:rPr>
                <w:b/>
                <w:color w:val="008000"/>
                <w:sz w:val="17"/>
              </w:rPr>
              <w:t>+8.2%</w:t>
            </w:r>
          </w:p>
        </w:tc>
      </w:tr>
      <w:tr>
        <w:tc>
          <w:tcPr>
            <w:tcW w:type="dxa" w:w="1440"/>
            <w:shd w:fill="C6EFCE" w:val="clear"/>
          </w:tcPr>
          <w:p>
            <w:r>
              <w:rPr>
                <w:sz w:val="17"/>
              </w:rPr>
              <w:t>J+9  ⭐</w:t>
            </w:r>
          </w:p>
        </w:tc>
        <w:tc>
          <w:tcPr>
            <w:tcW w:type="dxa" w:w="1440"/>
            <w:shd w:fill="C6EFCE" w:val="clear"/>
          </w:tcPr>
          <w:p>
            <w:r>
              <w:rPr>
                <w:sz w:val="17"/>
              </w:rPr>
              <w:t>2026-09-11</w:t>
            </w:r>
          </w:p>
        </w:tc>
        <w:tc>
          <w:tcPr>
            <w:tcW w:type="dxa" w:w="1440"/>
            <w:shd w:fill="C6EFCE" w:val="clear"/>
          </w:tcPr>
          <w:p>
            <w:r>
              <w:rPr>
                <w:sz w:val="17"/>
              </w:rPr>
              <w:t>20,698</w:t>
            </w:r>
          </w:p>
        </w:tc>
        <w:tc>
          <w:tcPr>
            <w:tcW w:type="dxa" w:w="1440"/>
            <w:shd w:fill="C6EFCE" w:val="clear"/>
          </w:tcPr>
          <w:p>
            <w:r>
              <w:rPr>
                <w:b/>
                <w:sz w:val="17"/>
              </w:rPr>
              <w:t>24,594</w:t>
            </w:r>
          </w:p>
        </w:tc>
        <w:tc>
          <w:tcPr>
            <w:tcW w:type="dxa" w:w="1440"/>
            <w:shd w:fill="C6EFCE" w:val="clear"/>
          </w:tcPr>
          <w:p>
            <w:r>
              <w:rPr>
                <w:sz w:val="17"/>
              </w:rPr>
              <w:t>28,490</w:t>
            </w:r>
          </w:p>
        </w:tc>
        <w:tc>
          <w:tcPr>
            <w:tcW w:type="dxa" w:w="1440"/>
            <w:shd w:fill="C6EFCE" w:val="clear"/>
          </w:tcPr>
          <w:p>
            <w:r>
              <w:rPr>
                <w:b/>
                <w:color w:val="008000"/>
                <w:sz w:val="17"/>
              </w:rPr>
              <w:t>+9.3%</w:t>
            </w:r>
          </w:p>
        </w:tc>
      </w:tr>
      <w:tr>
        <w:tc>
          <w:tcPr>
            <w:tcW w:type="dxa" w:w="1440"/>
            <w:shd w:fill="C6EFCE" w:val="clear"/>
          </w:tcPr>
          <w:p>
            <w:r>
              <w:rPr>
                <w:sz w:val="17"/>
              </w:rPr>
              <w:t>J+10  ⭐</w:t>
            </w:r>
          </w:p>
        </w:tc>
        <w:tc>
          <w:tcPr>
            <w:tcW w:type="dxa" w:w="1440"/>
            <w:shd w:fill="C6EFCE" w:val="clear"/>
          </w:tcPr>
          <w:p>
            <w:r>
              <w:rPr>
                <w:sz w:val="17"/>
              </w:rPr>
              <w:t>2026-09-14</w:t>
            </w:r>
          </w:p>
        </w:tc>
        <w:tc>
          <w:tcPr>
            <w:tcW w:type="dxa" w:w="1440"/>
            <w:shd w:fill="C6EFCE" w:val="clear"/>
          </w:tcPr>
          <w:p>
            <w:r>
              <w:rPr>
                <w:sz w:val="17"/>
              </w:rPr>
              <w:t>20,692</w:t>
            </w:r>
          </w:p>
        </w:tc>
        <w:tc>
          <w:tcPr>
            <w:tcW w:type="dxa" w:w="1440"/>
            <w:shd w:fill="C6EFCE" w:val="clear"/>
          </w:tcPr>
          <w:p>
            <w:r>
              <w:rPr>
                <w:b/>
                <w:sz w:val="17"/>
              </w:rPr>
              <w:t>24,839</w:t>
            </w:r>
          </w:p>
        </w:tc>
        <w:tc>
          <w:tcPr>
            <w:tcW w:type="dxa" w:w="1440"/>
            <w:shd w:fill="C6EFCE" w:val="clear"/>
          </w:tcPr>
          <w:p>
            <w:r>
              <w:rPr>
                <w:sz w:val="17"/>
              </w:rPr>
              <w:t>28,987</w:t>
            </w:r>
          </w:p>
        </w:tc>
        <w:tc>
          <w:tcPr>
            <w:tcW w:type="dxa" w:w="1440"/>
            <w:shd w:fill="C6EFCE" w:val="clear"/>
          </w:tcPr>
          <w:p>
            <w:r>
              <w:rPr>
                <w:b/>
                <w:color w:val="008000"/>
                <w:sz w:val="17"/>
              </w:rPr>
              <w:t>+10.4%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403,99 milliards FCFA, ce qui en fait l'une des valeurs les plus significatives de la cote de la BRVM, reflétant son statut de leader régional dans le secteur du tabac. Avec un BPA de 2 014 FCFA, chaque action génère un bénéfice substantiel, justifiant un PER de 11,2x, légèrement au-dessus de la moyenne historique de la place (~8-12x), ce qui indique une valorisation raisonnable mais non bradée. Le P/B de 8,91x est en revanche très exigeant, signifiant que le marché valorise fortement les capitaux propres, probablement en raison de la rentabilité exceptionnelle de l'entreprise. Enfin, l'EV/EBITDA de 8,0x confirme une évaluation cohérente avec la capacité opérationnelle de la société, dans une fourchette considérée comme saine pour le secteur.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STBC affiche une progression modeste de +4,65%, avec une dernière séance en hausse de +0,67% à 22 500 FCFA. Le cours a évolué dans un range de 19 705 FCFA à 25 000 FCFA, montrant une amplitude de trading significative. La moyenne du cours sur la période (22 299 FCFA) est très proche de la médiane (22 098 FCFA), ce qui suggère une distribution relativement symétrique, confirmée par un skewness de 0,265. L'écart-type de 1 376 FCFA (CV de 6,2%) indique une dispersion modérée autour de la moyenne. Le kurtosis de -0,973 (mésokurtique) suggère l'absence de pics extrêmes ou de queues épaisses, typique d'une distribution proche de la normale. La volatilité annualisée de 36,3% est élevée (&gt;30%), indiquant un titre sujet à des fluctuations importantes, ce qui représente un risque non négligeable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Le cours actuel (22 500 FCFA) se situe sous ses moyennes mobiles à 20 jours (23 269 FCFA) et à 50 jours (23 432 FCFA). Cette configuration baissière, où le prix évolue sous les deux moyennes, indique une dynamique de court et moyen terme négative. La décision de "Vente" est justifiée par cette position défavorable du prix par rapport aux moyennes.</w:t>
      </w:r>
    </w:p>
    <w:p>
      <w:pPr>
        <w:spacing w:after="120" w:line="276" w:lineRule="auto"/>
      </w:pPr>
      <w:r>
        <w:t>**Bandes de Bollinger**: Le prix se trouve dans la partie inférieure de l'enveloppe, entre la borne inférieure (21 343 FCFA) et la moyenne mobile. La position actuelle, plus proche de la borne basse, suggère une pression vendeuse modérée. La décision "Neutre" est cohérente car le prix n'a pas encore atteint les extrêmes de l'indicateur, laissant place à une possible consolidation.</w:t>
      </w:r>
    </w:p>
    <w:p>
      <w:pPr>
        <w:spacing w:after="120" w:line="276" w:lineRule="auto"/>
      </w:pPr>
      <w:r>
        <w:t>**MACD**: La valeur du MACD (-305,3) est inférieure à son signal (-187,1), confirmant une dynamique baissière du momentum. Cette divergence négative indique que la tendance de fond reste vendeuse, malgré les tentatives de rebond. La décision "Vente" est donc justifiée par cette configuration.</w:t>
      </w:r>
    </w:p>
    <w:p>
      <w:pPr>
        <w:spacing w:after="120" w:line="276" w:lineRule="auto"/>
      </w:pPr>
      <w:r>
        <w:t>**RSI**: Avec une valeur de 36,1, le RSI se situe en zone neutre, mais proche de la zone de survente (&lt;30). Cela indique que le titre n'est ni suracheté ni survendu, mais que la pression vendeuse reste présente. La décision "Neutre" est appropriée, avec un biais potentiellement baissier si le RSI venait à casser le seuil des 30.</w:t>
      </w:r>
    </w:p>
    <w:p>
      <w:pPr>
        <w:spacing w:after="120" w:line="276" w:lineRule="auto"/>
      </w:pPr>
      <w:r>
        <w:t>**Stochastique**: Le %K (56,4) est supérieur au %D (41,9), montrant un croisement haussier récent. Cependant, les deux lignes évoluent encore en zone neutre, sans signal fort. La décision "Neutre" reflète cette absence de direction claire, bien que le croisement puisse indiquer un début de rebond technique.</w:t>
      </w:r>
    </w:p>
    <w:p>
      <w:pPr>
        <w:spacing w:after="120" w:line="276" w:lineRule="auto"/>
      </w:pPr>
      <w:r>
        <w:t>**Conclusion technique**: La convergence des indicateurs (MM, MACD) vers une dynamique baissière, tempérée par des signaux neutres (Bollinger, RSI, Stochastique), suggère un marché indécis avec un biais négatif à court terme. Le titre semble chercher un point d'équilibre après une période de baisse, mais la pression vendeuse n'est pas encore totalement résorbée.</w:t>
      </w:r>
    </w:p>
    <w:p>
      <w:pPr>
        <w:spacing w:after="120" w:line="276" w:lineRule="auto" w:before="240"/>
      </w:pPr>
      <w:r>
        <w:rPr>
          <w:b/>
          <w:color w:val="003366"/>
          <w:sz w:val="24"/>
        </w:rPr>
        <w:t>**PARTIE 3 : ANALYSE FONDAMENTALE (SECTION CRITIQUE)**</w:t>
      </w:r>
    </w:p>
    <w:p>
      <w:pPr>
        <w:spacing w:after="120" w:line="276" w:lineRule="auto"/>
      </w:pPr>
      <w:r>
        <w:t>En 2025, STBC affiche des données financières solides mais contrastées. Le chiffre d'affaires s'établit à 268,537 milliards FCFA, en hausse de +25,3% par rapport à 2024, démontrant une dynamique commerciale exceptionnelle. Cependant, le résultat net de 36,158 milliards FCFA est en baisse de -17,5% par rapport à 2024 (44,2 milliards), illustrant une compression des marges. La marge nette recule à 13,5% contre 20,4% en 2024, sous l'effet d'une hausse des droits d'accises (de 49% à 70%) et d'un contrôle fiscal. Le ROE reste excellent à 79,75% et le ROA à 48,09%, témoignant d'une utilisation très efficace des capitaux propres et des actifs. La structure financière est saine avec une autonomie financière de 60,3% et une trésorerie nette confortable de 30,763 milliards FCFA, malgré une baisse de 36% par rapport à 2024. Le BFR négatif de 5,639 milliards est un point très positif, indiquant que l'entreprise finance son exploitation par ses fournisseurs. Les rapports trimestriels 2025 montrent une amélioration progressive : le T1 2025 affichait une marge nette de 15,3%, le S1 2025 de 13,8%, et le T3 2025 de 20% (soutenu par des éléments exceptionnels). Le T1 2026, publié récemment, confirme une croissance du CA de +12% à 68,8 milliards FCFA, avec un résultat net stable à 9,3 milliards. Sur la base de ces données, on estime que l'exercice 2026 pourrait voir une stabilisation de la rentabilité autour de 13-14% de marge nette, avec un CA en croissance modérée. La recommandation fondamentale est de conserver le titre, compte tenu de la solidité bilantielle, de la politique de dividende généreuse (1 940 FCFA par action proposé), mais aussi des risques réglementaires et de la pression fiscale persistante.</w:t>
      </w:r>
    </w:p>
    <w:p>
      <w:pPr>
        <w:spacing w:after="120" w:line="276" w:lineRule="auto" w:before="240"/>
      </w:pPr>
      <w:r>
        <w:rPr>
          <w:b/>
          <w:color w:val="003366"/>
          <w:sz w:val="24"/>
        </w:rPr>
        <w:t>**PARTIE 4 : CONCLUSION D'INVESTISSEMENT**</w:t>
      </w:r>
    </w:p>
    <w:p>
      <w:pPr>
        <w:spacing w:after="120" w:line="276" w:lineRule="auto"/>
      </w:pPr>
      <w:r>
        <w:t>La valorisation actuelle de STBC (PER de 11,2x, EV/EBITDA de 8,0x) est raisonnable, mais le P/B de 8,91x reflète une prime élevée qui pourrait limiter le potentiel de hausse. Le comportement du cours sur 100 jours montre une tendance globalement stable avec une volatilité élevée (36,3%), et des statistiques (kurtosis, skewness) indiquant une distribution normale sans événements extrêmes. Les signaux techniques sont mitigés, avec une tendance baissière à court terme (MM, MACD) contrebalancée par des indicateurs neutres (Bollinger, RSI, Stochastique). Les fondamentaux restent solides avec une croissance du CA de 25,3% en 2025, mais la dégradation des marges et la baisse du résultat net (-17,5%) sont préoccupantes. Les prédictions IA pour les 10 prochains jours (22 781 à 23 625 FCFA) suggèrent une légère appréciation du cours, en contradiction avec les signaux techniques baissiers, mais cohérente avec une possible stabilisation. En synthèse, la convergence entre une valorisation correcte, des fondamentaux solides mais en dégradation, et des signaux techniques mitigés conduit à une recommandation de **CONSERVER**. Le niveau de confiance est **Moyen** et le risque global est **Moyen**. L'horizon d'investissement optimal serait de **moyen terme (3-12 mois)**, en attendant de voir si la direction parvient à maîtriser les coûts et à stabiliser la rentabilité dans un environnement fiscal de plus en plus contraignant.</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212.50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7,246 titres</w:t>
            </w:r>
          </w:p>
        </w:tc>
        <w:tc>
          <w:tcPr>
            <w:tcW w:type="dxa" w:w="2268"/>
            <w:shd w:fill="FFF2CC" w:val="clear"/>
          </w:tcPr>
          <w:p>
            <w:r>
              <w:rPr>
                <w:b/>
                <w:color w:val="503200"/>
                <w:sz w:val="16"/>
              </w:rPr>
              <w:t xml:space="preserve">Cours actuel : </w:t>
            </w:r>
            <w:r>
              <w:rPr>
                <w:color w:val="000000"/>
                <w:sz w:val="17"/>
              </w:rPr>
              <w:t>3,375 FCFA</w:t>
            </w:r>
          </w:p>
          <w:p>
            <w:r>
              <w:rPr>
                <w:b/>
                <w:color w:val="503200"/>
                <w:sz w:val="16"/>
              </w:rPr>
              <w:t xml:space="preserve">Var. 100 jours : </w:t>
            </w:r>
            <w:r>
              <w:rPr>
                <w:b/>
                <w:color w:val="007800"/>
                <w:sz w:val="17"/>
              </w:rPr>
              <w:t>+24.77%</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6.23% (Moyenne) — μ=2,910 FCFA, σ=181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β=-0.2853 (Contre-cyclique) — Cov=-0.000010, Var(idx)=0.000036, ρ=-0.067,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7,246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3,179</w:t>
            </w:r>
          </w:p>
        </w:tc>
        <w:tc>
          <w:tcPr>
            <w:tcW w:type="dxa" w:w="1440"/>
            <w:shd w:fill="FAFAFA" w:val="clear"/>
          </w:tcPr>
          <w:p>
            <w:r>
              <w:rPr>
                <w:b/>
                <w:sz w:val="17"/>
              </w:rPr>
              <w:t>3,361</w:t>
            </w:r>
          </w:p>
        </w:tc>
        <w:tc>
          <w:tcPr>
            <w:tcW w:type="dxa" w:w="1440"/>
            <w:shd w:fill="FAFAFA" w:val="clear"/>
          </w:tcPr>
          <w:p>
            <w:r>
              <w:rPr>
                <w:sz w:val="17"/>
              </w:rPr>
              <w:t>3,543</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3,092</w:t>
            </w:r>
          </w:p>
        </w:tc>
        <w:tc>
          <w:tcPr>
            <w:tcW w:type="dxa" w:w="1440"/>
            <w:shd w:fill="FAFAFA" w:val="clear"/>
          </w:tcPr>
          <w:p>
            <w:r>
              <w:rPr>
                <w:b/>
                <w:sz w:val="17"/>
              </w:rPr>
              <w:t>3,348</w:t>
            </w:r>
          </w:p>
        </w:tc>
        <w:tc>
          <w:tcPr>
            <w:tcW w:type="dxa" w:w="1440"/>
            <w:shd w:fill="FAFAFA" w:val="clear"/>
          </w:tcPr>
          <w:p>
            <w:r>
              <w:rPr>
                <w:sz w:val="17"/>
              </w:rPr>
              <w:t>3,604</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3,023</w:t>
            </w:r>
          </w:p>
        </w:tc>
        <w:tc>
          <w:tcPr>
            <w:tcW w:type="dxa" w:w="1440"/>
            <w:shd w:fill="FAFAFA" w:val="clear"/>
          </w:tcPr>
          <w:p>
            <w:r>
              <w:rPr>
                <w:b/>
                <w:sz w:val="17"/>
              </w:rPr>
              <w:t>3,335</w:t>
            </w:r>
          </w:p>
        </w:tc>
        <w:tc>
          <w:tcPr>
            <w:tcW w:type="dxa" w:w="1440"/>
            <w:shd w:fill="FAFAFA" w:val="clear"/>
          </w:tcPr>
          <w:p>
            <w:r>
              <w:rPr>
                <w:sz w:val="17"/>
              </w:rPr>
              <w:t>3,647</w:t>
            </w:r>
          </w:p>
        </w:tc>
        <w:tc>
          <w:tcPr>
            <w:tcW w:type="dxa" w:w="1440"/>
            <w:shd w:fill="FAFAFA" w:val="clear"/>
          </w:tcPr>
          <w:p>
            <w:r>
              <w:rPr>
                <w:b/>
                <w:color w:val="C00000"/>
                <w:sz w:val="17"/>
              </w:rPr>
              <w:t>-1.2%</w:t>
            </w:r>
          </w:p>
        </w:tc>
      </w:tr>
      <w:tr>
        <w:tc>
          <w:tcPr>
            <w:tcW w:type="dxa" w:w="1440"/>
            <w:shd w:fill="FAFAFA" w:val="clear"/>
          </w:tcPr>
          <w:p>
            <w:r>
              <w:rPr>
                <w:sz w:val="17"/>
              </w:rPr>
              <w:t>J+4  ⭐</w:t>
            </w:r>
          </w:p>
        </w:tc>
        <w:tc>
          <w:tcPr>
            <w:tcW w:type="dxa" w:w="1440"/>
            <w:shd w:fill="FAFAFA" w:val="clear"/>
          </w:tcPr>
          <w:p>
            <w:r>
              <w:rPr>
                <w:sz w:val="17"/>
              </w:rPr>
              <w:t>2026-09-04</w:t>
            </w:r>
          </w:p>
        </w:tc>
        <w:tc>
          <w:tcPr>
            <w:tcW w:type="dxa" w:w="1440"/>
            <w:shd w:fill="FAFAFA" w:val="clear"/>
          </w:tcPr>
          <w:p>
            <w:r>
              <w:rPr>
                <w:sz w:val="17"/>
              </w:rPr>
              <w:t>2,963</w:t>
            </w:r>
          </w:p>
        </w:tc>
        <w:tc>
          <w:tcPr>
            <w:tcW w:type="dxa" w:w="1440"/>
            <w:shd w:fill="FAFAFA" w:val="clear"/>
          </w:tcPr>
          <w:p>
            <w:r>
              <w:rPr>
                <w:b/>
                <w:sz w:val="17"/>
              </w:rPr>
              <w:t>3,322</w:t>
            </w:r>
          </w:p>
        </w:tc>
        <w:tc>
          <w:tcPr>
            <w:tcW w:type="dxa" w:w="1440"/>
            <w:shd w:fill="FAFAFA" w:val="clear"/>
          </w:tcPr>
          <w:p>
            <w:r>
              <w:rPr>
                <w:sz w:val="17"/>
              </w:rPr>
              <w:t>3,681</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2026-09-07</w:t>
            </w:r>
          </w:p>
        </w:tc>
        <w:tc>
          <w:tcPr>
            <w:tcW w:type="dxa" w:w="1440"/>
            <w:shd w:fill="FAFAFA" w:val="clear"/>
          </w:tcPr>
          <w:p>
            <w:r>
              <w:rPr>
                <w:sz w:val="17"/>
              </w:rPr>
              <w:t>2,909</w:t>
            </w:r>
          </w:p>
        </w:tc>
        <w:tc>
          <w:tcPr>
            <w:tcW w:type="dxa" w:w="1440"/>
            <w:shd w:fill="FAFAFA" w:val="clear"/>
          </w:tcPr>
          <w:p>
            <w:r>
              <w:rPr>
                <w:b/>
                <w:sz w:val="17"/>
              </w:rPr>
              <w:t>3,309</w:t>
            </w:r>
          </w:p>
        </w:tc>
        <w:tc>
          <w:tcPr>
            <w:tcW w:type="dxa" w:w="1440"/>
            <w:shd w:fill="FAFAFA" w:val="clear"/>
          </w:tcPr>
          <w:p>
            <w:r>
              <w:rPr>
                <w:sz w:val="17"/>
              </w:rPr>
              <w:t>3,709</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2,860</w:t>
            </w:r>
          </w:p>
        </w:tc>
        <w:tc>
          <w:tcPr>
            <w:tcW w:type="dxa" w:w="1440"/>
            <w:shd w:fill="FFDCE0" w:val="clear"/>
          </w:tcPr>
          <w:p>
            <w:r>
              <w:rPr>
                <w:b/>
                <w:sz w:val="17"/>
              </w:rPr>
              <w:t>3,296</w:t>
            </w:r>
          </w:p>
        </w:tc>
        <w:tc>
          <w:tcPr>
            <w:tcW w:type="dxa" w:w="1440"/>
            <w:shd w:fill="FFDCE0" w:val="clear"/>
          </w:tcPr>
          <w:p>
            <w:r>
              <w:rPr>
                <w:sz w:val="17"/>
              </w:rPr>
              <w:t>3,733</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2,814</w:t>
            </w:r>
          </w:p>
        </w:tc>
        <w:tc>
          <w:tcPr>
            <w:tcW w:type="dxa" w:w="1440"/>
            <w:shd w:fill="FFDCE0" w:val="clear"/>
          </w:tcPr>
          <w:p>
            <w:r>
              <w:rPr>
                <w:b/>
                <w:sz w:val="17"/>
              </w:rPr>
              <w:t>3,284</w:t>
            </w:r>
          </w:p>
        </w:tc>
        <w:tc>
          <w:tcPr>
            <w:tcW w:type="dxa" w:w="1440"/>
            <w:shd w:fill="FFDCE0" w:val="clear"/>
          </w:tcPr>
          <w:p>
            <w:r>
              <w:rPr>
                <w:sz w:val="17"/>
              </w:rPr>
              <w:t>3,754</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2,771</w:t>
            </w:r>
          </w:p>
        </w:tc>
        <w:tc>
          <w:tcPr>
            <w:tcW w:type="dxa" w:w="1440"/>
            <w:shd w:fill="FFDCE0" w:val="clear"/>
          </w:tcPr>
          <w:p>
            <w:r>
              <w:rPr>
                <w:b/>
                <w:sz w:val="17"/>
              </w:rPr>
              <w:t>3,272</w:t>
            </w:r>
          </w:p>
        </w:tc>
        <w:tc>
          <w:tcPr>
            <w:tcW w:type="dxa" w:w="1440"/>
            <w:shd w:fill="FFDCE0" w:val="clear"/>
          </w:tcPr>
          <w:p>
            <w:r>
              <w:rPr>
                <w:sz w:val="17"/>
              </w:rPr>
              <w:t>3,772</w:t>
            </w:r>
          </w:p>
        </w:tc>
        <w:tc>
          <w:tcPr>
            <w:tcW w:type="dxa" w:w="1440"/>
            <w:shd w:fill="FFDCE0" w:val="clear"/>
          </w:tcPr>
          <w:p>
            <w:r>
              <w:rPr>
                <w:b/>
                <w:color w:val="C00000"/>
                <w:sz w:val="17"/>
              </w:rPr>
              <w:t>-3.1%</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2,731</w:t>
            </w:r>
          </w:p>
        </w:tc>
        <w:tc>
          <w:tcPr>
            <w:tcW w:type="dxa" w:w="1440"/>
            <w:shd w:fill="FFDCE0" w:val="clear"/>
          </w:tcPr>
          <w:p>
            <w:r>
              <w:rPr>
                <w:b/>
                <w:sz w:val="17"/>
              </w:rPr>
              <w:t>3,260</w:t>
            </w:r>
          </w:p>
        </w:tc>
        <w:tc>
          <w:tcPr>
            <w:tcW w:type="dxa" w:w="1440"/>
            <w:shd w:fill="FFDCE0" w:val="clear"/>
          </w:tcPr>
          <w:p>
            <w:r>
              <w:rPr>
                <w:sz w:val="17"/>
              </w:rPr>
              <w:t>3,789</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2,693</w:t>
            </w:r>
          </w:p>
        </w:tc>
        <w:tc>
          <w:tcPr>
            <w:tcW w:type="dxa" w:w="1440"/>
            <w:shd w:fill="FFDCE0" w:val="clear"/>
          </w:tcPr>
          <w:p>
            <w:r>
              <w:rPr>
                <w:b/>
                <w:sz w:val="17"/>
              </w:rPr>
              <w:t>3,248</w:t>
            </w:r>
          </w:p>
        </w:tc>
        <w:tc>
          <w:tcPr>
            <w:tcW w:type="dxa" w:w="1440"/>
            <w:shd w:fill="FFDCE0" w:val="clear"/>
          </w:tcPr>
          <w:p>
            <w:r>
              <w:rPr>
                <w:sz w:val="17"/>
              </w:rPr>
              <w:t>3,804</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1er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212,50 milliards FCFA, ce qui positionne le titre parmi les valeurs moyennes à grandes capitalisations de la BRVM, reflétant la confiance des investisseurs dans ce leader de la distribution pétrolière. Avec un BPA de 144 FCFA, le titre se négocie à un PER de 23,4x, nettement supérieur à la moyenne historique de la BRVM (8-12x). Cette prime significative suggère que le marché anticipe une croissance future des bénéfices, mais expose également le titre à un risque de correction si ces attentes ne se matérialisent pas. Le P/B de 5,87x confirme cette valorisation exigeante, le marché payant près de six fois la valeur comptable des actifs. Enfin, un EV/EBITDA de 12,0x, bien que dans la fourchette haute (10-15x), indique que la valeur totale de l'entreprise reste cohérente avec sa capacité à générer du cash-flow opérationnel, justifiant partiellement la prime de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performance remarquable de +24,77%, passant d'un plus bas de 2 650 FCFA à un plus haut de 3 595 FCFA, avant de clôturer à 3 375 FCFA, soit une légère baisse de -0,74% lors de la dernière séance. Cette tendance haussière marquée est confirmée par les statistiques descriptives : le cours moyen de 2 910 FCFA est inférieur à la médiane de 2 882 FCFA, et le mode de 2 900 FCFA indique une distribution légèrement asymétrique positive (skewness de 1,550), signifiant que le titre a passé plus de journées sous sa moyenne, avec des pics de hausse ponctuels. L'écart-type de 182 FCFA (CV de 6,3%) révèle une dispersion modérée autour de la moyenne, mais le kurtosis élevé de 2,613 signale un risque de mouvements extrêmes. La volatilité annualisée de 40,6% classe TTLC comme une valeur à forte volatilité, offrant un potentiel de rendement élevé mais avec un risque de pertes substantielles.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3 375 FCFA se situe nettement au-dessus de la MM20 (3 168,25 FCFA) et de la MM50 (3 009,5 FCFA), confirmant une dynamique haussière solide. L'écart positif entre le cours et les moyennes mobiles, couplé à l'alignement haussier des MM (MM20 &gt; MM50), valide la tendance ascendante et justifie la décision d'achat.</w:t>
      </w:r>
    </w:p>
    <w:p>
      <w:pPr>
        <w:spacing w:after="120" w:line="276" w:lineRule="auto"/>
      </w:pPr>
      <w:r>
        <w:t>**Bandes de Bollinger** : Le prix évolue à 3 375 FCFA, entre la borne inférieure (2 726,25 FCFA) et la borne supérieure (3 610,25 FCFA), avec une position légèrement au-dessus de la moyenne de la bande. Cette position neutre indique une volatilité modérée sans excès, laissant une marge de progression avant d'atteindre la zone de surachat, d'où la décision neutre.</w:t>
      </w:r>
    </w:p>
    <w:p>
      <w:pPr>
        <w:spacing w:after="120" w:line="276" w:lineRule="auto"/>
      </w:pPr>
      <w:r>
        <w:t>**MACD** : La valeur du MACD (133,879) est supérieure à son signal (110,089), avec un écart positif de 23,79 points. Cette configuration haussière indique un momentum positif soutenu, confirmant la tendance haussière en cours et justifiant la décision d'achat.</w:t>
      </w:r>
    </w:p>
    <w:p>
      <w:pPr>
        <w:spacing w:after="120" w:line="276" w:lineRule="auto"/>
      </w:pPr>
      <w:r>
        <w:t>**RSI** : À 68,095, le RSI se situe dans la zone neutre-haute (30-70), proche du seuil de surachat de 70. Cette valeur reflète une pression acheteuse soutenue sans être excessive, laissant une marge de progression avant une potentielle correction, d'où la décision neutre.</w:t>
      </w:r>
    </w:p>
    <w:p>
      <w:pPr>
        <w:spacing w:after="120" w:line="276" w:lineRule="auto"/>
      </w:pPr>
      <w:r>
        <w:t>**Stochastique** : Le %K (65,891) est inférieur au %D (70,958), indiquant un croisement baissier potentiel à court terme. Cette configuration suggère un possible ralentissement du momentum haussier, bien que les deux valeurs restent en zone positive, justifiant la décision neutre.</w:t>
      </w:r>
    </w:p>
    <w:p>
      <w:pPr>
        <w:spacing w:after="120" w:line="276" w:lineRule="auto"/>
      </w:pPr>
      <w:r>
        <w:t>**Conclusion technique** : La convergence des indicateurs (MM, MACD) vers des signaux d'achat, tempérée par la neutralité des bandes de Bollinger, du RSI et du stochastique, suggère une tendance haussière solide mais potentiellement en phase de consolidation. Le titre pourrait connaître un léger repli technique avant de poursuivre sa progression, à condition que les fondamentaux restent porteurs.</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588,709 milliards FCFA, en baisse de 5,2% par rapport à 2024 (621,042 milliards FCFA), mais avec une amélioration notable de la rentabilité opérationnelle : l'EBE a progressé de 12% à 22,347 milliards FCFA et le résultat d'exploitation de 18% à 12,329 milliards FCFA. Le résultat net s'établit à 9,087 milliards FCFA (-3%), avec une marge nette stable à 1,54%. La société affiche un ROE exceptionnel de 25,1% et un ROA de 4,8%, démontrant une excellente utilisation des capitaux propres. Le BFR négatif de -9,662 milliards FCFA est un signal très positif, indiquant que TTLC finance son exploitation grâce aux délais fournisseurs (49,72 jours) sans immobiliser de trésorerie. Cependant, la trésorerie nette est fortement négative (-21,926 milliards FCFA) et le ratio d'endettement atteint 90,2%, reflétant une dépendance accrue aux financements court terme. Les rapports trimestriels 2025 confirment cette tendance : le T1 2025 affichait un résultat net de 2,21 milliards FCFA (-30,6%), le S1 2025 de 4,79 milliards FCFA (-25,5%), et le cumul au T3 2025 de 6,52 milliards FCFA (-30,2%). Le rapport T1 2026, daté de 2026, montre une reprise encourageante avec un CA de 154,392 milliards FCFA (+4,3%) et un résultat net de 2,329 milliards FCFA (+5,5%). Sur la base de ces données, on estime que l'exercice 2026 pourrait voir un retour à la croissance, avec un résultat net annuel potentiellement supérieur à 9,5 milliards FCFA. La politique de dividende reste généreuse (10 milliards FCFA proposés pour 2025, soit un payout de 110%), mais la dégradation de la trésorerie et le résultat financier en chute (-90%) constituent des risques à surveiller.</w:t>
      </w:r>
    </w:p>
    <w:p>
      <w:pPr>
        <w:spacing w:after="120" w:line="276" w:lineRule="auto"/>
      </w:pPr>
      <w:r>
        <w:t>---</w:t>
      </w:r>
    </w:p>
    <w:p>
      <w:pPr>
        <w:spacing w:after="120" w:line="276" w:lineRule="auto"/>
      </w:pPr>
      <w:r>
        <w:t>### PARTIE 4 : CONCLUSION D'INVESTISSEMENT</w:t>
      </w:r>
    </w:p>
    <w:p>
      <w:pPr>
        <w:spacing w:after="120" w:line="276" w:lineRule="auto"/>
      </w:pPr>
      <w:r>
        <w:t>La valorisation de TTLC (PER 23,4x, P/B 5,87x) indique une surévaluation relative par rapport au marché BRVM, mais cette prime est partiellement justifiée par un ROE exceptionnel de 25,1% et une position dominante sur le marché ivoirien. Le comportement du cours sur 100 jours (+24,77%) avec une volatilité élevée (40,6%) et un kurtosis important suggère un titre dynamique mais risqué. Les signaux techniques sont majoritairement haussiers (MM, MACD) avec des indicateurs de momentum (RSI, Stochastique) en zone neutre, indiquant une possible consolidation à court terme. Les fondamentaux montrent une amélioration opérationnelle (EBE +12%) malgré un CA en baisse, et les estimations basées sur le T1 2026 (+5,5% de résultat net) suggèrent une reprise progressive. Les prédictions IA pour les 10 prochains jours (3 361 à 3 309 FCFA) indiquent une légère correction de -2%, cohérente avec les signaux de consolidation technique. En synthèse, la convergence entre la solidité fondamentale, les signaux techniques haussiers et la reprise estimée en 2026 justifie une recommandation **CONSERVER**, avec un niveau de confiance **Moyen** et un risque global **Élevé** (volatilité, endettement, valorisation exigeante). L'horizon d'investissement optimal est le **moyen terme (3-12 mois)**, permettant de capter la reprise attendue tout en surveillant la soutenabilité de la politique de distribution et l'évolution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2,639 titres</w:t>
            </w:r>
          </w:p>
        </w:tc>
        <w:tc>
          <w:tcPr>
            <w:tcW w:type="dxa" w:w="2268"/>
            <w:shd w:fill="FFF2CC" w:val="clear"/>
          </w:tcPr>
          <w:p>
            <w:r>
              <w:rPr>
                <w:b/>
                <w:color w:val="503200"/>
                <w:sz w:val="16"/>
              </w:rPr>
              <w:t xml:space="preserve">Cours actuel : </w:t>
            </w:r>
            <w:r>
              <w:rPr>
                <w:color w:val="000000"/>
                <w:sz w:val="17"/>
              </w:rPr>
              <w:t>3,800 FCFA</w:t>
            </w:r>
          </w:p>
          <w:p>
            <w:r>
              <w:rPr>
                <w:b/>
                <w:color w:val="503200"/>
                <w:sz w:val="16"/>
              </w:rPr>
              <w:t xml:space="preserve">Var. 100 jours : </w:t>
            </w:r>
            <w:r>
              <w:rPr>
                <w:b/>
                <w:color w:val="007800"/>
                <w:sz w:val="17"/>
              </w:rPr>
              <w:t>+12.09%</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10.52% (Moyenne) — μ=3,512 FCFA, σ=369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β=0.7518 (Défensif) — Cov=0.000027, Var(idx)=0.000036, ρ=0.149,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2026-09-01</w:t>
            </w:r>
          </w:p>
        </w:tc>
        <w:tc>
          <w:tcPr>
            <w:tcW w:type="dxa" w:w="1440"/>
            <w:shd w:fill="FFDCE0" w:val="clear"/>
          </w:tcPr>
          <w:p>
            <w:r>
              <w:rPr>
                <w:sz w:val="17"/>
              </w:rPr>
              <w:t>3,497</w:t>
            </w:r>
          </w:p>
        </w:tc>
        <w:tc>
          <w:tcPr>
            <w:tcW w:type="dxa" w:w="1440"/>
            <w:shd w:fill="FFDCE0" w:val="clear"/>
          </w:tcPr>
          <w:p>
            <w:r>
              <w:rPr>
                <w:b/>
                <w:sz w:val="17"/>
              </w:rPr>
              <w:t>3,651</w:t>
            </w:r>
          </w:p>
        </w:tc>
        <w:tc>
          <w:tcPr>
            <w:tcW w:type="dxa" w:w="1440"/>
            <w:shd w:fill="FFDCE0" w:val="clear"/>
          </w:tcPr>
          <w:p>
            <w:r>
              <w:rPr>
                <w:sz w:val="17"/>
              </w:rPr>
              <w:t>3,806</w:t>
            </w:r>
          </w:p>
        </w:tc>
        <w:tc>
          <w:tcPr>
            <w:tcW w:type="dxa" w:w="1440"/>
            <w:shd w:fill="FFDCE0" w:val="clear"/>
          </w:tcPr>
          <w:p>
            <w:r>
              <w:rPr>
                <w:b/>
                <w:color w:val="C00000"/>
                <w:sz w:val="17"/>
              </w:rPr>
              <w:t>-3.9%</w:t>
            </w:r>
          </w:p>
        </w:tc>
      </w:tr>
      <w:tr>
        <w:tc>
          <w:tcPr>
            <w:tcW w:type="dxa" w:w="1440"/>
            <w:shd w:fill="FFDCE0" w:val="clear"/>
          </w:tcPr>
          <w:p>
            <w:r>
              <w:rPr>
                <w:sz w:val="17"/>
              </w:rPr>
              <w:t>J+2  ⭐</w:t>
            </w:r>
          </w:p>
        </w:tc>
        <w:tc>
          <w:tcPr>
            <w:tcW w:type="dxa" w:w="1440"/>
            <w:shd w:fill="FFDCE0" w:val="clear"/>
          </w:tcPr>
          <w:p>
            <w:r>
              <w:rPr>
                <w:sz w:val="17"/>
              </w:rPr>
              <w:t>2026-09-02</w:t>
            </w:r>
          </w:p>
        </w:tc>
        <w:tc>
          <w:tcPr>
            <w:tcW w:type="dxa" w:w="1440"/>
            <w:shd w:fill="FFDCE0" w:val="clear"/>
          </w:tcPr>
          <w:p>
            <w:r>
              <w:rPr>
                <w:sz w:val="17"/>
              </w:rPr>
              <w:t>3,371</w:t>
            </w:r>
          </w:p>
        </w:tc>
        <w:tc>
          <w:tcPr>
            <w:tcW w:type="dxa" w:w="1440"/>
            <w:shd w:fill="FFDCE0" w:val="clear"/>
          </w:tcPr>
          <w:p>
            <w:r>
              <w:rPr>
                <w:b/>
                <w:sz w:val="17"/>
              </w:rPr>
              <w:t>3,586</w:t>
            </w:r>
          </w:p>
        </w:tc>
        <w:tc>
          <w:tcPr>
            <w:tcW w:type="dxa" w:w="1440"/>
            <w:shd w:fill="FFDCE0" w:val="clear"/>
          </w:tcPr>
          <w:p>
            <w:r>
              <w:rPr>
                <w:sz w:val="17"/>
              </w:rPr>
              <w:t>3,801</w:t>
            </w:r>
          </w:p>
        </w:tc>
        <w:tc>
          <w:tcPr>
            <w:tcW w:type="dxa" w:w="1440"/>
            <w:shd w:fill="FFDCE0" w:val="clear"/>
          </w:tcPr>
          <w:p>
            <w:r>
              <w:rPr>
                <w:b/>
                <w:color w:val="C00000"/>
                <w:sz w:val="17"/>
              </w:rPr>
              <w:t>-5.6%</w:t>
            </w:r>
          </w:p>
        </w:tc>
      </w:tr>
      <w:tr>
        <w:tc>
          <w:tcPr>
            <w:tcW w:type="dxa" w:w="1440"/>
            <w:shd w:fill="FFDCE0" w:val="clear"/>
          </w:tcPr>
          <w:p>
            <w:r>
              <w:rPr>
                <w:sz w:val="17"/>
              </w:rPr>
              <w:t>J+3  ⭐</w:t>
            </w:r>
          </w:p>
        </w:tc>
        <w:tc>
          <w:tcPr>
            <w:tcW w:type="dxa" w:w="1440"/>
            <w:shd w:fill="FFDCE0" w:val="clear"/>
          </w:tcPr>
          <w:p>
            <w:r>
              <w:rPr>
                <w:sz w:val="17"/>
              </w:rPr>
              <w:t>2026-09-03</w:t>
            </w:r>
          </w:p>
        </w:tc>
        <w:tc>
          <w:tcPr>
            <w:tcW w:type="dxa" w:w="1440"/>
            <w:shd w:fill="FFDCE0" w:val="clear"/>
          </w:tcPr>
          <w:p>
            <w:r>
              <w:rPr>
                <w:sz w:val="17"/>
              </w:rPr>
              <w:t>3,271</w:t>
            </w:r>
          </w:p>
        </w:tc>
        <w:tc>
          <w:tcPr>
            <w:tcW w:type="dxa" w:w="1440"/>
            <w:shd w:fill="FFDCE0" w:val="clear"/>
          </w:tcPr>
          <w:p>
            <w:r>
              <w:rPr>
                <w:b/>
                <w:sz w:val="17"/>
              </w:rPr>
              <w:t>3,530</w:t>
            </w:r>
          </w:p>
        </w:tc>
        <w:tc>
          <w:tcPr>
            <w:tcW w:type="dxa" w:w="1440"/>
            <w:shd w:fill="FFDCE0" w:val="clear"/>
          </w:tcPr>
          <w:p>
            <w:r>
              <w:rPr>
                <w:sz w:val="17"/>
              </w:rPr>
              <w:t>3,788</w:t>
            </w:r>
          </w:p>
        </w:tc>
        <w:tc>
          <w:tcPr>
            <w:tcW w:type="dxa" w:w="1440"/>
            <w:shd w:fill="FFDCE0" w:val="clear"/>
          </w:tcPr>
          <w:p>
            <w:r>
              <w:rPr>
                <w:b/>
                <w:color w:val="C00000"/>
                <w:sz w:val="17"/>
              </w:rPr>
              <w:t>-7.1%</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3,187</w:t>
            </w:r>
          </w:p>
        </w:tc>
        <w:tc>
          <w:tcPr>
            <w:tcW w:type="dxa" w:w="1440"/>
            <w:shd w:fill="FFDCE0" w:val="clear"/>
          </w:tcPr>
          <w:p>
            <w:r>
              <w:rPr>
                <w:b/>
                <w:sz w:val="17"/>
              </w:rPr>
              <w:t>3,482</w:t>
            </w:r>
          </w:p>
        </w:tc>
        <w:tc>
          <w:tcPr>
            <w:tcW w:type="dxa" w:w="1440"/>
            <w:shd w:fill="FFDCE0" w:val="clear"/>
          </w:tcPr>
          <w:p>
            <w:r>
              <w:rPr>
                <w:sz w:val="17"/>
              </w:rPr>
              <w:t>3,776</w:t>
            </w:r>
          </w:p>
        </w:tc>
        <w:tc>
          <w:tcPr>
            <w:tcW w:type="dxa" w:w="1440"/>
            <w:shd w:fill="FFDCE0" w:val="clear"/>
          </w:tcPr>
          <w:p>
            <w:r>
              <w:rPr>
                <w:b/>
                <w:color w:val="C00000"/>
                <w:sz w:val="17"/>
              </w:rPr>
              <w:t>-8.4%</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3,113</w:t>
            </w:r>
          </w:p>
        </w:tc>
        <w:tc>
          <w:tcPr>
            <w:tcW w:type="dxa" w:w="1440"/>
            <w:shd w:fill="FFDCE0" w:val="clear"/>
          </w:tcPr>
          <w:p>
            <w:r>
              <w:rPr>
                <w:b/>
                <w:sz w:val="17"/>
              </w:rPr>
              <w:t>3,439</w:t>
            </w:r>
          </w:p>
        </w:tc>
        <w:tc>
          <w:tcPr>
            <w:tcW w:type="dxa" w:w="1440"/>
            <w:shd w:fill="FFDCE0" w:val="clear"/>
          </w:tcPr>
          <w:p>
            <w:r>
              <w:rPr>
                <w:sz w:val="17"/>
              </w:rPr>
              <w:t>3,764</w:t>
            </w:r>
          </w:p>
        </w:tc>
        <w:tc>
          <w:tcPr>
            <w:tcW w:type="dxa" w:w="1440"/>
            <w:shd w:fill="FFDCE0" w:val="clear"/>
          </w:tcPr>
          <w:p>
            <w:r>
              <w:rPr>
                <w:b/>
                <w:color w:val="C00000"/>
                <w:sz w:val="17"/>
              </w:rPr>
              <w:t>-9.5%</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3,047</w:t>
            </w:r>
          </w:p>
        </w:tc>
        <w:tc>
          <w:tcPr>
            <w:tcW w:type="dxa" w:w="1440"/>
            <w:shd w:fill="FFDCE0" w:val="clear"/>
          </w:tcPr>
          <w:p>
            <w:r>
              <w:rPr>
                <w:b/>
                <w:sz w:val="17"/>
              </w:rPr>
              <w:t>3,399</w:t>
            </w:r>
          </w:p>
        </w:tc>
        <w:tc>
          <w:tcPr>
            <w:tcW w:type="dxa" w:w="1440"/>
            <w:shd w:fill="FFDCE0" w:val="clear"/>
          </w:tcPr>
          <w:p>
            <w:r>
              <w:rPr>
                <w:sz w:val="17"/>
              </w:rPr>
              <w:t>3,752</w:t>
            </w:r>
          </w:p>
        </w:tc>
        <w:tc>
          <w:tcPr>
            <w:tcW w:type="dxa" w:w="1440"/>
            <w:shd w:fill="FFDCE0" w:val="clear"/>
          </w:tcPr>
          <w:p>
            <w:r>
              <w:rPr>
                <w:b/>
                <w:color w:val="C00000"/>
                <w:sz w:val="17"/>
              </w:rPr>
              <w:t>-10.5%</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2,986</w:t>
            </w:r>
          </w:p>
        </w:tc>
        <w:tc>
          <w:tcPr>
            <w:tcW w:type="dxa" w:w="1440"/>
            <w:shd w:fill="FFDCE0" w:val="clear"/>
          </w:tcPr>
          <w:p>
            <w:r>
              <w:rPr>
                <w:b/>
                <w:sz w:val="17"/>
              </w:rPr>
              <w:t>3,362</w:t>
            </w:r>
          </w:p>
        </w:tc>
        <w:tc>
          <w:tcPr>
            <w:tcW w:type="dxa" w:w="1440"/>
            <w:shd w:fill="FFDCE0" w:val="clear"/>
          </w:tcPr>
          <w:p>
            <w:r>
              <w:rPr>
                <w:sz w:val="17"/>
              </w:rPr>
              <w:t>3,739</w:t>
            </w:r>
          </w:p>
        </w:tc>
        <w:tc>
          <w:tcPr>
            <w:tcW w:type="dxa" w:w="1440"/>
            <w:shd w:fill="FFDCE0" w:val="clear"/>
          </w:tcPr>
          <w:p>
            <w:r>
              <w:rPr>
                <w:b/>
                <w:color w:val="C00000"/>
                <w:sz w:val="17"/>
              </w:rPr>
              <w:t>-11.5%</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2,929</w:t>
            </w:r>
          </w:p>
        </w:tc>
        <w:tc>
          <w:tcPr>
            <w:tcW w:type="dxa" w:w="1440"/>
            <w:shd w:fill="FFDCE0" w:val="clear"/>
          </w:tcPr>
          <w:p>
            <w:r>
              <w:rPr>
                <w:b/>
                <w:sz w:val="17"/>
              </w:rPr>
              <w:t>3,327</w:t>
            </w:r>
          </w:p>
        </w:tc>
        <w:tc>
          <w:tcPr>
            <w:tcW w:type="dxa" w:w="1440"/>
            <w:shd w:fill="FFDCE0" w:val="clear"/>
          </w:tcPr>
          <w:p>
            <w:r>
              <w:rPr>
                <w:sz w:val="17"/>
              </w:rPr>
              <w:t>3,726</w:t>
            </w:r>
          </w:p>
        </w:tc>
        <w:tc>
          <w:tcPr>
            <w:tcW w:type="dxa" w:w="1440"/>
            <w:shd w:fill="FFDCE0" w:val="clear"/>
          </w:tcPr>
          <w:p>
            <w:r>
              <w:rPr>
                <w:b/>
                <w:color w:val="C00000"/>
                <w:sz w:val="17"/>
              </w:rPr>
              <w:t>-12.4%</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2,876</w:t>
            </w:r>
          </w:p>
        </w:tc>
        <w:tc>
          <w:tcPr>
            <w:tcW w:type="dxa" w:w="1440"/>
            <w:shd w:fill="FFDCE0" w:val="clear"/>
          </w:tcPr>
          <w:p>
            <w:r>
              <w:rPr>
                <w:b/>
                <w:sz w:val="17"/>
              </w:rPr>
              <w:t>3,295</w:t>
            </w:r>
          </w:p>
        </w:tc>
        <w:tc>
          <w:tcPr>
            <w:tcW w:type="dxa" w:w="1440"/>
            <w:shd w:fill="FFDCE0" w:val="clear"/>
          </w:tcPr>
          <w:p>
            <w:r>
              <w:rPr>
                <w:sz w:val="17"/>
              </w:rPr>
              <w:t>3,713</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2,827</w:t>
            </w:r>
          </w:p>
        </w:tc>
        <w:tc>
          <w:tcPr>
            <w:tcW w:type="dxa" w:w="1440"/>
            <w:shd w:fill="FFDCE0" w:val="clear"/>
          </w:tcPr>
          <w:p>
            <w:r>
              <w:rPr>
                <w:b/>
                <w:sz w:val="17"/>
              </w:rPr>
              <w:t>3,264</w:t>
            </w:r>
          </w:p>
        </w:tc>
        <w:tc>
          <w:tcPr>
            <w:tcW w:type="dxa" w:w="1440"/>
            <w:shd w:fill="FFDCE0" w:val="clear"/>
          </w:tcPr>
          <w:p>
            <w:r>
              <w:rPr>
                <w:sz w:val="17"/>
              </w:rPr>
              <w:t>3,700</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TTLS s'établit à 123,80 milliards FCFA, ce qui positionne la société parmi les valeurs moyennes du marché BRVM, avec un poids significatif dans le compartiment énergétique. Le BPA de 208 FCFA indique que chaque action génère un bénéfice de ce montant, justifiant un PER de 18,3x, nettement supérieur à la moyenne du marché BRVM (8-12x). Les investisseurs paient donc une prime substantielle pour la qualité du titre, ce qui traduit une valorisation exigeante. Le P/B de 4,38x confirme cette lecture : le marché valorise le titre plus de quatre fois sa valeur comptable, reflétant les attentes élevées de croissance et de rentabilité future. Enfin, l'EV/EBITDA de 7,8x, dans la fourchette raisonnable de 5 à 10x, tempère cette perception en indiquant que la valeur totale de l'entreprise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TTLS affiche une progression de +12,09%, avec une légère hausse de +0,13% lors de la dernière séance, témoignant d'une dynamique haussière soutenue. Le cours a évolué dans une fourchette de 2 845 FCFA (plus bas) à 4 500 FCFA (plus haut), soit une amplitude de 1 655 FCFA, indiquant une volatilité intra-période marquée. La moyenne du cours (3 512 FCFA) est inférieure à la médiane (3 482 FCFA), suggérant une distribution légèrement asymétrique avec des valeurs extrêmes élevées. L'écart-type de 371 FCFA, avec un coefficient de variation de 10,6%, révèle une dispersion modérée autour de la moyenne. Le kurtosis de -0,204 indique une distribution mésokurtique, proche de la normale, tandis que le skewness de 0,488 confirme une asymétrie positive, avec une queue de distribution étirée vers les hauts cours. La volatilité annualisée de 47,9% classe le titre comme très volatil, un niveau élevé qui implique un risque significatif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3 696 FCFA et la MM50 à 3 803 FCFA encadrent le cours actuel de 3 800 FCFA. Le cours se situe au-dessus de la MM20 mais sous la MM50, créant une configuration baissière à moyen terme. La décision de Vente est justifiée par cette position relative, le titre n'ayant pas encore réussi à franchir la résistance de la MM50, ce qui suggère une consolidation avant une éventuelle reprise.</w:t>
      </w:r>
    </w:p>
    <w:p>
      <w:pPr>
        <w:spacing w:after="120" w:line="276" w:lineRule="auto"/>
      </w:pPr>
      <w:r>
        <w:t>**Bandes de Bollinger** : Le cours à 3 800 FCFA se positionne dans la partie supérieure de l'enveloppe, entre la borne inférieure à 3 438,96 FCFA et la borne supérieure à 3 953,04 FCFA. Cette position médiane-haut indique une volatilité modérée, sans excès. La décision Neutre reflète un équilibre entre les forces acheteuses et vendeuses, le titre n'étant ni suracheté ni survendu, laissant place à une poursuite de la tendance haussière sans signal d'épuisement.</w:t>
      </w:r>
    </w:p>
    <w:p>
      <w:pPr>
        <w:spacing w:after="120" w:line="276" w:lineRule="auto"/>
      </w:pPr>
      <w:r>
        <w:t>**MACD** : La valeur du MACD à 16,088 est nettement supérieure à sa ligne de signal à 0,75, indiquant un momentum haussier positif et une accélération de la dynamique. Cette divergence positive confirme la décision d'Achat, signalant que la pression acheteuse domine actuellement le marché, avec une force relative en expansion qui pourrait soutenir une poursuite de la hausse à court terme.</w:t>
      </w:r>
    </w:p>
    <w:p>
      <w:pPr>
        <w:spacing w:after="120" w:line="276" w:lineRule="auto"/>
      </w:pPr>
      <w:r>
        <w:t>**RSI** : Le RSI à 60,101 se situe dans la zone neutre (30-70), sans signal de surachat ni de survente. Cette valeur indique que le titre dispose encore d'un potentiel haussier sans être surchauffé. La décision Neutre est cohérente avec cette lecture, le momentum n'étant ni excessif ni déficient, laissant place à une évolution directionnelle selon les prochains catalyseurs.</w:t>
      </w:r>
    </w:p>
    <w:p>
      <w:pPr>
        <w:spacing w:after="120" w:line="276" w:lineRule="auto"/>
      </w:pPr>
      <w:r>
        <w:t>**Stochastique** : Le %K à 56,579 est supérieur au %D à 50,542, indiquant une dynamique positive sans croisement baissier. Cette configuration suggère que les acheteurs conservent un léger avantage, mais sans signal fort. La décision Neutre reflète cette situation, le titre évoluant dans une zone de consolidation où la tendance n'est pas clairement établie.</w:t>
      </w:r>
    </w:p>
    <w:p>
      <w:pPr>
        <w:spacing w:after="120" w:line="276" w:lineRule="auto"/>
      </w:pPr>
      <w:r>
        <w:t>**Conclusion technique** : La convergence des indicateurs est globalement positive, avec un MACD en Achat et un RSI neutre mais orienté favorablement. Les moyennes mobiles et les bandes de Bollinger restent toutefois prudentes, créant un équilibre. Le titre semble en phase de consolidation haussière, avec un potentiel de reprise si le cours parvient à franchir la MM50 à 3 803 FCFA.</w:t>
      </w:r>
    </w:p>
    <w:p>
      <w:pPr>
        <w:spacing w:after="120" w:line="276" w:lineRule="auto" w:before="240"/>
      </w:pPr>
      <w:r>
        <w:rPr>
          <w:b/>
          <w:color w:val="003366"/>
          <w:sz w:val="24"/>
        </w:rPr>
        <w:t>**PARTIE 3 : ANALYSE FONDAMENTALE (SECTION CRITIQUE)**</w:t>
      </w:r>
    </w:p>
    <w:p>
      <w:pPr>
        <w:spacing w:after="120" w:line="276" w:lineRule="auto"/>
      </w:pPr>
      <w:r>
        <w:t>En 2025, les données structurées indiquent un chiffre d'affaires de 455,209 milliards FCFA, en baisse de 6,1% par rapport à 2024, avec un résultat net de 6,779 milliards FCFA, en repli de 5,1%. Le ROE s'établit à 24%, un niveau excellent, tandis que le ROA est de 3,9%, reflétant une utilisation efficace des actifs. La marge nette de 1,49% est typique du secteur de distribution pétrolière. Le BFR négatif de -36,899 milliards FCFA est un point très positif, indiquant que la société finance son exploitation grâce aux délais fournisseurs (97,76 jours) supérieurs aux délais clients (47,43 jours). Les rapports narratifs de 2025 confirment cette tendance : le T1 2025 (CA de 110,8 milliards, -13%) et le S1 2025 (CA de 234,9 milliards, -3%) montrent une contraction des volumes, mais une amélioration de la marge opérationnelle à 1,70% au S1. Le T3 2025 (CA cumulé de 344,9 milliards, -7%) poursuit cette trajectoire. Pour 2026, le rapport T1 2026 (daté de mars 2026) indique un CA de 99,9 milliards (-10%), mais un résultat net en hausse de +5% à 1,585 milliard, grâce à une amélioration des marges sur les lubrifiants. On estime que l'exercice 2026 devrait voir une stabilisation du résultat net autour de 6,5 à 7 milliards FCFA, si la tendance se maintient. La société bénéficie d'une position de leader avec 140 stations-service et des perspectives liées aux projets Sangomar et GNL.</w:t>
      </w:r>
    </w:p>
    <w:p>
      <w:pPr>
        <w:spacing w:after="120" w:line="276" w:lineRule="auto" w:before="240"/>
      </w:pPr>
      <w:r>
        <w:rPr>
          <w:b/>
          <w:color w:val="003366"/>
          <w:sz w:val="24"/>
        </w:rPr>
        <w:t>**PARTIE 4 : CONCLUSION D'INVESTISSEMENT**</w:t>
      </w:r>
    </w:p>
    <w:p>
      <w:pPr>
        <w:spacing w:after="120" w:line="276" w:lineRule="auto"/>
      </w:pPr>
      <w:r>
        <w:t>La synthèse globale révèle une valorisation exigeante (PER de 18,3x, P/B de 4,38x) qui intègre des attentes élevées, mais un EV/EBITDA raisonnable (7,8x) qui tempère ce constat. Le comportement du cours sur 100 jours est favorable (+12,09%), avec une volatilité élevée (47,9%) et une distribution asymétrique positive, indiquant un potentiel haussier. Les signaux techniques sont mitigés mais globalement positifs, avec un MACD en Achat et un RSI neutre, bien que les moyennes mobiles suggèrent une prudence à court terme. Les fondamentaux sont solides : ROE de 24%, BFR négatif favorable, et une résilience opérationnelle démontrée au T1 2026 malgré la baisse du CA. Les prédictions IA pour les 10 prochains jours indiquent une trajectoire baissière (de 3 651 à 3 439 FCFA), contredisant les signaux techniques et fondamentaux. Cette divergence suggère une correction technique à court terme. Sur la base de cette analyse, nous recommandons **CONSERVER**, avec un niveau de confiance **Moyen**, un risque global **Moyen**, et un horizon d'investissement optimal à **moyen terme (3-12 mois)**. Les investisseurs devraient surveiller la capacité de TTLS à maintenir ses marges et à compenser la baisse des volumes par la diversification.</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503.25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 titres</w:t>
            </w:r>
          </w:p>
        </w:tc>
        <w:tc>
          <w:tcPr>
            <w:tcW w:type="dxa" w:w="2268"/>
            <w:shd w:fill="FFF2CC" w:val="clear"/>
          </w:tcPr>
          <w:p>
            <w:r>
              <w:rPr>
                <w:b/>
                <w:color w:val="503200"/>
                <w:sz w:val="16"/>
              </w:rPr>
              <w:t xml:space="preserve">Cours actuel : </w:t>
            </w:r>
            <w:r>
              <w:rPr>
                <w:color w:val="000000"/>
                <w:sz w:val="17"/>
              </w:rPr>
              <w:t>54,800 FCFA</w:t>
            </w:r>
          </w:p>
          <w:p>
            <w:r>
              <w:rPr>
                <w:b/>
                <w:color w:val="503200"/>
                <w:sz w:val="16"/>
              </w:rPr>
              <w:t xml:space="preserve">Var. 100 jours : </w:t>
            </w:r>
            <w:r>
              <w:rPr>
                <w:b/>
                <w:color w:val="B40000"/>
                <w:sz w:val="17"/>
              </w:rPr>
              <w:t>-8.67%</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6.27% (Moyenne) — μ=56,662 FCFA, σ=3,555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β=0.2941 (Défensif) — Cov=0.000011, Var(idx)=0.000037, ρ=0.046, n=95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22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σ_j=3.96%/j (Modérée) — Vol. annualisée≈62.8%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5872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587289"/>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2026-09-01</w:t>
            </w:r>
          </w:p>
        </w:tc>
        <w:tc>
          <w:tcPr>
            <w:tcW w:type="dxa" w:w="1440"/>
            <w:shd w:fill="FAFAFA" w:val="clear"/>
          </w:tcPr>
          <w:p>
            <w:r>
              <w:rPr>
                <w:sz w:val="17"/>
              </w:rPr>
              <w:t>51,330</w:t>
            </w:r>
          </w:p>
        </w:tc>
        <w:tc>
          <w:tcPr>
            <w:tcW w:type="dxa" w:w="1440"/>
            <w:shd w:fill="FAFAFA" w:val="clear"/>
          </w:tcPr>
          <w:p>
            <w:r>
              <w:rPr>
                <w:b/>
                <w:sz w:val="17"/>
              </w:rPr>
              <w:t>54,671</w:t>
            </w:r>
          </w:p>
        </w:tc>
        <w:tc>
          <w:tcPr>
            <w:tcW w:type="dxa" w:w="1440"/>
            <w:shd w:fill="FAFAFA" w:val="clear"/>
          </w:tcPr>
          <w:p>
            <w:r>
              <w:rPr>
                <w:sz w:val="17"/>
              </w:rPr>
              <w:t>58,011</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2026-09-02</w:t>
            </w:r>
          </w:p>
        </w:tc>
        <w:tc>
          <w:tcPr>
            <w:tcW w:type="dxa" w:w="1440"/>
            <w:shd w:fill="FAFAFA" w:val="clear"/>
          </w:tcPr>
          <w:p>
            <w:r>
              <w:rPr>
                <w:sz w:val="17"/>
              </w:rPr>
              <w:t>50,491</w:t>
            </w:r>
          </w:p>
        </w:tc>
        <w:tc>
          <w:tcPr>
            <w:tcW w:type="dxa" w:w="1440"/>
            <w:shd w:fill="FAFAFA" w:val="clear"/>
          </w:tcPr>
          <w:p>
            <w:r>
              <w:rPr>
                <w:b/>
                <w:sz w:val="17"/>
              </w:rPr>
              <w:t>55,268</w:t>
            </w:r>
          </w:p>
        </w:tc>
        <w:tc>
          <w:tcPr>
            <w:tcW w:type="dxa" w:w="1440"/>
            <w:shd w:fill="FAFAFA" w:val="clear"/>
          </w:tcPr>
          <w:p>
            <w:r>
              <w:rPr>
                <w:sz w:val="17"/>
              </w:rPr>
              <w:t>60,044</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2026-09-03</w:t>
            </w:r>
          </w:p>
        </w:tc>
        <w:tc>
          <w:tcPr>
            <w:tcW w:type="dxa" w:w="1440"/>
            <w:shd w:fill="FAFAFA" w:val="clear"/>
          </w:tcPr>
          <w:p>
            <w:r>
              <w:rPr>
                <w:sz w:val="17"/>
              </w:rPr>
              <w:t>49,963</w:t>
            </w:r>
          </w:p>
        </w:tc>
        <w:tc>
          <w:tcPr>
            <w:tcW w:type="dxa" w:w="1440"/>
            <w:shd w:fill="FAFAFA" w:val="clear"/>
          </w:tcPr>
          <w:p>
            <w:r>
              <w:rPr>
                <w:b/>
                <w:sz w:val="17"/>
              </w:rPr>
              <w:t>55,878</w:t>
            </w:r>
          </w:p>
        </w:tc>
        <w:tc>
          <w:tcPr>
            <w:tcW w:type="dxa" w:w="1440"/>
            <w:shd w:fill="FAFAFA" w:val="clear"/>
          </w:tcPr>
          <w:p>
            <w:r>
              <w:rPr>
                <w:sz w:val="17"/>
              </w:rPr>
              <w:t>61,792</w:t>
            </w:r>
          </w:p>
        </w:tc>
        <w:tc>
          <w:tcPr>
            <w:tcW w:type="dxa" w:w="1440"/>
            <w:shd w:fill="FAFAFA" w:val="clear"/>
          </w:tcPr>
          <w:p>
            <w:r>
              <w:rPr>
                <w:b/>
                <w:color w:val="008000"/>
                <w:sz w:val="17"/>
              </w:rPr>
              <w:t>+2.0%</w:t>
            </w:r>
          </w:p>
        </w:tc>
      </w:tr>
      <w:tr>
        <w:tc>
          <w:tcPr>
            <w:tcW w:type="dxa" w:w="1440"/>
            <w:shd w:fill="C6EFCE" w:val="clear"/>
          </w:tcPr>
          <w:p>
            <w:r>
              <w:rPr>
                <w:sz w:val="17"/>
              </w:rPr>
              <w:t>J+4  ⭐</w:t>
            </w:r>
          </w:p>
        </w:tc>
        <w:tc>
          <w:tcPr>
            <w:tcW w:type="dxa" w:w="1440"/>
            <w:shd w:fill="C6EFCE" w:val="clear"/>
          </w:tcPr>
          <w:p>
            <w:r>
              <w:rPr>
                <w:sz w:val="17"/>
              </w:rPr>
              <w:t>2026-09-04</w:t>
            </w:r>
          </w:p>
        </w:tc>
        <w:tc>
          <w:tcPr>
            <w:tcW w:type="dxa" w:w="1440"/>
            <w:shd w:fill="C6EFCE" w:val="clear"/>
          </w:tcPr>
          <w:p>
            <w:r>
              <w:rPr>
                <w:sz w:val="17"/>
              </w:rPr>
              <w:t>49,595</w:t>
            </w:r>
          </w:p>
        </w:tc>
        <w:tc>
          <w:tcPr>
            <w:tcW w:type="dxa" w:w="1440"/>
            <w:shd w:fill="C6EFCE" w:val="clear"/>
          </w:tcPr>
          <w:p>
            <w:r>
              <w:rPr>
                <w:b/>
                <w:sz w:val="17"/>
              </w:rPr>
              <w:t>56,501</w:t>
            </w:r>
          </w:p>
        </w:tc>
        <w:tc>
          <w:tcPr>
            <w:tcW w:type="dxa" w:w="1440"/>
            <w:shd w:fill="C6EFCE" w:val="clear"/>
          </w:tcPr>
          <w:p>
            <w:r>
              <w:rPr>
                <w:sz w:val="17"/>
              </w:rPr>
              <w:t>63,406</w:t>
            </w:r>
          </w:p>
        </w:tc>
        <w:tc>
          <w:tcPr>
            <w:tcW w:type="dxa" w:w="1440"/>
            <w:shd w:fill="C6EFCE" w:val="clear"/>
          </w:tcPr>
          <w:p>
            <w:r>
              <w:rPr>
                <w:b/>
                <w:color w:val="008000"/>
                <w:sz w:val="17"/>
              </w:rPr>
              <w:t>+3.1%</w:t>
            </w:r>
          </w:p>
        </w:tc>
      </w:tr>
      <w:tr>
        <w:tc>
          <w:tcPr>
            <w:tcW w:type="dxa" w:w="1440"/>
            <w:shd w:fill="C6EFCE" w:val="clear"/>
          </w:tcPr>
          <w:p>
            <w:r>
              <w:rPr>
                <w:sz w:val="17"/>
              </w:rPr>
              <w:t>J+5  ⭐</w:t>
            </w:r>
          </w:p>
        </w:tc>
        <w:tc>
          <w:tcPr>
            <w:tcW w:type="dxa" w:w="1440"/>
            <w:shd w:fill="C6EFCE" w:val="clear"/>
          </w:tcPr>
          <w:p>
            <w:r>
              <w:rPr>
                <w:sz w:val="17"/>
              </w:rPr>
              <w:t>2026-09-07</w:t>
            </w:r>
          </w:p>
        </w:tc>
        <w:tc>
          <w:tcPr>
            <w:tcW w:type="dxa" w:w="1440"/>
            <w:shd w:fill="C6EFCE" w:val="clear"/>
          </w:tcPr>
          <w:p>
            <w:r>
              <w:rPr>
                <w:sz w:val="17"/>
              </w:rPr>
              <w:t>49,327</w:t>
            </w:r>
          </w:p>
        </w:tc>
        <w:tc>
          <w:tcPr>
            <w:tcW w:type="dxa" w:w="1440"/>
            <w:shd w:fill="C6EFCE" w:val="clear"/>
          </w:tcPr>
          <w:p>
            <w:r>
              <w:rPr>
                <w:b/>
                <w:sz w:val="17"/>
              </w:rPr>
              <w:t>57,133</w:t>
            </w:r>
          </w:p>
        </w:tc>
        <w:tc>
          <w:tcPr>
            <w:tcW w:type="dxa" w:w="1440"/>
            <w:shd w:fill="C6EFCE" w:val="clear"/>
          </w:tcPr>
          <w:p>
            <w:r>
              <w:rPr>
                <w:sz w:val="17"/>
              </w:rPr>
              <w:t>64,940</w:t>
            </w:r>
          </w:p>
        </w:tc>
        <w:tc>
          <w:tcPr>
            <w:tcW w:type="dxa" w:w="1440"/>
            <w:shd w:fill="C6EFCE" w:val="clear"/>
          </w:tcPr>
          <w:p>
            <w:r>
              <w:rPr>
                <w:b/>
                <w:color w:val="008000"/>
                <w:sz w:val="17"/>
              </w:rPr>
              <w:t>+4.3%</w:t>
            </w:r>
          </w:p>
        </w:tc>
      </w:tr>
      <w:tr>
        <w:tc>
          <w:tcPr>
            <w:tcW w:type="dxa" w:w="1440"/>
            <w:shd w:fill="C6EFCE" w:val="clear"/>
          </w:tcPr>
          <w:p>
            <w:r>
              <w:rPr>
                <w:sz w:val="17"/>
              </w:rPr>
              <w:t>J+6  ⭐</w:t>
            </w:r>
          </w:p>
        </w:tc>
        <w:tc>
          <w:tcPr>
            <w:tcW w:type="dxa" w:w="1440"/>
            <w:shd w:fill="C6EFCE" w:val="clear"/>
          </w:tcPr>
          <w:p>
            <w:r>
              <w:rPr>
                <w:sz w:val="17"/>
              </w:rPr>
              <w:t>2026-09-08</w:t>
            </w:r>
          </w:p>
        </w:tc>
        <w:tc>
          <w:tcPr>
            <w:tcW w:type="dxa" w:w="1440"/>
            <w:shd w:fill="C6EFCE" w:val="clear"/>
          </w:tcPr>
          <w:p>
            <w:r>
              <w:rPr>
                <w:sz w:val="17"/>
              </w:rPr>
              <w:t>49,125</w:t>
            </w:r>
          </w:p>
        </w:tc>
        <w:tc>
          <w:tcPr>
            <w:tcW w:type="dxa" w:w="1440"/>
            <w:shd w:fill="C6EFCE" w:val="clear"/>
          </w:tcPr>
          <w:p>
            <w:r>
              <w:rPr>
                <w:b/>
                <w:sz w:val="17"/>
              </w:rPr>
              <w:t>57,773</w:t>
            </w:r>
          </w:p>
        </w:tc>
        <w:tc>
          <w:tcPr>
            <w:tcW w:type="dxa" w:w="1440"/>
            <w:shd w:fill="C6EFCE" w:val="clear"/>
          </w:tcPr>
          <w:p>
            <w:r>
              <w:rPr>
                <w:sz w:val="17"/>
              </w:rPr>
              <w:t>66,421</w:t>
            </w:r>
          </w:p>
        </w:tc>
        <w:tc>
          <w:tcPr>
            <w:tcW w:type="dxa" w:w="1440"/>
            <w:shd w:fill="C6EFCE" w:val="clear"/>
          </w:tcPr>
          <w:p>
            <w:r>
              <w:rPr>
                <w:b/>
                <w:color w:val="008000"/>
                <w:sz w:val="17"/>
              </w:rPr>
              <w:t>+5.4%</w:t>
            </w:r>
          </w:p>
        </w:tc>
      </w:tr>
      <w:tr>
        <w:tc>
          <w:tcPr>
            <w:tcW w:type="dxa" w:w="1440"/>
            <w:shd w:fill="C6EFCE" w:val="clear"/>
          </w:tcPr>
          <w:p>
            <w:r>
              <w:rPr>
                <w:sz w:val="17"/>
              </w:rPr>
              <w:t>J+7  ⭐</w:t>
            </w:r>
          </w:p>
        </w:tc>
        <w:tc>
          <w:tcPr>
            <w:tcW w:type="dxa" w:w="1440"/>
            <w:shd w:fill="C6EFCE" w:val="clear"/>
          </w:tcPr>
          <w:p>
            <w:r>
              <w:rPr>
                <w:sz w:val="17"/>
              </w:rPr>
              <w:t>2026-09-09</w:t>
            </w:r>
          </w:p>
        </w:tc>
        <w:tc>
          <w:tcPr>
            <w:tcW w:type="dxa" w:w="1440"/>
            <w:shd w:fill="C6EFCE" w:val="clear"/>
          </w:tcPr>
          <w:p>
            <w:r>
              <w:rPr>
                <w:sz w:val="17"/>
              </w:rPr>
              <w:t>48,973</w:t>
            </w:r>
          </w:p>
        </w:tc>
        <w:tc>
          <w:tcPr>
            <w:tcW w:type="dxa" w:w="1440"/>
            <w:shd w:fill="C6EFCE" w:val="clear"/>
          </w:tcPr>
          <w:p>
            <w:r>
              <w:rPr>
                <w:b/>
                <w:sz w:val="17"/>
              </w:rPr>
              <w:t>58,418</w:t>
            </w:r>
          </w:p>
        </w:tc>
        <w:tc>
          <w:tcPr>
            <w:tcW w:type="dxa" w:w="1440"/>
            <w:shd w:fill="C6EFCE" w:val="clear"/>
          </w:tcPr>
          <w:p>
            <w:r>
              <w:rPr>
                <w:sz w:val="17"/>
              </w:rPr>
              <w:t>67,863</w:t>
            </w:r>
          </w:p>
        </w:tc>
        <w:tc>
          <w:tcPr>
            <w:tcW w:type="dxa" w:w="1440"/>
            <w:shd w:fill="C6EFCE" w:val="clear"/>
          </w:tcPr>
          <w:p>
            <w:r>
              <w:rPr>
                <w:b/>
                <w:color w:val="008000"/>
                <w:sz w:val="17"/>
              </w:rPr>
              <w:t>+6.6%</w:t>
            </w:r>
          </w:p>
        </w:tc>
      </w:tr>
      <w:tr>
        <w:tc>
          <w:tcPr>
            <w:tcW w:type="dxa" w:w="1440"/>
            <w:shd w:fill="C6EFCE" w:val="clear"/>
          </w:tcPr>
          <w:p>
            <w:r>
              <w:rPr>
                <w:sz w:val="17"/>
              </w:rPr>
              <w:t>J+8  ⭐</w:t>
            </w:r>
          </w:p>
        </w:tc>
        <w:tc>
          <w:tcPr>
            <w:tcW w:type="dxa" w:w="1440"/>
            <w:shd w:fill="C6EFCE" w:val="clear"/>
          </w:tcPr>
          <w:p>
            <w:r>
              <w:rPr>
                <w:sz w:val="17"/>
              </w:rPr>
              <w:t>2026-09-10</w:t>
            </w:r>
          </w:p>
        </w:tc>
        <w:tc>
          <w:tcPr>
            <w:tcW w:type="dxa" w:w="1440"/>
            <w:shd w:fill="C6EFCE" w:val="clear"/>
          </w:tcPr>
          <w:p>
            <w:r>
              <w:rPr>
                <w:sz w:val="17"/>
              </w:rPr>
              <w:t>48,857</w:t>
            </w:r>
          </w:p>
        </w:tc>
        <w:tc>
          <w:tcPr>
            <w:tcW w:type="dxa" w:w="1440"/>
            <w:shd w:fill="C6EFCE" w:val="clear"/>
          </w:tcPr>
          <w:p>
            <w:r>
              <w:rPr>
                <w:b/>
                <w:sz w:val="17"/>
              </w:rPr>
              <w:t>59,067</w:t>
            </w:r>
          </w:p>
        </w:tc>
        <w:tc>
          <w:tcPr>
            <w:tcW w:type="dxa" w:w="1440"/>
            <w:shd w:fill="C6EFCE" w:val="clear"/>
          </w:tcPr>
          <w:p>
            <w:r>
              <w:rPr>
                <w:sz w:val="17"/>
              </w:rPr>
              <w:t>69,276</w:t>
            </w:r>
          </w:p>
        </w:tc>
        <w:tc>
          <w:tcPr>
            <w:tcW w:type="dxa" w:w="1440"/>
            <w:shd w:fill="C6EFCE" w:val="clear"/>
          </w:tcPr>
          <w:p>
            <w:r>
              <w:rPr>
                <w:b/>
                <w:color w:val="008000"/>
                <w:sz w:val="17"/>
              </w:rPr>
              <w:t>+7.8%</w:t>
            </w:r>
          </w:p>
        </w:tc>
      </w:tr>
      <w:tr>
        <w:tc>
          <w:tcPr>
            <w:tcW w:type="dxa" w:w="1440"/>
            <w:shd w:fill="C6EFCE" w:val="clear"/>
          </w:tcPr>
          <w:p>
            <w:r>
              <w:rPr>
                <w:sz w:val="17"/>
              </w:rPr>
              <w:t>J+9  ⭐</w:t>
            </w:r>
          </w:p>
        </w:tc>
        <w:tc>
          <w:tcPr>
            <w:tcW w:type="dxa" w:w="1440"/>
            <w:shd w:fill="C6EFCE" w:val="clear"/>
          </w:tcPr>
          <w:p>
            <w:r>
              <w:rPr>
                <w:sz w:val="17"/>
              </w:rPr>
              <w:t>2026-09-11</w:t>
            </w:r>
          </w:p>
        </w:tc>
        <w:tc>
          <w:tcPr>
            <w:tcW w:type="dxa" w:w="1440"/>
            <w:shd w:fill="C6EFCE" w:val="clear"/>
          </w:tcPr>
          <w:p>
            <w:r>
              <w:rPr>
                <w:sz w:val="17"/>
              </w:rPr>
              <w:t>48,770</w:t>
            </w:r>
          </w:p>
        </w:tc>
        <w:tc>
          <w:tcPr>
            <w:tcW w:type="dxa" w:w="1440"/>
            <w:shd w:fill="C6EFCE" w:val="clear"/>
          </w:tcPr>
          <w:p>
            <w:r>
              <w:rPr>
                <w:b/>
                <w:sz w:val="17"/>
              </w:rPr>
              <w:t>59,718</w:t>
            </w:r>
          </w:p>
        </w:tc>
        <w:tc>
          <w:tcPr>
            <w:tcW w:type="dxa" w:w="1440"/>
            <w:shd w:fill="C6EFCE" w:val="clear"/>
          </w:tcPr>
          <w:p>
            <w:r>
              <w:rPr>
                <w:sz w:val="17"/>
              </w:rPr>
              <w:t>70,666</w:t>
            </w:r>
          </w:p>
        </w:tc>
        <w:tc>
          <w:tcPr>
            <w:tcW w:type="dxa" w:w="1440"/>
            <w:shd w:fill="C6EFCE" w:val="clear"/>
          </w:tcPr>
          <w:p>
            <w:r>
              <w:rPr>
                <w:b/>
                <w:color w:val="008000"/>
                <w:sz w:val="17"/>
              </w:rPr>
              <w:t>+9.0%</w:t>
            </w:r>
          </w:p>
        </w:tc>
      </w:tr>
      <w:tr>
        <w:tc>
          <w:tcPr>
            <w:tcW w:type="dxa" w:w="1440"/>
            <w:shd w:fill="C6EFCE" w:val="clear"/>
          </w:tcPr>
          <w:p>
            <w:r>
              <w:rPr>
                <w:sz w:val="17"/>
              </w:rPr>
              <w:t>J+10  ⭐</w:t>
            </w:r>
          </w:p>
        </w:tc>
        <w:tc>
          <w:tcPr>
            <w:tcW w:type="dxa" w:w="1440"/>
            <w:shd w:fill="C6EFCE" w:val="clear"/>
          </w:tcPr>
          <w:p>
            <w:r>
              <w:rPr>
                <w:sz w:val="17"/>
              </w:rPr>
              <w:t>2026-09-14</w:t>
            </w:r>
          </w:p>
        </w:tc>
        <w:tc>
          <w:tcPr>
            <w:tcW w:type="dxa" w:w="1440"/>
            <w:shd w:fill="C6EFCE" w:val="clear"/>
          </w:tcPr>
          <w:p>
            <w:r>
              <w:rPr>
                <w:sz w:val="17"/>
              </w:rPr>
              <w:t>48,706</w:t>
            </w:r>
          </w:p>
        </w:tc>
        <w:tc>
          <w:tcPr>
            <w:tcW w:type="dxa" w:w="1440"/>
            <w:shd w:fill="C6EFCE" w:val="clear"/>
          </w:tcPr>
          <w:p>
            <w:r>
              <w:rPr>
                <w:b/>
                <w:sz w:val="17"/>
              </w:rPr>
              <w:t>60,373</w:t>
            </w:r>
          </w:p>
        </w:tc>
        <w:tc>
          <w:tcPr>
            <w:tcW w:type="dxa" w:w="1440"/>
            <w:shd w:fill="C6EFCE" w:val="clear"/>
          </w:tcPr>
          <w:p>
            <w:r>
              <w:rPr>
                <w:sz w:val="17"/>
              </w:rPr>
              <w:t>72,039</w:t>
            </w:r>
          </w:p>
        </w:tc>
        <w:tc>
          <w:tcPr>
            <w:tcW w:type="dxa" w:w="1440"/>
            <w:shd w:fill="C6EFCE" w:val="clear"/>
          </w:tcPr>
          <w:p>
            <w:r>
              <w:rPr>
                <w:b/>
                <w:color w:val="008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503,25 milliards FCFA, ce qui en fait l'une des valeurs significatives de la BRVM, bien que son flottant et sa liquidité soient extrêmement faibles (volume moyen de 22 titres par jour). Les ratios de valorisation (BPA, PER, P/B, EV/EBITDA) ne sont pas calculables en raison de l'absence de données financières structurées récentes dans la base. Cependant, sur la base des derniers rapports disponibles, le bénéfice net de 640 millions FCFA en 2023 impliquerait un PER théorique extrêmement élevé (plus de 780 fois), ce qui traduirait une valorisation très généreuse par rapport aux bénéfices actuels. Le marché semble donc valoriser la marque et le potentiel de redressement plutôt que la rentabilité immédiate, ce qui représente un risque significatif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affiche une variation totale de -8,67%, avec une dernière séance en forte hausse de +4,98% à 54 800 FCFA. Le titre a évolué dans une fourchette large de 50 000 à 69 005 FCFA, démontrant une volatilité importante. La moyenne (56 662 FCFA) est légèrement supérieure à la médiane (56 160 FCFA), indiquant une asymétrie positive confirmée par le skewness de 0,553, ce qui signifie que le cours a passé plus de temps sous la moyenne avec quelques pics à la hausse. L'écart-type de 3 573 FCFA (CV=6,3%) révèle une dispersion modérée autour de la moyenne, tandis que le kurtosis de 0,627 (mésokurtique) suggère une distribution proche de la normale, sans risque extrême de queues de distribution. La volatilité annualisée de 62,8% classe le titre comme très volatil, bien au-dessus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(54 800 FCFA) se situe au-dessus de la MM20 (54 409 FCFA) et de la MM50 (54 219 FCFA), ce qui génère un signal d'achat. La configuration des moyennes mobiles suggère une tendance haussière naissante à court terme, le cours ayant récemment dépassé ces niveaux clés après une période de faiblesse.</w:t>
      </w:r>
    </w:p>
    <w:p>
      <w:pPr>
        <w:spacing w:after="120" w:line="276" w:lineRule="auto"/>
      </w:pPr>
      <w:r>
        <w:t>**Bandes de Bollinger** : Le prix se positionne à 54 800 FCFA, entre la borne inférieure (50 017 FCFA) et la borne supérieure (58 802 FCFA), légèrement au-dessus de la moyenne de la bande. La décision est neutre, indiquant une volatilité modérée sans extension excessive. La largeur des bandes reflète la volatilité élevée du titre, mais le cours reste dans une zone de consolidation.</w:t>
      </w:r>
    </w:p>
    <w:p>
      <w:pPr>
        <w:spacing w:after="120" w:line="276" w:lineRule="auto"/>
      </w:pPr>
      <w:r>
        <w:t>**MACD** : La valeur MACD (-101,85) est inférieure au signal (57,99), générant un signal de vente. Cette configuration indique un momentum baissier persistant malgré le rebond récent du cours. La divergence négative suggère que la pression vendeuse reste dominante à moyen terme, ce qui contraste avec le signal des moyennes mobiles.</w:t>
      </w:r>
    </w:p>
    <w:p>
      <w:pPr>
        <w:spacing w:after="120" w:line="276" w:lineRule="auto"/>
      </w:pPr>
      <w:r>
        <w:t>**RSI** : À 50,51, le RSI se situe exactement dans la zone neutre (30-70), indiquant un équilibre entre les forces acheteuses et vendeuses. Cette valeur ne montre ni surachat ni survente, laissant place à une évolution directionnelle future sans signal clair.</w:t>
      </w:r>
    </w:p>
    <w:p>
      <w:pPr>
        <w:spacing w:after="120" w:line="276" w:lineRule="auto"/>
      </w:pPr>
      <w:r>
        <w:t>**Stochastique** : Le %K (46,67) est nettement supérieur au %D (17,78), suggérant un croisement haussier récent. Cependant, les deux valeurs restent en zone neutre, indiquant un momentum en amélioration mais pas encore confirmé. La divergence entre %K et %D pourrait signaler un début de reprise.</w:t>
      </w:r>
    </w:p>
    <w:p>
      <w:pPr>
        <w:spacing w:after="120" w:line="276" w:lineRule="auto"/>
      </w:pPr>
      <w:r>
        <w:t>**Conclusion technique** : Les indicateurs sont mitigés avec une légère prédominance haussière à court terme (moyennes mobiles, stochastique) contre un momentum baissier à moyen terme (MACD). Le RSI neutre et les bandes de Bollinger sans signal clair renforcent l'incertitude. La configuration globale suggère une phase de transition, avec un potentiel de reprise si le cours maintient sa position au-dessus des moyennes mobiles.</w:t>
      </w:r>
    </w:p>
    <w:p>
      <w:pPr>
        <w:spacing w:after="120" w:line="276" w:lineRule="auto" w:before="240"/>
      </w:pPr>
      <w:r>
        <w:rPr>
          <w:b/>
          <w:color w:val="003366"/>
          <w:sz w:val="24"/>
        </w:rPr>
        <w:t>**PARTIE 3 : ANALYSE FONDAMENTALE (SECTION CRITIQUE)**</w:t>
      </w:r>
    </w:p>
    <w:p>
      <w:pPr>
        <w:spacing w:after="120" w:line="276" w:lineRule="auto"/>
      </w:pPr>
      <w:r>
        <w:t>Les données financières structurées ne sont pas disponibles dans la base, mais les rapports narratifs fournissent des informations essentielles. Pour l'exercice 2023 (rapport daté du 31/12/2023, analysé en 2026), UNLC a réalisé un chiffre d'affaires de 24 336 millions FCFA, stable par rapport à 2022, avec un bénéfice net de 640 millions FCFA contre une perte de 6 908 millions en 2022. La marge nette s'établit à 2,63%, nettement inférieure à la moyenne sectorielle de 5-10%. Le résultat d'exploitation s'est amélioré, passant de -6 258 millions à +3 340 millions FCFA, grâce à une réduction des charges. Les capitaux propres restent négatifs à -10 658 millions FCFA, et les dettes financières s'élèvent à 4 379 millions FCFA. Pour 2022 (rapport du 31/12/2022), le CA était de 36 174 millions FCFA avec une perte de 6 383 millions, soit une marge négative de -17,6%. L'exercice 2021 (rapport du 31/12/2021) montrait un bénéfice de 6 091 millions FCFA sur un CA de 24 336 millions, soit une marge de 25%. L'évolution sur trois ans montre une forte instabilité : bénéfice important en 2021, perte massive en 2022, puis redressement modeste en 2023. Aucun dividende n'a été distribué depuis 2021, la société privilégiant la reconstruction de ses capitaux propres. Les perspectives restent fragiles avec une dépendance au marché ivoirien, une concurrence accrue et un endettement élevé.</w:t>
      </w:r>
    </w:p>
    <w:p>
      <w:pPr>
        <w:spacing w:after="120" w:line="276" w:lineRule="auto" w:before="240"/>
      </w:pPr>
      <w:r>
        <w:rPr>
          <w:b/>
          <w:color w:val="003366"/>
          <w:sz w:val="24"/>
        </w:rPr>
        <w:t>**PARTIE 4 : CONCLUSION D'INVESTISSEMENT**</w:t>
      </w:r>
    </w:p>
    <w:p>
      <w:pPr>
        <w:spacing w:after="120" w:line="276" w:lineRule="auto"/>
      </w:pPr>
      <w:r>
        <w:t>La valorisation d'UNLC est difficile à justifier fondamentalement, avec un PER théorique extrêmement élevé et des capitaux propres négatifs, indiquant une surévaluation relative malgré la capitalisation de 503 milliards FCFA. Le comportement du cours montre une tendance baissière sur 100 jours (-8,67%) avec une volatilité très élevée (62,8%), mais les statistiques descriptives (kurtosis mésokurtique, skewness positif) suggèrent un comportement relativement normal sans risque extrême. Les signaux techniques sont mitigés : les moyennes mobiles et le stochastique sont positifs, tandis que le MACD reste vendeur et le RSI neutre, créant une divergence qui limite la fiabilité des signaux. Les fondamentaux montrent un redressement en 2023 mais restent fragiles, avec une marge nette faible (2,63%), des capitaux propres négatifs et aucun dividende. Les prédictions IA pour les 10 prochains jours (54 671 à 57 133 FCFA) suggèrent une légère progression, confirmant le potentiel de rebond technique à court terme. La convergence entre les signaux techniques haussiers à court terme et les prédictions IA contraste avec les fondamentaux dégradés. Recommandation : **CONSERVER** avec un niveau de confiance **Moyen** et un risque global **Élevé**. Horizon d'investissement optimal : **moyen terme (3-12 mois)**, en attendant une confirmation du redressement fondamental et une stabilisation des capitaux propres.</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50.63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13,117 titres</w:t>
            </w:r>
          </w:p>
        </w:tc>
        <w:tc>
          <w:tcPr>
            <w:tcW w:type="dxa" w:w="2268"/>
            <w:shd w:fill="FFF2CC" w:val="clear"/>
          </w:tcPr>
          <w:p>
            <w:r>
              <w:rPr>
                <w:b/>
                <w:color w:val="503200"/>
                <w:sz w:val="16"/>
              </w:rPr>
              <w:t xml:space="preserve">Cours actuel : </w:t>
            </w:r>
            <w:r>
              <w:rPr>
                <w:color w:val="000000"/>
                <w:sz w:val="17"/>
              </w:rPr>
              <w:t>2,440 FCFA</w:t>
            </w:r>
          </w:p>
          <w:p>
            <w:r>
              <w:rPr>
                <w:b/>
                <w:color w:val="503200"/>
                <w:sz w:val="16"/>
              </w:rPr>
              <w:t xml:space="preserve">Var. 100 jours : </w:t>
            </w:r>
            <w:r>
              <w:rPr>
                <w:b/>
                <w:color w:val="007800"/>
                <w:sz w:val="17"/>
              </w:rPr>
              <w:t>+26.75%</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12.02% (Moyenne) — μ=1,900 FCFA, σ=228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β=0.0788 (Défensif) — Cov=0.000003, Var(idx)=0.000036, ρ=0.015,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13,117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2026-09-01</w:t>
            </w:r>
          </w:p>
        </w:tc>
        <w:tc>
          <w:tcPr>
            <w:tcW w:type="dxa" w:w="1440"/>
            <w:shd w:fill="FAFAFA" w:val="clear"/>
          </w:tcPr>
          <w:p>
            <w:r>
              <w:rPr>
                <w:sz w:val="17"/>
              </w:rPr>
              <w:t>2,292</w:t>
            </w:r>
          </w:p>
        </w:tc>
        <w:tc>
          <w:tcPr>
            <w:tcW w:type="dxa" w:w="1440"/>
            <w:shd w:fill="FAFAFA" w:val="clear"/>
          </w:tcPr>
          <w:p>
            <w:r>
              <w:rPr>
                <w:b/>
                <w:sz w:val="17"/>
              </w:rPr>
              <w:t>2,401</w:t>
            </w:r>
          </w:p>
        </w:tc>
        <w:tc>
          <w:tcPr>
            <w:tcW w:type="dxa" w:w="1440"/>
            <w:shd w:fill="FAFAFA" w:val="clear"/>
          </w:tcPr>
          <w:p>
            <w:r>
              <w:rPr>
                <w:sz w:val="17"/>
              </w:rPr>
              <w:t>2,510</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2026-09-02</w:t>
            </w:r>
          </w:p>
        </w:tc>
        <w:tc>
          <w:tcPr>
            <w:tcW w:type="dxa" w:w="1440"/>
            <w:shd w:fill="FFDCE0" w:val="clear"/>
          </w:tcPr>
          <w:p>
            <w:r>
              <w:rPr>
                <w:sz w:val="17"/>
              </w:rPr>
              <w:t>2,234</w:t>
            </w:r>
          </w:p>
        </w:tc>
        <w:tc>
          <w:tcPr>
            <w:tcW w:type="dxa" w:w="1440"/>
            <w:shd w:fill="FFDCE0" w:val="clear"/>
          </w:tcPr>
          <w:p>
            <w:r>
              <w:rPr>
                <w:b/>
                <w:sz w:val="17"/>
              </w:rPr>
              <w:t>2,388</w:t>
            </w:r>
          </w:p>
        </w:tc>
        <w:tc>
          <w:tcPr>
            <w:tcW w:type="dxa" w:w="1440"/>
            <w:shd w:fill="FFDCE0" w:val="clear"/>
          </w:tcPr>
          <w:p>
            <w:r>
              <w:rPr>
                <w:sz w:val="17"/>
              </w:rPr>
              <w:t>2,541</w:t>
            </w:r>
          </w:p>
        </w:tc>
        <w:tc>
          <w:tcPr>
            <w:tcW w:type="dxa" w:w="1440"/>
            <w:shd w:fill="FFDCE0" w:val="clear"/>
          </w:tcPr>
          <w:p>
            <w:r>
              <w:rPr>
                <w:b/>
                <w:color w:val="C00000"/>
                <w:sz w:val="17"/>
              </w:rPr>
              <w:t>-2.2%</w:t>
            </w:r>
          </w:p>
        </w:tc>
      </w:tr>
      <w:tr>
        <w:tc>
          <w:tcPr>
            <w:tcW w:type="dxa" w:w="1440"/>
            <w:shd w:fill="FFDCE0" w:val="clear"/>
          </w:tcPr>
          <w:p>
            <w:r>
              <w:rPr>
                <w:sz w:val="17"/>
              </w:rPr>
              <w:t>J+3  Moyenne</w:t>
            </w:r>
          </w:p>
        </w:tc>
        <w:tc>
          <w:tcPr>
            <w:tcW w:type="dxa" w:w="1440"/>
            <w:shd w:fill="FFDCE0" w:val="clear"/>
          </w:tcPr>
          <w:p>
            <w:r>
              <w:rPr>
                <w:sz w:val="17"/>
              </w:rPr>
              <w:t>2026-09-03</w:t>
            </w:r>
          </w:p>
        </w:tc>
        <w:tc>
          <w:tcPr>
            <w:tcW w:type="dxa" w:w="1440"/>
            <w:shd w:fill="FFDCE0" w:val="clear"/>
          </w:tcPr>
          <w:p>
            <w:r>
              <w:rPr>
                <w:sz w:val="17"/>
              </w:rPr>
              <w:t>2,185</w:t>
            </w:r>
          </w:p>
        </w:tc>
        <w:tc>
          <w:tcPr>
            <w:tcW w:type="dxa" w:w="1440"/>
            <w:shd w:fill="FFDCE0" w:val="clear"/>
          </w:tcPr>
          <w:p>
            <w:r>
              <w:rPr>
                <w:b/>
                <w:sz w:val="17"/>
              </w:rPr>
              <w:t>2,372</w:t>
            </w:r>
          </w:p>
        </w:tc>
        <w:tc>
          <w:tcPr>
            <w:tcW w:type="dxa" w:w="1440"/>
            <w:shd w:fill="FFDCE0" w:val="clear"/>
          </w:tcPr>
          <w:p>
            <w:r>
              <w:rPr>
                <w:sz w:val="17"/>
              </w:rPr>
              <w:t>2,559</w:t>
            </w:r>
          </w:p>
        </w:tc>
        <w:tc>
          <w:tcPr>
            <w:tcW w:type="dxa" w:w="1440"/>
            <w:shd w:fill="FFDCE0" w:val="clear"/>
          </w:tcPr>
          <w:p>
            <w:r>
              <w:rPr>
                <w:b/>
                <w:color w:val="C00000"/>
                <w:sz w:val="17"/>
              </w:rPr>
              <w:t>-2.8%</w:t>
            </w:r>
          </w:p>
        </w:tc>
      </w:tr>
      <w:tr>
        <w:tc>
          <w:tcPr>
            <w:tcW w:type="dxa" w:w="1440"/>
            <w:shd w:fill="FFDCE0" w:val="clear"/>
          </w:tcPr>
          <w:p>
            <w:r>
              <w:rPr>
                <w:sz w:val="17"/>
              </w:rPr>
              <w:t>J+4  ⭐</w:t>
            </w:r>
          </w:p>
        </w:tc>
        <w:tc>
          <w:tcPr>
            <w:tcW w:type="dxa" w:w="1440"/>
            <w:shd w:fill="FFDCE0" w:val="clear"/>
          </w:tcPr>
          <w:p>
            <w:r>
              <w:rPr>
                <w:sz w:val="17"/>
              </w:rPr>
              <w:t>2026-09-04</w:t>
            </w:r>
          </w:p>
        </w:tc>
        <w:tc>
          <w:tcPr>
            <w:tcW w:type="dxa" w:w="1440"/>
            <w:shd w:fill="FFDCE0" w:val="clear"/>
          </w:tcPr>
          <w:p>
            <w:r>
              <w:rPr>
                <w:sz w:val="17"/>
              </w:rPr>
              <w:t>2,143</w:t>
            </w:r>
          </w:p>
        </w:tc>
        <w:tc>
          <w:tcPr>
            <w:tcW w:type="dxa" w:w="1440"/>
            <w:shd w:fill="FFDCE0" w:val="clear"/>
          </w:tcPr>
          <w:p>
            <w:r>
              <w:rPr>
                <w:b/>
                <w:sz w:val="17"/>
              </w:rPr>
              <w:t>2,357</w:t>
            </w:r>
          </w:p>
        </w:tc>
        <w:tc>
          <w:tcPr>
            <w:tcW w:type="dxa" w:w="1440"/>
            <w:shd w:fill="FFDCE0" w:val="clear"/>
          </w:tcPr>
          <w:p>
            <w:r>
              <w:rPr>
                <w:sz w:val="17"/>
              </w:rPr>
              <w:t>2,571</w:t>
            </w:r>
          </w:p>
        </w:tc>
        <w:tc>
          <w:tcPr>
            <w:tcW w:type="dxa" w:w="1440"/>
            <w:shd w:fill="FFDCE0" w:val="clear"/>
          </w:tcPr>
          <w:p>
            <w:r>
              <w:rPr>
                <w:b/>
                <w:color w:val="C00000"/>
                <w:sz w:val="17"/>
              </w:rPr>
              <w:t>-3.4%</w:t>
            </w:r>
          </w:p>
        </w:tc>
      </w:tr>
      <w:tr>
        <w:tc>
          <w:tcPr>
            <w:tcW w:type="dxa" w:w="1440"/>
            <w:shd w:fill="FFDCE0" w:val="clear"/>
          </w:tcPr>
          <w:p>
            <w:r>
              <w:rPr>
                <w:sz w:val="17"/>
              </w:rPr>
              <w:t>J+5  ⭐</w:t>
            </w:r>
          </w:p>
        </w:tc>
        <w:tc>
          <w:tcPr>
            <w:tcW w:type="dxa" w:w="1440"/>
            <w:shd w:fill="FFDCE0" w:val="clear"/>
          </w:tcPr>
          <w:p>
            <w:r>
              <w:rPr>
                <w:sz w:val="17"/>
              </w:rPr>
              <w:t>2026-09-07</w:t>
            </w:r>
          </w:p>
        </w:tc>
        <w:tc>
          <w:tcPr>
            <w:tcW w:type="dxa" w:w="1440"/>
            <w:shd w:fill="FFDCE0" w:val="clear"/>
          </w:tcPr>
          <w:p>
            <w:r>
              <w:rPr>
                <w:sz w:val="17"/>
              </w:rPr>
              <w:t>2,104</w:t>
            </w:r>
          </w:p>
        </w:tc>
        <w:tc>
          <w:tcPr>
            <w:tcW w:type="dxa" w:w="1440"/>
            <w:shd w:fill="FFDCE0" w:val="clear"/>
          </w:tcPr>
          <w:p>
            <w:r>
              <w:rPr>
                <w:b/>
                <w:sz w:val="17"/>
              </w:rPr>
              <w:t>2,343</w:t>
            </w:r>
          </w:p>
        </w:tc>
        <w:tc>
          <w:tcPr>
            <w:tcW w:type="dxa" w:w="1440"/>
            <w:shd w:fill="FFDCE0" w:val="clear"/>
          </w:tcPr>
          <w:p>
            <w:r>
              <w:rPr>
                <w:sz w:val="17"/>
              </w:rPr>
              <w:t>2,581</w:t>
            </w:r>
          </w:p>
        </w:tc>
        <w:tc>
          <w:tcPr>
            <w:tcW w:type="dxa" w:w="1440"/>
            <w:shd w:fill="FFDCE0" w:val="clear"/>
          </w:tcPr>
          <w:p>
            <w:r>
              <w:rPr>
                <w:b/>
                <w:color w:val="C00000"/>
                <w:sz w:val="17"/>
              </w:rPr>
              <w:t>-4.0%</w:t>
            </w:r>
          </w:p>
        </w:tc>
      </w:tr>
      <w:tr>
        <w:tc>
          <w:tcPr>
            <w:tcW w:type="dxa" w:w="1440"/>
            <w:shd w:fill="FFDCE0" w:val="clear"/>
          </w:tcPr>
          <w:p>
            <w:r>
              <w:rPr>
                <w:sz w:val="17"/>
              </w:rPr>
              <w:t>J+6  ⭐</w:t>
            </w:r>
          </w:p>
        </w:tc>
        <w:tc>
          <w:tcPr>
            <w:tcW w:type="dxa" w:w="1440"/>
            <w:shd w:fill="FFDCE0" w:val="clear"/>
          </w:tcPr>
          <w:p>
            <w:r>
              <w:rPr>
                <w:sz w:val="17"/>
              </w:rPr>
              <w:t>2026-09-08</w:t>
            </w:r>
          </w:p>
        </w:tc>
        <w:tc>
          <w:tcPr>
            <w:tcW w:type="dxa" w:w="1440"/>
            <w:shd w:fill="FFDCE0" w:val="clear"/>
          </w:tcPr>
          <w:p>
            <w:r>
              <w:rPr>
                <w:sz w:val="17"/>
              </w:rPr>
              <w:t>2,069</w:t>
            </w:r>
          </w:p>
        </w:tc>
        <w:tc>
          <w:tcPr>
            <w:tcW w:type="dxa" w:w="1440"/>
            <w:shd w:fill="FFDCE0" w:val="clear"/>
          </w:tcPr>
          <w:p>
            <w:r>
              <w:rPr>
                <w:b/>
                <w:sz w:val="17"/>
              </w:rPr>
              <w:t>2,328</w:t>
            </w:r>
          </w:p>
        </w:tc>
        <w:tc>
          <w:tcPr>
            <w:tcW w:type="dxa" w:w="1440"/>
            <w:shd w:fill="FFDCE0" w:val="clear"/>
          </w:tcPr>
          <w:p>
            <w:r>
              <w:rPr>
                <w:sz w:val="17"/>
              </w:rPr>
              <w:t>2,588</w:t>
            </w:r>
          </w:p>
        </w:tc>
        <w:tc>
          <w:tcPr>
            <w:tcW w:type="dxa" w:w="1440"/>
            <w:shd w:fill="FFDCE0" w:val="clear"/>
          </w:tcPr>
          <w:p>
            <w:r>
              <w:rPr>
                <w:b/>
                <w:color w:val="C00000"/>
                <w:sz w:val="17"/>
              </w:rPr>
              <w:t>-4.6%</w:t>
            </w:r>
          </w:p>
        </w:tc>
      </w:tr>
      <w:tr>
        <w:tc>
          <w:tcPr>
            <w:tcW w:type="dxa" w:w="1440"/>
            <w:shd w:fill="FFDCE0" w:val="clear"/>
          </w:tcPr>
          <w:p>
            <w:r>
              <w:rPr>
                <w:sz w:val="17"/>
              </w:rPr>
              <w:t>J+7  ⭐</w:t>
            </w:r>
          </w:p>
        </w:tc>
        <w:tc>
          <w:tcPr>
            <w:tcW w:type="dxa" w:w="1440"/>
            <w:shd w:fill="FFDCE0" w:val="clear"/>
          </w:tcPr>
          <w:p>
            <w:r>
              <w:rPr>
                <w:sz w:val="17"/>
              </w:rPr>
              <w:t>2026-09-09</w:t>
            </w:r>
          </w:p>
        </w:tc>
        <w:tc>
          <w:tcPr>
            <w:tcW w:type="dxa" w:w="1440"/>
            <w:shd w:fill="FFDCE0" w:val="clear"/>
          </w:tcPr>
          <w:p>
            <w:r>
              <w:rPr>
                <w:sz w:val="17"/>
              </w:rPr>
              <w:t>2,036</w:t>
            </w:r>
          </w:p>
        </w:tc>
        <w:tc>
          <w:tcPr>
            <w:tcW w:type="dxa" w:w="1440"/>
            <w:shd w:fill="FFDCE0" w:val="clear"/>
          </w:tcPr>
          <w:p>
            <w:r>
              <w:rPr>
                <w:b/>
                <w:sz w:val="17"/>
              </w:rPr>
              <w:t>2,315</w:t>
            </w:r>
          </w:p>
        </w:tc>
        <w:tc>
          <w:tcPr>
            <w:tcW w:type="dxa" w:w="1440"/>
            <w:shd w:fill="FFDCE0" w:val="clear"/>
          </w:tcPr>
          <w:p>
            <w:r>
              <w:rPr>
                <w:sz w:val="17"/>
              </w:rPr>
              <w:t>2,593</w:t>
            </w:r>
          </w:p>
        </w:tc>
        <w:tc>
          <w:tcPr>
            <w:tcW w:type="dxa" w:w="1440"/>
            <w:shd w:fill="FFDCE0" w:val="clear"/>
          </w:tcPr>
          <w:p>
            <w:r>
              <w:rPr>
                <w:b/>
                <w:color w:val="C00000"/>
                <w:sz w:val="17"/>
              </w:rPr>
              <w:t>-5.1%</w:t>
            </w:r>
          </w:p>
        </w:tc>
      </w:tr>
      <w:tr>
        <w:tc>
          <w:tcPr>
            <w:tcW w:type="dxa" w:w="1440"/>
            <w:shd w:fill="FFDCE0" w:val="clear"/>
          </w:tcPr>
          <w:p>
            <w:r>
              <w:rPr>
                <w:sz w:val="17"/>
              </w:rPr>
              <w:t>J+8  ⭐</w:t>
            </w:r>
          </w:p>
        </w:tc>
        <w:tc>
          <w:tcPr>
            <w:tcW w:type="dxa" w:w="1440"/>
            <w:shd w:fill="FFDCE0" w:val="clear"/>
          </w:tcPr>
          <w:p>
            <w:r>
              <w:rPr>
                <w:sz w:val="17"/>
              </w:rPr>
              <w:t>2026-09-10</w:t>
            </w:r>
          </w:p>
        </w:tc>
        <w:tc>
          <w:tcPr>
            <w:tcW w:type="dxa" w:w="1440"/>
            <w:shd w:fill="FFDCE0" w:val="clear"/>
          </w:tcPr>
          <w:p>
            <w:r>
              <w:rPr>
                <w:sz w:val="17"/>
              </w:rPr>
              <w:t>2,005</w:t>
            </w:r>
          </w:p>
        </w:tc>
        <w:tc>
          <w:tcPr>
            <w:tcW w:type="dxa" w:w="1440"/>
            <w:shd w:fill="FFDCE0" w:val="clear"/>
          </w:tcPr>
          <w:p>
            <w:r>
              <w:rPr>
                <w:b/>
                <w:sz w:val="17"/>
              </w:rPr>
              <w:t>2,301</w:t>
            </w:r>
          </w:p>
        </w:tc>
        <w:tc>
          <w:tcPr>
            <w:tcW w:type="dxa" w:w="1440"/>
            <w:shd w:fill="FFDCE0" w:val="clear"/>
          </w:tcPr>
          <w:p>
            <w:r>
              <w:rPr>
                <w:sz w:val="17"/>
              </w:rPr>
              <w:t>2,597</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2026-09-11</w:t>
            </w:r>
          </w:p>
        </w:tc>
        <w:tc>
          <w:tcPr>
            <w:tcW w:type="dxa" w:w="1440"/>
            <w:shd w:fill="FFDCE0" w:val="clear"/>
          </w:tcPr>
          <w:p>
            <w:r>
              <w:rPr>
                <w:sz w:val="17"/>
              </w:rPr>
              <w:t>1,975</w:t>
            </w:r>
          </w:p>
        </w:tc>
        <w:tc>
          <w:tcPr>
            <w:tcW w:type="dxa" w:w="1440"/>
            <w:shd w:fill="FFDCE0" w:val="clear"/>
          </w:tcPr>
          <w:p>
            <w:r>
              <w:rPr>
                <w:b/>
                <w:sz w:val="17"/>
              </w:rPr>
              <w:t>2,287</w:t>
            </w:r>
          </w:p>
        </w:tc>
        <w:tc>
          <w:tcPr>
            <w:tcW w:type="dxa" w:w="1440"/>
            <w:shd w:fill="FFDCE0" w:val="clear"/>
          </w:tcPr>
          <w:p>
            <w:r>
              <w:rPr>
                <w:sz w:val="17"/>
              </w:rPr>
              <w:t>2,599</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2026-09-14</w:t>
            </w:r>
          </w:p>
        </w:tc>
        <w:tc>
          <w:tcPr>
            <w:tcW w:type="dxa" w:w="1440"/>
            <w:shd w:fill="FFDCE0" w:val="clear"/>
          </w:tcPr>
          <w:p>
            <w:r>
              <w:rPr>
                <w:sz w:val="17"/>
              </w:rPr>
              <w:t>1,947</w:t>
            </w:r>
          </w:p>
        </w:tc>
        <w:tc>
          <w:tcPr>
            <w:tcW w:type="dxa" w:w="1440"/>
            <w:shd w:fill="FFDCE0" w:val="clear"/>
          </w:tcPr>
          <w:p>
            <w:r>
              <w:rPr>
                <w:b/>
                <w:sz w:val="17"/>
              </w:rPr>
              <w:t>2,274</w:t>
            </w:r>
          </w:p>
        </w:tc>
        <w:tc>
          <w:tcPr>
            <w:tcW w:type="dxa" w:w="1440"/>
            <w:shd w:fill="FFDCE0" w:val="clear"/>
          </w:tcPr>
          <w:p>
            <w:r>
              <w:rPr>
                <w:sz w:val="17"/>
              </w:rPr>
              <w:t>2,601</w:t>
            </w:r>
          </w:p>
        </w:tc>
        <w:tc>
          <w:tcPr>
            <w:tcW w:type="dxa" w:w="1440"/>
            <w:shd w:fill="FFDCE0" w:val="clear"/>
          </w:tcPr>
          <w:p>
            <w:r>
              <w:rPr>
                <w:b/>
                <w:color w:val="C00000"/>
                <w:sz w:val="17"/>
              </w:rPr>
              <w:t>-6.8%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pPr>
      <w:r>
        <w:t>**RAPPORT D'ANALYSE FINANCIÈRE — UNIWAX (UNXC) — BRVM**</w:t>
      </w:r>
    </w:p>
    <w:p>
      <w:pPr>
        <w:spacing w:after="120" w:line="276" w:lineRule="auto" w:before="240"/>
      </w:pPr>
      <w:r>
        <w:rPr>
          <w:b/>
          <w:color w:val="003366"/>
          <w:sz w:val="24"/>
        </w:rPr>
        <w:t>**PARTIE 0 : INDICATEURS DE VALORISATION BOURSIÈRE**</w:t>
      </w:r>
    </w:p>
    <w:p>
      <w:pPr>
        <w:spacing w:after="120" w:line="276" w:lineRule="auto"/>
      </w:pPr>
      <w:r>
        <w:t>La capitalisation boursière d'UNIWAX s'établit à 50,63 milliards FCFA, un niveau qui la positionne comme une valeur de taille moyenne sur la BRVM. Le BPA est négatif à -105 FCFA, ce qui reflète la perte nette enregistrée sur l'exercice 2024. Par conséquent, le PER est négatif (-23,1x), indiquant que les investisseurs ne peuvent pas valoriser la société sur la base de ses bénéfices actuels, ce qui est un signal défavorable. En revanche, le P/B de 3,25x est nettement supérieur à 1, ce qui signifie que le marché valorise l'actif net de la société avec une prime substantielle, probablement en anticipation d'un retour à la rentabilité. Cette prime est également soutenue par la valeur des actifs immobiliers et de la marque. Le ratio EV/EBITDA n'est pas calculable en raison de l'EBITDA négatif, mais la capitalisation actuelle intègre déjà les espoirs de redressement futur.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 enregistré une performance spectaculaire de +26,75%, avec une légère correction de -0,61% lors de la dernière séance, clôturant à 2 440 FCFA. Le cours a évolué dans une fourchette très large, entre un plus bas de 1 250 FCFA et un plus haut de 2 495 FCFA, démontrant une forte dynamique haussière. Les statistiques descriptives montrent une moyenne et une médiane identiques à 1 900 FCFA, indiquant une distribution symétrique des prix sur la période, ce qui est confirmé par un skewness proche de zéro (0,184). L'écart-type de 229 FCFA (CV=12,1%) révèle une dispersion modérée autour de la moyenne. Le kurtosis élevé (2,024) signale une distribution leptokurtique, suggérant un risque de mouvements extrêmes et de pics de volatilité. Enfin, la volatilité annualisée de 51,2% classe le titre comme très volatil, un niveau élevé qui implique un risque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2 440 FCFA est nettement supérieur à la MM20 (2 158 FCFA) et à la MM50 (1 910,7 FCFA). Cette configuration haussière, où le prix est au-dessus des deux moyennes, confirme une tendance de fond positive. La décision d'achat est justifiée par la vigueur de la tendance, bien que l'écart important entre le prix et les moyennes puisse signaler une condition de surachat temporaire.</w:t>
      </w:r>
    </w:p>
    <w:p>
      <w:pPr>
        <w:spacing w:after="120" w:line="276" w:lineRule="auto"/>
      </w:pPr>
      <w:r>
        <w:t>**Bandes de Bollinger** : Le cours se situe à 2 440 FCFA, en dessous de la borne supérieure (2 669,87 FCFA) mais bien au-dessus de la borne inférieure (1 646,13 FCFA). La largeur des bandes est significative, reflétant la forte volatilité du titre. La position du prix dans la moitié supérieure des bandes indique une pression acheteuse persistante, mais la décision est neutre, car le prix n'a pas encore touché la borne supérieure, ce qui pourrait déclencher un signal de retournement.</w:t>
      </w:r>
    </w:p>
    <w:p>
      <w:pPr>
        <w:spacing w:after="120" w:line="276" w:lineRule="auto"/>
      </w:pPr>
      <w:r>
        <w:t>**MACD** : La valeur du MACD (170,11) est supérieure à sa ligne de signal (146,28), confirmant un momentum haussier. Cette divergence positive indique que la dynamique d'achat reste solide. La décision d'achat est justifiée par cette configuration, qui suggère une poursuite de la tendance à court terme.</w:t>
      </w:r>
    </w:p>
    <w:p>
      <w:pPr>
        <w:spacing w:after="120" w:line="276" w:lineRule="auto"/>
      </w:pPr>
      <w:r>
        <w:t>**RSI** : Le RSI est à 81,37, un niveau très élevé, bien au-dessus du seuil de surachat de 70. Cette valeur indique que le titre est fortement suracheté, ce qui signifie que la pression acheteuse est excessive et qu'un retournement ou une consolidation est probable à court terme. La décision de vente est donc justifiée par ce signal de surachat.</w:t>
      </w:r>
    </w:p>
    <w:p>
      <w:pPr>
        <w:spacing w:after="120" w:line="276" w:lineRule="auto"/>
      </w:pPr>
      <w:r>
        <w:t>**Stochastique** : Les valeurs du %K (90,76) et du %D (90,20) sont également dans la zone de surachat. Le %K est au-dessus du %D, ce qui maintient un signal haussier, mais les deux lignes étant à des niveaux extrêmes, le risque de croisement baissier est élevé. La décision de vente est justifiée par la prudence face à ces conditions de surachat extrême.</w:t>
      </w:r>
    </w:p>
    <w:p>
      <w:pPr>
        <w:spacing w:after="120" w:line="276" w:lineRule="auto"/>
      </w:pPr>
      <w:r>
        <w:t>**Conclusion technique** : Les indicateurs de tendance (MM, MACD) sont haussiers, mais les oscillateurs (RSI, Stochastique) sont en zone de surachat extrême. Cette divergence suggère que la tendance de fond est positive, mais qu'une correction technique est de plus en plus probable à court terme. La prudence est donc recommandée, avec un risque de repli vers les 2 300-2 400 FCFA avant une éventuelle reprise.</w:t>
      </w:r>
    </w:p>
    <w:p>
      <w:pPr>
        <w:spacing w:after="120" w:line="276" w:lineRule="auto" w:before="240"/>
      </w:pPr>
      <w:r>
        <w:rPr>
          <w:b/>
          <w:color w:val="003366"/>
          <w:sz w:val="24"/>
        </w:rPr>
        <w:t>**PARTIE 3 : ANALYSE FONDAMENTALE (SECTION CRITIQUE)**</w:t>
      </w:r>
    </w:p>
    <w:p>
      <w:pPr>
        <w:spacing w:after="120" w:line="276" w:lineRule="auto"/>
      </w:pPr>
      <w:r>
        <w:t>En 2024, selon les données structurées, UNIWAX a enregistré un chiffre d'affaires de 27,33 milliards FCFA, mais a subi une perte nette de -2,19 milliards FCFA, se traduisant par une marge nette de -8,0% et un ROE de -14,0%. La société a également vu son EBE devenir négatif à -352 millions FCFA, illustrant des difficultés opérationnelles. Cependant, les rapports narratifs montrent une évolution contrastée. Le rapport du S1 2025 (daté de 2026-03-15) indique un CA de 15,71 milliards FCFA (+12,5%), mais le bénéfice net de 8,22 milliards FCFA est intégralement dû à une plus-value exceptionnelle de cession-bail de terrain. Le rapport du 3ème trimestre 2025 confirme cette tendance, avec un résultat net de 8,14 milliards FCFA, toujours porté par l'exceptionnel, tandis que le résultat des activités ordinaires reste déficitaire à -371 millions FCFA. Enfin, le rapport le plus récent (S1 2026) marque un tournant décisif : le résultat d'exploitation est redevenu positif à 771 millions FCFA, contre une perte de 314 millions au S1 2025, et le résultat net s'établit à 771 millions FCFA. On estime donc que l'exercice 2026 pourrait marquer le retour à une rentabilité récurrente, soutenue par une amélioration de la performance industrielle et une maîtrise des coûts. La structure financière reste fragile avec un endettement fournisseurs élevé, mais la trésorerie de 2,5 milliards FCFA offre une marge de manœuvre.</w:t>
      </w:r>
    </w:p>
    <w:p>
      <w:pPr>
        <w:spacing w:after="120" w:line="276" w:lineRule="auto" w:before="240"/>
      </w:pPr>
      <w:r>
        <w:rPr>
          <w:b/>
          <w:color w:val="003366"/>
          <w:sz w:val="24"/>
        </w:rPr>
        <w:t>**PARTIE 4 : CONCLUSION D'INVESTISSEMENT**</w:t>
      </w:r>
    </w:p>
    <w:p>
      <w:pPr>
        <w:spacing w:after="120" w:line="276" w:lineRule="auto"/>
      </w:pPr>
      <w:r>
        <w:t>La valorisation actuelle d'UNXC est complexe : le PER négatif et le P/B élevé (3,25x) indiquent que le marché anticipe déjà un redressement, rendant le titre potentiellement surévalué sur la base des bénéfices actuels. Le comportement du cours est très favorable, avec une hausse de 26,75% sur 100 jours, mais la volatilité extrême (51,2%) et le kurtosis élevé signalent un risque de retournement brusque. Les signaux techniques sont mitigés : la tendance (MM, MACD) est haussière, mais les oscillateurs (RSI, Stochastique) sont en surachat extrême, suggérant une correction imminente. Les fondamentaux, quant à eux, montrent une amélioration nette, avec un retour à un résultat d'exploitation positif au S1 2026, ce qui est un signal très encourageant pour la pérennité de l'entreprise. Les prédictions IA (J+1 à J+10) prévoient une légère baisse du cours vers 2 343 FCFA, ce qui est cohérent avec les signaux de surachat technique. En synthèse, la convergence entre l'amélioration des fondamentaux et la tendance haussière est positive, mais elle est tempérée par une valorisation exigeante et des signaux techniques de court terme. **Recommandation finale : CONSERVER**. Le niveau de confiance est **Moyen**, le risque global est **Élevé** en raison de la volatilité. L'horizon d'investissement optimal est le **moyen terme (3-12 mois)**, en attendant la confirmation d'une rentabilité durable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